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27, 2018</w:t>
      </w:r>
    </w:p>
    <w:p>
      <w:pPr>
        <w:spacing w:after="0" w:line="81" w:lineRule="exact"/>
        <w:rPr>
          <w:sz w:val="24"/>
          <w:szCs w:val="24"/>
          <w:color w:val="auto"/>
        </w:rPr>
      </w:pPr>
    </w:p>
    <w:p>
      <w:pPr>
        <w:ind w:left="99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100"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40640</wp:posOffset>
            </wp:positionV>
            <wp:extent cx="72771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100" cy="698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F-1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50800</wp:posOffset>
            </wp:positionV>
            <wp:extent cx="72771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CLPS Incorporation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Cayman Islands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9"/>
              </w:rPr>
              <w:t>0001724542</w:t>
            </w:r>
          </w:p>
        </w:tc>
        <w:tc>
          <w:tcPr>
            <w:tcW w:w="2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9"/>
              </w:rPr>
              <w:t>Not applicable</w:t>
            </w:r>
          </w:p>
        </w:tc>
      </w:tr>
      <w:tr>
        <w:trPr>
          <w:trHeight w:val="158"/>
        </w:trPr>
        <w:tc>
          <w:tcPr>
            <w:tcW w:w="36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color w:val="auto"/>
                <w:w w:val="92"/>
              </w:rPr>
              <w:t>(State or Other Jurisdiction of</w:t>
            </w:r>
          </w:p>
        </w:tc>
        <w:tc>
          <w:tcPr>
            <w:tcW w:w="220" w:type="dxa"/>
            <w:vAlign w:val="bottom"/>
          </w:tcPr>
          <w:p>
            <w:pPr>
              <w:spacing w:after="0"/>
              <w:rPr>
                <w:sz w:val="13"/>
                <w:szCs w:val="13"/>
                <w:color w:val="auto"/>
              </w:rPr>
            </w:pPr>
          </w:p>
        </w:tc>
        <w:tc>
          <w:tcPr>
            <w:tcW w:w="36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color w:val="auto"/>
                <w:w w:val="91"/>
              </w:rPr>
              <w:t>(Primary Standard Industrial</w:t>
            </w:r>
          </w:p>
        </w:tc>
        <w:tc>
          <w:tcPr>
            <w:tcW w:w="220" w:type="dxa"/>
            <w:vAlign w:val="bottom"/>
          </w:tcPr>
          <w:p>
            <w:pPr>
              <w:spacing w:after="0"/>
              <w:rPr>
                <w:sz w:val="13"/>
                <w:szCs w:val="13"/>
                <w:color w:val="auto"/>
              </w:rPr>
            </w:pPr>
          </w:p>
        </w:tc>
        <w:tc>
          <w:tcPr>
            <w:tcW w:w="36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color w:val="auto"/>
                <w:w w:val="93"/>
              </w:rPr>
              <w:t>(I.R.S. Employer</w:t>
            </w:r>
          </w:p>
        </w:tc>
      </w:tr>
      <w:tr>
        <w:trPr>
          <w:trHeight w:val="179"/>
        </w:trPr>
        <w:tc>
          <w:tcPr>
            <w:tcW w:w="39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Incorporation or Organization)</w:t>
            </w:r>
          </w:p>
        </w:tc>
        <w:tc>
          <w:tcPr>
            <w:tcW w:w="39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Classification Code Number)</w:t>
            </w:r>
          </w:p>
        </w:tc>
        <w:tc>
          <w:tcPr>
            <w:tcW w:w="3660" w:type="dxa"/>
            <w:vAlign w:val="bottom"/>
          </w:tcPr>
          <w:p>
            <w:pPr>
              <w:jc w:val="center"/>
              <w:spacing w:after="0"/>
              <w:rPr>
                <w:sz w:val="20"/>
                <w:szCs w:val="20"/>
                <w:color w:val="auto"/>
              </w:rPr>
            </w:pPr>
            <w:r>
              <w:rPr>
                <w:rFonts w:ascii="Arial" w:cs="Arial" w:eastAsia="Arial" w:hAnsi="Arial"/>
                <w:sz w:val="14"/>
                <w:szCs w:val="14"/>
                <w:color w:val="auto"/>
                <w:w w:val="94"/>
              </w:rPr>
              <w:t>Identification Number)</w:t>
            </w:r>
          </w:p>
        </w:tc>
      </w:tr>
    </w:tbl>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 2nd Floor, Building 18, Shanghai Pudong Software Park</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498 Guoshoujing Road, Pudong, Shanghai 201203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People’s Republic of China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 (+86) 21-31268010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principal executive offices)</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VCorp Services, LLC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25 Robert Pitt Drive, Suite 204,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Monsey, NY 10952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(888) 528-2677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areas code, of agent for service)</w:t>
      </w:r>
    </w:p>
    <w:p>
      <w:pPr>
        <w:spacing w:after="0" w:line="70" w:lineRule="exact"/>
        <w:rPr>
          <w:sz w:val="24"/>
          <w:szCs w:val="24"/>
          <w:color w:val="auto"/>
        </w:rPr>
      </w:pPr>
    </w:p>
    <w:tbl>
      <w:tblPr>
        <w:tblLayout w:type="fixed"/>
        <w:tblInd w:w="1980" w:type="dxa"/>
        <w:tblCellMar>
          <w:top w:w="0" w:type="dxa"/>
          <w:left w:w="0" w:type="dxa"/>
          <w:bottom w:w="0" w:type="dxa"/>
          <w:right w:w="0" w:type="dxa"/>
        </w:tblCellMar>
      </w:tblPr>
      <w:tr>
        <w:trPr>
          <w:trHeight w:val="179"/>
        </w:trPr>
        <w:tc>
          <w:tcPr>
            <w:tcW w:w="2560" w:type="dxa"/>
            <w:vAlign w:val="bottom"/>
          </w:tcPr>
          <w:p>
            <w:pPr>
              <w:spacing w:after="0"/>
              <w:rPr>
                <w:sz w:val="15"/>
                <w:szCs w:val="15"/>
                <w:color w:val="auto"/>
              </w:rPr>
            </w:pPr>
          </w:p>
        </w:tc>
        <w:tc>
          <w:tcPr>
            <w:tcW w:w="5200" w:type="dxa"/>
            <w:vAlign w:val="bottom"/>
          </w:tcPr>
          <w:p>
            <w:pPr>
              <w:ind w:left="900"/>
              <w:spacing w:after="0"/>
              <w:rPr>
                <w:sz w:val="20"/>
                <w:szCs w:val="20"/>
                <w:color w:val="auto"/>
              </w:rPr>
            </w:pPr>
            <w:r>
              <w:rPr>
                <w:rFonts w:ascii="Arial" w:cs="Arial" w:eastAsia="Arial" w:hAnsi="Arial"/>
                <w:sz w:val="14"/>
                <w:szCs w:val="14"/>
                <w:b w:val="1"/>
                <w:bCs w:val="1"/>
                <w:i w:val="1"/>
                <w:iCs w:val="1"/>
                <w:color w:val="auto"/>
              </w:rPr>
              <w:t>Copies to:</w:t>
            </w:r>
          </w:p>
        </w:tc>
      </w:tr>
      <w:tr>
        <w:trPr>
          <w:trHeight w:val="227"/>
        </w:trPr>
        <w:tc>
          <w:tcPr>
            <w:tcW w:w="2560" w:type="dxa"/>
            <w:vAlign w:val="bottom"/>
          </w:tcPr>
          <w:p>
            <w:pPr>
              <w:jc w:val="center"/>
              <w:ind w:right="830"/>
              <w:spacing w:after="0"/>
              <w:rPr>
                <w:sz w:val="20"/>
                <w:szCs w:val="20"/>
                <w:color w:val="auto"/>
              </w:rPr>
            </w:pPr>
            <w:r>
              <w:rPr>
                <w:rFonts w:ascii="Arial" w:cs="Arial" w:eastAsia="Arial" w:hAnsi="Arial"/>
                <w:sz w:val="14"/>
                <w:szCs w:val="14"/>
                <w:b w:val="1"/>
                <w:bCs w:val="1"/>
                <w:color w:val="auto"/>
                <w:w w:val="93"/>
              </w:rPr>
              <w:t>Ralph V. De Martino, Esq.</w:t>
            </w:r>
          </w:p>
        </w:tc>
        <w:tc>
          <w:tcPr>
            <w:tcW w:w="5200" w:type="dxa"/>
            <w:vAlign w:val="bottom"/>
          </w:tcPr>
          <w:p>
            <w:pPr>
              <w:jc w:val="center"/>
              <w:ind w:left="2971"/>
              <w:spacing w:after="0"/>
              <w:rPr>
                <w:sz w:val="20"/>
                <w:szCs w:val="20"/>
                <w:color w:val="auto"/>
              </w:rPr>
            </w:pPr>
            <w:r>
              <w:rPr>
                <w:rFonts w:ascii="Arial" w:cs="Arial" w:eastAsia="Arial" w:hAnsi="Arial"/>
                <w:sz w:val="14"/>
                <w:szCs w:val="14"/>
                <w:b w:val="1"/>
                <w:bCs w:val="1"/>
                <w:color w:val="auto"/>
                <w:w w:val="90"/>
              </w:rPr>
              <w:t>Louis Taubman, Esq.</w:t>
            </w:r>
          </w:p>
        </w:tc>
      </w:tr>
      <w:tr>
        <w:trPr>
          <w:trHeight w:val="168"/>
        </w:trPr>
        <w:tc>
          <w:tcPr>
            <w:tcW w:w="2560" w:type="dxa"/>
            <w:vAlign w:val="bottom"/>
          </w:tcPr>
          <w:p>
            <w:pPr>
              <w:jc w:val="center"/>
              <w:ind w:right="810"/>
              <w:spacing w:after="0"/>
              <w:rPr>
                <w:sz w:val="20"/>
                <w:szCs w:val="20"/>
                <w:color w:val="auto"/>
              </w:rPr>
            </w:pPr>
            <w:r>
              <w:rPr>
                <w:rFonts w:ascii="Arial" w:cs="Arial" w:eastAsia="Arial" w:hAnsi="Arial"/>
                <w:sz w:val="14"/>
                <w:szCs w:val="14"/>
                <w:b w:val="1"/>
                <w:bCs w:val="1"/>
                <w:color w:val="auto"/>
                <w:w w:val="91"/>
              </w:rPr>
              <w:t>F. Alec Orudjev, Esq.</w:t>
            </w:r>
          </w:p>
        </w:tc>
        <w:tc>
          <w:tcPr>
            <w:tcW w:w="5200" w:type="dxa"/>
            <w:vAlign w:val="bottom"/>
          </w:tcPr>
          <w:p>
            <w:pPr>
              <w:jc w:val="center"/>
              <w:ind w:left="2971"/>
              <w:spacing w:after="0"/>
              <w:rPr>
                <w:sz w:val="20"/>
                <w:szCs w:val="20"/>
                <w:color w:val="auto"/>
              </w:rPr>
            </w:pPr>
            <w:r>
              <w:rPr>
                <w:rFonts w:ascii="Arial" w:cs="Arial" w:eastAsia="Arial" w:hAnsi="Arial"/>
                <w:sz w:val="14"/>
                <w:szCs w:val="14"/>
                <w:b w:val="1"/>
                <w:bCs w:val="1"/>
                <w:color w:val="auto"/>
                <w:w w:val="95"/>
              </w:rPr>
              <w:t>Hunter Taubman Fischer &amp; Li LLC</w:t>
            </w:r>
          </w:p>
        </w:tc>
      </w:tr>
      <w:tr>
        <w:trPr>
          <w:trHeight w:val="173"/>
        </w:trPr>
        <w:tc>
          <w:tcPr>
            <w:tcW w:w="2560" w:type="dxa"/>
            <w:vAlign w:val="bottom"/>
          </w:tcPr>
          <w:p>
            <w:pPr>
              <w:jc w:val="center"/>
              <w:ind w:right="830"/>
              <w:spacing w:after="0"/>
              <w:rPr>
                <w:sz w:val="20"/>
                <w:szCs w:val="20"/>
                <w:color w:val="auto"/>
              </w:rPr>
            </w:pPr>
            <w:r>
              <w:rPr>
                <w:rFonts w:ascii="Arial" w:cs="Arial" w:eastAsia="Arial" w:hAnsi="Arial"/>
                <w:sz w:val="14"/>
                <w:szCs w:val="14"/>
                <w:b w:val="1"/>
                <w:bCs w:val="1"/>
                <w:color w:val="auto"/>
                <w:w w:val="97"/>
              </w:rPr>
              <w:t>Schiff Hardin LLP</w:t>
            </w:r>
          </w:p>
        </w:tc>
        <w:tc>
          <w:tcPr>
            <w:tcW w:w="5200" w:type="dxa"/>
            <w:vAlign w:val="bottom"/>
          </w:tcPr>
          <w:p>
            <w:pPr>
              <w:jc w:val="center"/>
              <w:ind w:left="2971"/>
              <w:spacing w:after="0" w:line="173" w:lineRule="exact"/>
              <w:rPr>
                <w:sz w:val="20"/>
                <w:szCs w:val="20"/>
                <w:color w:val="auto"/>
              </w:rPr>
            </w:pPr>
            <w:r>
              <w:rPr>
                <w:rFonts w:ascii="Arial" w:cs="Arial" w:eastAsia="Arial" w:hAnsi="Arial"/>
                <w:sz w:val="13"/>
                <w:szCs w:val="13"/>
                <w:b w:val="1"/>
                <w:bCs w:val="1"/>
                <w:color w:val="auto"/>
                <w:w w:val="96"/>
              </w:rPr>
              <w:t>1450 Broadway, 26</w:t>
            </w:r>
            <w:r>
              <w:rPr>
                <w:rFonts w:ascii="Arial" w:cs="Arial" w:eastAsia="Arial" w:hAnsi="Arial"/>
                <w:sz w:val="20"/>
                <w:szCs w:val="20"/>
                <w:b w:val="1"/>
                <w:bCs w:val="1"/>
                <w:color w:val="auto"/>
                <w:w w:val="96"/>
                <w:vertAlign w:val="superscript"/>
              </w:rPr>
              <w:t>th</w:t>
            </w:r>
            <w:r>
              <w:rPr>
                <w:rFonts w:ascii="Arial" w:cs="Arial" w:eastAsia="Arial" w:hAnsi="Arial"/>
                <w:sz w:val="13"/>
                <w:szCs w:val="13"/>
                <w:b w:val="1"/>
                <w:bCs w:val="1"/>
                <w:color w:val="auto"/>
                <w:w w:val="96"/>
              </w:rPr>
              <w:t xml:space="preserve"> Floor</w:t>
            </w:r>
          </w:p>
        </w:tc>
      </w:tr>
      <w:tr>
        <w:trPr>
          <w:trHeight w:val="168"/>
        </w:trPr>
        <w:tc>
          <w:tcPr>
            <w:tcW w:w="2560" w:type="dxa"/>
            <w:vAlign w:val="bottom"/>
          </w:tcPr>
          <w:p>
            <w:pPr>
              <w:jc w:val="center"/>
              <w:ind w:right="830"/>
              <w:spacing w:after="0"/>
              <w:rPr>
                <w:sz w:val="20"/>
                <w:szCs w:val="20"/>
                <w:color w:val="auto"/>
              </w:rPr>
            </w:pPr>
            <w:r>
              <w:rPr>
                <w:rFonts w:ascii="Arial" w:cs="Arial" w:eastAsia="Arial" w:hAnsi="Arial"/>
                <w:sz w:val="14"/>
                <w:szCs w:val="14"/>
                <w:b w:val="1"/>
                <w:bCs w:val="1"/>
                <w:color w:val="auto"/>
                <w:w w:val="91"/>
              </w:rPr>
              <w:t>901 K Street, NW, Suite 700</w:t>
            </w:r>
          </w:p>
        </w:tc>
        <w:tc>
          <w:tcPr>
            <w:tcW w:w="5200" w:type="dxa"/>
            <w:vAlign w:val="bottom"/>
          </w:tcPr>
          <w:p>
            <w:pPr>
              <w:jc w:val="center"/>
              <w:ind w:left="2971"/>
              <w:spacing w:after="0"/>
              <w:rPr>
                <w:sz w:val="20"/>
                <w:szCs w:val="20"/>
                <w:color w:val="auto"/>
              </w:rPr>
            </w:pPr>
            <w:r>
              <w:rPr>
                <w:rFonts w:ascii="Arial" w:cs="Arial" w:eastAsia="Arial" w:hAnsi="Arial"/>
                <w:sz w:val="14"/>
                <w:szCs w:val="14"/>
                <w:b w:val="1"/>
                <w:bCs w:val="1"/>
                <w:color w:val="auto"/>
                <w:w w:val="92"/>
              </w:rPr>
              <w:t>New York, NY 10018</w:t>
            </w:r>
          </w:p>
        </w:tc>
      </w:tr>
      <w:tr>
        <w:trPr>
          <w:trHeight w:val="168"/>
        </w:trPr>
        <w:tc>
          <w:tcPr>
            <w:tcW w:w="2560" w:type="dxa"/>
            <w:vAlign w:val="bottom"/>
          </w:tcPr>
          <w:p>
            <w:pPr>
              <w:jc w:val="center"/>
              <w:ind w:right="830"/>
              <w:spacing w:after="0"/>
              <w:rPr>
                <w:sz w:val="20"/>
                <w:szCs w:val="20"/>
                <w:color w:val="auto"/>
              </w:rPr>
            </w:pPr>
            <w:r>
              <w:rPr>
                <w:rFonts w:ascii="Arial" w:cs="Arial" w:eastAsia="Arial" w:hAnsi="Arial"/>
                <w:sz w:val="14"/>
                <w:szCs w:val="14"/>
                <w:b w:val="1"/>
                <w:bCs w:val="1"/>
                <w:color w:val="auto"/>
                <w:w w:val="91"/>
              </w:rPr>
              <w:t>Washington, DC 20001</w:t>
            </w:r>
          </w:p>
        </w:tc>
        <w:tc>
          <w:tcPr>
            <w:tcW w:w="5200" w:type="dxa"/>
            <w:vAlign w:val="bottom"/>
          </w:tcPr>
          <w:p>
            <w:pPr>
              <w:jc w:val="center"/>
              <w:ind w:left="2971"/>
              <w:spacing w:after="0"/>
              <w:rPr>
                <w:sz w:val="20"/>
                <w:szCs w:val="20"/>
                <w:color w:val="auto"/>
              </w:rPr>
            </w:pPr>
            <w:r>
              <w:rPr>
                <w:rFonts w:ascii="Arial" w:cs="Arial" w:eastAsia="Arial" w:hAnsi="Arial"/>
                <w:sz w:val="14"/>
                <w:szCs w:val="14"/>
                <w:b w:val="1"/>
                <w:bCs w:val="1"/>
                <w:color w:val="auto"/>
                <w:w w:val="89"/>
              </w:rPr>
              <w:t>Tel: 917-512-0827</w:t>
            </w:r>
          </w:p>
        </w:tc>
      </w:tr>
      <w:tr>
        <w:trPr>
          <w:trHeight w:val="183"/>
        </w:trPr>
        <w:tc>
          <w:tcPr>
            <w:tcW w:w="2560" w:type="dxa"/>
            <w:vAlign w:val="bottom"/>
          </w:tcPr>
          <w:p>
            <w:pPr>
              <w:jc w:val="center"/>
              <w:ind w:right="830"/>
              <w:spacing w:after="0"/>
              <w:rPr>
                <w:sz w:val="20"/>
                <w:szCs w:val="20"/>
                <w:color w:val="auto"/>
              </w:rPr>
            </w:pPr>
            <w:r>
              <w:rPr>
                <w:rFonts w:ascii="Arial" w:cs="Arial" w:eastAsia="Arial" w:hAnsi="Arial"/>
                <w:sz w:val="14"/>
                <w:szCs w:val="14"/>
                <w:b w:val="1"/>
                <w:bCs w:val="1"/>
                <w:color w:val="auto"/>
                <w:w w:val="91"/>
              </w:rPr>
              <w:t>Tel: 202-724-6848</w:t>
            </w:r>
          </w:p>
        </w:tc>
        <w:tc>
          <w:tcPr>
            <w:tcW w:w="5200" w:type="dxa"/>
            <w:vAlign w:val="bottom"/>
          </w:tcPr>
          <w:p>
            <w:pPr>
              <w:spacing w:after="0"/>
              <w:rPr>
                <w:sz w:val="15"/>
                <w:szCs w:val="15"/>
                <w:color w:val="auto"/>
              </w:rPr>
            </w:pP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 becomes effective.</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8" w:lineRule="exact"/>
        <w:rPr>
          <w:sz w:val="24"/>
          <w:szCs w:val="24"/>
          <w:color w:val="auto"/>
        </w:rPr>
      </w:pPr>
    </w:p>
    <w:p>
      <w:pPr>
        <w:ind w:right="140"/>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8" w:lineRule="exact"/>
        <w:rPr>
          <w:sz w:val="24"/>
          <w:szCs w:val="24"/>
          <w:color w:val="auto"/>
        </w:rPr>
      </w:pPr>
    </w:p>
    <w:p>
      <w:pPr>
        <w:ind w:right="120"/>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8" w:lineRule="exact"/>
        <w:rPr>
          <w:sz w:val="24"/>
          <w:szCs w:val="24"/>
          <w:color w:val="auto"/>
        </w:rPr>
      </w:pPr>
    </w:p>
    <w:p>
      <w:pPr>
        <w:ind w:right="680"/>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8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spacing w:after="0"/>
              <w:rPr>
                <w:sz w:val="14"/>
                <w:szCs w:val="14"/>
                <w:color w:val="auto"/>
              </w:rPr>
            </w:pPr>
          </w:p>
        </w:tc>
        <w:tc>
          <w:tcPr>
            <w:tcW w:w="3280" w:type="dxa"/>
            <w:vAlign w:val="bottom"/>
          </w:tcPr>
          <w:p>
            <w:pPr>
              <w:ind w:left="108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108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120"/>
              <w:spacing w:after="0"/>
              <w:rPr>
                <w:sz w:val="20"/>
                <w:szCs w:val="20"/>
                <w:color w:val="auto"/>
              </w:rPr>
            </w:pPr>
            <w:r>
              <w:rPr>
                <w:rFonts w:ascii="Arial" w:cs="Arial" w:eastAsia="Arial" w:hAnsi="Arial"/>
                <w:sz w:val="14"/>
                <w:szCs w:val="14"/>
                <w:color w:val="auto"/>
              </w:rPr>
              <w:t>(Do not check if a smaller reporting company)</w:t>
            </w:r>
          </w:p>
        </w:tc>
        <w:tc>
          <w:tcPr>
            <w:tcW w:w="3280" w:type="dxa"/>
            <w:vAlign w:val="bottom"/>
          </w:tcPr>
          <w:p>
            <w:pPr>
              <w:ind w:left="108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0"/>
        </w:trPr>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80" w:type="dxa"/>
            <w:vAlign w:val="bottom"/>
          </w:tcPr>
          <w:p>
            <w:pPr>
              <w:ind w:left="108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9" w:lineRule="exact"/>
        <w:rPr>
          <w:sz w:val="24"/>
          <w:szCs w:val="24"/>
          <w:color w:val="auto"/>
        </w:rPr>
      </w:pPr>
    </w:p>
    <w:p>
      <w:pPr>
        <w:ind w:right="380"/>
        <w:spacing w:after="0" w:line="182"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4" w:lineRule="exact"/>
        <w:rPr>
          <w:sz w:val="24"/>
          <w:szCs w:val="24"/>
          <w:color w:val="auto"/>
        </w:rPr>
      </w:pPr>
    </w:p>
    <w:p>
      <w:pPr>
        <w:ind w:right="520"/>
        <w:spacing w:after="0" w:line="331"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7710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92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586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6"/>
              </w:rPr>
              <w:t>Proposed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maximum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aggregate offering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84"/>
        </w:trPr>
        <w:tc>
          <w:tcPr>
            <w:tcW w:w="8720" w:type="dxa"/>
            <w:vAlign w:val="bottom"/>
            <w:gridSpan w:val="3"/>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price (1)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registration fee</w:t>
            </w:r>
          </w:p>
        </w:tc>
        <w:tc>
          <w:tcPr>
            <w:tcW w:w="0" w:type="dxa"/>
            <w:vAlign w:val="bottom"/>
          </w:tcPr>
          <w:p>
            <w:pPr>
              <w:spacing w:after="0"/>
              <w:rPr>
                <w:sz w:val="1"/>
                <w:szCs w:val="1"/>
                <w:color w:val="auto"/>
              </w:rPr>
            </w:pPr>
          </w:p>
        </w:tc>
      </w:tr>
      <w:tr>
        <w:trPr>
          <w:trHeight w:val="168"/>
        </w:trPr>
        <w:tc>
          <w:tcPr>
            <w:tcW w:w="87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Shares, par value $0.0001 per share sold by the Registrant (2)</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14,375,000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1,789.69</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720" w:type="dxa"/>
            <w:vAlign w:val="bottom"/>
            <w:gridSpan w:val="3"/>
          </w:tcPr>
          <w:p>
            <w:pPr>
              <w:spacing w:after="0"/>
              <w:rPr>
                <w:sz w:val="20"/>
                <w:szCs w:val="20"/>
                <w:color w:val="auto"/>
              </w:rPr>
            </w:pPr>
            <w:r>
              <w:rPr>
                <w:rFonts w:ascii="Arial" w:cs="Arial" w:eastAsia="Arial" w:hAnsi="Arial"/>
                <w:sz w:val="14"/>
                <w:szCs w:val="14"/>
                <w:color w:val="auto"/>
              </w:rPr>
              <w:t>Underwriter’s share purchase warrants (3)(5)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Shares underlying underwriter’s warrants (3)(4)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143.17</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w:t>
            </w:r>
          </w:p>
        </w:tc>
        <w:tc>
          <w:tcPr>
            <w:tcW w:w="19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15,525,000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1,932.86</w:t>
            </w:r>
          </w:p>
        </w:tc>
        <w:tc>
          <w:tcPr>
            <w:tcW w:w="0" w:type="dxa"/>
            <w:vAlign w:val="bottom"/>
          </w:tcPr>
          <w:p>
            <w:pPr>
              <w:spacing w:after="0"/>
              <w:rPr>
                <w:sz w:val="1"/>
                <w:szCs w:val="1"/>
                <w:color w:val="auto"/>
              </w:rPr>
            </w:pPr>
          </w:p>
        </w:tc>
      </w:tr>
      <w:tr>
        <w:trPr>
          <w:trHeight w:val="20"/>
        </w:trPr>
        <w:tc>
          <w:tcPr>
            <w:tcW w:w="286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72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2"/>
              </w:rPr>
              <w:t>(1) Estimated solely for the purpose of calculating</w:t>
            </w:r>
          </w:p>
        </w:tc>
        <w:tc>
          <w:tcPr>
            <w:tcW w:w="5860" w:type="dxa"/>
            <w:vAlign w:val="bottom"/>
          </w:tcPr>
          <w:p>
            <w:pPr>
              <w:spacing w:after="0"/>
              <w:rPr>
                <w:sz w:val="20"/>
                <w:szCs w:val="20"/>
                <w:color w:val="auto"/>
              </w:rPr>
            </w:pPr>
            <w:r>
              <w:rPr>
                <w:rFonts w:ascii="Arial" w:cs="Arial" w:eastAsia="Arial" w:hAnsi="Arial"/>
                <w:sz w:val="14"/>
                <w:szCs w:val="14"/>
                <w:color w:val="auto"/>
              </w:rPr>
              <w:t>the registration fee pursuant to Rule 457(o) under the Securities Act of 1933, as amended.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20"/>
                <w:szCs w:val="20"/>
                <w:color w:val="auto"/>
              </w:rPr>
            </w:pPr>
            <w:r>
              <w:rPr>
                <w:rFonts w:ascii="Arial" w:cs="Arial" w:eastAsia="Arial" w:hAnsi="Arial"/>
                <w:sz w:val="14"/>
                <w:szCs w:val="14"/>
                <w:color w:val="auto"/>
              </w:rPr>
              <w:t>(2) Includes</w:t>
            </w:r>
          </w:p>
        </w:tc>
        <w:tc>
          <w:tcPr>
            <w:tcW w:w="8080" w:type="dxa"/>
            <w:vAlign w:val="bottom"/>
            <w:gridSpan w:val="4"/>
          </w:tcPr>
          <w:p>
            <w:pPr>
              <w:jc w:val="right"/>
              <w:ind w:right="100"/>
              <w:spacing w:after="0"/>
              <w:rPr>
                <w:sz w:val="20"/>
                <w:szCs w:val="20"/>
                <w:color w:val="auto"/>
              </w:rPr>
            </w:pPr>
            <w:r>
              <w:rPr>
                <w:rFonts w:ascii="Arial" w:cs="Arial" w:eastAsia="Arial" w:hAnsi="Arial"/>
                <w:sz w:val="14"/>
                <w:szCs w:val="14"/>
                <w:color w:val="auto"/>
                <w:w w:val="93"/>
              </w:rPr>
              <w:t>shares of common stock which may be issued on exercise of a 45-day option granted to the underwriters to cover over-allotments, if any.</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right="40" w:firstLine="4"/>
        <w:spacing w:after="0" w:line="250"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issue to the underwriter, upon closing of this offering, warrants exercisable for a period of five years from the effective date of this registration statement entitling the representatives to purchase: (i) up to 5% of the number of common shares sold to investors introduced by the underwriters in this offering; and (ii) up to 3% of the number of common shares issued to investors identified by the Company in this offering. Resales of shares of common stock issuable upon exercise of the underwriter warrants are being similarly registered on a delayed or continuous basis. See “Underwriting.”</w:t>
      </w:r>
    </w:p>
    <w:p>
      <w:pPr>
        <w:spacing w:after="0" w:line="2" w:lineRule="exact"/>
        <w:rPr>
          <w:rFonts w:ascii="Arial" w:cs="Arial" w:eastAsia="Arial" w:hAnsi="Arial"/>
          <w:sz w:val="14"/>
          <w:szCs w:val="14"/>
          <w:color w:val="auto"/>
        </w:rPr>
      </w:pPr>
    </w:p>
    <w:p>
      <w:pPr>
        <w:ind w:right="480" w:firstLine="4"/>
        <w:spacing w:after="0" w:line="270" w:lineRule="auto"/>
        <w:tabs>
          <w:tab w:leader="none" w:pos="199"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purposes of calculating the registration fee pursuant to Rule 457(g) under the Securities Act. We have calculated the proposed maximum aggregate offering price of the common stock underlying the underwriter’s warrants by assuming that such warrants are exercisable at a price per share equal to 120% of the price per share sold in this offering.</w:t>
      </w:r>
    </w:p>
    <w:p>
      <w:pPr>
        <w:ind w:left="200" w:hanging="196"/>
        <w:spacing w:after="0"/>
        <w:tabs>
          <w:tab w:leader="none" w:pos="20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separate registration fee required pursuant to Rule 457(g)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2771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727710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479425</wp:posOffset>
            </wp:positionV>
            <wp:extent cx="727710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5" w:right="219" w:bottom="1440" w:gutter="0" w:footer="0" w:header="0"/>
        </w:sectPr>
      </w:pPr>
    </w:p>
    <w:bookmarkStart w:id="2" w:name="page3"/>
    <w:bookmarkEnd w:id="2"/>
    <w:p>
      <w:pPr>
        <w:ind w:right="120"/>
        <w:spacing w:after="0" w:line="371" w:lineRule="auto"/>
        <w:rPr>
          <w:sz w:val="20"/>
          <w:szCs w:val="20"/>
          <w:color w:val="auto"/>
        </w:rPr>
      </w:pPr>
      <w:r>
        <w:rPr>
          <w:rFonts w:ascii="Arial" w:cs="Arial" w:eastAsia="Arial" w:hAnsi="Arial"/>
          <w:sz w:val="12"/>
          <w:szCs w:val="12"/>
          <w:b w:val="1"/>
          <w:bCs w:val="1"/>
          <w:color w:val="FF0000"/>
        </w:rPr>
        <w:t>The information in this prospectus is not complete and may be changed. We may not sell these securities until the registration statement is filed with the Securities and Exchange Commission is effective. This prospectus is not an offer to sell these securities and is not soliciting an offer to buy these securities in any state or other jurisdiction where the offer or sale is not permitted.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0000"/>
        </w:rPr>
        <w:t>SUBJECT TO COMPLETION, DATED [_],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67310</wp:posOffset>
            </wp:positionV>
            <wp:extent cx="1837690" cy="915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7690" cy="91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common shares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This is the initial public offering of CLPS Incorporation. We are offering [●] common shares. We expect that the initial public offering price will be between $[_] and $[_] per common share.</w:t>
      </w:r>
    </w:p>
    <w:p>
      <w:pPr>
        <w:spacing w:after="0" w:line="187" w:lineRule="exact"/>
        <w:rPr>
          <w:sz w:val="20"/>
          <w:szCs w:val="20"/>
          <w:color w:val="auto"/>
        </w:rPr>
      </w:pPr>
    </w:p>
    <w:p>
      <w:pPr>
        <w:ind w:right="140" w:firstLine="505"/>
        <w:spacing w:after="0" w:line="317" w:lineRule="auto"/>
        <w:rPr>
          <w:sz w:val="20"/>
          <w:szCs w:val="20"/>
          <w:color w:val="auto"/>
        </w:rPr>
      </w:pPr>
      <w:r>
        <w:rPr>
          <w:rFonts w:ascii="Arial" w:cs="Arial" w:eastAsia="Arial" w:hAnsi="Arial"/>
          <w:sz w:val="13"/>
          <w:szCs w:val="13"/>
          <w:color w:val="auto"/>
        </w:rPr>
        <w:t>No public market currently exists for our common shares. We have applied for approval for quotation on the NASDAQ Capital Market under the symbol “CLPS” for the common shares we are offering. We believe that upon the completion of the offering contemplated by this prospectus, we will meet the standards for listing on the NASDAQ Capital Market.</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We are an “emerging growth company” as defined in the Jumpstart Our Business Act of 2012, as amended, and, as such, will be subject to reduced public company reporting requirements.</w:t>
      </w:r>
    </w:p>
    <w:p>
      <w:pPr>
        <w:spacing w:after="0" w:line="187" w:lineRule="exact"/>
        <w:rPr>
          <w:sz w:val="20"/>
          <w:szCs w:val="20"/>
          <w:color w:val="auto"/>
        </w:rPr>
      </w:pPr>
    </w:p>
    <w:p>
      <w:pPr>
        <w:ind w:right="160" w:firstLine="505"/>
        <w:spacing w:after="0" w:line="264" w:lineRule="auto"/>
        <w:rPr>
          <w:sz w:val="20"/>
          <w:szCs w:val="20"/>
          <w:color w:val="auto"/>
        </w:rPr>
      </w:pPr>
      <w:r>
        <w:rPr>
          <w:rFonts w:ascii="Arial" w:cs="Arial" w:eastAsia="Arial" w:hAnsi="Arial"/>
          <w:sz w:val="14"/>
          <w:szCs w:val="14"/>
          <w:color w:val="auto"/>
        </w:rPr>
        <w:t>We anticipate that following the completion of this initial public offering of our securities our Chairman, Xiao Feng Yang, and our Chief Executive Officer, Raymond Ming Hui Lin, each will beneficially own approximately 33.89% of the Company’s then outstanding securities. While under NASDAQ Marketplace Rules 5615(c), it may be deemed a “controlled company,” the Company does not intend to avail itself of the corporate governance exemptions afforded to a “controlled company” under the NASDAQ Marketplace Rules.</w:t>
      </w:r>
    </w:p>
    <w:p>
      <w:pPr>
        <w:spacing w:after="0" w:line="138"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b w:val="1"/>
          <w:bCs w:val="1"/>
          <w:color w:val="auto"/>
        </w:rPr>
        <w:t>An investment in our securities is highly speculative, involves a high degree of risk and should be considered only by persons who can afford the loss of their entire investment. See “Risk Factors” beginning on page 12 of this prospectus.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Total</w:t>
            </w:r>
          </w:p>
        </w:tc>
      </w:tr>
      <w:tr>
        <w:trPr>
          <w:trHeight w:val="168"/>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30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98"/>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w w:val="98"/>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5760" w:type="dxa"/>
            <w:vAlign w:val="bottom"/>
          </w:tcPr>
          <w:p>
            <w:pPr>
              <w:spacing w:after="0"/>
              <w:rPr>
                <w:sz w:val="20"/>
                <w:szCs w:val="20"/>
                <w:color w:val="auto"/>
              </w:rPr>
            </w:pPr>
            <w:r>
              <w:rPr>
                <w:rFonts w:ascii="Arial" w:cs="Arial" w:eastAsia="Arial" w:hAnsi="Arial"/>
                <w:sz w:val="14"/>
                <w:szCs w:val="14"/>
                <w:color w:val="auto"/>
              </w:rPr>
              <w:t>Underwriting discounts and commissions (1)(2)</w:t>
            </w:r>
          </w:p>
        </w:tc>
        <w:tc>
          <w:tcPr>
            <w:tcW w:w="3980" w:type="dxa"/>
            <w:vAlign w:val="bottom"/>
            <w:gridSpan w:val="2"/>
          </w:tcPr>
          <w:p>
            <w:pPr>
              <w:jc w:val="right"/>
              <w:ind w:right="78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r>
      <w:tr>
        <w:trPr>
          <w:trHeight w:val="168"/>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398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181737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13335"/>
                    </a:xfrm>
                    <a:prstGeom prst="rect">
                      <a:avLst/>
                    </a:prstGeom>
                    <a:noFill/>
                  </pic:spPr>
                </pic:pic>
              </a:graphicData>
            </a:graphic>
          </wp:anchor>
        </w:drawing>
      </w:r>
    </w:p>
    <w:p>
      <w:pPr>
        <w:spacing w:after="0" w:line="169" w:lineRule="exact"/>
        <w:rPr>
          <w:sz w:val="20"/>
          <w:szCs w:val="20"/>
          <w:color w:val="auto"/>
        </w:rPr>
      </w:pPr>
    </w:p>
    <w:p>
      <w:pPr>
        <w:ind w:left="360" w:right="520" w:hanging="356"/>
        <w:spacing w:after="0" w:line="302"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underwriting discount and commissions equal to (i) 6.5% per share (or $[●] per share), which is the underwriting discount we have agreed to pay on all investors in this Offering introduced by the underwriters; and (ii) 4% per share (or $[●] per share), which is the underwriting discount we have agreed to pay on all investors in this Offering introduced by us.</w:t>
      </w:r>
    </w:p>
    <w:p>
      <w:pPr>
        <w:ind w:left="360" w:right="120" w:hanging="356"/>
        <w:spacing w:after="0" w:line="261"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Does not include a non-accountable expense allowance equal to 0.5% of the gross proceeds of this offering, payable the underwriters, or the reimbursement of certain expenses of the underwriters. See “Underwriting” beginning on page [●] of this prospectus for additional information regarding total underwriter compensation.</w:t>
      </w:r>
    </w:p>
    <w:p>
      <w:pPr>
        <w:spacing w:after="0" w:line="144"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In addition to the underwriting discounts listed above and the non-accountable expense allowance described in the footnote, we have agreed to issue upon the closing of this offering, compensation warrants to The Benchmark Company, LLC and Cuttone &amp; Co., LLC, as representatives of the underwriters, entitling them to purchase: (i) up to 5% of the number of common shares sold to investors introduced by the underwriters in this offering; and (ii) up to 3% of the number of common shares issued to investors identified by the Company in this offering. The registration statement of which this prospectus is a part also covers the underwriters’ warrants and the common shares issuable upon the exercise thereof. For additional information regarding our arrangement with the underwriters, please see “Underwriting” beginning on page 97.</w:t>
      </w:r>
    </w:p>
    <w:p>
      <w:pPr>
        <w:spacing w:after="0" w:line="148" w:lineRule="exact"/>
        <w:rPr>
          <w:sz w:val="20"/>
          <w:szCs w:val="20"/>
          <w:color w:val="auto"/>
        </w:rPr>
      </w:pPr>
    </w:p>
    <w:p>
      <w:pPr>
        <w:ind w:right="160" w:firstLine="505"/>
        <w:spacing w:after="0" w:line="277" w:lineRule="auto"/>
        <w:rPr>
          <w:sz w:val="20"/>
          <w:szCs w:val="20"/>
          <w:color w:val="auto"/>
        </w:rPr>
      </w:pPr>
      <w:r>
        <w:rPr>
          <w:rFonts w:ascii="Arial" w:cs="Arial" w:eastAsia="Arial" w:hAnsi="Arial"/>
          <w:sz w:val="14"/>
          <w:szCs w:val="14"/>
          <w:color w:val="auto"/>
        </w:rPr>
        <w:t>We have granted the representatives an option, exercisable for 45 days from the date of this prospectus, to purchase up to an additional [●] common shares on the same terms as the other shares being purchased by the underwriters from us.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underwriters expect to deliver the common shares against payment in U.S. dollars on or about [_], 2018.</w:t>
      </w:r>
    </w:p>
    <w:p>
      <w:pPr>
        <w:spacing w:after="0" w:line="88"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20" w:type="dxa"/>
            <w:vAlign w:val="bottom"/>
          </w:tcPr>
          <w:p>
            <w:pPr>
              <w:ind w:left="2380"/>
              <w:spacing w:after="0"/>
              <w:rPr>
                <w:sz w:val="20"/>
                <w:szCs w:val="20"/>
                <w:color w:val="auto"/>
              </w:rPr>
            </w:pPr>
            <w:r>
              <w:rPr>
                <w:rFonts w:ascii="Arial" w:cs="Arial" w:eastAsia="Arial" w:hAnsi="Arial"/>
                <w:sz w:val="20"/>
                <w:szCs w:val="20"/>
                <w:b w:val="1"/>
                <w:bCs w:val="1"/>
                <w:color w:val="auto"/>
              </w:rPr>
              <w:t>Benchmark</w:t>
            </w:r>
          </w:p>
        </w:tc>
        <w:tc>
          <w:tcPr>
            <w:tcW w:w="5040" w:type="dxa"/>
            <w:vAlign w:val="bottom"/>
          </w:tcPr>
          <w:p>
            <w:pPr>
              <w:jc w:val="right"/>
              <w:ind w:right="1916"/>
              <w:spacing w:after="0"/>
              <w:rPr>
                <w:sz w:val="20"/>
                <w:szCs w:val="20"/>
                <w:color w:val="auto"/>
              </w:rPr>
            </w:pPr>
            <w:r>
              <w:rPr>
                <w:rFonts w:ascii="Arial" w:cs="Arial" w:eastAsia="Arial" w:hAnsi="Arial"/>
                <w:sz w:val="20"/>
                <w:szCs w:val="20"/>
                <w:b w:val="1"/>
                <w:bCs w:val="1"/>
                <w:color w:val="auto"/>
              </w:rPr>
              <w:t>Cuttone &amp; Co., LLC</w:t>
            </w:r>
          </w:p>
        </w:tc>
      </w:tr>
      <w:tr>
        <w:trPr>
          <w:trHeight w:val="247"/>
        </w:trPr>
        <w:tc>
          <w:tcPr>
            <w:tcW w:w="6420" w:type="dxa"/>
            <w:vAlign w:val="bottom"/>
          </w:tcPr>
          <w:p>
            <w:pPr>
              <w:ind w:left="4460"/>
              <w:spacing w:after="0"/>
              <w:rPr>
                <w:sz w:val="20"/>
                <w:szCs w:val="20"/>
                <w:color w:val="auto"/>
              </w:rPr>
            </w:pPr>
            <w:r>
              <w:rPr>
                <w:rFonts w:ascii="Arial" w:cs="Arial" w:eastAsia="Arial" w:hAnsi="Arial"/>
                <w:sz w:val="14"/>
                <w:szCs w:val="14"/>
                <w:b w:val="1"/>
                <w:bCs w:val="1"/>
                <w:color w:val="auto"/>
                <w:w w:val="97"/>
              </w:rPr>
              <w:t>The date of this prospectus is</w:t>
            </w:r>
          </w:p>
        </w:tc>
        <w:tc>
          <w:tcPr>
            <w:tcW w:w="5040" w:type="dxa"/>
            <w:vAlign w:val="bottom"/>
          </w:tcPr>
          <w:p>
            <w:pPr>
              <w:jc w:val="right"/>
              <w:ind w:right="4376"/>
              <w:spacing w:after="0"/>
              <w:rPr>
                <w:sz w:val="20"/>
                <w:szCs w:val="20"/>
                <w:color w:val="auto"/>
              </w:rPr>
            </w:pPr>
            <w:r>
              <w:rPr>
                <w:rFonts w:ascii="Arial" w:cs="Arial" w:eastAsia="Arial" w:hAnsi="Arial"/>
                <w:sz w:val="14"/>
                <w:szCs w:val="14"/>
                <w:b w:val="1"/>
                <w:bCs w:val="1"/>
                <w:color w:val="auto"/>
              </w:rPr>
              <w:t>, 2018</w:t>
            </w:r>
          </w:p>
        </w:tc>
      </w:tr>
      <w:tr>
        <w:trPr>
          <w:trHeight w:val="359"/>
        </w:trPr>
        <w:tc>
          <w:tcPr>
            <w:tcW w:w="64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5"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60" w:type="dxa"/>
            <w:vAlign w:val="bottom"/>
            <w:gridSpan w:val="2"/>
          </w:tcPr>
          <w:p>
            <w:pPr>
              <w:ind w:left="1940"/>
              <w:spacing w:after="0"/>
              <w:rPr>
                <w:sz w:val="20"/>
                <w:szCs w:val="20"/>
                <w:color w:val="auto"/>
              </w:rPr>
            </w:pPr>
            <w:r>
              <w:rPr>
                <w:rFonts w:ascii="Arial" w:cs="Arial" w:eastAsia="Arial" w:hAnsi="Arial"/>
                <w:sz w:val="14"/>
                <w:szCs w:val="14"/>
                <w:b w:val="1"/>
                <w:bCs w:val="1"/>
                <w:color w:val="auto"/>
              </w:rPr>
              <w:t>TABLE OF CONTENTS</w:t>
            </w:r>
          </w:p>
        </w:tc>
        <w:tc>
          <w:tcPr>
            <w:tcW w:w="2760" w:type="dxa"/>
            <w:vAlign w:val="bottom"/>
          </w:tcPr>
          <w:p>
            <w:pPr>
              <w:spacing w:after="0"/>
              <w:rPr>
                <w:sz w:val="15"/>
                <w:szCs w:val="15"/>
                <w:color w:val="auto"/>
              </w:rPr>
            </w:pPr>
          </w:p>
        </w:tc>
      </w:tr>
      <w:tr>
        <w:trPr>
          <w:trHeight w:val="168"/>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48"/>
        </w:trPr>
        <w:tc>
          <w:tcPr>
            <w:tcW w:w="1200" w:type="dxa"/>
            <w:vAlign w:val="bottom"/>
            <w:tcBorders>
              <w:bottom w:val="single" w:sz="8" w:color="0000EE"/>
            </w:tcBorders>
            <w:gridSpan w:val="9"/>
            <w:shd w:val="clear" w:color="auto" w:fill="CCEEFF"/>
          </w:tcPr>
          <w:p>
            <w:pPr>
              <w:spacing w:after="0" w:line="137" w:lineRule="exact"/>
              <w:rPr>
                <w:rFonts w:ascii="Arial" w:cs="Arial" w:eastAsia="Arial" w:hAnsi="Arial"/>
                <w:sz w:val="14"/>
                <w:szCs w:val="14"/>
                <w:color w:val="0000EE"/>
                <w:w w:val="88"/>
              </w:rPr>
            </w:pPr>
            <w:hyperlink w:anchor="page5">
              <w:r>
                <w:rPr>
                  <w:rFonts w:ascii="Arial" w:cs="Arial" w:eastAsia="Arial" w:hAnsi="Arial"/>
                  <w:sz w:val="14"/>
                  <w:szCs w:val="14"/>
                  <w:color w:val="0000EE"/>
                  <w:w w:val="88"/>
                </w:rPr>
                <w:t>Prospectus Summary</w:t>
              </w:r>
            </w:hyperlink>
          </w:p>
        </w:tc>
        <w:tc>
          <w:tcPr>
            <w:tcW w:w="7500" w:type="dxa"/>
            <w:vAlign w:val="bottom"/>
            <w:tcBorders>
              <w:bottom w:val="single" w:sz="8" w:color="CCEEFF"/>
            </w:tcBorders>
            <w:gridSpan w:val="13"/>
            <w:shd w:val="clear" w:color="auto" w:fill="CCEEFF"/>
          </w:tcPr>
          <w:p>
            <w:pPr>
              <w:spacing w:after="0"/>
              <w:rPr>
                <w:sz w:val="12"/>
                <w:szCs w:val="12"/>
                <w:color w:val="auto"/>
              </w:rPr>
            </w:pPr>
          </w:p>
        </w:tc>
        <w:tc>
          <w:tcPr>
            <w:tcW w:w="2760" w:type="dxa"/>
            <w:vAlign w:val="bottom"/>
            <w:tcBorders>
              <w:bottom w:val="single" w:sz="8" w:color="CCEEFF"/>
            </w:tcBorders>
            <w:shd w:val="clear" w:color="auto" w:fill="CCEEFF"/>
          </w:tcPr>
          <w:p>
            <w:pPr>
              <w:jc w:val="center"/>
              <w:ind w:left="1790"/>
              <w:spacing w:after="0" w:line="137" w:lineRule="exact"/>
              <w:rPr>
                <w:sz w:val="20"/>
                <w:szCs w:val="20"/>
                <w:color w:val="auto"/>
              </w:rPr>
            </w:pPr>
            <w:r>
              <w:rPr>
                <w:rFonts w:ascii="Arial" w:cs="Arial" w:eastAsia="Arial" w:hAnsi="Arial"/>
                <w:sz w:val="14"/>
                <w:szCs w:val="14"/>
                <w:color w:val="auto"/>
                <w:w w:val="76"/>
              </w:rPr>
              <w:t>1</w:t>
            </w:r>
          </w:p>
        </w:tc>
      </w:tr>
      <w:tr>
        <w:trPr>
          <w:trHeight w:val="137"/>
        </w:trPr>
        <w:tc>
          <w:tcPr>
            <w:tcW w:w="8700" w:type="dxa"/>
            <w:vAlign w:val="bottom"/>
            <w:gridSpan w:val="22"/>
          </w:tcPr>
          <w:p>
            <w:pPr>
              <w:spacing w:after="0" w:line="137" w:lineRule="exact"/>
              <w:rPr>
                <w:rFonts w:ascii="Arial" w:cs="Arial" w:eastAsia="Arial" w:hAnsi="Arial"/>
                <w:sz w:val="14"/>
                <w:szCs w:val="14"/>
                <w:color w:val="0000EE"/>
              </w:rPr>
            </w:pPr>
            <w:hyperlink w:anchor="page16">
              <w:r>
                <w:rPr>
                  <w:rFonts w:ascii="Arial" w:cs="Arial" w:eastAsia="Arial" w:hAnsi="Arial"/>
                  <w:sz w:val="14"/>
                  <w:szCs w:val="14"/>
                  <w:color w:val="0000EE"/>
                </w:rPr>
                <w:t>Risk Factors</w:t>
              </w:r>
            </w:hyperlink>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12</w:t>
            </w:r>
          </w:p>
        </w:tc>
      </w:tr>
      <w:tr>
        <w:trPr>
          <w:trHeight w:val="26"/>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154"/>
        </w:trPr>
        <w:tc>
          <w:tcPr>
            <w:tcW w:w="1660" w:type="dxa"/>
            <w:vAlign w:val="bottom"/>
            <w:tcBorders>
              <w:bottom w:val="single" w:sz="8" w:color="0000EE"/>
            </w:tcBorders>
            <w:gridSpan w:val="13"/>
            <w:shd w:val="clear" w:color="auto" w:fill="CCEEFF"/>
          </w:tcPr>
          <w:p>
            <w:pPr>
              <w:spacing w:after="0" w:line="143" w:lineRule="exact"/>
              <w:rPr>
                <w:rFonts w:ascii="Arial" w:cs="Arial" w:eastAsia="Arial" w:hAnsi="Arial"/>
                <w:sz w:val="14"/>
                <w:szCs w:val="14"/>
                <w:color w:val="0000EE"/>
                <w:w w:val="91"/>
              </w:rPr>
            </w:pPr>
            <w:hyperlink w:anchor="page41">
              <w:r>
                <w:rPr>
                  <w:rFonts w:ascii="Arial" w:cs="Arial" w:eastAsia="Arial" w:hAnsi="Arial"/>
                  <w:sz w:val="14"/>
                  <w:szCs w:val="14"/>
                  <w:color w:val="0000EE"/>
                  <w:w w:val="91"/>
                </w:rPr>
                <w:t>Forward-Looking Statements</w:t>
              </w:r>
            </w:hyperlink>
          </w:p>
        </w:tc>
        <w:tc>
          <w:tcPr>
            <w:tcW w:w="7040" w:type="dxa"/>
            <w:vAlign w:val="bottom"/>
            <w:tcBorders>
              <w:bottom w:val="single" w:sz="8" w:color="CCEEFF"/>
            </w:tcBorders>
            <w:gridSpan w:val="9"/>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89"/>
              </w:rPr>
              <w:t>37</w:t>
            </w:r>
          </w:p>
        </w:tc>
      </w:tr>
      <w:tr>
        <w:trPr>
          <w:trHeight w:val="143"/>
        </w:trPr>
        <w:tc>
          <w:tcPr>
            <w:tcW w:w="920" w:type="dxa"/>
            <w:vAlign w:val="bottom"/>
            <w:tcBorders>
              <w:bottom w:val="single" w:sz="8" w:color="0000EE"/>
            </w:tcBorders>
            <w:gridSpan w:val="7"/>
          </w:tcPr>
          <w:p>
            <w:pPr>
              <w:spacing w:after="0" w:line="137" w:lineRule="exact"/>
              <w:rPr>
                <w:rFonts w:ascii="Arial" w:cs="Arial" w:eastAsia="Arial" w:hAnsi="Arial"/>
                <w:sz w:val="14"/>
                <w:szCs w:val="14"/>
                <w:color w:val="0000EE"/>
                <w:w w:val="86"/>
              </w:rPr>
            </w:pPr>
            <w:hyperlink w:anchor="page41">
              <w:r>
                <w:rPr>
                  <w:rFonts w:ascii="Arial" w:cs="Arial" w:eastAsia="Arial" w:hAnsi="Arial"/>
                  <w:sz w:val="14"/>
                  <w:szCs w:val="14"/>
                  <w:color w:val="0000EE"/>
                  <w:w w:val="86"/>
                </w:rPr>
                <w:t>Use of Proceeds</w:t>
              </w:r>
            </w:hyperlink>
          </w:p>
        </w:tc>
        <w:tc>
          <w:tcPr>
            <w:tcW w:w="7780" w:type="dxa"/>
            <w:vAlign w:val="bottom"/>
            <w:gridSpan w:val="15"/>
          </w:tcPr>
          <w:p>
            <w:pPr>
              <w:spacing w:after="0"/>
              <w:rPr>
                <w:sz w:val="12"/>
                <w:szCs w:val="12"/>
                <w:color w:val="auto"/>
              </w:rPr>
            </w:pPr>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37</w:t>
            </w:r>
          </w:p>
        </w:tc>
      </w:tr>
      <w:tr>
        <w:trPr>
          <w:trHeight w:val="154"/>
        </w:trPr>
        <w:tc>
          <w:tcPr>
            <w:tcW w:w="920" w:type="dxa"/>
            <w:vAlign w:val="bottom"/>
            <w:tcBorders>
              <w:bottom w:val="single" w:sz="8" w:color="0000EE"/>
            </w:tcBorders>
            <w:gridSpan w:val="7"/>
            <w:shd w:val="clear" w:color="auto" w:fill="CCEEFF"/>
          </w:tcPr>
          <w:p>
            <w:pPr>
              <w:spacing w:after="0" w:line="143" w:lineRule="exact"/>
              <w:rPr>
                <w:rFonts w:ascii="Arial" w:cs="Arial" w:eastAsia="Arial" w:hAnsi="Arial"/>
                <w:sz w:val="14"/>
                <w:szCs w:val="14"/>
                <w:color w:val="0000EE"/>
                <w:w w:val="93"/>
              </w:rPr>
            </w:pPr>
            <w:hyperlink w:anchor="page42">
              <w:r>
                <w:rPr>
                  <w:rFonts w:ascii="Arial" w:cs="Arial" w:eastAsia="Arial" w:hAnsi="Arial"/>
                  <w:sz w:val="14"/>
                  <w:szCs w:val="14"/>
                  <w:color w:val="0000EE"/>
                  <w:w w:val="93"/>
                </w:rPr>
                <w:t>Dividend Policy</w:t>
              </w:r>
            </w:hyperlink>
          </w:p>
        </w:tc>
        <w:tc>
          <w:tcPr>
            <w:tcW w:w="7780" w:type="dxa"/>
            <w:vAlign w:val="bottom"/>
            <w:tcBorders>
              <w:bottom w:val="single" w:sz="8" w:color="CCEEFF"/>
            </w:tcBorders>
            <w:gridSpan w:val="15"/>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89"/>
              </w:rPr>
              <w:t>38</w:t>
            </w:r>
          </w:p>
        </w:tc>
      </w:tr>
      <w:tr>
        <w:trPr>
          <w:trHeight w:val="143"/>
        </w:trPr>
        <w:tc>
          <w:tcPr>
            <w:tcW w:w="1600" w:type="dxa"/>
            <w:vAlign w:val="bottom"/>
            <w:tcBorders>
              <w:bottom w:val="single" w:sz="8" w:color="0000EE"/>
            </w:tcBorders>
            <w:gridSpan w:val="12"/>
          </w:tcPr>
          <w:p>
            <w:pPr>
              <w:spacing w:after="0" w:line="137" w:lineRule="exact"/>
              <w:rPr>
                <w:rFonts w:ascii="Arial" w:cs="Arial" w:eastAsia="Arial" w:hAnsi="Arial"/>
                <w:sz w:val="14"/>
                <w:szCs w:val="14"/>
                <w:color w:val="0000EE"/>
                <w:w w:val="91"/>
              </w:rPr>
            </w:pPr>
            <w:hyperlink w:anchor="page42">
              <w:r>
                <w:rPr>
                  <w:rFonts w:ascii="Arial" w:cs="Arial" w:eastAsia="Arial" w:hAnsi="Arial"/>
                  <w:sz w:val="14"/>
                  <w:szCs w:val="14"/>
                  <w:color w:val="0000EE"/>
                  <w:w w:val="91"/>
                </w:rPr>
                <w:t>Exchange Rate Information</w:t>
              </w:r>
            </w:hyperlink>
          </w:p>
        </w:tc>
        <w:tc>
          <w:tcPr>
            <w:tcW w:w="7100" w:type="dxa"/>
            <w:vAlign w:val="bottom"/>
            <w:gridSpan w:val="10"/>
          </w:tcPr>
          <w:p>
            <w:pPr>
              <w:spacing w:after="0"/>
              <w:rPr>
                <w:sz w:val="12"/>
                <w:szCs w:val="12"/>
                <w:color w:val="auto"/>
              </w:rPr>
            </w:pPr>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38</w:t>
            </w:r>
          </w:p>
        </w:tc>
      </w:tr>
      <w:tr>
        <w:trPr>
          <w:trHeight w:val="154"/>
        </w:trPr>
        <w:tc>
          <w:tcPr>
            <w:tcW w:w="800" w:type="dxa"/>
            <w:vAlign w:val="bottom"/>
            <w:tcBorders>
              <w:bottom w:val="single" w:sz="8" w:color="0000EE"/>
            </w:tcBorders>
            <w:gridSpan w:val="6"/>
            <w:shd w:val="clear" w:color="auto" w:fill="CCEEFF"/>
          </w:tcPr>
          <w:p>
            <w:pPr>
              <w:spacing w:after="0" w:line="143" w:lineRule="exact"/>
              <w:rPr>
                <w:rFonts w:ascii="Arial" w:cs="Arial" w:eastAsia="Arial" w:hAnsi="Arial"/>
                <w:sz w:val="14"/>
                <w:szCs w:val="14"/>
                <w:color w:val="0000EE"/>
                <w:w w:val="92"/>
              </w:rPr>
            </w:pPr>
            <w:hyperlink w:anchor="page44">
              <w:r>
                <w:rPr>
                  <w:rFonts w:ascii="Arial" w:cs="Arial" w:eastAsia="Arial" w:hAnsi="Arial"/>
                  <w:sz w:val="14"/>
                  <w:szCs w:val="14"/>
                  <w:color w:val="0000EE"/>
                  <w:w w:val="92"/>
                </w:rPr>
                <w:t>Capitalization</w:t>
              </w:r>
            </w:hyperlink>
          </w:p>
        </w:tc>
        <w:tc>
          <w:tcPr>
            <w:tcW w:w="7900" w:type="dxa"/>
            <w:vAlign w:val="bottom"/>
            <w:tcBorders>
              <w:bottom w:val="single" w:sz="8" w:color="CCEEFF"/>
            </w:tcBorders>
            <w:gridSpan w:val="16"/>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89"/>
              </w:rPr>
              <w:t>40</w:t>
            </w:r>
          </w:p>
        </w:tc>
      </w:tr>
      <w:tr>
        <w:trPr>
          <w:trHeight w:val="143"/>
        </w:trPr>
        <w:tc>
          <w:tcPr>
            <w:tcW w:w="480" w:type="dxa"/>
            <w:vAlign w:val="bottom"/>
            <w:tcBorders>
              <w:bottom w:val="single" w:sz="8" w:color="0000EE"/>
            </w:tcBorders>
            <w:gridSpan w:val="2"/>
          </w:tcPr>
          <w:p>
            <w:pPr>
              <w:spacing w:after="0" w:line="137" w:lineRule="exact"/>
              <w:rPr>
                <w:rFonts w:ascii="Arial" w:cs="Arial" w:eastAsia="Arial" w:hAnsi="Arial"/>
                <w:sz w:val="14"/>
                <w:szCs w:val="14"/>
                <w:color w:val="0000EE"/>
                <w:w w:val="98"/>
              </w:rPr>
            </w:pPr>
            <w:hyperlink w:anchor="page44">
              <w:r>
                <w:rPr>
                  <w:rFonts w:ascii="Arial" w:cs="Arial" w:eastAsia="Arial" w:hAnsi="Arial"/>
                  <w:sz w:val="14"/>
                  <w:szCs w:val="14"/>
                  <w:color w:val="0000EE"/>
                  <w:w w:val="98"/>
                </w:rPr>
                <w:t>Dilution</w:t>
              </w:r>
            </w:hyperlink>
          </w:p>
        </w:tc>
        <w:tc>
          <w:tcPr>
            <w:tcW w:w="8220" w:type="dxa"/>
            <w:vAlign w:val="bottom"/>
            <w:gridSpan w:val="20"/>
          </w:tcPr>
          <w:p>
            <w:pPr>
              <w:spacing w:after="0"/>
              <w:rPr>
                <w:sz w:val="12"/>
                <w:szCs w:val="12"/>
                <w:color w:val="auto"/>
              </w:rPr>
            </w:pPr>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40</w:t>
            </w:r>
          </w:p>
        </w:tc>
      </w:tr>
      <w:tr>
        <w:trPr>
          <w:trHeight w:val="154"/>
        </w:trPr>
        <w:tc>
          <w:tcPr>
            <w:tcW w:w="2760" w:type="dxa"/>
            <w:vAlign w:val="bottom"/>
            <w:tcBorders>
              <w:bottom w:val="single" w:sz="8" w:color="0000EE"/>
            </w:tcBorders>
            <w:gridSpan w:val="19"/>
            <w:shd w:val="clear" w:color="auto" w:fill="CCEEFF"/>
          </w:tcPr>
          <w:p>
            <w:pPr>
              <w:spacing w:after="0" w:line="143" w:lineRule="exact"/>
              <w:rPr>
                <w:rFonts w:ascii="Arial" w:cs="Arial" w:eastAsia="Arial" w:hAnsi="Arial"/>
                <w:sz w:val="14"/>
                <w:szCs w:val="14"/>
                <w:color w:val="0000EE"/>
                <w:w w:val="90"/>
              </w:rPr>
            </w:pPr>
            <w:hyperlink w:anchor="page43">
              <w:r>
                <w:rPr>
                  <w:rFonts w:ascii="Arial" w:cs="Arial" w:eastAsia="Arial" w:hAnsi="Arial"/>
                  <w:sz w:val="14"/>
                  <w:szCs w:val="14"/>
                  <w:color w:val="0000EE"/>
                  <w:w w:val="90"/>
                </w:rPr>
                <w:t>Selected Historical Financial and Operating Data</w:t>
              </w:r>
            </w:hyperlink>
          </w:p>
        </w:tc>
        <w:tc>
          <w:tcPr>
            <w:tcW w:w="5940" w:type="dxa"/>
            <w:vAlign w:val="bottom"/>
            <w:tcBorders>
              <w:bottom w:val="single" w:sz="8" w:color="CCEEFF"/>
            </w:tcBorders>
            <w:gridSpan w:val="3"/>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89"/>
              </w:rPr>
              <w:t>39</w:t>
            </w:r>
          </w:p>
        </w:tc>
      </w:tr>
      <w:tr>
        <w:trPr>
          <w:trHeight w:val="137"/>
        </w:trPr>
        <w:tc>
          <w:tcPr>
            <w:tcW w:w="8700" w:type="dxa"/>
            <w:vAlign w:val="bottom"/>
            <w:gridSpan w:val="22"/>
          </w:tcPr>
          <w:p>
            <w:pPr>
              <w:spacing w:after="0" w:line="137" w:lineRule="exact"/>
              <w:rPr>
                <w:rFonts w:ascii="Arial" w:cs="Arial" w:eastAsia="Arial" w:hAnsi="Arial"/>
                <w:sz w:val="14"/>
                <w:szCs w:val="14"/>
                <w:color w:val="0000EE"/>
              </w:rPr>
            </w:pPr>
            <w:hyperlink w:anchor="page45">
              <w:r>
                <w:rPr>
                  <w:rFonts w:ascii="Arial" w:cs="Arial" w:eastAsia="Arial" w:hAnsi="Arial"/>
                  <w:sz w:val="14"/>
                  <w:szCs w:val="14"/>
                  <w:color w:val="0000EE"/>
                </w:rPr>
                <w:t>Post-Offering Ownership</w:t>
              </w:r>
            </w:hyperlink>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41</w:t>
            </w:r>
          </w:p>
        </w:tc>
      </w:tr>
      <w:tr>
        <w:trPr>
          <w:trHeight w:val="26"/>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154"/>
        </w:trPr>
        <w:tc>
          <w:tcPr>
            <w:tcW w:w="5040" w:type="dxa"/>
            <w:vAlign w:val="bottom"/>
            <w:tcBorders>
              <w:bottom w:val="single" w:sz="8" w:color="0000EE"/>
            </w:tcBorders>
            <w:gridSpan w:val="21"/>
            <w:shd w:val="clear" w:color="auto" w:fill="CCEEFF"/>
          </w:tcPr>
          <w:p>
            <w:pPr>
              <w:spacing w:after="0" w:line="143" w:lineRule="exact"/>
              <w:rPr>
                <w:rFonts w:ascii="Arial" w:cs="Arial" w:eastAsia="Arial" w:hAnsi="Arial"/>
                <w:sz w:val="14"/>
                <w:szCs w:val="14"/>
                <w:color w:val="0000EE"/>
                <w:w w:val="91"/>
              </w:rPr>
            </w:pPr>
            <w:hyperlink w:anchor="page46">
              <w:r>
                <w:rPr>
                  <w:rFonts w:ascii="Arial" w:cs="Arial" w:eastAsia="Arial" w:hAnsi="Arial"/>
                  <w:sz w:val="14"/>
                  <w:szCs w:val="14"/>
                  <w:color w:val="0000EE"/>
                  <w:w w:val="91"/>
                </w:rPr>
                <w:t>Management’s Discussion and Analysis of Financial Condition and Results of Operations</w:t>
              </w:r>
            </w:hyperlink>
          </w:p>
        </w:tc>
        <w:tc>
          <w:tcPr>
            <w:tcW w:w="3660" w:type="dxa"/>
            <w:vAlign w:val="bottom"/>
            <w:tcBorders>
              <w:bottom w:val="single" w:sz="8" w:color="CCEEFF"/>
            </w:tcBorders>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89"/>
              </w:rPr>
              <w:t>42</w:t>
            </w:r>
          </w:p>
        </w:tc>
      </w:tr>
      <w:tr>
        <w:trPr>
          <w:trHeight w:val="143"/>
        </w:trPr>
        <w:tc>
          <w:tcPr>
            <w:tcW w:w="760" w:type="dxa"/>
            <w:vAlign w:val="bottom"/>
            <w:tcBorders>
              <w:bottom w:val="single" w:sz="8" w:color="0000EE"/>
            </w:tcBorders>
            <w:gridSpan w:val="4"/>
          </w:tcPr>
          <w:p>
            <w:pPr>
              <w:spacing w:after="0" w:line="137" w:lineRule="exact"/>
              <w:rPr>
                <w:rFonts w:ascii="Arial" w:cs="Arial" w:eastAsia="Arial" w:hAnsi="Arial"/>
                <w:sz w:val="14"/>
                <w:szCs w:val="14"/>
                <w:color w:val="0000EE"/>
                <w:w w:val="88"/>
              </w:rPr>
            </w:pPr>
            <w:hyperlink w:anchor="page64">
              <w:r>
                <w:rPr>
                  <w:rFonts w:ascii="Arial" w:cs="Arial" w:eastAsia="Arial" w:hAnsi="Arial"/>
                  <w:sz w:val="14"/>
                  <w:szCs w:val="14"/>
                  <w:color w:val="0000EE"/>
                  <w:w w:val="88"/>
                </w:rPr>
                <w:t>Our Business</w:t>
              </w:r>
            </w:hyperlink>
          </w:p>
        </w:tc>
        <w:tc>
          <w:tcPr>
            <w:tcW w:w="7940" w:type="dxa"/>
            <w:vAlign w:val="bottom"/>
            <w:gridSpan w:val="18"/>
          </w:tcPr>
          <w:p>
            <w:pPr>
              <w:spacing w:after="0"/>
              <w:rPr>
                <w:sz w:val="12"/>
                <w:szCs w:val="12"/>
                <w:color w:val="auto"/>
              </w:rPr>
            </w:pPr>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60</w:t>
            </w:r>
          </w:p>
        </w:tc>
      </w:tr>
      <w:tr>
        <w:trPr>
          <w:trHeight w:val="154"/>
        </w:trPr>
        <w:tc>
          <w:tcPr>
            <w:tcW w:w="1860" w:type="dxa"/>
            <w:vAlign w:val="bottom"/>
            <w:tcBorders>
              <w:bottom w:val="single" w:sz="8" w:color="0000EE"/>
            </w:tcBorders>
            <w:gridSpan w:val="16"/>
            <w:shd w:val="clear" w:color="auto" w:fill="CCEEFF"/>
          </w:tcPr>
          <w:p>
            <w:pPr>
              <w:spacing w:after="0" w:line="143" w:lineRule="exact"/>
              <w:rPr>
                <w:rFonts w:ascii="Arial" w:cs="Arial" w:eastAsia="Arial" w:hAnsi="Arial"/>
                <w:sz w:val="14"/>
                <w:szCs w:val="14"/>
                <w:color w:val="0000EE"/>
                <w:w w:val="91"/>
              </w:rPr>
            </w:pPr>
            <w:hyperlink w:anchor="page86">
              <w:r>
                <w:rPr>
                  <w:rFonts w:ascii="Arial" w:cs="Arial" w:eastAsia="Arial" w:hAnsi="Arial"/>
                  <w:sz w:val="14"/>
                  <w:szCs w:val="14"/>
                  <w:color w:val="0000EE"/>
                  <w:w w:val="91"/>
                </w:rPr>
                <w:t>Directors and Executive Officers</w:t>
              </w:r>
            </w:hyperlink>
          </w:p>
        </w:tc>
        <w:tc>
          <w:tcPr>
            <w:tcW w:w="6840" w:type="dxa"/>
            <w:vAlign w:val="bottom"/>
            <w:tcBorders>
              <w:bottom w:val="single" w:sz="8" w:color="CCEEFF"/>
            </w:tcBorders>
            <w:gridSpan w:val="6"/>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89"/>
              </w:rPr>
              <w:t>82</w:t>
            </w:r>
          </w:p>
        </w:tc>
      </w:tr>
      <w:tr>
        <w:trPr>
          <w:trHeight w:val="143"/>
        </w:trPr>
        <w:tc>
          <w:tcPr>
            <w:tcW w:w="1520" w:type="dxa"/>
            <w:vAlign w:val="bottom"/>
            <w:tcBorders>
              <w:bottom w:val="single" w:sz="8" w:color="0000EE"/>
            </w:tcBorders>
            <w:gridSpan w:val="11"/>
          </w:tcPr>
          <w:p>
            <w:pPr>
              <w:spacing w:after="0" w:line="137" w:lineRule="exact"/>
              <w:rPr>
                <w:rFonts w:ascii="Arial" w:cs="Arial" w:eastAsia="Arial" w:hAnsi="Arial"/>
                <w:sz w:val="14"/>
                <w:szCs w:val="14"/>
                <w:color w:val="0000EE"/>
                <w:w w:val="88"/>
              </w:rPr>
            </w:pPr>
            <w:hyperlink w:anchor="page94">
              <w:r>
                <w:rPr>
                  <w:rFonts w:ascii="Arial" w:cs="Arial" w:eastAsia="Arial" w:hAnsi="Arial"/>
                  <w:sz w:val="14"/>
                  <w:szCs w:val="14"/>
                  <w:color w:val="0000EE"/>
                  <w:w w:val="88"/>
                </w:rPr>
                <w:t>Related Party Transactions</w:t>
              </w:r>
            </w:hyperlink>
          </w:p>
        </w:tc>
        <w:tc>
          <w:tcPr>
            <w:tcW w:w="7180" w:type="dxa"/>
            <w:vAlign w:val="bottom"/>
            <w:gridSpan w:val="11"/>
          </w:tcPr>
          <w:p>
            <w:pPr>
              <w:spacing w:after="0"/>
              <w:rPr>
                <w:sz w:val="12"/>
                <w:szCs w:val="12"/>
                <w:color w:val="auto"/>
              </w:rPr>
            </w:pPr>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90</w:t>
            </w:r>
          </w:p>
        </w:tc>
      </w:tr>
      <w:tr>
        <w:trPr>
          <w:trHeight w:val="174"/>
        </w:trPr>
        <w:tc>
          <w:tcPr>
            <w:tcW w:w="8700" w:type="dxa"/>
            <w:vAlign w:val="bottom"/>
            <w:gridSpan w:val="22"/>
            <w:shd w:val="clear" w:color="auto" w:fill="CCEEFF"/>
          </w:tcPr>
          <w:p>
            <w:pPr>
              <w:spacing w:after="0"/>
              <w:rPr>
                <w:sz w:val="20"/>
                <w:szCs w:val="20"/>
                <w:color w:val="auto"/>
              </w:rPr>
            </w:pPr>
            <w:r>
              <w:rPr>
                <w:rFonts w:ascii="Arial" w:cs="Arial" w:eastAsia="Arial" w:hAnsi="Arial"/>
                <w:sz w:val="14"/>
                <w:szCs w:val="14"/>
                <w:color w:val="auto"/>
              </w:rPr>
              <w:t>Security Ownership of Certain Beneficial Owners and Management</w:t>
            </w:r>
          </w:p>
        </w:tc>
        <w:tc>
          <w:tcPr>
            <w:tcW w:w="2760" w:type="dxa"/>
            <w:vAlign w:val="bottom"/>
            <w:shd w:val="clear" w:color="auto" w:fill="CCEEFF"/>
          </w:tcPr>
          <w:p>
            <w:pPr>
              <w:spacing w:after="0"/>
              <w:rPr>
                <w:sz w:val="15"/>
                <w:szCs w:val="15"/>
                <w:color w:val="auto"/>
              </w:rPr>
            </w:pPr>
          </w:p>
        </w:tc>
      </w:tr>
      <w:tr>
        <w:trPr>
          <w:trHeight w:val="137"/>
        </w:trPr>
        <w:tc>
          <w:tcPr>
            <w:tcW w:w="8700" w:type="dxa"/>
            <w:vAlign w:val="bottom"/>
            <w:gridSpan w:val="22"/>
          </w:tcPr>
          <w:p>
            <w:pPr>
              <w:spacing w:after="0" w:line="137" w:lineRule="exact"/>
              <w:rPr>
                <w:rFonts w:ascii="Arial" w:cs="Arial" w:eastAsia="Arial" w:hAnsi="Arial"/>
                <w:sz w:val="14"/>
                <w:szCs w:val="14"/>
                <w:color w:val="0000EE"/>
              </w:rPr>
            </w:pPr>
            <w:hyperlink w:anchor="page96">
              <w:r>
                <w:rPr>
                  <w:rFonts w:ascii="Arial" w:cs="Arial" w:eastAsia="Arial" w:hAnsi="Arial"/>
                  <w:sz w:val="14"/>
                  <w:szCs w:val="14"/>
                  <w:color w:val="0000EE"/>
                </w:rPr>
                <w:t>Description of Share Capital</w:t>
              </w:r>
            </w:hyperlink>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92</w:t>
            </w:r>
          </w:p>
        </w:tc>
      </w:tr>
      <w:tr>
        <w:trPr>
          <w:trHeight w:val="26"/>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154"/>
        </w:trPr>
        <w:tc>
          <w:tcPr>
            <w:tcW w:w="1740" w:type="dxa"/>
            <w:vAlign w:val="bottom"/>
            <w:tcBorders>
              <w:bottom w:val="single" w:sz="8" w:color="0000EE"/>
            </w:tcBorders>
            <w:gridSpan w:val="14"/>
            <w:shd w:val="clear" w:color="auto" w:fill="CCEEFF"/>
          </w:tcPr>
          <w:p>
            <w:pPr>
              <w:spacing w:after="0" w:line="143" w:lineRule="exact"/>
              <w:rPr>
                <w:rFonts w:ascii="Arial" w:cs="Arial" w:eastAsia="Arial" w:hAnsi="Arial"/>
                <w:sz w:val="14"/>
                <w:szCs w:val="14"/>
                <w:color w:val="0000EE"/>
                <w:w w:val="90"/>
              </w:rPr>
            </w:pPr>
            <w:hyperlink w:anchor="page100">
              <w:r>
                <w:rPr>
                  <w:rFonts w:ascii="Arial" w:cs="Arial" w:eastAsia="Arial" w:hAnsi="Arial"/>
                  <w:sz w:val="14"/>
                  <w:szCs w:val="14"/>
                  <w:color w:val="0000EE"/>
                  <w:w w:val="90"/>
                </w:rPr>
                <w:t>Shares Eligible for Future Sale</w:t>
              </w:r>
            </w:hyperlink>
          </w:p>
        </w:tc>
        <w:tc>
          <w:tcPr>
            <w:tcW w:w="6960" w:type="dxa"/>
            <w:vAlign w:val="bottom"/>
            <w:tcBorders>
              <w:bottom w:val="single" w:sz="8" w:color="CCEEFF"/>
            </w:tcBorders>
            <w:gridSpan w:val="8"/>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89"/>
              </w:rPr>
              <w:t>96</w:t>
            </w:r>
          </w:p>
        </w:tc>
      </w:tr>
      <w:tr>
        <w:trPr>
          <w:trHeight w:val="143"/>
        </w:trPr>
        <w:tc>
          <w:tcPr>
            <w:tcW w:w="8700" w:type="dxa"/>
            <w:vAlign w:val="bottom"/>
            <w:gridSpan w:val="22"/>
          </w:tcPr>
          <w:p>
            <w:pPr>
              <w:spacing w:after="0" w:line="137" w:lineRule="exact"/>
              <w:rPr>
                <w:rFonts w:ascii="Arial" w:cs="Arial" w:eastAsia="Arial" w:hAnsi="Arial"/>
                <w:sz w:val="14"/>
                <w:szCs w:val="14"/>
                <w:color w:val="0000EE"/>
              </w:rPr>
            </w:pPr>
            <w:hyperlink w:anchor="page101">
              <w:r>
                <w:rPr>
                  <w:rFonts w:ascii="Arial" w:cs="Arial" w:eastAsia="Arial" w:hAnsi="Arial"/>
                  <w:sz w:val="14"/>
                  <w:szCs w:val="14"/>
                  <w:color w:val="0000EE"/>
                </w:rPr>
                <w:t>Tax Matters Applicable to U.S. Holders of Our Shares</w:t>
              </w:r>
            </w:hyperlink>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89"/>
              </w:rPr>
              <w:t>97</w:t>
            </w:r>
          </w:p>
        </w:tc>
      </w:tr>
      <w:tr>
        <w:trPr>
          <w:trHeight w:val="154"/>
        </w:trPr>
        <w:tc>
          <w:tcPr>
            <w:tcW w:w="1880" w:type="dxa"/>
            <w:vAlign w:val="bottom"/>
            <w:tcBorders>
              <w:top w:val="single" w:sz="8" w:color="0000EE"/>
              <w:bottom w:val="single" w:sz="8" w:color="0000EE"/>
            </w:tcBorders>
            <w:gridSpan w:val="17"/>
            <w:shd w:val="clear" w:color="auto" w:fill="CCEEFF"/>
          </w:tcPr>
          <w:p>
            <w:pPr>
              <w:spacing w:after="0" w:line="143" w:lineRule="exact"/>
              <w:rPr>
                <w:rFonts w:ascii="Arial" w:cs="Arial" w:eastAsia="Arial" w:hAnsi="Arial"/>
                <w:sz w:val="14"/>
                <w:szCs w:val="14"/>
                <w:color w:val="0000EE"/>
                <w:w w:val="97"/>
              </w:rPr>
            </w:pPr>
            <w:hyperlink w:anchor="page108">
              <w:r>
                <w:rPr>
                  <w:rFonts w:ascii="Arial" w:cs="Arial" w:eastAsia="Arial" w:hAnsi="Arial"/>
                  <w:sz w:val="14"/>
                  <w:szCs w:val="14"/>
                  <w:color w:val="0000EE"/>
                  <w:w w:val="97"/>
                </w:rPr>
                <w:t>Enforceability of Civil Liabilities</w:t>
              </w:r>
            </w:hyperlink>
          </w:p>
        </w:tc>
        <w:tc>
          <w:tcPr>
            <w:tcW w:w="116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5660" w:type="dxa"/>
            <w:vAlign w:val="bottom"/>
            <w:tcBorders>
              <w:bottom w:val="single" w:sz="8" w:color="CCEEFF"/>
            </w:tcBorders>
            <w:gridSpan w:val="2"/>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94"/>
              </w:rPr>
              <w:t>104</w:t>
            </w:r>
          </w:p>
        </w:tc>
      </w:tr>
      <w:tr>
        <w:trPr>
          <w:trHeight w:val="143"/>
        </w:trPr>
        <w:tc>
          <w:tcPr>
            <w:tcW w:w="8700" w:type="dxa"/>
            <w:vAlign w:val="bottom"/>
            <w:gridSpan w:val="22"/>
          </w:tcPr>
          <w:p>
            <w:pPr>
              <w:spacing w:after="0" w:line="137" w:lineRule="exact"/>
              <w:rPr>
                <w:rFonts w:ascii="Arial" w:cs="Arial" w:eastAsia="Arial" w:hAnsi="Arial"/>
                <w:sz w:val="14"/>
                <w:szCs w:val="14"/>
                <w:color w:val="0000EE"/>
              </w:rPr>
            </w:pPr>
            <w:hyperlink w:anchor="page112">
              <w:r>
                <w:rPr>
                  <w:rFonts w:ascii="Arial" w:cs="Arial" w:eastAsia="Arial" w:hAnsi="Arial"/>
                  <w:sz w:val="14"/>
                  <w:szCs w:val="14"/>
                  <w:color w:val="0000EE"/>
                </w:rPr>
                <w:t>Determination of Offering Price</w:t>
              </w:r>
            </w:hyperlink>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94"/>
              </w:rPr>
              <w:t>108</w:t>
            </w:r>
          </w:p>
        </w:tc>
      </w:tr>
      <w:tr>
        <w:trPr>
          <w:trHeight w:val="154"/>
        </w:trPr>
        <w:tc>
          <w:tcPr>
            <w:tcW w:w="760" w:type="dxa"/>
            <w:vAlign w:val="bottom"/>
            <w:tcBorders>
              <w:top w:val="single" w:sz="8" w:color="0000EE"/>
              <w:bottom w:val="single" w:sz="8" w:color="0000EE"/>
            </w:tcBorders>
            <w:gridSpan w:val="4"/>
            <w:shd w:val="clear" w:color="auto" w:fill="CCEEFF"/>
          </w:tcPr>
          <w:p>
            <w:pPr>
              <w:spacing w:after="0" w:line="143" w:lineRule="exact"/>
              <w:rPr>
                <w:rFonts w:ascii="Arial" w:cs="Arial" w:eastAsia="Arial" w:hAnsi="Arial"/>
                <w:sz w:val="14"/>
                <w:szCs w:val="14"/>
                <w:color w:val="0000EE"/>
                <w:w w:val="94"/>
              </w:rPr>
            </w:pPr>
            <w:hyperlink w:anchor="page109">
              <w:r>
                <w:rPr>
                  <w:rFonts w:ascii="Arial" w:cs="Arial" w:eastAsia="Arial" w:hAnsi="Arial"/>
                  <w:sz w:val="14"/>
                  <w:szCs w:val="14"/>
                  <w:color w:val="0000EE"/>
                  <w:w w:val="94"/>
                </w:rPr>
                <w:t>Underwriting</w:t>
              </w:r>
            </w:hyperlink>
          </w:p>
        </w:tc>
        <w:tc>
          <w:tcPr>
            <w:tcW w:w="1040" w:type="dxa"/>
            <w:vAlign w:val="bottom"/>
            <w:tcBorders>
              <w:top w:val="single" w:sz="8" w:color="0000EE"/>
              <w:bottom w:val="single" w:sz="8" w:color="CCEEFF"/>
            </w:tcBorders>
            <w:gridSpan w:val="11"/>
            <w:shd w:val="clear" w:color="auto" w:fill="CCEEFF"/>
          </w:tcPr>
          <w:p>
            <w:pPr>
              <w:spacing w:after="0"/>
              <w:rPr>
                <w:sz w:val="13"/>
                <w:szCs w:val="13"/>
                <w:color w:val="auto"/>
              </w:rPr>
            </w:pPr>
          </w:p>
        </w:tc>
        <w:tc>
          <w:tcPr>
            <w:tcW w:w="6900" w:type="dxa"/>
            <w:vAlign w:val="bottom"/>
            <w:tcBorders>
              <w:bottom w:val="single" w:sz="8" w:color="CCEEFF"/>
            </w:tcBorders>
            <w:gridSpan w:val="7"/>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94"/>
              </w:rPr>
              <w:t>105</w:t>
            </w:r>
          </w:p>
        </w:tc>
      </w:tr>
      <w:tr>
        <w:trPr>
          <w:trHeight w:val="143"/>
        </w:trPr>
        <w:tc>
          <w:tcPr>
            <w:tcW w:w="8700" w:type="dxa"/>
            <w:vAlign w:val="bottom"/>
            <w:gridSpan w:val="22"/>
          </w:tcPr>
          <w:p>
            <w:pPr>
              <w:spacing w:after="0" w:line="137" w:lineRule="exact"/>
              <w:rPr>
                <w:rFonts w:ascii="Arial" w:cs="Arial" w:eastAsia="Arial" w:hAnsi="Arial"/>
                <w:sz w:val="14"/>
                <w:szCs w:val="14"/>
                <w:color w:val="0000EE"/>
              </w:rPr>
            </w:pPr>
            <w:hyperlink w:anchor="page113">
              <w:r>
                <w:rPr>
                  <w:rFonts w:ascii="Arial" w:cs="Arial" w:eastAsia="Arial" w:hAnsi="Arial"/>
                  <w:sz w:val="14"/>
                  <w:szCs w:val="14"/>
                  <w:color w:val="0000EE"/>
                </w:rPr>
                <w:t>Legal Matters</w:t>
              </w:r>
            </w:hyperlink>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94"/>
              </w:rPr>
              <w:t>109</w:t>
            </w:r>
          </w:p>
        </w:tc>
      </w:tr>
      <w:tr>
        <w:trPr>
          <w:trHeight w:val="154"/>
        </w:trPr>
        <w:tc>
          <w:tcPr>
            <w:tcW w:w="440" w:type="dxa"/>
            <w:vAlign w:val="bottom"/>
            <w:tcBorders>
              <w:top w:val="single" w:sz="8" w:color="0000EE"/>
              <w:bottom w:val="single" w:sz="8" w:color="0000EE"/>
            </w:tcBorders>
            <w:shd w:val="clear" w:color="auto" w:fill="CCEEFF"/>
          </w:tcPr>
          <w:p>
            <w:pPr>
              <w:spacing w:after="0" w:line="143" w:lineRule="exact"/>
              <w:rPr>
                <w:rFonts w:ascii="Arial" w:cs="Arial" w:eastAsia="Arial" w:hAnsi="Arial"/>
                <w:sz w:val="14"/>
                <w:szCs w:val="14"/>
                <w:color w:val="0000EE"/>
                <w:w w:val="88"/>
              </w:rPr>
            </w:pPr>
            <w:hyperlink w:anchor="page113">
              <w:r>
                <w:rPr>
                  <w:rFonts w:ascii="Arial" w:cs="Arial" w:eastAsia="Arial" w:hAnsi="Arial"/>
                  <w:sz w:val="14"/>
                  <w:szCs w:val="14"/>
                  <w:color w:val="0000EE"/>
                  <w:w w:val="88"/>
                </w:rPr>
                <w:t>Experts</w:t>
              </w:r>
            </w:hyperlink>
          </w:p>
        </w:tc>
        <w:tc>
          <w:tcPr>
            <w:tcW w:w="34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7920" w:type="dxa"/>
            <w:vAlign w:val="bottom"/>
            <w:tcBorders>
              <w:bottom w:val="single" w:sz="8" w:color="CCEEFF"/>
            </w:tcBorders>
            <w:gridSpan w:val="17"/>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jc w:val="center"/>
              <w:ind w:left="1790"/>
              <w:spacing w:after="0" w:line="143" w:lineRule="exact"/>
              <w:rPr>
                <w:sz w:val="20"/>
                <w:szCs w:val="20"/>
                <w:color w:val="auto"/>
              </w:rPr>
            </w:pPr>
            <w:r>
              <w:rPr>
                <w:rFonts w:ascii="Arial" w:cs="Arial" w:eastAsia="Arial" w:hAnsi="Arial"/>
                <w:sz w:val="14"/>
                <w:szCs w:val="14"/>
                <w:color w:val="auto"/>
                <w:w w:val="94"/>
              </w:rPr>
              <w:t>109</w:t>
            </w:r>
          </w:p>
        </w:tc>
      </w:tr>
      <w:tr>
        <w:trPr>
          <w:trHeight w:val="143"/>
        </w:trPr>
        <w:tc>
          <w:tcPr>
            <w:tcW w:w="2240" w:type="dxa"/>
            <w:vAlign w:val="bottom"/>
            <w:tcBorders>
              <w:bottom w:val="single" w:sz="8" w:color="0000EE"/>
            </w:tcBorders>
            <w:gridSpan w:val="18"/>
          </w:tcPr>
          <w:p>
            <w:pPr>
              <w:spacing w:after="0" w:line="137" w:lineRule="exact"/>
              <w:rPr>
                <w:rFonts w:ascii="Arial" w:cs="Arial" w:eastAsia="Arial" w:hAnsi="Arial"/>
                <w:sz w:val="14"/>
                <w:szCs w:val="14"/>
                <w:color w:val="0000EE"/>
                <w:w w:val="92"/>
              </w:rPr>
            </w:pPr>
            <w:hyperlink w:anchor="page113">
              <w:r>
                <w:rPr>
                  <w:rFonts w:ascii="Arial" w:cs="Arial" w:eastAsia="Arial" w:hAnsi="Arial"/>
                  <w:sz w:val="14"/>
                  <w:szCs w:val="14"/>
                  <w:color w:val="0000EE"/>
                  <w:w w:val="92"/>
                </w:rPr>
                <w:t>Where You Can Find More Information</w:t>
              </w:r>
            </w:hyperlink>
          </w:p>
        </w:tc>
        <w:tc>
          <w:tcPr>
            <w:tcW w:w="6460" w:type="dxa"/>
            <w:vAlign w:val="bottom"/>
            <w:gridSpan w:val="4"/>
          </w:tcPr>
          <w:p>
            <w:pPr>
              <w:spacing w:after="0"/>
              <w:rPr>
                <w:sz w:val="12"/>
                <w:szCs w:val="12"/>
                <w:color w:val="auto"/>
              </w:rPr>
            </w:pPr>
          </w:p>
        </w:tc>
        <w:tc>
          <w:tcPr>
            <w:tcW w:w="2760" w:type="dxa"/>
            <w:vAlign w:val="bottom"/>
          </w:tcPr>
          <w:p>
            <w:pPr>
              <w:jc w:val="center"/>
              <w:ind w:left="1790"/>
              <w:spacing w:after="0" w:line="137" w:lineRule="exact"/>
              <w:rPr>
                <w:sz w:val="20"/>
                <w:szCs w:val="20"/>
                <w:color w:val="auto"/>
              </w:rPr>
            </w:pPr>
            <w:r>
              <w:rPr>
                <w:rFonts w:ascii="Arial" w:cs="Arial" w:eastAsia="Arial" w:hAnsi="Arial"/>
                <w:sz w:val="14"/>
                <w:szCs w:val="14"/>
                <w:color w:val="auto"/>
                <w:w w:val="94"/>
              </w:rPr>
              <w:t>109</w:t>
            </w:r>
          </w:p>
        </w:tc>
      </w:tr>
      <w:tr>
        <w:trPr>
          <w:trHeight w:val="154"/>
        </w:trPr>
        <w:tc>
          <w:tcPr>
            <w:tcW w:w="1180" w:type="dxa"/>
            <w:vAlign w:val="bottom"/>
            <w:tcBorders>
              <w:bottom w:val="single" w:sz="8" w:color="0000EE"/>
            </w:tcBorders>
            <w:gridSpan w:val="8"/>
            <w:shd w:val="clear" w:color="auto" w:fill="CCEEFF"/>
          </w:tcPr>
          <w:p>
            <w:pPr>
              <w:spacing w:after="0" w:line="143" w:lineRule="exact"/>
              <w:rPr>
                <w:rFonts w:ascii="Arial" w:cs="Arial" w:eastAsia="Arial" w:hAnsi="Arial"/>
                <w:sz w:val="14"/>
                <w:szCs w:val="14"/>
                <w:color w:val="0000EE"/>
                <w:w w:val="88"/>
              </w:rPr>
            </w:pPr>
            <w:hyperlink w:anchor="page114">
              <w:r>
                <w:rPr>
                  <w:rFonts w:ascii="Arial" w:cs="Arial" w:eastAsia="Arial" w:hAnsi="Arial"/>
                  <w:sz w:val="14"/>
                  <w:szCs w:val="14"/>
                  <w:color w:val="0000EE"/>
                  <w:w w:val="88"/>
                </w:rPr>
                <w:t>Financial Statements</w:t>
              </w:r>
            </w:hyperlink>
          </w:p>
        </w:tc>
        <w:tc>
          <w:tcPr>
            <w:tcW w:w="7520" w:type="dxa"/>
            <w:vAlign w:val="bottom"/>
            <w:tcBorders>
              <w:bottom w:val="single" w:sz="8" w:color="CCEEFF"/>
            </w:tcBorders>
            <w:gridSpan w:val="14"/>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ind w:left="2200"/>
              <w:spacing w:after="0" w:line="143" w:lineRule="exact"/>
              <w:rPr>
                <w:sz w:val="20"/>
                <w:szCs w:val="20"/>
                <w:color w:val="auto"/>
              </w:rPr>
            </w:pPr>
            <w:r>
              <w:rPr>
                <w:rFonts w:ascii="Arial" w:cs="Arial" w:eastAsia="Arial" w:hAnsi="Arial"/>
                <w:sz w:val="14"/>
                <w:szCs w:val="14"/>
                <w:color w:val="auto"/>
              </w:rPr>
              <w:t>F-1</w:t>
            </w:r>
          </w:p>
        </w:tc>
      </w:tr>
    </w:tbl>
    <w:p>
      <w:pPr>
        <w:spacing w:after="0" w:line="154" w:lineRule="exact"/>
        <w:rPr>
          <w:sz w:val="20"/>
          <w:szCs w:val="20"/>
          <w:color w:val="auto"/>
        </w:rPr>
      </w:pPr>
    </w:p>
    <w:p>
      <w:pPr>
        <w:jc w:val="both"/>
        <w:ind w:right="140" w:firstLine="505"/>
        <w:spacing w:after="0" w:line="267" w:lineRule="auto"/>
        <w:rPr>
          <w:sz w:val="20"/>
          <w:szCs w:val="20"/>
          <w:color w:val="auto"/>
        </w:rPr>
      </w:pPr>
      <w:r>
        <w:rPr>
          <w:rFonts w:ascii="Arial" w:cs="Arial" w:eastAsia="Arial" w:hAnsi="Arial"/>
          <w:sz w:val="14"/>
          <w:szCs w:val="14"/>
          <w:b w:val="1"/>
          <w:bCs w:val="1"/>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in the Company.</w:t>
      </w:r>
    </w:p>
    <w:p>
      <w:pPr>
        <w:spacing w:after="0" w:line="136" w:lineRule="exact"/>
        <w:rPr>
          <w:sz w:val="20"/>
          <w:szCs w:val="20"/>
          <w:color w:val="auto"/>
        </w:rPr>
      </w:pPr>
    </w:p>
    <w:p>
      <w:pPr>
        <w:ind w:right="140" w:firstLine="505"/>
        <w:spacing w:after="0" w:line="267" w:lineRule="auto"/>
        <w:rPr>
          <w:sz w:val="20"/>
          <w:szCs w:val="20"/>
          <w:color w:val="auto"/>
        </w:rPr>
      </w:pPr>
      <w:r>
        <w:rPr>
          <w:rFonts w:ascii="Arial" w:cs="Arial" w:eastAsia="Arial" w:hAnsi="Arial"/>
          <w:sz w:val="14"/>
          <w:szCs w:val="14"/>
          <w:b w:val="1"/>
          <w:bCs w:val="1"/>
          <w:color w:val="auto"/>
        </w:rPr>
        <w:t xml:space="preserve">For investors outside the United States: </w:t>
      </w:r>
      <w:r>
        <w:rPr>
          <w:rFonts w:ascii="Arial" w:cs="Arial" w:eastAsia="Arial" w:hAnsi="Arial"/>
          <w:sz w:val="14"/>
          <w:szCs w:val="14"/>
          <w:color w:val="auto"/>
        </w:rPr>
        <w:t>Neither we, nor the underwriters have done anything that would permit this offering or possession or distribution of this prospectus in any jurisdiction</w:t>
      </w:r>
      <w:r>
        <w:rPr>
          <w:rFonts w:ascii="Arial" w:cs="Arial" w:eastAsia="Arial" w:hAnsi="Arial"/>
          <w:sz w:val="14"/>
          <w:szCs w:val="14"/>
          <w:b w:val="1"/>
          <w:bCs w:val="1"/>
          <w:color w:val="auto"/>
        </w:rPr>
        <w:t xml:space="preserve"> </w:t>
      </w:r>
      <w:r>
        <w:rPr>
          <w:rFonts w:ascii="Arial" w:cs="Arial" w:eastAsia="Arial" w:hAnsi="Arial"/>
          <w:sz w:val="14"/>
          <w:szCs w:val="14"/>
          <w:color w:val="auto"/>
        </w:rPr>
        <w:t>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27710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5" w:right="21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22490" cy="383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2490" cy="383476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PROSPECTUS SUMMARY</w:t>
      </w:r>
    </w:p>
    <w:p>
      <w:pPr>
        <w:spacing w:after="0" w:line="180" w:lineRule="exact"/>
        <w:rPr>
          <w:sz w:val="20"/>
          <w:szCs w:val="20"/>
          <w:color w:val="auto"/>
        </w:rPr>
      </w:pPr>
    </w:p>
    <w:p>
      <w:pPr>
        <w:ind w:left="80" w:firstLine="505"/>
        <w:spacing w:after="0" w:line="279" w:lineRule="auto"/>
        <w:rPr>
          <w:sz w:val="20"/>
          <w:szCs w:val="20"/>
          <w:color w:val="auto"/>
        </w:rPr>
      </w:pPr>
      <w:r>
        <w:rPr>
          <w:rFonts w:ascii="Arial" w:cs="Arial" w:eastAsia="Arial" w:hAnsi="Arial"/>
          <w:sz w:val="13"/>
          <w:szCs w:val="13"/>
          <w:i w:val="1"/>
          <w:iCs w:val="1"/>
          <w:color w:val="auto"/>
        </w:rPr>
        <w:t>This summary highlights information that we present more fully in the rest of this prospectus. This summary does not contain all of the information you should consider before buying common shares in this offering. This summary contains forward-looking statements that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 You should read the entire prospectus carefully, including the “Risk Factors” section and the financial statements and the notes to those statements.</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Our Company</w:t>
      </w:r>
    </w:p>
    <w:p>
      <w:pPr>
        <w:spacing w:after="0" w:line="180" w:lineRule="exact"/>
        <w:rPr>
          <w:sz w:val="20"/>
          <w:szCs w:val="20"/>
          <w:color w:val="auto"/>
        </w:rPr>
      </w:pPr>
    </w:p>
    <w:p>
      <w:pPr>
        <w:ind w:left="80" w:right="20" w:firstLine="505"/>
        <w:spacing w:after="0" w:line="299" w:lineRule="auto"/>
        <w:rPr>
          <w:sz w:val="20"/>
          <w:szCs w:val="20"/>
          <w:color w:val="auto"/>
        </w:rPr>
      </w:pPr>
      <w:r>
        <w:rPr>
          <w:rFonts w:ascii="Arial" w:cs="Arial" w:eastAsia="Arial" w:hAnsi="Arial"/>
          <w:sz w:val="12"/>
          <w:szCs w:val="12"/>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On a very limited basis, the Company implements its own software systems, such as CLPS Virtual Banking Platform. We maintain eleven delivery and or research &amp;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clients include large corporations headquartered in China and globally which include, among others:</w:t>
      </w:r>
    </w:p>
    <w:p>
      <w:pPr>
        <w:spacing w:after="0" w:line="176" w:lineRule="exact"/>
        <w:rPr>
          <w:sz w:val="20"/>
          <w:szCs w:val="20"/>
          <w:color w:val="auto"/>
        </w:rPr>
      </w:pPr>
    </w:p>
    <w:p>
      <w:pPr>
        <w:ind w:left="840" w:hanging="257"/>
        <w:spacing w:after="0"/>
        <w:tabs>
          <w:tab w:leader="none" w:pos="8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Banking or their China-based IT centers – </w:t>
      </w:r>
      <w:r>
        <w:rPr>
          <w:rFonts w:ascii="Arial" w:cs="Arial" w:eastAsia="Arial" w:hAnsi="Arial"/>
          <w:sz w:val="14"/>
          <w:szCs w:val="14"/>
          <w:color w:val="auto"/>
        </w:rPr>
        <w:t>Citibank, Standard Chartered Bank (China) Ltd., ANZ Bank, Commonwealth Bank of Australia, Bank of Communications.</w:t>
      </w:r>
    </w:p>
    <w:p>
      <w:pPr>
        <w:spacing w:after="0" w:line="175" w:lineRule="exact"/>
        <w:rPr>
          <w:rFonts w:ascii="Arial" w:cs="Arial" w:eastAsia="Arial" w:hAnsi="Arial"/>
          <w:sz w:val="14"/>
          <w:szCs w:val="14"/>
          <w:i w:val="1"/>
          <w:iCs w:val="1"/>
          <w:color w:val="auto"/>
        </w:rPr>
      </w:pPr>
    </w:p>
    <w:p>
      <w:pPr>
        <w:ind w:left="840" w:hanging="257"/>
        <w:spacing w:after="0"/>
        <w:tabs>
          <w:tab w:leader="none" w:pos="8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Financial Industry – </w:t>
      </w:r>
      <w:r>
        <w:rPr>
          <w:rFonts w:ascii="Arial" w:cs="Arial" w:eastAsia="Arial" w:hAnsi="Arial"/>
          <w:sz w:val="14"/>
          <w:szCs w:val="14"/>
          <w:color w:val="auto"/>
        </w:rPr>
        <w:t>AIA, China Life Insurance, First Data, Haitong Securities, Orient Securities and China Universal Asset Management Company.</w:t>
      </w:r>
    </w:p>
    <w:p>
      <w:pPr>
        <w:spacing w:after="0" w:line="175" w:lineRule="exact"/>
        <w:rPr>
          <w:rFonts w:ascii="Arial" w:cs="Arial" w:eastAsia="Arial" w:hAnsi="Arial"/>
          <w:sz w:val="14"/>
          <w:szCs w:val="14"/>
          <w:i w:val="1"/>
          <w:iCs w:val="1"/>
          <w:color w:val="auto"/>
        </w:rPr>
      </w:pPr>
    </w:p>
    <w:p>
      <w:pPr>
        <w:ind w:left="840" w:hanging="257"/>
        <w:spacing w:after="0"/>
        <w:tabs>
          <w:tab w:leader="none" w:pos="8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Technology – </w:t>
      </w:r>
      <w:r>
        <w:rPr>
          <w:rFonts w:ascii="Arial" w:cs="Arial" w:eastAsia="Arial" w:hAnsi="Arial"/>
          <w:sz w:val="14"/>
          <w:szCs w:val="14"/>
          <w:color w:val="auto"/>
        </w:rPr>
        <w:t>eBay, CRIF Information Technology, Experian, AGFA Healthcare and Neusoft.</w:t>
      </w:r>
    </w:p>
    <w:p>
      <w:pPr>
        <w:spacing w:after="0" w:line="176" w:lineRule="exact"/>
        <w:rPr>
          <w:sz w:val="20"/>
          <w:szCs w:val="20"/>
          <w:color w:val="auto"/>
        </w:rPr>
      </w:pPr>
    </w:p>
    <w:p>
      <w:pPr>
        <w:ind w:left="80" w:right="140" w:firstLine="505"/>
        <w:spacing w:after="0" w:line="277" w:lineRule="auto"/>
        <w:rPr>
          <w:sz w:val="20"/>
          <w:szCs w:val="20"/>
          <w:color w:val="auto"/>
        </w:rPr>
      </w:pPr>
      <w:r>
        <w:rPr>
          <w:rFonts w:ascii="Arial" w:cs="Arial" w:eastAsia="Arial" w:hAnsi="Arial"/>
          <w:sz w:val="14"/>
          <w:szCs w:val="14"/>
          <w:color w:val="auto"/>
        </w:rPr>
        <w:t>By serving both Chinese and global clients on a common platform, we are able to leverage the shared resources, management, industry expertise and technological know-how to attract new business and remain cost competitive.</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00"/>
          </w:cols>
          <w:pgMar w:left="220" w:top="207" w:right="3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22490" cy="6080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2490" cy="6080125"/>
                    </a:xfrm>
                    <a:prstGeom prst="rect">
                      <a:avLst/>
                    </a:prstGeom>
                    <a:noFill/>
                  </pic:spPr>
                </pic:pic>
              </a:graphicData>
            </a:graphic>
          </wp:anchor>
        </w:drawing>
      </w:r>
    </w:p>
    <w:p>
      <w:pPr>
        <w:spacing w:after="0" w:line="33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primary focus is in the following key operational areas:</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Consulting Services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Credit Card Services</w:t>
      </w:r>
    </w:p>
    <w:p>
      <w:pPr>
        <w:spacing w:after="0" w:line="113" w:lineRule="exact"/>
        <w:rPr>
          <w:sz w:val="20"/>
          <w:szCs w:val="20"/>
          <w:color w:val="auto"/>
        </w:rPr>
      </w:pPr>
    </w:p>
    <w:p>
      <w:pPr>
        <w:ind w:left="80" w:right="20" w:firstLine="505"/>
        <w:spacing w:after="0" w:line="264" w:lineRule="auto"/>
        <w:rPr>
          <w:sz w:val="20"/>
          <w:szCs w:val="20"/>
          <w:color w:val="auto"/>
        </w:rPr>
      </w:pPr>
      <w:r>
        <w:rPr>
          <w:rFonts w:ascii="Arial" w:cs="Arial" w:eastAsia="Arial" w:hAnsi="Arial"/>
          <w:sz w:val="14"/>
          <w:szCs w:val="14"/>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79" w:lineRule="exact"/>
        <w:rPr>
          <w:sz w:val="20"/>
          <w:szCs w:val="20"/>
          <w:color w:val="auto"/>
        </w:rPr>
      </w:pPr>
    </w:p>
    <w:p>
      <w:pPr>
        <w:ind w:left="80" w:right="160" w:firstLine="505"/>
        <w:spacing w:after="0" w:line="328" w:lineRule="auto"/>
        <w:rPr>
          <w:sz w:val="20"/>
          <w:szCs w:val="20"/>
          <w:color w:val="auto"/>
        </w:rPr>
      </w:pPr>
      <w:r>
        <w:rPr>
          <w:rFonts w:ascii="Arial" w:cs="Arial" w:eastAsia="Arial" w:hAnsi="Arial"/>
          <w:sz w:val="12"/>
          <w:szCs w:val="12"/>
          <w:color w:val="auto"/>
        </w:rPr>
        <w:t>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a credit card processing solution. We offer expertise in customizing these credit card tools and platforms to suit a variety of business models.</w:t>
      </w:r>
    </w:p>
    <w:p>
      <w:pPr>
        <w:spacing w:after="0" w:line="45" w:lineRule="exact"/>
        <w:rPr>
          <w:sz w:val="20"/>
          <w:szCs w:val="20"/>
          <w:color w:val="auto"/>
        </w:rPr>
      </w:pPr>
    </w:p>
    <w:p>
      <w:pPr>
        <w:jc w:val="both"/>
        <w:ind w:left="80" w:right="160" w:firstLine="505"/>
        <w:spacing w:after="0" w:line="264" w:lineRule="auto"/>
        <w:rPr>
          <w:sz w:val="20"/>
          <w:szCs w:val="20"/>
          <w:color w:val="auto"/>
        </w:rPr>
      </w:pPr>
      <w:r>
        <w:rPr>
          <w:rFonts w:ascii="Arial" w:cs="Arial" w:eastAsia="Arial" w:hAnsi="Arial"/>
          <w:sz w:val="14"/>
          <w:szCs w:val="14"/>
          <w:color w:val="auto"/>
        </w:rPr>
        <w:t>Our highly experienced team possesses the requisite expertise in providing these comprehensive credit card services. The IT consulting professional teams provide credit card services from Shanghai, Dalian and Hong Kong. We offer this experience and expertise in various currencies, across different geographical regions, including, but not limited to China, Singapore, UK, Philippine, Indonesia, and Latin America. In addition, we have developed a series of credit card solutions in order meet the needs of our clients better.</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Core Banking Services</w:t>
      </w:r>
    </w:p>
    <w:p>
      <w:pPr>
        <w:spacing w:after="0" w:line="113" w:lineRule="exact"/>
        <w:rPr>
          <w:sz w:val="20"/>
          <w:szCs w:val="20"/>
          <w:color w:val="auto"/>
        </w:rPr>
      </w:pPr>
    </w:p>
    <w:p>
      <w:pPr>
        <w:ind w:left="80" w:firstLine="505"/>
        <w:spacing w:after="0" w:line="304" w:lineRule="auto"/>
        <w:rPr>
          <w:sz w:val="20"/>
          <w:szCs w:val="20"/>
          <w:color w:val="auto"/>
        </w:rPr>
      </w:pPr>
      <w:r>
        <w:rPr>
          <w:rFonts w:ascii="Arial" w:cs="Arial" w:eastAsia="Arial" w:hAnsi="Arial"/>
          <w:sz w:val="12"/>
          <w:szCs w:val="12"/>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60" w:lineRule="exact"/>
        <w:rPr>
          <w:sz w:val="20"/>
          <w:szCs w:val="20"/>
          <w:color w:val="auto"/>
        </w:rPr>
      </w:pPr>
    </w:p>
    <w:p>
      <w:pPr>
        <w:ind w:left="80" w:right="20" w:firstLine="505"/>
        <w:spacing w:after="0" w:line="259" w:lineRule="auto"/>
        <w:rPr>
          <w:sz w:val="20"/>
          <w:szCs w:val="20"/>
          <w:color w:val="auto"/>
        </w:rPr>
      </w:pPr>
      <w:r>
        <w:rPr>
          <w:rFonts w:ascii="Arial" w:cs="Arial" w:eastAsia="Arial" w:hAnsi="Arial"/>
          <w:sz w:val="14"/>
          <w:szCs w:val="14"/>
          <w:color w:val="auto"/>
        </w:rPr>
        <w:t>For the years ended June 30, 2017 and 2016, revenues from our IT consulting services were approximately USD$29.1 million and USD$28.0 million, respectively. Revenues from our IT consulting services accounted for 92.9% and 96.5% of our total revenues in fiscal 2017 and 2016, respectively. For the six months ended December 31, 2017 and 2016, revenues from our IT consulting services were approximately USD$21.6 million and USD$13.3 million, respectively. Revenues from our IT consulting services accounted for 97.4% and 92.7% of our total revenues for the six months ended December 31, 2017 and 2016, respectively.</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Solution Services</w:t>
      </w:r>
    </w:p>
    <w:p>
      <w:pPr>
        <w:spacing w:after="0" w:line="113" w:lineRule="exact"/>
        <w:rPr>
          <w:sz w:val="20"/>
          <w:szCs w:val="20"/>
          <w:color w:val="auto"/>
        </w:rPr>
      </w:pPr>
    </w:p>
    <w:p>
      <w:pPr>
        <w:ind w:left="80" w:right="40" w:firstLine="505"/>
        <w:spacing w:after="0" w:line="328" w:lineRule="auto"/>
        <w:rPr>
          <w:sz w:val="20"/>
          <w:szCs w:val="20"/>
          <w:color w:val="auto"/>
        </w:rPr>
      </w:pPr>
      <w:r>
        <w:rPr>
          <w:rFonts w:ascii="Arial" w:cs="Arial" w:eastAsia="Arial" w:hAnsi="Arial"/>
          <w:sz w:val="12"/>
          <w:szCs w:val="12"/>
          <w:color w:val="auto"/>
        </w:rPr>
        <w:t>We are also an IT solution services provider for China and global financial institutions.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45" w:lineRule="exact"/>
        <w:rPr>
          <w:sz w:val="20"/>
          <w:szCs w:val="20"/>
          <w:color w:val="auto"/>
        </w:rPr>
      </w:pPr>
    </w:p>
    <w:p>
      <w:pPr>
        <w:jc w:val="both"/>
        <w:ind w:left="80" w:firstLine="505"/>
        <w:spacing w:after="0" w:line="259" w:lineRule="auto"/>
        <w:rPr>
          <w:sz w:val="20"/>
          <w:szCs w:val="20"/>
          <w:color w:val="auto"/>
        </w:rPr>
      </w:pPr>
      <w:r>
        <w:rPr>
          <w:rFonts w:ascii="Arial" w:cs="Arial" w:eastAsia="Arial" w:hAnsi="Arial"/>
          <w:sz w:val="14"/>
          <w:szCs w:val="14"/>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quality and efficiency testing, and (iii) providing onshore and offshore IT solution services to ensure turn-key delivery.</w:t>
      </w:r>
    </w:p>
    <w:p>
      <w:pPr>
        <w:spacing w:after="0" w:line="84" w:lineRule="exact"/>
        <w:rPr>
          <w:sz w:val="20"/>
          <w:szCs w:val="20"/>
          <w:color w:val="auto"/>
        </w:rPr>
      </w:pPr>
    </w:p>
    <w:p>
      <w:pPr>
        <w:ind w:left="80" w:right="20" w:firstLine="505"/>
        <w:spacing w:after="0" w:line="264" w:lineRule="auto"/>
        <w:rPr>
          <w:sz w:val="20"/>
          <w:szCs w:val="20"/>
          <w:color w:val="auto"/>
        </w:rPr>
      </w:pPr>
      <w:r>
        <w:rPr>
          <w:rFonts w:ascii="Arial" w:cs="Arial" w:eastAsia="Arial" w:hAnsi="Arial"/>
          <w:sz w:val="14"/>
          <w:szCs w:val="14"/>
          <w:color w:val="auto"/>
        </w:rPr>
        <w:t>We have been working with a number of Chinese domestic banks to assist them in leveraging blockchain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79" w:lineRule="exact"/>
        <w:rPr>
          <w:sz w:val="20"/>
          <w:szCs w:val="20"/>
          <w:color w:val="auto"/>
        </w:rPr>
      </w:pPr>
    </w:p>
    <w:p>
      <w:pPr>
        <w:ind w:left="80" w:right="160" w:firstLine="505"/>
        <w:spacing w:after="0" w:line="259" w:lineRule="auto"/>
        <w:rPr>
          <w:sz w:val="20"/>
          <w:szCs w:val="20"/>
          <w:color w:val="auto"/>
        </w:rPr>
      </w:pPr>
      <w:r>
        <w:rPr>
          <w:rFonts w:ascii="Arial" w:cs="Arial" w:eastAsia="Arial" w:hAnsi="Arial"/>
          <w:sz w:val="14"/>
          <w:szCs w:val="14"/>
          <w:color w:val="auto"/>
        </w:rPr>
        <w:t xml:space="preserve">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w:t>
      </w:r>
      <w:r>
        <w:rPr>
          <w:rFonts w:ascii="Arial" w:cs="Arial" w:eastAsia="Arial" w:hAnsi="Arial"/>
          <w:sz w:val="14"/>
          <w:szCs w:val="14"/>
          <w:color w:val="auto"/>
          <w:highlight w:val="white"/>
        </w:rPr>
        <w:t>There are four layers in the overall architecture in this</w:t>
      </w:r>
      <w:r>
        <w:rPr>
          <w:rFonts w:ascii="Arial" w:cs="Arial" w:eastAsia="Arial" w:hAnsi="Arial"/>
          <w:sz w:val="14"/>
          <w:szCs w:val="14"/>
          <w:color w:val="auto"/>
        </w:rPr>
        <w:t xml:space="preserve"> </w:t>
      </w:r>
      <w:r>
        <w:rPr>
          <w:rFonts w:ascii="Arial" w:cs="Arial" w:eastAsia="Arial" w:hAnsi="Arial"/>
          <w:sz w:val="14"/>
          <w:szCs w:val="14"/>
          <w:color w:val="auto"/>
          <w:highlight w:val="white"/>
        </w:rPr>
        <w:t>solution which includes the blockchain core layer, the blockchain SDK layer, the application system layer and the front-end layer. The consensus mechanism, P2P protocol, distributed ledger and storage mechanism of core layer are used to record transactions and prevent fraud.</w:t>
      </w:r>
    </w:p>
    <w:p>
      <w:pPr>
        <w:spacing w:after="0" w:line="84" w:lineRule="exact"/>
        <w:rPr>
          <w:sz w:val="20"/>
          <w:szCs w:val="20"/>
          <w:color w:val="auto"/>
        </w:rPr>
      </w:pPr>
    </w:p>
    <w:p>
      <w:pPr>
        <w:ind w:left="80" w:right="320" w:firstLine="505"/>
        <w:spacing w:after="0" w:line="277" w:lineRule="auto"/>
        <w:rPr>
          <w:sz w:val="20"/>
          <w:szCs w:val="20"/>
          <w:color w:val="auto"/>
        </w:rPr>
      </w:pPr>
      <w:r>
        <w:rPr>
          <w:rFonts w:ascii="Arial" w:cs="Arial" w:eastAsia="Arial" w:hAnsi="Arial"/>
          <w:sz w:val="14"/>
          <w:szCs w:val="14"/>
          <w:color w:val="auto"/>
        </w:rPr>
        <w:t>We will continue to develop our new IT solutions to meet the evolving needs of our Chinese and global financial institutional clientele drawing upon the forward-looking research of our R&amp;D center.</w:t>
      </w:r>
    </w:p>
    <w:p>
      <w:pPr>
        <w:spacing w:after="0" w:line="70" w:lineRule="exact"/>
        <w:rPr>
          <w:sz w:val="20"/>
          <w:szCs w:val="20"/>
          <w:color w:val="auto"/>
        </w:rPr>
      </w:pPr>
    </w:p>
    <w:p>
      <w:pPr>
        <w:ind w:left="80" w:right="60" w:firstLine="505"/>
        <w:spacing w:after="0" w:line="259" w:lineRule="auto"/>
        <w:rPr>
          <w:sz w:val="20"/>
          <w:szCs w:val="20"/>
          <w:color w:val="auto"/>
        </w:rPr>
      </w:pPr>
      <w:r>
        <w:rPr>
          <w:rFonts w:ascii="Arial" w:cs="Arial" w:eastAsia="Arial" w:hAnsi="Arial"/>
          <w:sz w:val="14"/>
          <w:szCs w:val="14"/>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 For the six months ended December 31, 2017 and 2016, revenues from our customized IT solution services were approximately USD$0.5 million and USD$0.8 million, respectively. Revenues from our customized IT solution service accounted for 2.4% and 5.3% of our total revenues for the six months ended December 31, 2017 and 2016, respectively.</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00"/>
          </w:cols>
          <w:pgMar w:left="220" w:top="213" w:right="3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324725" cy="920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9207500"/>
                    </a:xfrm>
                    <a:prstGeom prst="rect">
                      <a:avLst/>
                    </a:prstGeom>
                    <a:noFill/>
                  </pic:spPr>
                </pic:pic>
              </a:graphicData>
            </a:graphic>
          </wp:anchor>
        </w:drawing>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Other Services</w:t>
      </w:r>
    </w:p>
    <w:p>
      <w:pPr>
        <w:spacing w:after="0" w:line="176" w:lineRule="exact"/>
        <w:rPr>
          <w:sz w:val="20"/>
          <w:szCs w:val="20"/>
          <w:color w:val="auto"/>
        </w:rPr>
      </w:pPr>
    </w:p>
    <w:p>
      <w:pPr>
        <w:ind w:left="80" w:right="80" w:firstLine="505"/>
        <w:spacing w:after="0" w:line="286" w:lineRule="auto"/>
        <w:rPr>
          <w:sz w:val="20"/>
          <w:szCs w:val="20"/>
          <w:color w:val="auto"/>
        </w:rPr>
      </w:pPr>
      <w:r>
        <w:rPr>
          <w:rFonts w:ascii="Arial" w:cs="Arial" w:eastAsia="Arial" w:hAnsi="Arial"/>
          <w:sz w:val="13"/>
          <w:szCs w:val="13"/>
          <w:i w:val="1"/>
          <w:iCs w:val="1"/>
          <w:color w:val="auto"/>
        </w:rPr>
        <w:t xml:space="preserve">CLPS Virtual Banking Platform (CLB) – </w:t>
      </w:r>
      <w:r>
        <w:rPr>
          <w:rFonts w:ascii="Arial" w:cs="Arial" w:eastAsia="Arial" w:hAnsi="Arial"/>
          <w:sz w:val="13"/>
          <w:szCs w:val="13"/>
          <w:color w:val="auto"/>
        </w:rPr>
        <w:t>CLB is a unique and successful training platform for IT talents owned by CLPS. For more than ten years, we have been focusing on recruiting,</w:t>
      </w:r>
      <w:r>
        <w:rPr>
          <w:rFonts w:ascii="Arial" w:cs="Arial" w:eastAsia="Arial" w:hAnsi="Arial"/>
          <w:sz w:val="13"/>
          <w:szCs w:val="13"/>
          <w:i w:val="1"/>
          <w:iCs w:val="1"/>
          <w:color w:val="auto"/>
        </w:rPr>
        <w:t xml:space="preserve"> </w:t>
      </w:r>
      <w:r>
        <w:rPr>
          <w:rFonts w:ascii="Arial" w:cs="Arial" w:eastAsia="Arial" w:hAnsi="Arial"/>
          <w:sz w:val="13"/>
          <w:szCs w:val="13"/>
          <w:color w:val="auto"/>
        </w:rPr>
        <w:t>training, 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66" w:lineRule="exact"/>
        <w:rPr>
          <w:sz w:val="20"/>
          <w:szCs w:val="20"/>
          <w:color w:val="auto"/>
        </w:rPr>
      </w:pPr>
    </w:p>
    <w:p>
      <w:pPr>
        <w:ind w:left="80" w:right="180" w:firstLine="505"/>
        <w:spacing w:after="0" w:line="293" w:lineRule="auto"/>
        <w:rPr>
          <w:sz w:val="20"/>
          <w:szCs w:val="20"/>
          <w:color w:val="auto"/>
        </w:rPr>
      </w:pPr>
      <w:r>
        <w:rPr>
          <w:rFonts w:ascii="Arial" w:cs="Arial" w:eastAsia="Arial" w:hAnsi="Arial"/>
          <w:sz w:val="13"/>
          <w:szCs w:val="13"/>
          <w:color w:val="auto"/>
        </w:rPr>
        <w:t>In fiscal years 2017 and 2016, revenue from other services was approximately USD$0.4 million and USD$0.08 million, respectively. Revenues from other services accounted for 1.2% and 0.3% of our total revenues in fiscal years 2017 and 2016, respectively. For six months ended December 31, 2017 and 2016, revenue from other services was approximately USD$0.04 million and USD$0.3 million, respectively. Revenues from other services accounted for 0.2% and 2% of our total revenues for six months ended December 31, 2017 and 2016, respectively.</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Research and Development</w:t>
      </w:r>
    </w:p>
    <w:p>
      <w:pPr>
        <w:spacing w:after="0" w:line="117" w:lineRule="exact"/>
        <w:rPr>
          <w:sz w:val="20"/>
          <w:szCs w:val="20"/>
          <w:color w:val="auto"/>
        </w:rPr>
      </w:pPr>
    </w:p>
    <w:p>
      <w:pPr>
        <w:ind w:left="80" w:right="240" w:firstLine="505"/>
        <w:spacing w:after="0" w:line="277" w:lineRule="auto"/>
        <w:rPr>
          <w:sz w:val="20"/>
          <w:szCs w:val="20"/>
          <w:color w:val="auto"/>
        </w:rPr>
      </w:pPr>
      <w:r>
        <w:rPr>
          <w:rFonts w:ascii="Arial" w:cs="Arial" w:eastAsia="Arial" w:hAnsi="Arial"/>
          <w:sz w:val="14"/>
          <w:szCs w:val="14"/>
          <w:color w:val="auto"/>
        </w:rPr>
        <w:t>R&amp;D is an integral part of our continued growth. In order to serve our Chinese and global clients’ needs better, we focus on exploring and researching new and advanced technologies and how to integrate them into our existing and new solutions.</w:t>
      </w:r>
    </w:p>
    <w:p>
      <w:pPr>
        <w:spacing w:after="0" w:line="70" w:lineRule="exact"/>
        <w:rPr>
          <w:sz w:val="20"/>
          <w:szCs w:val="20"/>
          <w:color w:val="auto"/>
        </w:rPr>
      </w:pPr>
    </w:p>
    <w:p>
      <w:pPr>
        <w:ind w:left="80" w:firstLine="505"/>
        <w:spacing w:after="0" w:line="255" w:lineRule="auto"/>
        <w:rPr>
          <w:sz w:val="20"/>
          <w:szCs w:val="20"/>
          <w:color w:val="auto"/>
        </w:rPr>
      </w:pPr>
      <w:r>
        <w:rPr>
          <w:rFonts w:ascii="Arial" w:cs="Arial" w:eastAsia="Arial" w:hAnsi="Arial"/>
          <w:sz w:val="14"/>
          <w:szCs w:val="14"/>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offerings by improving existing solutions and inventing new solutions, which drive new revenue opportunities and improve our core competency.</w:t>
      </w:r>
    </w:p>
    <w:p>
      <w:pPr>
        <w:spacing w:after="0" w:line="86" w:lineRule="exact"/>
        <w:rPr>
          <w:sz w:val="20"/>
          <w:szCs w:val="20"/>
          <w:color w:val="auto"/>
        </w:rPr>
      </w:pPr>
    </w:p>
    <w:p>
      <w:pPr>
        <w:jc w:val="both"/>
        <w:ind w:left="80" w:right="40" w:firstLine="505"/>
        <w:spacing w:after="0" w:line="264" w:lineRule="auto"/>
        <w:rPr>
          <w:sz w:val="20"/>
          <w:szCs w:val="20"/>
          <w:color w:val="auto"/>
        </w:rPr>
      </w:pPr>
      <w:r>
        <w:rPr>
          <w:rFonts w:ascii="Arial" w:cs="Arial" w:eastAsia="Arial" w:hAnsi="Arial"/>
          <w:sz w:val="14"/>
          <w:szCs w:val="14"/>
          <w:color w:val="auto"/>
        </w:rPr>
        <w:t>During fiscal years 2017 and 2016, our R&amp;D expense were approximately USD$4.2 million and USD$5.6 million, respectively, representing 13.5% and 19.2% of our total revenues for fiscal years 2017 and 2016, respectively. During six months ended December 2017 and 2016, our R&amp;D expense were approximately USD$3.6 million and USD$2.0 million, respectively, representing 16% and 14% of our total revenues for six months ended December 31, 2017 and 2016, respectively.</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Significant Customers</w:t>
      </w:r>
    </w:p>
    <w:p>
      <w:pPr>
        <w:spacing w:after="0" w:line="117" w:lineRule="exact"/>
        <w:rPr>
          <w:sz w:val="20"/>
          <w:szCs w:val="20"/>
          <w:color w:val="auto"/>
        </w:rPr>
      </w:pPr>
    </w:p>
    <w:p>
      <w:pPr>
        <w:ind w:left="80" w:right="180" w:firstLine="505"/>
        <w:spacing w:after="0" w:line="302" w:lineRule="auto"/>
        <w:rPr>
          <w:sz w:val="20"/>
          <w:szCs w:val="20"/>
          <w:color w:val="auto"/>
        </w:rPr>
      </w:pPr>
      <w:r>
        <w:rPr>
          <w:rFonts w:ascii="Arial" w:cs="Arial" w:eastAsia="Arial" w:hAnsi="Arial"/>
          <w:sz w:val="12"/>
          <w:szCs w:val="12"/>
          <w:color w:val="auto"/>
        </w:rPr>
        <w:t>We believe that in the foreseeable future we will continue to derive a significant portion of our revenues from a small number of major clients. For the years ended June 30, 2017 and 2016, Citibank and its affiliates accounted for 38.6% and 59.2% of the Company’s total revenues, respectively. For the same fiscal periods, Citibank and eBay, accounted in the aggregate for 53.9% and</w:t>
      </w:r>
    </w:p>
    <w:p>
      <w:pPr>
        <w:ind w:left="80"/>
        <w:spacing w:after="0" w:line="261" w:lineRule="auto"/>
        <w:rPr>
          <w:sz w:val="20"/>
          <w:szCs w:val="20"/>
          <w:color w:val="auto"/>
        </w:rPr>
      </w:pPr>
      <w:r>
        <w:rPr>
          <w:rFonts w:ascii="Arial" w:cs="Arial" w:eastAsia="Arial" w:hAnsi="Arial"/>
          <w:sz w:val="14"/>
          <w:szCs w:val="14"/>
          <w:color w:val="auto"/>
        </w:rPr>
        <w:t>71.6% of the Company’s total revenues, respectively. For the six months ended December 31, 2017 and 2016, Citibank and its affiliates accounted for 30.7% and 41% of the Company’s total revenues, respectively. For the same periods, Citibank and eBay, accounted in the aggregate for 40.3% and 56.5% of the Company’s total revenues, respectively.</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Industry and Market Background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Businesses, both domestically in China and globally, are outsourcing a growing portion of their IT services and business processes to China-based IT providers.</w:t>
      </w:r>
    </w:p>
    <w:p>
      <w:pPr>
        <w:spacing w:after="0" w:line="113" w:lineRule="exact"/>
        <w:rPr>
          <w:sz w:val="20"/>
          <w:szCs w:val="20"/>
          <w:color w:val="auto"/>
        </w:rPr>
      </w:pPr>
    </w:p>
    <w:p>
      <w:pPr>
        <w:ind w:left="80" w:right="20" w:firstLine="505"/>
        <w:spacing w:after="0" w:line="317" w:lineRule="auto"/>
        <w:rPr>
          <w:sz w:val="20"/>
          <w:szCs w:val="20"/>
          <w:color w:val="auto"/>
        </w:rPr>
      </w:pPr>
      <w:r>
        <w:rPr>
          <w:rFonts w:ascii="Arial" w:cs="Arial" w:eastAsia="Arial" w:hAnsi="Arial"/>
          <w:sz w:val="13"/>
          <w:szCs w:val="13"/>
          <w:color w:val="auto"/>
        </w:rPr>
        <w:t>According to PRC’s Ministry of Industry and Information Technology (MIIT) data, the software industry revenues reached RMB 4.9 trillion (USD$723 billion) in 2016. IT service market has developed and grown rapidly in recent years with the revenue reached RMB 2.5 trillion (USD$369 billion) in 2016, accounting for 51.8% of the whole software industry.</w:t>
      </w:r>
    </w:p>
    <w:p>
      <w:pPr>
        <w:sectPr>
          <w:pgSz w:w="11900" w:h="16838" w:orient="portrait"/>
          <w:cols w:equalWidth="0" w:num="1">
            <w:col w:w="11300"/>
          </w:cols>
          <w:pgMar w:left="220" w:top="213" w:right="379" w:bottom="8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00"/>
          </w:cols>
          <w:pgMar w:left="220" w:top="213" w:right="379" w:bottom="894"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22490" cy="510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5104765"/>
                    </a:xfrm>
                    <a:prstGeom prst="rect">
                      <a:avLst/>
                    </a:prstGeom>
                    <a:noFill/>
                  </pic:spPr>
                </pic:pic>
              </a:graphicData>
            </a:graphic>
          </wp:anchor>
        </w:drawing>
      </w:r>
    </w:p>
    <w:p>
      <w:pPr>
        <w:spacing w:after="0" w:line="39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Financial institutions/banking IT services market is composed of software and services, which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Data source: Wind Terminal</w:t>
      </w:r>
    </w:p>
    <w:p>
      <w:pPr>
        <w:spacing w:after="0" w:line="176" w:lineRule="exact"/>
        <w:rPr>
          <w:sz w:val="20"/>
          <w:szCs w:val="20"/>
          <w:color w:val="auto"/>
        </w:rPr>
      </w:pPr>
    </w:p>
    <w:p>
      <w:pPr>
        <w:ind w:left="80" w:right="80" w:firstLine="505"/>
        <w:spacing w:after="0" w:line="254" w:lineRule="auto"/>
        <w:rPr>
          <w:sz w:val="20"/>
          <w:szCs w:val="20"/>
          <w:color w:val="auto"/>
        </w:rPr>
      </w:pPr>
      <w:r>
        <w:rPr>
          <w:rFonts w:ascii="Arial" w:cs="Arial" w:eastAsia="Arial" w:hAnsi="Arial"/>
          <w:sz w:val="14"/>
          <w:szCs w:val="14"/>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comprised the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152" w:lineRule="exact"/>
        <w:rPr>
          <w:sz w:val="20"/>
          <w:szCs w:val="20"/>
          <w:color w:val="auto"/>
        </w:rPr>
      </w:pPr>
    </w:p>
    <w:p>
      <w:pPr>
        <w:ind w:left="80" w:firstLine="505"/>
        <w:spacing w:after="0" w:line="257" w:lineRule="auto"/>
        <w:rPr>
          <w:sz w:val="20"/>
          <w:szCs w:val="20"/>
          <w:color w:val="auto"/>
        </w:rPr>
      </w:pPr>
      <w:r>
        <w:rPr>
          <w:rFonts w:ascii="Arial" w:cs="Arial" w:eastAsia="Arial" w:hAnsi="Arial"/>
          <w:sz w:val="14"/>
          <w:szCs w:val="14"/>
          <w:color w:val="auto"/>
        </w:rPr>
        <w:t>There are several factors driving the overall growth of China’s IT services industry, including the rapid growth of China’s economy and domestic demand for IT services, the strategic importance of China as a target market for global clients, strong offshore outsourcing demand, availability of low-cost qualified IT professionals with global and regional language skills, well-developed infrastructure in China and strong government support and spending. We believe that the market development trends include a growing emphasis on big data services, innovation in channel solutions, risk management and prevention, more customer-oriented services, and globalization of the financial services industry. We believe we are well positioned to capture the significant market opportunities in the IT services industry both in China and globally.</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260"/>
          </w:cols>
          <w:pgMar w:left="220" w:top="213" w:right="4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22490" cy="4048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4048760"/>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Our Strategies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We have developed and intend to implement the following strategies to expand and grow the size of our Company:</w:t>
      </w:r>
    </w:p>
    <w:p>
      <w:pPr>
        <w:spacing w:after="0" w:line="176" w:lineRule="exact"/>
        <w:rPr>
          <w:sz w:val="20"/>
          <w:szCs w:val="20"/>
          <w:color w:val="auto"/>
        </w:rPr>
      </w:pPr>
    </w:p>
    <w:p>
      <w:pPr>
        <w:ind w:left="80" w:firstLine="503"/>
        <w:spacing w:after="0" w:line="257" w:lineRule="auto"/>
        <w:tabs>
          <w:tab w:leader="none" w:pos="845"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Grow revenue with existing and new clients </w:t>
      </w:r>
      <w:r>
        <w:rPr>
          <w:rFonts w:ascii="Arial" w:cs="Arial" w:eastAsia="Arial" w:hAnsi="Arial"/>
          <w:sz w:val="14"/>
          <w:szCs w:val="14"/>
          <w:color w:val="auto"/>
        </w:rPr>
        <w:t>- We intend to pursue additional revenue opportunities from existing Chinese and global clients, which include many of the leading</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Chinese and global markets to benefit both groups of clients.</w:t>
      </w:r>
    </w:p>
    <w:p>
      <w:pPr>
        <w:spacing w:after="0" w:line="148" w:lineRule="exact"/>
        <w:rPr>
          <w:rFonts w:ascii="Arial" w:cs="Arial" w:eastAsia="Arial" w:hAnsi="Arial"/>
          <w:sz w:val="14"/>
          <w:szCs w:val="14"/>
          <w:color w:val="auto"/>
        </w:rPr>
      </w:pPr>
    </w:p>
    <w:p>
      <w:pPr>
        <w:ind w:left="80" w:right="100" w:firstLine="503"/>
        <w:spacing w:after="0" w:line="286" w:lineRule="auto"/>
        <w:tabs>
          <w:tab w:leader="none" w:pos="845"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Continue to invest in research and development, deepen domain expertise and develop specific solutions for target industry verticals </w:t>
      </w:r>
      <w:r>
        <w:rPr>
          <w:rFonts w:ascii="Arial" w:cs="Arial" w:eastAsia="Arial" w:hAnsi="Arial"/>
          <w:sz w:val="13"/>
          <w:szCs w:val="13"/>
          <w:color w:val="auto"/>
        </w:rPr>
        <w:t>- We will continue to enhance our domain</w:t>
      </w:r>
      <w:r>
        <w:rPr>
          <w:rFonts w:ascii="Arial" w:cs="Arial" w:eastAsia="Arial" w:hAnsi="Arial"/>
          <w:sz w:val="13"/>
          <w:szCs w:val="13"/>
          <w:i w:val="1"/>
          <w:iCs w:val="1"/>
          <w:color w:val="auto"/>
        </w:rPr>
        <w:t xml:space="preserve"> </w:t>
      </w:r>
      <w:r>
        <w:rPr>
          <w:rFonts w:ascii="Arial" w:cs="Arial" w:eastAsia="Arial" w:hAnsi="Arial"/>
          <w:sz w:val="13"/>
          <w:szCs w:val="13"/>
          <w:color w:val="auto"/>
        </w:rPr>
        <w:t>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29" w:lineRule="exact"/>
        <w:rPr>
          <w:rFonts w:ascii="Arial" w:cs="Arial" w:eastAsia="Arial" w:hAnsi="Arial"/>
          <w:sz w:val="13"/>
          <w:szCs w:val="13"/>
          <w:color w:val="auto"/>
        </w:rPr>
      </w:pPr>
    </w:p>
    <w:p>
      <w:pPr>
        <w:ind w:left="80" w:right="20" w:firstLine="503"/>
        <w:spacing w:after="0" w:line="254" w:lineRule="auto"/>
        <w:tabs>
          <w:tab w:leader="none" w:pos="845"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Continue to invest in training and development of our world-class human capital base </w:t>
      </w:r>
      <w:r>
        <w:rPr>
          <w:rFonts w:ascii="Arial" w:cs="Arial" w:eastAsia="Arial" w:hAnsi="Arial"/>
          <w:sz w:val="14"/>
          <w:szCs w:val="14"/>
          <w:color w:val="auto"/>
        </w:rPr>
        <w:t>- We place a high priority on attracting, training, developing and retaining our human capital base</w:t>
      </w:r>
      <w:r>
        <w:rPr>
          <w:rFonts w:ascii="Arial" w:cs="Arial" w:eastAsia="Arial" w:hAnsi="Arial"/>
          <w:sz w:val="14"/>
          <w:szCs w:val="14"/>
          <w:i w:val="1"/>
          <w:iCs w:val="1"/>
          <w:color w:val="auto"/>
        </w:rPr>
        <w:t xml:space="preserve"> </w:t>
      </w:r>
      <w:r>
        <w:rPr>
          <w:rFonts w:ascii="Arial" w:cs="Arial" w:eastAsia="Arial" w:hAnsi="Arial"/>
          <w:sz w:val="14"/>
          <w:szCs w:val="14"/>
          <w:color w:val="auto"/>
        </w:rPr>
        <w:t>to be increasingly competitive. We will continue to build our professional talent pool through our Talent Creation Program (“TCP”) and Talent Development Program (“TDP”) to ensure the sustainable supply of financial IT talent resources. These programs are the results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50" w:lineRule="exact"/>
        <w:rPr>
          <w:rFonts w:ascii="Arial" w:cs="Arial" w:eastAsia="Arial" w:hAnsi="Arial"/>
          <w:sz w:val="14"/>
          <w:szCs w:val="14"/>
          <w:color w:val="auto"/>
        </w:rPr>
      </w:pPr>
    </w:p>
    <w:p>
      <w:pPr>
        <w:ind w:left="80" w:right="100" w:firstLine="503"/>
        <w:spacing w:after="0" w:line="282" w:lineRule="auto"/>
        <w:tabs>
          <w:tab w:leader="none" w:pos="845"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Drive efficiencies through ongoing improvements in operational excellence </w:t>
      </w:r>
      <w:r>
        <w:rPr>
          <w:rFonts w:ascii="Arial" w:cs="Arial" w:eastAsia="Arial" w:hAnsi="Arial"/>
          <w:sz w:val="13"/>
          <w:szCs w:val="13"/>
          <w:color w:val="auto"/>
        </w:rPr>
        <w:t>- We strive to gain significant operating efficiencies by leveraging historical and ongoing investments in</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31" w:lineRule="exact"/>
        <w:rPr>
          <w:rFonts w:ascii="Arial" w:cs="Arial" w:eastAsia="Arial" w:hAnsi="Arial"/>
          <w:sz w:val="13"/>
          <w:szCs w:val="13"/>
          <w:color w:val="auto"/>
        </w:rPr>
      </w:pPr>
    </w:p>
    <w:p>
      <w:pPr>
        <w:ind w:left="80" w:right="40" w:firstLine="503"/>
        <w:spacing w:after="0" w:line="259" w:lineRule="auto"/>
        <w:tabs>
          <w:tab w:leader="none" w:pos="845"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Capture new growth opportunities through strategic alliances and acquisitions </w:t>
      </w:r>
      <w:r>
        <w:rPr>
          <w:rFonts w:ascii="Arial" w:cs="Arial" w:eastAsia="Arial" w:hAnsi="Arial"/>
          <w:sz w:val="14"/>
          <w:szCs w:val="14"/>
          <w:color w:val="auto"/>
        </w:rPr>
        <w:t>- We will continue to pursue selective alliances and acquisitions in order to enhance our industry-specific</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240"/>
          </w:cols>
          <w:pgMar w:left="220" w:top="213" w:right="4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22490" cy="637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6374130"/>
                    </a:xfrm>
                    <a:prstGeom prst="rect">
                      <a:avLst/>
                    </a:prstGeom>
                    <a:noFill/>
                  </pic:spPr>
                </pic:pic>
              </a:graphicData>
            </a:graphic>
          </wp:anchor>
        </w:drawing>
      </w:r>
    </w:p>
    <w:p>
      <w:pPr>
        <w:spacing w:after="0" w:line="31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Our Competitive Strengths</w:t>
      </w:r>
    </w:p>
    <w:p>
      <w:pPr>
        <w:spacing w:after="0" w:line="180" w:lineRule="exact"/>
        <w:rPr>
          <w:sz w:val="20"/>
          <w:szCs w:val="20"/>
          <w:color w:val="auto"/>
        </w:rPr>
      </w:pPr>
    </w:p>
    <w:p>
      <w:pPr>
        <w:ind w:left="80" w:right="340" w:firstLine="505"/>
        <w:spacing w:after="0" w:line="277" w:lineRule="auto"/>
        <w:rPr>
          <w:sz w:val="20"/>
          <w:szCs w:val="20"/>
          <w:color w:val="auto"/>
        </w:rPr>
      </w:pPr>
      <w:r>
        <w:rPr>
          <w:rFonts w:ascii="Arial" w:cs="Arial" w:eastAsia="Arial" w:hAnsi="Arial"/>
          <w:sz w:val="14"/>
          <w:szCs w:val="14"/>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We believe that there are several key strengths that differentiate us from our competitors and will continue to contribute to our growth and success.</w:t>
      </w:r>
    </w:p>
    <w:p>
      <w:pPr>
        <w:spacing w:after="0" w:line="176" w:lineRule="exact"/>
        <w:rPr>
          <w:sz w:val="20"/>
          <w:szCs w:val="20"/>
          <w:color w:val="auto"/>
        </w:rPr>
      </w:pPr>
    </w:p>
    <w:p>
      <w:pPr>
        <w:ind w:left="80" w:right="40" w:firstLine="505"/>
        <w:spacing w:after="0" w:line="275" w:lineRule="auto"/>
        <w:rPr>
          <w:sz w:val="20"/>
          <w:szCs w:val="20"/>
          <w:color w:val="auto"/>
        </w:rPr>
      </w:pPr>
      <w:r>
        <w:rPr>
          <w:rFonts w:ascii="Arial" w:cs="Arial" w:eastAsia="Arial" w:hAnsi="Arial"/>
          <w:sz w:val="13"/>
          <w:szCs w:val="13"/>
          <w:color w:val="auto"/>
        </w:rPr>
        <w:t>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136" w:lineRule="exact"/>
        <w:rPr>
          <w:sz w:val="20"/>
          <w:szCs w:val="20"/>
          <w:color w:val="auto"/>
        </w:rPr>
      </w:pPr>
    </w:p>
    <w:p>
      <w:pPr>
        <w:ind w:left="80" w:right="100" w:firstLine="505"/>
        <w:spacing w:after="0" w:line="328" w:lineRule="auto"/>
        <w:rPr>
          <w:sz w:val="20"/>
          <w:szCs w:val="20"/>
          <w:color w:val="auto"/>
        </w:rPr>
      </w:pPr>
      <w:r>
        <w:rPr>
          <w:rFonts w:ascii="Arial" w:cs="Arial" w:eastAsia="Arial" w:hAnsi="Arial"/>
          <w:sz w:val="12"/>
          <w:szCs w:val="12"/>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08" w:lineRule="exact"/>
        <w:rPr>
          <w:sz w:val="20"/>
          <w:szCs w:val="20"/>
          <w:color w:val="auto"/>
        </w:rPr>
      </w:pPr>
    </w:p>
    <w:p>
      <w:pPr>
        <w:ind w:left="80" w:right="20" w:firstLine="505"/>
        <w:spacing w:after="0" w:line="264" w:lineRule="auto"/>
        <w:rPr>
          <w:sz w:val="20"/>
          <w:szCs w:val="20"/>
          <w:color w:val="auto"/>
        </w:rPr>
      </w:pPr>
      <w:r>
        <w:rPr>
          <w:rFonts w:ascii="Arial" w:cs="Arial" w:eastAsia="Arial" w:hAnsi="Arial"/>
          <w:sz w:val="14"/>
          <w:szCs w:val="14"/>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58" w:lineRule="exact"/>
        <w:rPr>
          <w:sz w:val="20"/>
          <w:szCs w:val="20"/>
          <w:color w:val="auto"/>
        </w:rPr>
      </w:pPr>
    </w:p>
    <w:p>
      <w:pPr>
        <w:ind w:left="580" w:hanging="250"/>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core competency particularly in banking and insurance industry;</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deep domain knowledge and solutions in financial industry verticals;</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strategic engagements with financial blue-chip clients most of which have been with us since our inception;</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comprehensive service offerings including financial IT solutions &amp; consulting as well as other services;</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experienced senior management team with proven track record of success.</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Risks and Challenges</w:t>
      </w:r>
    </w:p>
    <w:p>
      <w:pPr>
        <w:spacing w:after="0" w:line="75" w:lineRule="exact"/>
        <w:rPr>
          <w:sz w:val="20"/>
          <w:szCs w:val="20"/>
          <w:color w:val="auto"/>
        </w:rPr>
      </w:pPr>
    </w:p>
    <w:p>
      <w:pPr>
        <w:ind w:left="80" w:firstLine="505"/>
        <w:spacing w:after="0" w:line="277" w:lineRule="auto"/>
        <w:rPr>
          <w:sz w:val="20"/>
          <w:szCs w:val="20"/>
          <w:color w:val="auto"/>
        </w:rPr>
      </w:pPr>
      <w:r>
        <w:rPr>
          <w:rFonts w:ascii="Arial" w:cs="Arial" w:eastAsia="Arial" w:hAnsi="Arial"/>
          <w:sz w:val="14"/>
          <w:szCs w:val="14"/>
          <w:color w:val="auto"/>
        </w:rPr>
        <w:t>Our prospects should be considered in light of the risks, uncertainties, expenses and difficulties frequently encountered by similar companies. Our ability to realize our business objectives and execute our strategies is subject to risks and uncertainties, including, among others, the following:</w:t>
      </w:r>
    </w:p>
    <w:p>
      <w:pPr>
        <w:spacing w:after="0" w:line="133" w:lineRule="exact"/>
        <w:rPr>
          <w:sz w:val="20"/>
          <w:szCs w:val="20"/>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inability to effectively manage our rapid growth, which could place significant strain on our management personnel, systems and resources</w:t>
      </w:r>
    </w:p>
    <w:p>
      <w:pPr>
        <w:spacing w:after="0" w:line="81"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adverse changes in the economic environment either in China or globally</w:t>
      </w:r>
    </w:p>
    <w:p>
      <w:pPr>
        <w:spacing w:after="0" w:line="81"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intense competition from onshore and offshore IT services companies</w:t>
      </w:r>
    </w:p>
    <w:p>
      <w:pPr>
        <w:spacing w:after="0" w:line="81"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intense competition for highly skilled personnel</w:t>
      </w:r>
    </w:p>
    <w:p>
      <w:pPr>
        <w:spacing w:after="0" w:line="81" w:lineRule="exact"/>
        <w:rPr>
          <w:rFonts w:ascii="Arial" w:cs="Arial" w:eastAsia="Arial" w:hAnsi="Arial"/>
          <w:sz w:val="14"/>
          <w:szCs w:val="14"/>
          <w:color w:val="auto"/>
        </w:rPr>
      </w:pPr>
    </w:p>
    <w:p>
      <w:pPr>
        <w:ind w:left="580" w:right="700" w:hanging="250"/>
        <w:spacing w:after="0" w:line="277"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reliance on a relatively small number of major clients, including Citibank and its affiliates accounted for 38.6% and 59.2% of our total revenue for fiscal years 2017 and 2016, respectively.</w:t>
      </w:r>
    </w:p>
    <w:p>
      <w:pPr>
        <w:spacing w:after="0" w:line="38"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anticipate and develop new services and enhance existing services to keep pace with rapid changes in technology</w:t>
      </w:r>
    </w:p>
    <w:p>
      <w:pPr>
        <w:spacing w:after="0" w:line="81"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inability to integrate or manage acquired companies efficiently</w:t>
      </w:r>
    </w:p>
    <w:p>
      <w:pPr>
        <w:spacing w:after="0" w:line="81"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attract new clients for our services and/or growing revenues from existing clients</w:t>
      </w:r>
    </w:p>
    <w:p>
      <w:pPr>
        <w:spacing w:after="0" w:line="81"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2"/>
          <w:szCs w:val="12"/>
          <w:color w:val="auto"/>
        </w:rPr>
      </w:pPr>
      <w:r>
        <w:rPr>
          <w:rFonts w:ascii="Arial" w:cs="Arial" w:eastAsia="Arial" w:hAnsi="Arial"/>
          <w:sz w:val="12"/>
          <w:szCs w:val="12"/>
          <w:color w:val="auto"/>
        </w:rPr>
        <w:t>risks associated with having a long selling and implementation cycle for our services that require us to make significant resource commitments prior to realizing revenues for those services</w:t>
      </w:r>
    </w:p>
    <w:p>
      <w:pPr>
        <w:spacing w:after="0" w:line="104" w:lineRule="exact"/>
        <w:rPr>
          <w:rFonts w:ascii="Arial" w:cs="Arial" w:eastAsia="Arial" w:hAnsi="Arial"/>
          <w:sz w:val="12"/>
          <w:szCs w:val="12"/>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increases in wages for professionals in China</w:t>
      </w:r>
    </w:p>
    <w:p>
      <w:pPr>
        <w:spacing w:after="0" w:line="81" w:lineRule="exact"/>
        <w:rPr>
          <w:rFonts w:ascii="Arial" w:cs="Arial" w:eastAsia="Arial" w:hAnsi="Arial"/>
          <w:sz w:val="14"/>
          <w:szCs w:val="14"/>
          <w:color w:val="auto"/>
        </w:rPr>
      </w:pPr>
    </w:p>
    <w:p>
      <w:pPr>
        <w:ind w:left="580" w:hanging="250"/>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international nature of our business</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00"/>
          </w:cols>
          <w:pgMar w:left="220" w:top="213" w:right="3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22490" cy="6801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6801485"/>
                    </a:xfrm>
                    <a:prstGeom prst="rect">
                      <a:avLst/>
                    </a:prstGeom>
                    <a:noFill/>
                  </pic:spPr>
                </pic:pic>
              </a:graphicData>
            </a:graphic>
          </wp:anchor>
        </w:drawing>
      </w:r>
    </w:p>
    <w:p>
      <w:pPr>
        <w:spacing w:after="0" w:line="229" w:lineRule="exact"/>
        <w:rPr>
          <w:sz w:val="20"/>
          <w:szCs w:val="20"/>
          <w:color w:val="auto"/>
        </w:rPr>
      </w:pPr>
    </w:p>
    <w:p>
      <w:pPr>
        <w:ind w:left="580" w:hanging="250"/>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risks related to unauthorized disclosure of sensitive and confidential information</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risks related to intellectual property infringement claims</w:t>
      </w:r>
    </w:p>
    <w:p>
      <w:pPr>
        <w:spacing w:after="0" w:line="175" w:lineRule="exact"/>
        <w:rPr>
          <w:rFonts w:ascii="Arial" w:cs="Arial" w:eastAsia="Arial" w:hAnsi="Arial"/>
          <w:sz w:val="14"/>
          <w:szCs w:val="14"/>
          <w:color w:val="auto"/>
        </w:rPr>
      </w:pPr>
    </w:p>
    <w:p>
      <w:pPr>
        <w:ind w:left="580" w:right="180" w:hanging="250"/>
        <w:spacing w:after="0" w:line="277"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risks related to material weakness in our internal control over financial reporting such that if we fail to develop and maintain an effective system of internal control over financial reporting, we may be unable to accurately report our financial results or prevent fraud.</w:t>
      </w:r>
    </w:p>
    <w:p>
      <w:pPr>
        <w:spacing w:after="0" w:line="133" w:lineRule="exact"/>
        <w:rPr>
          <w:rFonts w:ascii="Arial" w:cs="Arial" w:eastAsia="Arial" w:hAnsi="Arial"/>
          <w:sz w:val="14"/>
          <w:szCs w:val="14"/>
          <w:color w:val="auto"/>
        </w:rPr>
      </w:pPr>
    </w:p>
    <w:p>
      <w:pPr>
        <w:ind w:left="580" w:hanging="250"/>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losses resulting from business interruptions resulting from occurrence of natural disasters, health epidemics and other outbreaks or events</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fluctuation in the value of the Renminbi and other currencies</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disruptions in telecommunications or significant failure in our IT systems that could harm our service model</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vulnerabilities to security risks that could disrupt our services and adversely affect our results of operations</w:t>
      </w:r>
    </w:p>
    <w:p>
      <w:pPr>
        <w:spacing w:after="0" w:line="176" w:lineRule="exact"/>
        <w:rPr>
          <w:sz w:val="20"/>
          <w:szCs w:val="20"/>
          <w:color w:val="auto"/>
        </w:rPr>
      </w:pPr>
    </w:p>
    <w:p>
      <w:pPr>
        <w:ind w:left="80" w:firstLine="505"/>
        <w:spacing w:after="0" w:line="277" w:lineRule="auto"/>
        <w:rPr>
          <w:sz w:val="20"/>
          <w:szCs w:val="20"/>
          <w:color w:val="auto"/>
        </w:rPr>
      </w:pPr>
      <w:r>
        <w:rPr>
          <w:rFonts w:ascii="Arial" w:cs="Arial" w:eastAsia="Arial" w:hAnsi="Arial"/>
          <w:sz w:val="14"/>
          <w:szCs w:val="14"/>
          <w:color w:val="auto"/>
        </w:rPr>
        <w:t>In addition, we face other risks and uncertainties that may materially affect our business prospect, financial condition, and results of operations. You should consider the risks discussed in “Risk Factors” and elsewhere in this prospectus before investing in our common shares.</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Corporate Information</w:t>
      </w:r>
    </w:p>
    <w:p>
      <w:pPr>
        <w:spacing w:after="0" w:line="180" w:lineRule="exact"/>
        <w:rPr>
          <w:sz w:val="20"/>
          <w:szCs w:val="20"/>
          <w:color w:val="auto"/>
        </w:rPr>
      </w:pPr>
    </w:p>
    <w:p>
      <w:pPr>
        <w:ind w:left="80" w:firstLine="505"/>
        <w:spacing w:after="0" w:line="277" w:lineRule="auto"/>
        <w:rPr>
          <w:sz w:val="20"/>
          <w:szCs w:val="20"/>
          <w:color w:val="auto"/>
        </w:rPr>
      </w:pPr>
      <w:r>
        <w:rPr>
          <w:rFonts w:ascii="Arial" w:cs="Arial" w:eastAsia="Arial" w:hAnsi="Arial"/>
          <w:sz w:val="14"/>
          <w:szCs w:val="14"/>
          <w:color w:val="auto"/>
        </w:rPr>
        <w:t xml:space="preserve">Our principal executive office is located at the 2nd Floor, Building 18, Shanghai Pudong Software Park, 498 Guoshoujing Road, Pudong, Shanghai 201203, PRC. Our telephone number is (+86)21-31268010. Our website is as follows www.clpsglobal.com. </w:t>
      </w:r>
      <w:r>
        <w:rPr>
          <w:rFonts w:ascii="Arial" w:cs="Arial" w:eastAsia="Arial" w:hAnsi="Arial"/>
          <w:sz w:val="14"/>
          <w:szCs w:val="14"/>
          <w:b w:val="1"/>
          <w:bCs w:val="1"/>
          <w:color w:val="auto"/>
        </w:rPr>
        <w:t>The information on our website is not part of this prospectus.</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Our Corporate Structure</w:t>
      </w:r>
    </w:p>
    <w:p>
      <w:pPr>
        <w:spacing w:after="0" w:line="180" w:lineRule="exact"/>
        <w:rPr>
          <w:sz w:val="20"/>
          <w:szCs w:val="20"/>
          <w:color w:val="auto"/>
        </w:rPr>
      </w:pPr>
    </w:p>
    <w:p>
      <w:pPr>
        <w:ind w:left="80" w:right="440" w:firstLine="505"/>
        <w:spacing w:after="0" w:line="277" w:lineRule="auto"/>
        <w:rPr>
          <w:sz w:val="20"/>
          <w:szCs w:val="20"/>
          <w:color w:val="auto"/>
        </w:rPr>
      </w:pPr>
      <w:r>
        <w:rPr>
          <w:rFonts w:ascii="Arial" w:cs="Arial" w:eastAsia="Arial" w:hAnsi="Arial"/>
          <w:sz w:val="14"/>
          <w:szCs w:val="14"/>
          <w:color w:val="auto"/>
        </w:rPr>
        <w:t>The following diagram illustrates our corporate structure as of the date of this prospectus. For more detail on our corporate history please refer to “Corporate History and Background” appearing on p. 53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00"/>
          </w:cols>
          <w:pgMar w:left="220" w:top="213" w:right="3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22490" cy="4369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436943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Emerging Growth Company Status</w:t>
      </w:r>
    </w:p>
    <w:p>
      <w:pPr>
        <w:spacing w:after="0" w:line="180" w:lineRule="exact"/>
        <w:rPr>
          <w:sz w:val="20"/>
          <w:szCs w:val="20"/>
          <w:color w:val="auto"/>
        </w:rPr>
      </w:pPr>
    </w:p>
    <w:p>
      <w:pPr>
        <w:ind w:left="80" w:firstLine="505"/>
        <w:spacing w:after="0" w:line="317" w:lineRule="auto"/>
        <w:rPr>
          <w:sz w:val="20"/>
          <w:szCs w:val="20"/>
          <w:color w:val="auto"/>
        </w:rPr>
      </w:pPr>
      <w:r>
        <w:rPr>
          <w:rFonts w:ascii="Arial" w:cs="Arial" w:eastAsia="Arial" w:hAnsi="Arial"/>
          <w:sz w:val="13"/>
          <w:szCs w:val="13"/>
          <w:color w:val="auto"/>
        </w:rPr>
        <w:t>As a company with less than $1.07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10" w:lineRule="exact"/>
        <w:rPr>
          <w:sz w:val="20"/>
          <w:szCs w:val="20"/>
          <w:color w:val="auto"/>
        </w:rPr>
      </w:pPr>
    </w:p>
    <w:p>
      <w:pPr>
        <w:ind w:left="580" w:right="560" w:hanging="250"/>
        <w:spacing w:after="0" w:line="277"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being permitted to present only two years of audited financial statements and only two years of related Management’s Discussion and Analysis of Financial Condition and Results of Operations in our SEC filings;</w:t>
      </w:r>
    </w:p>
    <w:p>
      <w:pPr>
        <w:spacing w:after="0" w:line="133" w:lineRule="exact"/>
        <w:rPr>
          <w:rFonts w:ascii="Arial" w:cs="Arial" w:eastAsia="Arial" w:hAnsi="Arial"/>
          <w:sz w:val="14"/>
          <w:szCs w:val="14"/>
          <w:color w:val="auto"/>
        </w:rPr>
      </w:pPr>
    </w:p>
    <w:p>
      <w:pPr>
        <w:ind w:left="580" w:hanging="250"/>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being required to comply with the auditor attestation requirements of Section 404 of the Sarbanes-Oxley Act;</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periodic reports, proxy statements and registration statements; and</w:t>
      </w:r>
    </w:p>
    <w:p>
      <w:pPr>
        <w:spacing w:after="0" w:line="175" w:lineRule="exact"/>
        <w:rPr>
          <w:rFonts w:ascii="Arial" w:cs="Arial" w:eastAsia="Arial" w:hAnsi="Arial"/>
          <w:sz w:val="14"/>
          <w:szCs w:val="14"/>
          <w:color w:val="auto"/>
        </w:rPr>
      </w:pPr>
    </w:p>
    <w:p>
      <w:pPr>
        <w:ind w:left="580" w:hanging="250"/>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exemptions from the requirements of holding a nonbinding advisory vote on executive compensation and stockholder approval of any golden parachute payments not previously approved.</w:t>
      </w:r>
    </w:p>
    <w:p>
      <w:pPr>
        <w:spacing w:after="0" w:line="199" w:lineRule="exact"/>
        <w:rPr>
          <w:sz w:val="20"/>
          <w:szCs w:val="20"/>
          <w:color w:val="auto"/>
        </w:rPr>
      </w:pPr>
    </w:p>
    <w:p>
      <w:pPr>
        <w:ind w:left="80" w:right="20" w:firstLine="505"/>
        <w:spacing w:after="0" w:line="259" w:lineRule="auto"/>
        <w:rPr>
          <w:sz w:val="20"/>
          <w:szCs w:val="20"/>
          <w:color w:val="auto"/>
        </w:rPr>
      </w:pPr>
      <w:r>
        <w:rPr>
          <w:rFonts w:ascii="Arial" w:cs="Arial" w:eastAsia="Arial" w:hAnsi="Arial"/>
          <w:sz w:val="14"/>
          <w:szCs w:val="14"/>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However, if certain events occur before the end of such five-year period, including if we become a “large accelerated filer,” our annual gross revenues exceed $1.07 billion or we issue more than $1.00 billion of non-convertible debt in any three-year period, we will cease to be an emerging growth company before the end of such five-year period.</w:t>
      </w:r>
    </w:p>
    <w:p>
      <w:pPr>
        <w:spacing w:after="0" w:line="147" w:lineRule="exact"/>
        <w:rPr>
          <w:sz w:val="20"/>
          <w:szCs w:val="20"/>
          <w:color w:val="auto"/>
        </w:rPr>
      </w:pPr>
    </w:p>
    <w:p>
      <w:pPr>
        <w:ind w:left="80" w:right="160" w:firstLine="505"/>
        <w:spacing w:after="0" w:line="264" w:lineRule="auto"/>
        <w:rPr>
          <w:sz w:val="20"/>
          <w:szCs w:val="20"/>
          <w:color w:val="auto"/>
        </w:rPr>
      </w:pPr>
      <w:r>
        <w:rPr>
          <w:rFonts w:ascii="Arial" w:cs="Arial" w:eastAsia="Arial" w:hAnsi="Arial"/>
          <w:sz w:val="14"/>
          <w:szCs w:val="14"/>
          <w:color w:val="auto"/>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Foreign Private Issuer Status</w:t>
      </w:r>
    </w:p>
    <w:p>
      <w:pPr>
        <w:spacing w:after="0" w:line="180" w:lineRule="exact"/>
        <w:rPr>
          <w:sz w:val="20"/>
          <w:szCs w:val="20"/>
          <w:color w:val="auto"/>
        </w:rPr>
      </w:pPr>
    </w:p>
    <w:p>
      <w:pPr>
        <w:ind w:left="80" w:firstLine="505"/>
        <w:spacing w:after="0" w:line="310" w:lineRule="auto"/>
        <w:rPr>
          <w:sz w:val="20"/>
          <w:szCs w:val="20"/>
          <w:color w:val="auto"/>
        </w:rPr>
      </w:pPr>
      <w:r>
        <w:rPr>
          <w:rFonts w:ascii="Arial" w:cs="Arial" w:eastAsia="Arial" w:hAnsi="Arial"/>
          <w:sz w:val="12"/>
          <w:szCs w:val="12"/>
          <w:color w:val="auto"/>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Notes on Prospectus Presentation</w:t>
      </w:r>
    </w:p>
    <w:p>
      <w:pPr>
        <w:spacing w:after="0" w:line="180" w:lineRule="exact"/>
        <w:rPr>
          <w:sz w:val="20"/>
          <w:szCs w:val="20"/>
          <w:color w:val="auto"/>
        </w:rPr>
      </w:pPr>
    </w:p>
    <w:p>
      <w:pPr>
        <w:ind w:left="80" w:right="20" w:firstLine="505"/>
        <w:spacing w:after="0" w:line="282" w:lineRule="auto"/>
        <w:rPr>
          <w:sz w:val="20"/>
          <w:szCs w:val="20"/>
          <w:color w:val="auto"/>
        </w:rPr>
      </w:pPr>
      <w:r>
        <w:rPr>
          <w:rFonts w:ascii="Arial" w:cs="Arial" w:eastAsia="Arial" w:hAnsi="Arial"/>
          <w:sz w:val="13"/>
          <w:szCs w:val="13"/>
          <w:color w:val="auto"/>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are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00"/>
          </w:cols>
          <w:pgMar w:left="220" w:top="213" w:right="3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22490" cy="6507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6507480"/>
                    </a:xfrm>
                    <a:prstGeom prst="rect">
                      <a:avLst/>
                    </a:prstGeom>
                    <a:noFill/>
                  </pic:spPr>
                </pic:pic>
              </a:graphicData>
            </a:graphic>
          </wp:anchor>
        </w:drawing>
      </w:r>
    </w:p>
    <w:p>
      <w:pPr>
        <w:spacing w:after="0" w:line="398" w:lineRule="exact"/>
        <w:rPr>
          <w:sz w:val="20"/>
          <w:szCs w:val="20"/>
          <w:color w:val="auto"/>
        </w:rPr>
      </w:pPr>
    </w:p>
    <w:p>
      <w:pPr>
        <w:ind w:left="580"/>
        <w:spacing w:after="0"/>
        <w:rPr>
          <w:sz w:val="20"/>
          <w:szCs w:val="20"/>
          <w:color w:val="auto"/>
        </w:rPr>
      </w:pPr>
      <w:r>
        <w:rPr>
          <w:rFonts w:ascii="Arial" w:cs="Arial" w:eastAsia="Arial" w:hAnsi="Arial"/>
          <w:sz w:val="13"/>
          <w:szCs w:val="13"/>
          <w:color w:val="auto"/>
        </w:rPr>
        <w:t>For the sake of clarity, this prospectus follows the English naming convention of first name followed by last name, regardless of whether an individual’s name is Chinese or English.</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Except where the context otherwise requires and for purposes of this prospectus only:</w:t>
      </w:r>
    </w:p>
    <w:p>
      <w:pPr>
        <w:spacing w:after="0" w:line="176" w:lineRule="exact"/>
        <w:rPr>
          <w:sz w:val="20"/>
          <w:szCs w:val="20"/>
          <w:color w:val="auto"/>
        </w:rPr>
      </w:pPr>
    </w:p>
    <w:p>
      <w:pPr>
        <w:ind w:left="580" w:hanging="250"/>
        <w:spacing w:after="0"/>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Depending on the context, the terms “we,” “us,” “our company,” and “our” refer to CLPS Incorporation, a Cayman Islands company, and its subsidiary and affiliated companies:</w:t>
      </w:r>
    </w:p>
    <w:p>
      <w:pPr>
        <w:spacing w:after="0" w:line="187" w:lineRule="exact"/>
        <w:rPr>
          <w:rFonts w:ascii="Arial" w:cs="Arial" w:eastAsia="Arial" w:hAnsi="Arial"/>
          <w:sz w:val="13"/>
          <w:szCs w:val="13"/>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“Qinheng” refers to Qinheng Co., Limited, a Hong Kong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“Qiner” refers to Qiner Co., Limited, a Hong Kong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“CLIVST” refers to CLIVST Ltd., a British Virgin Islands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“FDT-CL” refers to FDT-CL Financial Technology Services Limited, a Hong Kong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“JQ” refers to JQ Technology Co., Limited, a Hong Kong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“JL” refers to JIALIN Technology Limited, a Taiwan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QC (WOFE)” refers to Shanghai Qincheng Information Technology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Shanghai” refers to ChinaLink Professional Services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Dalian” refers to CLPS Dalian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RC” refers to CLPS Ruicheng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Beijing” refers to CLPS Beijing Hengtong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“Judge China” refers to Judge (Shanghai)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“Judge HR” refers to Judge (Shanghai) Human Resource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AU” refers to CLPS Technology (Australia) Pty. Ltd., an Australian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SG” refers to CLPS Technology (Singapore) Pte. Ltd., a Singaporean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Hong Kong” refers to CLPS Technology (HK) Co., Ltd., a Hong Kong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Shenzhen” refers to CLPS Shenzhen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“Huanyu” refers to Tianjin Huanyu Qinshang Network Technology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“CLPS Guangzhou” refers to CLPS Guangzhou Co., Ltd., a PRC company.</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“shares” and “common shares” refer to our shares, $0.0001 par value per share;</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“China” and “PRC” refer to the People’s Republic of China, excluding, for the purposes of this prospectus only, Macau, Taiwan and Hong Kong; and</w:t>
      </w:r>
    </w:p>
    <w:p>
      <w:pPr>
        <w:spacing w:after="0" w:line="175" w:lineRule="exact"/>
        <w:rPr>
          <w:rFonts w:ascii="Arial" w:cs="Arial" w:eastAsia="Arial" w:hAnsi="Arial"/>
          <w:sz w:val="14"/>
          <w:szCs w:val="14"/>
          <w:color w:val="auto"/>
        </w:rPr>
      </w:pPr>
    </w:p>
    <w:p>
      <w:pPr>
        <w:ind w:left="840" w:hanging="257"/>
        <w:spacing w:after="0"/>
        <w:tabs>
          <w:tab w:leader="none" w:pos="840" w:val="left"/>
        </w:tabs>
        <w:numPr>
          <w:ilvl w:val="1"/>
          <w:numId w:val="9"/>
        </w:numPr>
        <w:rPr>
          <w:rFonts w:ascii="Arial" w:cs="Arial" w:eastAsia="Arial" w:hAnsi="Arial"/>
          <w:sz w:val="13"/>
          <w:szCs w:val="13"/>
          <w:color w:val="auto"/>
        </w:rPr>
      </w:pPr>
      <w:r>
        <w:rPr>
          <w:rFonts w:ascii="Arial" w:cs="Arial" w:eastAsia="Arial" w:hAnsi="Arial"/>
          <w:sz w:val="13"/>
          <w:szCs w:val="13"/>
          <w:color w:val="auto"/>
        </w:rPr>
        <w:t>all references to “RMB,” “yuan” and “Renminbi” are to the legal currency of China, and all references to “USD,” and “U.S. dollars” are to the legal currency of the United States.</w:t>
      </w:r>
    </w:p>
    <w:p>
      <w:pPr>
        <w:spacing w:after="0" w:line="187" w:lineRule="exact"/>
        <w:rPr>
          <w:sz w:val="20"/>
          <w:szCs w:val="20"/>
          <w:color w:val="auto"/>
        </w:rPr>
      </w:pPr>
    </w:p>
    <w:p>
      <w:pPr>
        <w:ind w:left="80" w:firstLine="505"/>
        <w:spacing w:after="0" w:line="277" w:lineRule="auto"/>
        <w:rPr>
          <w:sz w:val="20"/>
          <w:szCs w:val="20"/>
          <w:color w:val="auto"/>
        </w:rPr>
      </w:pPr>
      <w:r>
        <w:rPr>
          <w:rFonts w:ascii="Arial" w:cs="Arial" w:eastAsia="Arial" w:hAnsi="Arial"/>
          <w:sz w:val="14"/>
          <w:szCs w:val="14"/>
          <w:color w:val="auto"/>
        </w:rPr>
        <w:t>Unless otherwise noted, all currency figures in this filing are in U.S. dollars. Any discrepancies in any table between the amounts identified as total amounts and the sum of the amounts listed therein are due to rounding.</w:t>
      </w:r>
    </w:p>
    <w:p>
      <w:pPr>
        <w:spacing w:after="0" w:line="133" w:lineRule="exact"/>
        <w:rPr>
          <w:sz w:val="20"/>
          <w:szCs w:val="20"/>
          <w:color w:val="auto"/>
        </w:rPr>
      </w:pPr>
    </w:p>
    <w:p>
      <w:pPr>
        <w:ind w:left="80" w:right="40" w:firstLine="505"/>
        <w:spacing w:after="0" w:line="282" w:lineRule="auto"/>
        <w:rPr>
          <w:sz w:val="20"/>
          <w:szCs w:val="20"/>
          <w:color w:val="auto"/>
        </w:rPr>
      </w:pPr>
      <w:r>
        <w:rPr>
          <w:rFonts w:ascii="Arial" w:cs="Arial" w:eastAsia="Arial" w:hAnsi="Arial"/>
          <w:sz w:val="13"/>
          <w:szCs w:val="13"/>
          <w:color w:val="auto"/>
        </w:rPr>
        <w:t>Our reporting currency is U.S. dollar and our functional currency is Renminbi. This prospectus contains translations of certain foreign currency amounts into U.S. dollars for the convenience of the reader. Other than in accordance with relevant accounting rules and as otherwise stated, all translations of Renminbi into U.S. dollars in this prospectus were made at the rate of RMB6.7793 to USD1.00, the noon buying rate on June 30, 2017,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prospectus could have been or could be converted into U.S. dollars or Renminbi, as the case may be, at any particular rate or at all.</w:t>
      </w: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280"/>
          </w:cols>
          <w:pgMar w:left="220" w:top="213" w:right="39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118745</wp:posOffset>
            </wp:positionV>
            <wp:extent cx="7149465" cy="4690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690110"/>
                    </a:xfrm>
                    <a:prstGeom prst="rect">
                      <a:avLst/>
                    </a:prstGeom>
                    <a:noFill/>
                  </pic:spPr>
                </pic:pic>
              </a:graphicData>
            </a:graphic>
          </wp:anchor>
        </w:drawing>
      </w: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1240"/>
          </w:cols>
          <w:pgMar w:left="220" w:top="213" w:right="439" w:bottom="1440" w:gutter="0" w:footer="0" w:header="0"/>
        </w:sectPr>
      </w:pPr>
    </w:p>
    <w:p>
      <w:pPr>
        <w:spacing w:after="0" w:line="18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 Offered</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Over-allotment Option</w:t>
      </w:r>
    </w:p>
    <w:p>
      <w:pPr>
        <w:spacing w:after="0" w:line="344"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Shares outstanding before this offering</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Shares outstanding after this offering</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Use of Proceeds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[_] common shares</w:t>
      </w:r>
    </w:p>
    <w:p>
      <w:pPr>
        <w:spacing w:after="0" w:line="176" w:lineRule="exact"/>
        <w:rPr>
          <w:sz w:val="20"/>
          <w:szCs w:val="20"/>
          <w:color w:val="auto"/>
        </w:rPr>
      </w:pPr>
    </w:p>
    <w:p>
      <w:pPr>
        <w:ind w:right="140"/>
        <w:spacing w:after="0" w:line="364" w:lineRule="auto"/>
        <w:rPr>
          <w:sz w:val="20"/>
          <w:szCs w:val="20"/>
          <w:color w:val="auto"/>
        </w:rPr>
      </w:pPr>
      <w:r>
        <w:rPr>
          <w:rFonts w:ascii="Arial" w:cs="Arial" w:eastAsia="Arial" w:hAnsi="Arial"/>
          <w:sz w:val="12"/>
          <w:szCs w:val="12"/>
          <w:color w:val="auto"/>
        </w:rPr>
        <w:t>We have granted the underwriters 45 days from the date of this prospectus, to purchase up to an additional [_] shares on the same terms as the other shares being purchased by the underwriters from us.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11,290,000 shares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[_] shares</w:t>
      </w:r>
    </w:p>
    <w:p>
      <w:pPr>
        <w:spacing w:after="0" w:line="176"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We estimate that our net proceeds from this offering will be approximately $[_] million, based on an assumed initial public offering price of $[_] per share, which is the midpoint of the range set forth on the cover page of this prospectus, and after deducting estimated underwriting discounts and commissions and estimated offering expenses and assuming no exercise of the over-allotment option granted to the underwriters. We intend to use the net proceeds from this offering for global expansion, R&amp;D, talent development and working capital and general corporate purposes. See “Use of Proceeds” for more information.</w:t>
      </w:r>
    </w:p>
    <w:p>
      <w:pPr>
        <w:spacing w:after="0" w:line="146" w:lineRule="exact"/>
        <w:rPr>
          <w:sz w:val="20"/>
          <w:szCs w:val="20"/>
          <w:color w:val="auto"/>
        </w:rPr>
      </w:pPr>
    </w:p>
    <w:p>
      <w:pPr>
        <w:sectPr>
          <w:pgSz w:w="11900" w:h="16838" w:orient="portrait"/>
          <w:cols w:equalWidth="0" w:num="2">
            <w:col w:w="4420" w:space="720"/>
            <w:col w:w="6100"/>
          </w:cols>
          <w:pgMar w:left="220" w:top="213" w:right="439" w:bottom="1440" w:gutter="0" w:footer="0" w:header="0"/>
          <w:type w:val="continuous"/>
        </w:sectPr>
      </w:pPr>
    </w:p>
    <w:p>
      <w:pPr>
        <w:ind w:left="140"/>
        <w:spacing w:after="0"/>
        <w:tabs>
          <w:tab w:leader="none" w:pos="5120" w:val="left"/>
        </w:tabs>
        <w:rPr>
          <w:sz w:val="20"/>
          <w:szCs w:val="20"/>
          <w:color w:val="auto"/>
        </w:rPr>
      </w:pPr>
      <w:r>
        <w:rPr>
          <w:rFonts w:ascii="Arial" w:cs="Arial" w:eastAsia="Arial" w:hAnsi="Arial"/>
          <w:sz w:val="14"/>
          <w:szCs w:val="14"/>
          <w:b w:val="1"/>
          <w:bCs w:val="1"/>
          <w:color w:val="auto"/>
        </w:rPr>
        <w:t>Underwriters’ Warrants</w:t>
      </w:r>
      <w:r>
        <w:rPr>
          <w:sz w:val="20"/>
          <w:szCs w:val="20"/>
          <w:color w:val="auto"/>
        </w:rPr>
        <w:tab/>
      </w:r>
      <w:r>
        <w:rPr>
          <w:rFonts w:ascii="Arial" w:cs="Arial" w:eastAsia="Arial" w:hAnsi="Arial"/>
          <w:sz w:val="13"/>
          <w:szCs w:val="13"/>
          <w:color w:val="auto"/>
        </w:rPr>
        <w:t>Upon the closing of this offering, we will issue to Cuttone &amp; Co., LLC and The Benchmark Company, LLC,</w:t>
      </w:r>
    </w:p>
    <w:p>
      <w:pPr>
        <w:spacing w:after="0" w:line="22" w:lineRule="exact"/>
        <w:rPr>
          <w:sz w:val="20"/>
          <w:szCs w:val="20"/>
          <w:color w:val="auto"/>
        </w:rPr>
      </w:pPr>
    </w:p>
    <w:p>
      <w:pPr>
        <w:ind w:left="5140"/>
        <w:spacing w:after="0" w:line="253" w:lineRule="auto"/>
        <w:rPr>
          <w:sz w:val="20"/>
          <w:szCs w:val="20"/>
          <w:color w:val="auto"/>
        </w:rPr>
      </w:pPr>
      <w:r>
        <w:rPr>
          <w:rFonts w:ascii="Arial" w:cs="Arial" w:eastAsia="Arial" w:hAnsi="Arial"/>
          <w:sz w:val="14"/>
          <w:szCs w:val="14"/>
          <w:color w:val="auto"/>
        </w:rPr>
        <w:t>as representatives of the underwriters, warrants entitling the representatives to purchase: (i) up to 5% of the number of common shares sold to investors introduced by the underwriters in this offering; and (ii) up to 3% of the number of common shares issued to investors identified by the Company in this offering. The warrants shall be exercisable for a period of five years from the effective date of the Registration Statement on Form F-1 of which this prospectus forms a part.</w:t>
      </w:r>
    </w:p>
    <w:p>
      <w:pPr>
        <w:spacing w:after="0" w:line="147" w:lineRule="exact"/>
        <w:rPr>
          <w:sz w:val="20"/>
          <w:szCs w:val="20"/>
          <w:color w:val="auto"/>
        </w:rPr>
      </w:pPr>
    </w:p>
    <w:p>
      <w:pPr>
        <w:ind w:left="140"/>
        <w:spacing w:after="0"/>
        <w:tabs>
          <w:tab w:leader="none" w:pos="5120" w:val="left"/>
        </w:tabs>
        <w:rPr>
          <w:sz w:val="20"/>
          <w:szCs w:val="20"/>
          <w:color w:val="auto"/>
        </w:rPr>
      </w:pPr>
      <w:r>
        <w:rPr>
          <w:rFonts w:ascii="Arial" w:cs="Arial" w:eastAsia="Arial" w:hAnsi="Arial"/>
          <w:sz w:val="14"/>
          <w:szCs w:val="14"/>
          <w:b w:val="1"/>
          <w:bCs w:val="1"/>
          <w:color w:val="auto"/>
        </w:rPr>
        <w:t>NASDAQ Trading symbol</w:t>
      </w:r>
      <w:r>
        <w:rPr>
          <w:sz w:val="20"/>
          <w:szCs w:val="20"/>
          <w:color w:val="auto"/>
        </w:rPr>
        <w:tab/>
      </w:r>
      <w:r>
        <w:rPr>
          <w:rFonts w:ascii="Arial" w:cs="Arial" w:eastAsia="Arial" w:hAnsi="Arial"/>
          <w:sz w:val="12"/>
          <w:szCs w:val="12"/>
          <w:color w:val="auto"/>
        </w:rPr>
        <w:t>We intend to apply for listing of our common shares on the NASDAQ Capital Market under the symbol</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“CLPS”.</w:t>
      </w:r>
    </w:p>
    <w:p>
      <w:pPr>
        <w:spacing w:after="0" w:line="161" w:lineRule="exact"/>
        <w:rPr>
          <w:sz w:val="20"/>
          <w:szCs w:val="20"/>
          <w:color w:val="auto"/>
        </w:rPr>
      </w:pPr>
    </w:p>
    <w:p>
      <w:pPr>
        <w:ind w:left="140"/>
        <w:spacing w:after="0"/>
        <w:tabs>
          <w:tab w:leader="none" w:pos="5120" w:val="left"/>
        </w:tabs>
        <w:rPr>
          <w:sz w:val="20"/>
          <w:szCs w:val="20"/>
          <w:color w:val="auto"/>
        </w:rPr>
      </w:pPr>
      <w:r>
        <w:rPr>
          <w:rFonts w:ascii="Arial" w:cs="Arial" w:eastAsia="Arial" w:hAnsi="Arial"/>
          <w:sz w:val="14"/>
          <w:szCs w:val="14"/>
          <w:b w:val="1"/>
          <w:bCs w:val="1"/>
          <w:color w:val="auto"/>
        </w:rPr>
        <w:t>Risk Factors</w:t>
      </w:r>
      <w:r>
        <w:rPr>
          <w:sz w:val="20"/>
          <w:szCs w:val="20"/>
          <w:color w:val="auto"/>
        </w:rPr>
        <w:tab/>
      </w:r>
      <w:r>
        <w:rPr>
          <w:rFonts w:ascii="Arial" w:cs="Arial" w:eastAsia="Arial" w:hAnsi="Arial"/>
          <w:sz w:val="12"/>
          <w:szCs w:val="12"/>
          <w:b w:val="1"/>
          <w:bCs w:val="1"/>
          <w:color w:val="auto"/>
        </w:rPr>
        <w:t xml:space="preserve">Investing in these securities involves a high degree of risk. </w:t>
      </w:r>
      <w:r>
        <w:rPr>
          <w:rFonts w:ascii="Arial" w:cs="Arial" w:eastAsia="Arial" w:hAnsi="Arial"/>
          <w:sz w:val="12"/>
          <w:szCs w:val="12"/>
          <w:color w:val="auto"/>
        </w:rPr>
        <w:t>As an investor, you should be able to bear a</w:t>
      </w:r>
    </w:p>
    <w:p>
      <w:pPr>
        <w:spacing w:after="0" w:line="22" w:lineRule="exact"/>
        <w:rPr>
          <w:sz w:val="20"/>
          <w:szCs w:val="20"/>
          <w:color w:val="auto"/>
        </w:rPr>
      </w:pPr>
    </w:p>
    <w:p>
      <w:pPr>
        <w:ind w:left="5140" w:right="380"/>
        <w:spacing w:after="0" w:line="300" w:lineRule="auto"/>
        <w:rPr>
          <w:sz w:val="20"/>
          <w:szCs w:val="20"/>
          <w:color w:val="auto"/>
        </w:rPr>
      </w:pPr>
      <w:r>
        <w:rPr>
          <w:rFonts w:ascii="Arial" w:cs="Arial" w:eastAsia="Arial" w:hAnsi="Arial"/>
          <w:sz w:val="13"/>
          <w:szCs w:val="13"/>
          <w:color w:val="auto"/>
        </w:rPr>
        <w:t>complete loss of your investment. You should carefully consider the information set forth in the “Risk Factors” section of this prospectus before deciding to invest in our common shares.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Financial Data</w:t>
      </w:r>
    </w:p>
    <w:p>
      <w:pPr>
        <w:spacing w:after="0" w:line="180" w:lineRule="exact"/>
        <w:rPr>
          <w:sz w:val="20"/>
          <w:szCs w:val="20"/>
          <w:color w:val="auto"/>
        </w:rPr>
      </w:pPr>
    </w:p>
    <w:p>
      <w:pPr>
        <w:jc w:val="both"/>
        <w:ind w:left="140" w:right="160" w:firstLine="505"/>
        <w:spacing w:after="0" w:line="293" w:lineRule="auto"/>
        <w:rPr>
          <w:sz w:val="20"/>
          <w:szCs w:val="20"/>
          <w:color w:val="auto"/>
        </w:rPr>
      </w:pPr>
      <w:r>
        <w:rPr>
          <w:rFonts w:ascii="Arial" w:cs="Arial" w:eastAsia="Arial" w:hAnsi="Arial"/>
          <w:sz w:val="13"/>
          <w:szCs w:val="13"/>
          <w:color w:val="auto"/>
        </w:rPr>
        <w:t>The following summary consolidated statements of operations and cash flow data for the years ended June 30, 2017 and 2016 and the summary consolidated balance sheet data as of June 30, 2017 and June 30, 2016 have been derived from our audited consolidated financial statements included elsewhere in this prospectus. The following summary consolidated financial statements for the six months ended December 31, 2017 and 2016 are derived from our unaudited consolidated financial statements included elsewhere in this prospectus.</w:t>
      </w:r>
    </w:p>
    <w:p>
      <w:pPr>
        <w:spacing w:after="0" w:line="126" w:lineRule="exact"/>
        <w:rPr>
          <w:sz w:val="20"/>
          <w:szCs w:val="20"/>
          <w:color w:val="auto"/>
        </w:rPr>
      </w:pPr>
    </w:p>
    <w:p>
      <w:pPr>
        <w:ind w:left="140" w:right="80" w:firstLine="505"/>
        <w:spacing w:after="0" w:line="264" w:lineRule="auto"/>
        <w:rPr>
          <w:sz w:val="20"/>
          <w:szCs w:val="20"/>
          <w:color w:val="auto"/>
        </w:rPr>
      </w:pPr>
      <w:r>
        <w:rPr>
          <w:rFonts w:ascii="Arial" w:cs="Arial" w:eastAsia="Arial" w:hAnsi="Arial"/>
          <w:sz w:val="14"/>
          <w:szCs w:val="14"/>
          <w:color w:val="auto"/>
        </w:rPr>
        <w:t>Our management believes that the assumptions underlying our financial statements and the above allocations are reasonable. Our financial statements, however, may not necessarily reflect our results of operations, financial position and cash flows as if we had operated as a separate, stand-alone company during the periods presented. You should not view our historical results as an indicator of our future performance.</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240"/>
          </w:cols>
          <w:pgMar w:left="220" w:top="213" w:right="4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259080</wp:posOffset>
            </wp:positionV>
            <wp:extent cx="7149465" cy="6868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686879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40" w:right="600" w:firstLine="505"/>
        <w:spacing w:after="0" w:line="277" w:lineRule="auto"/>
        <w:rPr>
          <w:sz w:val="20"/>
          <w:szCs w:val="20"/>
          <w:color w:val="auto"/>
        </w:rPr>
      </w:pPr>
      <w:r>
        <w:rPr>
          <w:rFonts w:ascii="Arial" w:cs="Arial" w:eastAsia="Arial" w:hAnsi="Arial"/>
          <w:sz w:val="14"/>
          <w:szCs w:val="14"/>
          <w:color w:val="auto"/>
        </w:rPr>
        <w:t>The following table presents our summary consolidated statements of income and comprehensive income for the fiscal years ended June 30, 2017 and 2016, and the six months ended December 31, 2017 and 2016.</w:t>
      </w:r>
    </w:p>
    <w:p>
      <w:pPr>
        <w:spacing w:after="0" w:line="12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Selected Consolidated Statement of Income and Comprehensive Income</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(In U.S. dollars, except number of shares)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70"/>
              <w:spacing w:after="0"/>
              <w:rPr>
                <w:sz w:val="20"/>
                <w:szCs w:val="20"/>
                <w:color w:val="auto"/>
              </w:rPr>
            </w:pPr>
            <w:r>
              <w:rPr>
                <w:rFonts w:ascii="Arial" w:cs="Arial" w:eastAsia="Arial" w:hAnsi="Arial"/>
                <w:sz w:val="14"/>
                <w:szCs w:val="14"/>
                <w:color w:val="auto"/>
              </w:rPr>
              <w:t>For the years ended</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7"/>
          </w:tcPr>
          <w:p>
            <w:pPr>
              <w:ind w:left="120"/>
              <w:spacing w:after="0"/>
              <w:rPr>
                <w:sz w:val="20"/>
                <w:szCs w:val="20"/>
                <w:color w:val="auto"/>
              </w:rPr>
            </w:pPr>
            <w:r>
              <w:rPr>
                <w:rFonts w:ascii="Arial" w:cs="Arial" w:eastAsia="Arial" w:hAnsi="Arial"/>
                <w:sz w:val="14"/>
                <w:szCs w:val="14"/>
                <w:color w:val="auto"/>
              </w:rPr>
              <w:t>For the 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4"/>
                <w:szCs w:val="14"/>
                <w:color w:val="auto"/>
              </w:rPr>
              <w:t>June 30,</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7"/>
          </w:tcPr>
          <w:p>
            <w:pPr>
              <w:ind w:left="480"/>
              <w:spacing w:after="0"/>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color w:val="auto"/>
              </w:rPr>
              <w:t>2017</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color w:val="auto"/>
              </w:rPr>
              <w:t>2017</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0"/>
              <w:spacing w:after="0"/>
              <w:rPr>
                <w:sz w:val="20"/>
                <w:szCs w:val="20"/>
                <w:color w:val="auto"/>
              </w:rPr>
            </w:pPr>
            <w:r>
              <w:rPr>
                <w:rFonts w:ascii="Arial" w:cs="Arial" w:eastAsia="Arial" w:hAnsi="Arial"/>
                <w:sz w:val="14"/>
                <w:szCs w:val="14"/>
                <w:color w:val="auto"/>
                <w:w w:val="92"/>
              </w:rPr>
              <w:t>(Unaudited)</w:t>
            </w:r>
          </w:p>
        </w:tc>
        <w:tc>
          <w:tcPr>
            <w:tcW w:w="1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31,361,976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29,024,178</w:t>
            </w: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22,199,995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14,323,938</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Less: Cost of revenues</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(18,669,812)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color w:val="auto"/>
              </w:rPr>
              <w:t>(17,463,416)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(13,341,978)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(8,483,897)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profit</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12,692,164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11,560,762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8,858,017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5,840,041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ind w:left="120"/>
              <w:spacing w:after="0"/>
              <w:rPr>
                <w:sz w:val="20"/>
                <w:szCs w:val="20"/>
                <w:color w:val="auto"/>
              </w:rPr>
            </w:pPr>
            <w:r>
              <w:rPr>
                <w:rFonts w:ascii="Arial" w:cs="Arial" w:eastAsia="Arial" w:hAnsi="Arial"/>
                <w:sz w:val="14"/>
                <w:szCs w:val="14"/>
                <w:color w:val="auto"/>
              </w:rPr>
              <w:t>Selling and marketing</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1,206,493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1,132,931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282,618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4,232,788</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5,579,058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3,562,988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2,006,766</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5,647,790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4,955,037</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3,064,232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3,032,589</w:t>
            </w:r>
          </w:p>
        </w:tc>
        <w:tc>
          <w:tcPr>
            <w:tcW w:w="100" w:type="dxa"/>
            <w:vAlign w:val="bottom"/>
            <w:tcBorders>
              <w:bottom w:val="single" w:sz="8" w:color="CCEEFF"/>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11,087,071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10,947,111</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7,760,151</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5,321,973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1,605,093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613,651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1,097,866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518,068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Subsidies and other income</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508,187</w:t>
            </w: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1,446,408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366,798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455,009</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Other expense</w:t>
            </w:r>
          </w:p>
        </w:tc>
        <w:tc>
          <w:tcPr>
            <w:tcW w:w="2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(10,469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color w:val="auto"/>
              </w:rPr>
              <w:t>(5,935)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(13,213)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(2,146)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59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Income before income tax</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2,102,811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2,054,124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1,451,451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970,931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(118,546</w:t>
            </w:r>
          </w:p>
        </w:tc>
        <w:tc>
          <w:tcPr>
            <w:tcW w:w="1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(54,042)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0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2,221,357</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1,784,971</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1,325,391</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1,024,973</w:t>
            </w:r>
          </w:p>
        </w:tc>
        <w:tc>
          <w:tcPr>
            <w:tcW w:w="100" w:type="dxa"/>
            <w:vAlign w:val="bottom"/>
            <w:tcBorders>
              <w:top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173,912</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(41,141)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0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b w:val="1"/>
                <w:bCs w:val="1"/>
                <w:color w:val="auto"/>
              </w:rPr>
              <w:t>Net income attributable to CLPS Incorporation's shareholders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00" w:type="dxa"/>
            <w:vAlign w:val="bottom"/>
            <w:vMerge w:val="continue"/>
          </w:tcPr>
          <w:p>
            <w:pPr>
              <w:spacing w:after="0"/>
              <w:rPr>
                <w:sz w:val="18"/>
                <w:szCs w:val="18"/>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2,047,445</w:t>
            </w:r>
          </w:p>
        </w:tc>
        <w:tc>
          <w:tcPr>
            <w:tcW w:w="1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1,826,112</w:t>
            </w:r>
          </w:p>
        </w:tc>
        <w:tc>
          <w:tcPr>
            <w:tcW w:w="4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1,331,329</w:t>
            </w:r>
          </w:p>
        </w:tc>
        <w:tc>
          <w:tcPr>
            <w:tcW w:w="1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1,025,448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59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Other comprehensive (loss) income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(loss) gain</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(93,177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(387,100)</w:t>
            </w: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231,224</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(233,825)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Less: foreign currency translation (loss) gain attributable to Non-controlling interests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color w:val="auto"/>
              </w:rPr>
              <w:t>(1,471)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20,773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(7,049)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84"/>
              </w:rPr>
              <w:t>)</w:t>
            </w: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 income attributable to CLPS Incorporation’s shareholders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(94,909</w:t>
            </w:r>
          </w:p>
        </w:tc>
        <w:tc>
          <w:tcPr>
            <w:tcW w:w="1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(385,629</w:t>
            </w:r>
          </w:p>
        </w:tc>
        <w:tc>
          <w:tcPr>
            <w:tcW w:w="140" w:type="dxa"/>
            <w:vAlign w:val="bottom"/>
            <w:vMerge w:val="continue"/>
            <w:shd w:val="clear" w:color="auto" w:fill="CCEEFF"/>
          </w:tcPr>
          <w:p>
            <w:pPr>
              <w:spacing w:after="0"/>
              <w:rPr>
                <w:sz w:val="16"/>
                <w:szCs w:val="16"/>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210,451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(226,776)</w:t>
            </w: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CLPS Incorporation shareholders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1,952,536</w:t>
            </w:r>
          </w:p>
        </w:tc>
        <w:tc>
          <w:tcPr>
            <w:tcW w:w="12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1,440,483</w:t>
            </w:r>
          </w:p>
        </w:tc>
        <w:tc>
          <w:tcPr>
            <w:tcW w:w="140" w:type="dxa"/>
            <w:vAlign w:val="bottom"/>
          </w:tcPr>
          <w:p>
            <w:pPr>
              <w:spacing w:after="0"/>
              <w:rPr>
                <w:sz w:val="14"/>
                <w:szCs w:val="14"/>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1,541,780</w:t>
            </w:r>
          </w:p>
        </w:tc>
        <w:tc>
          <w:tcPr>
            <w:tcW w:w="14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798,672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175,644</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(42,612)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2,128,180</w:t>
            </w:r>
          </w:p>
        </w:tc>
        <w:tc>
          <w:tcPr>
            <w:tcW w:w="1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1,397,871</w:t>
            </w:r>
          </w:p>
        </w:tc>
        <w:tc>
          <w:tcPr>
            <w:tcW w:w="140" w:type="dxa"/>
            <w:vAlign w:val="bottom"/>
          </w:tcPr>
          <w:p>
            <w:pPr>
              <w:spacing w:after="0"/>
              <w:rPr>
                <w:sz w:val="20"/>
                <w:szCs w:val="20"/>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1,556,615</w:t>
            </w:r>
          </w:p>
        </w:tc>
        <w:tc>
          <w:tcPr>
            <w:tcW w:w="14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791,148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59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Basic and diluted earnings per common share *</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70"/>
              <w:spacing w:after="0"/>
              <w:rPr>
                <w:sz w:val="20"/>
                <w:szCs w:val="20"/>
                <w:color w:val="auto"/>
              </w:rPr>
            </w:pPr>
            <w:r>
              <w:rPr>
                <w:rFonts w:ascii="Arial" w:cs="Arial" w:eastAsia="Arial" w:hAnsi="Arial"/>
                <w:sz w:val="14"/>
                <w:szCs w:val="14"/>
                <w:color w:val="auto"/>
              </w:rPr>
              <w:t>0.18</w:t>
            </w:r>
          </w:p>
        </w:tc>
        <w:tc>
          <w:tcPr>
            <w:tcW w:w="42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0.12</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00" w:type="dxa"/>
            <w:vAlign w:val="bottom"/>
            <w:tcBorders>
              <w:top w:val="single" w:sz="8" w:color="CCEEFF"/>
              <w:bottom w:val="single" w:sz="8" w:color="CCEEFF"/>
            </w:tcBorders>
            <w:shd w:val="clear" w:color="auto" w:fill="CCEEFF"/>
          </w:tcPr>
          <w:p>
            <w:pPr>
              <w:spacing w:after="0" w:line="160" w:lineRule="exact"/>
              <w:rPr>
                <w:sz w:val="20"/>
                <w:szCs w:val="20"/>
                <w:color w:val="auto"/>
              </w:rPr>
            </w:pPr>
            <w:r>
              <w:rPr>
                <w:rFonts w:ascii="Arial" w:cs="Arial" w:eastAsia="Arial" w:hAnsi="Arial"/>
                <w:sz w:val="14"/>
                <w:szCs w:val="14"/>
                <w:color w:val="auto"/>
              </w:rPr>
              <w:t>Weighted average number of share outstanding – basic and diluted</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80" w:type="dxa"/>
            <w:vAlign w:val="bottom"/>
            <w:gridSpan w:val="2"/>
            <w:vMerge w:val="restart"/>
          </w:tcPr>
          <w:p>
            <w:pPr>
              <w:ind w:left="80"/>
              <w:spacing w:after="0"/>
              <w:rPr>
                <w:sz w:val="20"/>
                <w:szCs w:val="20"/>
                <w:color w:val="auto"/>
              </w:rPr>
            </w:pPr>
            <w:r>
              <w:rPr>
                <w:rFonts w:ascii="Arial" w:cs="Arial" w:eastAsia="Arial" w:hAnsi="Arial"/>
                <w:sz w:val="14"/>
                <w:szCs w:val="14"/>
                <w:color w:val="auto"/>
                <w:w w:val="88"/>
              </w:rPr>
              <w:t>* The shares and per share data are presented on a retroactive basis to reflect the nominal share issuance.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0" w:type="dxa"/>
            <w:vAlign w:val="bottom"/>
          </w:tcPr>
          <w:p>
            <w:pPr>
              <w:spacing w:after="0"/>
              <w:rPr>
                <w:sz w:val="24"/>
                <w:szCs w:val="24"/>
                <w:color w:val="auto"/>
              </w:rPr>
            </w:pPr>
          </w:p>
        </w:tc>
        <w:tc>
          <w:tcPr>
            <w:tcW w:w="5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00" w:type="dxa"/>
            <w:vAlign w:val="bottom"/>
            <w:gridSpan w:val="8"/>
          </w:tcPr>
          <w:p>
            <w:pPr>
              <w:ind w:left="500"/>
              <w:spacing w:after="0"/>
              <w:rPr>
                <w:sz w:val="20"/>
                <w:szCs w:val="20"/>
                <w:color w:val="auto"/>
              </w:rPr>
            </w:pPr>
            <w:r>
              <w:rPr>
                <w:rFonts w:ascii="Arial" w:cs="Arial" w:eastAsia="Arial" w:hAnsi="Arial"/>
                <w:sz w:val="14"/>
                <w:szCs w:val="14"/>
                <w:color w:val="auto"/>
                <w:w w:val="97"/>
              </w:rPr>
              <w:t>The following table presents our summary consolidated balance sheet data as of June 30, 2017 and 2016, and December 31, 2017.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As of</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June 30,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color w:val="auto"/>
                <w:w w:val="88"/>
              </w:rPr>
              <w:t>December 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0"/>
              <w:spacing w:after="0"/>
              <w:rPr>
                <w:sz w:val="20"/>
                <w:szCs w:val="20"/>
                <w:color w:val="auto"/>
              </w:rPr>
            </w:pPr>
            <w:r>
              <w:rPr>
                <w:rFonts w:ascii="Arial" w:cs="Arial" w:eastAsia="Arial" w:hAnsi="Arial"/>
                <w:sz w:val="14"/>
                <w:szCs w:val="14"/>
                <w:color w:val="auto"/>
                <w:w w:val="92"/>
              </w:rPr>
              <w:t>(Unaudited)</w:t>
            </w:r>
          </w:p>
        </w:tc>
        <w:tc>
          <w:tcPr>
            <w:tcW w:w="1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4,814,568</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5,277,196</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4,659,037</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12,325,296</w:t>
            </w:r>
          </w:p>
        </w:tc>
        <w:tc>
          <w:tcPr>
            <w:tcW w:w="140" w:type="dxa"/>
            <w:vAlign w:val="bottom"/>
          </w:tcPr>
          <w:p>
            <w:pPr>
              <w:spacing w:after="0"/>
              <w:rPr>
                <w:sz w:val="14"/>
                <w:szCs w:val="14"/>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9,910,841</w:t>
            </w:r>
          </w:p>
        </w:tc>
        <w:tc>
          <w:tcPr>
            <w:tcW w:w="14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16,619,705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13,521,923</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10,471,529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17,853,399</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8,210,625</w:t>
            </w:r>
          </w:p>
        </w:tc>
        <w:tc>
          <w:tcPr>
            <w:tcW w:w="140" w:type="dxa"/>
            <w:vAlign w:val="bottom"/>
          </w:tcPr>
          <w:p>
            <w:pPr>
              <w:spacing w:after="0"/>
              <w:rPr>
                <w:sz w:val="14"/>
                <w:szCs w:val="14"/>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6,264,005</w:t>
            </w:r>
          </w:p>
        </w:tc>
        <w:tc>
          <w:tcPr>
            <w:tcW w:w="14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10,985,416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Total CLPS Incorporation’s Shareholders' Equity</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4,834,188</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4,203,490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6,375,968</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477,110</w:t>
            </w:r>
          </w:p>
        </w:tc>
        <w:tc>
          <w:tcPr>
            <w:tcW w:w="140" w:type="dxa"/>
            <w:vAlign w:val="bottom"/>
          </w:tcPr>
          <w:p>
            <w:pPr>
              <w:spacing w:after="0"/>
              <w:rPr>
                <w:sz w:val="14"/>
                <w:szCs w:val="14"/>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4,034</w:t>
            </w:r>
          </w:p>
        </w:tc>
        <w:tc>
          <w:tcPr>
            <w:tcW w:w="14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492,015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Total Shareholders’ Equity</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5,311,298</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4,207,524</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6,867,983</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13,521,923</w:t>
            </w:r>
          </w:p>
        </w:tc>
        <w:tc>
          <w:tcPr>
            <w:tcW w:w="140" w:type="dxa"/>
            <w:vAlign w:val="bottom"/>
          </w:tcPr>
          <w:p>
            <w:pPr>
              <w:spacing w:after="0"/>
              <w:rPr>
                <w:sz w:val="15"/>
                <w:szCs w:val="15"/>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10,471,529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17,853,399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13" w:right="2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 FACTORS</w:t>
      </w:r>
    </w:p>
    <w:p>
      <w:pPr>
        <w:spacing w:after="0" w:line="127" w:lineRule="exact"/>
        <w:rPr>
          <w:sz w:val="20"/>
          <w:szCs w:val="20"/>
          <w:color w:val="auto"/>
        </w:rPr>
      </w:pPr>
    </w:p>
    <w:p>
      <w:pPr>
        <w:ind w:right="260" w:firstLine="505"/>
        <w:spacing w:after="0" w:line="328" w:lineRule="auto"/>
        <w:rPr>
          <w:sz w:val="20"/>
          <w:szCs w:val="20"/>
          <w:color w:val="auto"/>
        </w:rPr>
      </w:pPr>
      <w:r>
        <w:rPr>
          <w:rFonts w:ascii="Arial" w:cs="Arial" w:eastAsia="Arial" w:hAnsi="Arial"/>
          <w:sz w:val="12"/>
          <w:szCs w:val="12"/>
          <w:i w:val="1"/>
          <w:iCs w:val="1"/>
          <w:color w:val="auto"/>
        </w:rPr>
        <w:t>Investment in our securities involves a high degree of risk. You should carefully consider the risks described below together with all of the other information included in this prospectus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You should not invest in this offering unless you can afford to lose your entire investment.</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Business</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4"/>
          <w:szCs w:val="14"/>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81" w:lineRule="exact"/>
        <w:rPr>
          <w:sz w:val="20"/>
          <w:szCs w:val="20"/>
          <w:color w:val="auto"/>
        </w:rPr>
      </w:pPr>
    </w:p>
    <w:p>
      <w:pPr>
        <w:ind w:right="20" w:firstLine="505"/>
        <w:spacing w:after="0" w:line="279" w:lineRule="auto"/>
        <w:rPr>
          <w:sz w:val="20"/>
          <w:szCs w:val="20"/>
          <w:color w:val="auto"/>
        </w:rPr>
      </w:pPr>
      <w:r>
        <w:rPr>
          <w:rFonts w:ascii="Arial" w:cs="Arial" w:eastAsia="Arial" w:hAnsi="Arial"/>
          <w:sz w:val="13"/>
          <w:szCs w:val="13"/>
          <w:color w:val="auto"/>
        </w:rPr>
        <w:t>We have significantly grown and expanded our business recently. Our revenues grew from $29.0 million in fiscal 2016 to $31.4 million in fiscal 2017. As of the date of this prospectus, we maintain eleven delivery and or R&amp;D centers, of which seven are located in China (Shanghai, Beijing, Dalian, Tianjin, Chengdu, Guangzhou and Shenzhen) and four are located globally (Hong Kong, Taiwan, Singapore and Australia), to serve different customers in various geographic locations. The number of our total employees grew from 1,055 in fiscal 2016 to 1,248 in fiscal 2017. As of March 25, 2018 we had 1,606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73" w:lineRule="exact"/>
        <w:rPr>
          <w:sz w:val="20"/>
          <w:szCs w:val="20"/>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recruiting, training, developing and retaining sufficient IT talents and management personnel;</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creating and capitalizing upon economies of scale;</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managing a larger number of clients in a greater number of industries and locations;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maintaining effective oversight of personnel and offices;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coordinating work among offices and project teams and maintaining high resource utilization rates;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integrating new management personnel and expanded operations while preserving our culture and core values;</w:t>
      </w:r>
    </w:p>
    <w:p>
      <w:pPr>
        <w:spacing w:after="0" w:line="175" w:lineRule="exact"/>
        <w:rPr>
          <w:rFonts w:ascii="Arial" w:cs="Arial" w:eastAsia="Arial" w:hAnsi="Arial"/>
          <w:sz w:val="14"/>
          <w:szCs w:val="14"/>
          <w:color w:val="auto"/>
        </w:rPr>
      </w:pPr>
    </w:p>
    <w:p>
      <w:pPr>
        <w:ind w:left="500" w:right="20" w:hanging="243"/>
        <w:spacing w:after="0" w:line="277"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developing and improving our internal administrative infrastructure, particularly our financial, operational, human resources, communications and other internal systems, procedures and controls;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adhering to and further improving our high quality and process execution standards and maintaining high levels of client satisfaction.</w:t>
      </w:r>
    </w:p>
    <w:p>
      <w:pPr>
        <w:spacing w:after="0" w:line="123" w:lineRule="exact"/>
        <w:rPr>
          <w:sz w:val="20"/>
          <w:szCs w:val="20"/>
          <w:color w:val="auto"/>
        </w:rPr>
      </w:pPr>
    </w:p>
    <w:p>
      <w:pPr>
        <w:jc w:val="both"/>
        <w:ind w:right="80" w:firstLine="505"/>
        <w:spacing w:after="0" w:line="328" w:lineRule="auto"/>
        <w:rPr>
          <w:sz w:val="20"/>
          <w:szCs w:val="20"/>
          <w:color w:val="auto"/>
        </w:rPr>
      </w:pPr>
      <w:r>
        <w:rPr>
          <w:rFonts w:ascii="Arial" w:cs="Arial" w:eastAsia="Arial" w:hAnsi="Arial"/>
          <w:sz w:val="12"/>
          <w:szCs w:val="12"/>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problems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55" w:lineRule="exact"/>
        <w:rPr>
          <w:sz w:val="20"/>
          <w:szCs w:val="20"/>
          <w:color w:val="auto"/>
        </w:rPr>
      </w:pPr>
    </w:p>
    <w:p>
      <w:pPr>
        <w:ind w:right="220"/>
        <w:spacing w:after="0" w:line="277" w:lineRule="auto"/>
        <w:rPr>
          <w:sz w:val="20"/>
          <w:szCs w:val="20"/>
          <w:color w:val="auto"/>
        </w:rPr>
      </w:pPr>
      <w:r>
        <w:rPr>
          <w:rFonts w:ascii="Arial" w:cs="Arial" w:eastAsia="Arial" w:hAnsi="Arial"/>
          <w:sz w:val="14"/>
          <w:szCs w:val="14"/>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70"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The IT services industry is particularly sensitive to the economic environment, either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 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intense competition from onshore and offshore IT services companies, and, if we are unable to compete effectively, we may lose clients and our revenues may decline.</w:t>
      </w:r>
    </w:p>
    <w:p>
      <w:pPr>
        <w:spacing w:after="0" w:line="135" w:lineRule="exact"/>
        <w:rPr>
          <w:sz w:val="20"/>
          <w:szCs w:val="20"/>
          <w:color w:val="auto"/>
        </w:rPr>
      </w:pPr>
    </w:p>
    <w:p>
      <w:pPr>
        <w:ind w:right="20" w:firstLine="505"/>
        <w:spacing w:after="0" w:line="303" w:lineRule="auto"/>
        <w:rPr>
          <w:sz w:val="20"/>
          <w:szCs w:val="20"/>
          <w:color w:val="auto"/>
        </w:rPr>
      </w:pPr>
      <w:r>
        <w:rPr>
          <w:rFonts w:ascii="Arial" w:cs="Arial" w:eastAsia="Arial" w:hAnsi="Arial"/>
          <w:sz w:val="12"/>
          <w:szCs w:val="12"/>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20"/>
        <w:spacing w:after="0" w:line="277" w:lineRule="auto"/>
        <w:rPr>
          <w:sz w:val="20"/>
          <w:szCs w:val="20"/>
          <w:color w:val="auto"/>
        </w:rPr>
      </w:pPr>
      <w:r>
        <w:rPr>
          <w:rFonts w:ascii="Arial" w:cs="Arial" w:eastAsia="Arial" w:hAnsi="Arial"/>
          <w:sz w:val="14"/>
          <w:szCs w:val="14"/>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33" w:lineRule="exact"/>
        <w:rPr>
          <w:sz w:val="20"/>
          <w:szCs w:val="20"/>
          <w:color w:val="auto"/>
        </w:rPr>
      </w:pPr>
    </w:p>
    <w:p>
      <w:pPr>
        <w:ind w:firstLine="505"/>
        <w:spacing w:after="0" w:line="276" w:lineRule="auto"/>
        <w:rPr>
          <w:sz w:val="20"/>
          <w:szCs w:val="20"/>
          <w:color w:val="auto"/>
        </w:rPr>
      </w:pPr>
      <w:r>
        <w:rPr>
          <w:rFonts w:ascii="Arial" w:cs="Arial" w:eastAsia="Arial" w:hAnsi="Arial"/>
          <w:sz w:val="13"/>
          <w:szCs w:val="13"/>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18% and 15% per annum in 2016 and 2017, respectively.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87" w:lineRule="exact"/>
        <w:rPr>
          <w:sz w:val="20"/>
          <w:szCs w:val="20"/>
          <w:color w:val="auto"/>
        </w:rPr>
      </w:pPr>
    </w:p>
    <w:p>
      <w:pPr>
        <w:ind w:right="20" w:firstLine="505"/>
        <w:spacing w:after="0" w:line="275" w:lineRule="auto"/>
        <w:rPr>
          <w:sz w:val="20"/>
          <w:szCs w:val="20"/>
          <w:color w:val="auto"/>
        </w:rPr>
      </w:pPr>
      <w:r>
        <w:rPr>
          <w:rFonts w:ascii="Arial" w:cs="Arial" w:eastAsia="Arial" w:hAnsi="Arial"/>
          <w:sz w:val="13"/>
          <w:szCs w:val="13"/>
          <w:color w:val="auto"/>
        </w:rPr>
        <w:t>Our future success heavily depends upon the continued services of our senior executives and other key employees. In particular, we rely on the expertise, experience, client relationships and reputation of Xiao Feng Yang, our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36" w:lineRule="exact"/>
        <w:rPr>
          <w:sz w:val="20"/>
          <w:szCs w:val="20"/>
          <w:color w:val="auto"/>
        </w:rPr>
      </w:pPr>
    </w:p>
    <w:p>
      <w:pPr>
        <w:ind w:right="440"/>
        <w:spacing w:after="0" w:line="277" w:lineRule="auto"/>
        <w:rPr>
          <w:sz w:val="20"/>
          <w:szCs w:val="20"/>
          <w:color w:val="auto"/>
        </w:rPr>
      </w:pPr>
      <w:r>
        <w:rPr>
          <w:rFonts w:ascii="Arial" w:cs="Arial" w:eastAsia="Arial" w:hAnsi="Arial"/>
          <w:sz w:val="14"/>
          <w:szCs w:val="14"/>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33" w:lineRule="exact"/>
        <w:rPr>
          <w:sz w:val="20"/>
          <w:szCs w:val="20"/>
          <w:color w:val="auto"/>
        </w:rPr>
      </w:pPr>
    </w:p>
    <w:p>
      <w:pPr>
        <w:ind w:firstLine="505"/>
        <w:spacing w:after="0" w:line="274" w:lineRule="auto"/>
        <w:rPr>
          <w:sz w:val="20"/>
          <w:szCs w:val="20"/>
          <w:color w:val="auto"/>
        </w:rPr>
      </w:pPr>
      <w:r>
        <w:rPr>
          <w:rFonts w:ascii="Arial" w:cs="Arial" w:eastAsia="Arial" w:hAnsi="Arial"/>
          <w:sz w:val="13"/>
          <w:szCs w:val="13"/>
          <w:color w:val="auto"/>
        </w:rPr>
        <w:t>We believe that in the foreseeable future we will continue to derive a significant portion of our revenues from a small number of major clients. For the years ended June 30, 2017 and 2016, Citibank and its affiliates accounted for 38.6% and 59.2% of the Company’s total revenues, respectively. For the six months ended December 31, 2017 and 2016, Citibank accounted for 30.7% and 41% of the Company’s total revenues, respectively. For fiscal 2017 and 2016, substantially all the service provided by the Company to Citibank was IT consulting service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team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collect our receivables from our clients, our results of operations and cash flows could be adversely affected.</w:t>
      </w:r>
    </w:p>
    <w:p>
      <w:pPr>
        <w:spacing w:after="0" w:line="176" w:lineRule="exact"/>
        <w:rPr>
          <w:sz w:val="20"/>
          <w:szCs w:val="20"/>
          <w:color w:val="auto"/>
        </w:rPr>
      </w:pPr>
    </w:p>
    <w:p>
      <w:pPr>
        <w:ind w:right="40" w:firstLine="505"/>
        <w:spacing w:after="0" w:line="274" w:lineRule="auto"/>
        <w:rPr>
          <w:sz w:val="20"/>
          <w:szCs w:val="20"/>
          <w:color w:val="auto"/>
        </w:rPr>
      </w:pPr>
      <w:r>
        <w:rPr>
          <w:rFonts w:ascii="Arial" w:cs="Arial" w:eastAsia="Arial" w:hAnsi="Arial"/>
          <w:sz w:val="13"/>
          <w:szCs w:val="13"/>
          <w:color w:val="auto"/>
        </w:rPr>
        <w:t>Our business depends on our ability to successfully obtain payment from our clients of the amounts they owe us for work performed. As of June 30, 2017 and 2016, our accounts receivable balance, net of allowance, amounted to approximately $6.6 million and $4.4 million, respectively. As of December 31, 2017 and 2016, our accounts receivable balance, net of allowance, amounted to approximately $10.8 million and $5.8 million, respectively. For the year ended June 30, 2017, Citibank accounted for 39.1% of the Company’s total accounts receivable balance. For the year ended June 30, 2016, Citibank and eBay accounted for 47.3% and 10.0% of the Company’s total accounts receivable balance, respectively. For the six months ended December 31, 2017, Citibank and its affiliates accounted for 33.8% of the Company’s total accounts receivable balance. For the six months ended December 31, 2016, Citibank and eBay accounted for 41.6% and 14.0% of the Company’s total accounts receivable balance, respectively.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33" w:lineRule="exact"/>
        <w:rPr>
          <w:sz w:val="20"/>
          <w:szCs w:val="20"/>
          <w:color w:val="auto"/>
        </w:rPr>
      </w:pPr>
    </w:p>
    <w:p>
      <w:pPr>
        <w:ind w:firstLine="505"/>
        <w:spacing w:after="0" w:line="304" w:lineRule="auto"/>
        <w:rPr>
          <w:sz w:val="20"/>
          <w:szCs w:val="20"/>
          <w:color w:val="auto"/>
        </w:rPr>
      </w:pPr>
      <w:r>
        <w:rPr>
          <w:rFonts w:ascii="Arial" w:cs="Arial" w:eastAsia="Arial" w:hAnsi="Arial"/>
          <w:sz w:val="12"/>
          <w:szCs w:val="12"/>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4"/>
          <w:szCs w:val="14"/>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33" w:lineRule="exact"/>
        <w:rPr>
          <w:sz w:val="20"/>
          <w:szCs w:val="20"/>
          <w:color w:val="auto"/>
        </w:rPr>
      </w:pPr>
    </w:p>
    <w:p>
      <w:pPr>
        <w:ind w:firstLine="505"/>
        <w:spacing w:after="0" w:line="278" w:lineRule="auto"/>
        <w:rPr>
          <w:sz w:val="20"/>
          <w:szCs w:val="20"/>
          <w:color w:val="auto"/>
        </w:rPr>
      </w:pPr>
      <w:r>
        <w:rPr>
          <w:rFonts w:ascii="Arial" w:cs="Arial" w:eastAsia="Arial" w:hAnsi="Arial"/>
          <w:sz w:val="13"/>
          <w:szCs w:val="13"/>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420"/>
        <w:spacing w:after="0" w:line="277" w:lineRule="auto"/>
        <w:rPr>
          <w:sz w:val="20"/>
          <w:szCs w:val="20"/>
          <w:color w:val="auto"/>
        </w:rPr>
      </w:pPr>
      <w:r>
        <w:rPr>
          <w:rFonts w:ascii="Arial" w:cs="Arial" w:eastAsia="Arial" w:hAnsi="Arial"/>
          <w:sz w:val="14"/>
          <w:szCs w:val="14"/>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33" w:lineRule="exact"/>
        <w:rPr>
          <w:sz w:val="20"/>
          <w:szCs w:val="20"/>
          <w:color w:val="auto"/>
        </w:rPr>
      </w:pPr>
    </w:p>
    <w:p>
      <w:pPr>
        <w:ind w:firstLine="505"/>
        <w:spacing w:after="0" w:line="317" w:lineRule="auto"/>
        <w:rPr>
          <w:sz w:val="20"/>
          <w:szCs w:val="20"/>
          <w:color w:val="auto"/>
        </w:rPr>
      </w:pPr>
      <w:r>
        <w:rPr>
          <w:rFonts w:ascii="Arial" w:cs="Arial" w:eastAsia="Arial" w:hAnsi="Arial"/>
          <w:sz w:val="13"/>
          <w:szCs w:val="13"/>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10" w:lineRule="exact"/>
        <w:rPr>
          <w:sz w:val="20"/>
          <w:szCs w:val="20"/>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integrating operations, services and personnel in a timely and efficient manner;</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unforeseen or undisclosed liabilities;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generating sufficient revenue and net income to offset acquisition costs;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potential loss of, or harm to, employee or client relationships;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properly structuring our acquisition consideration and any related post-acquisition earn-outs and successfully monitoring any earn-out calculations and payments;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retaining key senior management and key sales and marketing and research and development personnel;</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potential incompatibility of solutions, services and technology or corporate cultures;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consolidating and rationalizing corporate, information technology and administrative infrastructures;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integrating and documenting processes and controls;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entry into unfamiliar markets;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increased complexity from potentially operating additional geographically dispersed sites, particularly if we acquire a company or business with facilities or operations outside of China.</w:t>
      </w:r>
    </w:p>
    <w:p>
      <w:pPr>
        <w:spacing w:after="0" w:line="187" w:lineRule="exact"/>
        <w:rPr>
          <w:sz w:val="20"/>
          <w:szCs w:val="20"/>
          <w:color w:val="auto"/>
        </w:rPr>
      </w:pPr>
    </w:p>
    <w:p>
      <w:pPr>
        <w:ind w:right="40" w:firstLine="505"/>
        <w:spacing w:after="0" w:line="256" w:lineRule="auto"/>
        <w:rPr>
          <w:sz w:val="20"/>
          <w:szCs w:val="20"/>
          <w:color w:val="auto"/>
        </w:rPr>
      </w:pPr>
      <w:r>
        <w:rPr>
          <w:rFonts w:ascii="Arial" w:cs="Arial" w:eastAsia="Arial" w:hAnsi="Arial"/>
          <w:sz w:val="14"/>
          <w:szCs w:val="14"/>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succeed in attracting new clients for our services and or growing revenues from existing clients, we may not achieve our revenue growth goals.</w:t>
      </w:r>
    </w:p>
    <w:p>
      <w:pPr>
        <w:spacing w:after="0" w:line="176" w:lineRule="exact"/>
        <w:rPr>
          <w:sz w:val="20"/>
          <w:szCs w:val="20"/>
          <w:color w:val="auto"/>
        </w:rPr>
      </w:pPr>
    </w:p>
    <w:p>
      <w:pPr>
        <w:jc w:val="both"/>
        <w:ind w:right="380" w:firstLine="505"/>
        <w:spacing w:after="0" w:line="310" w:lineRule="auto"/>
        <w:rPr>
          <w:sz w:val="20"/>
          <w:szCs w:val="20"/>
          <w:color w:val="auto"/>
        </w:rPr>
      </w:pPr>
      <w:r>
        <w:rPr>
          <w:rFonts w:ascii="Arial" w:cs="Arial" w:eastAsia="Arial" w:hAnsi="Arial"/>
          <w:sz w:val="12"/>
          <w:szCs w:val="12"/>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a result of our significant recent growth, evaluating our business and prospects may be difficult and our past results may not be indicative of our future performance.</w:t>
      </w:r>
    </w:p>
    <w:p>
      <w:pPr>
        <w:spacing w:after="0" w:line="176"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32" w:lineRule="exact"/>
        <w:rPr>
          <w:sz w:val="20"/>
          <w:szCs w:val="20"/>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uncertainties associated with our ability to continue our growth and maintain profitability;</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preserving our competitive position in the IT services industry in China;</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offering consistent and high-quality services to retain and attract clients;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implementing our strategy and modifying it from time to time to respond effectively to competition and changes in client preferences;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managing our expanding operations and successfully expanding our solution and service offerings;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responding in a timely manner to technological or other changes in the IT services industry;</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managing risks associated with intellectual property;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recruiting, training, developing and retaining qualified managerial and other personnel.</w:t>
      </w:r>
    </w:p>
    <w:p>
      <w:pPr>
        <w:spacing w:after="0" w:line="175"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If we are unsuccessful in addressing any of these risks or challenges, our business may be materially and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99"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w:t>
      </w:r>
    </w:p>
    <w:p>
      <w:pPr>
        <w:spacing w:after="0" w:line="148" w:lineRule="exact"/>
        <w:rPr>
          <w:sz w:val="20"/>
          <w:szCs w:val="20"/>
          <w:color w:val="auto"/>
        </w:rPr>
      </w:pPr>
    </w:p>
    <w:p>
      <w:pPr>
        <w:ind w:right="280" w:firstLine="505"/>
        <w:spacing w:after="0" w:line="259" w:lineRule="auto"/>
        <w:rPr>
          <w:sz w:val="20"/>
          <w:szCs w:val="20"/>
          <w:color w:val="auto"/>
        </w:rPr>
      </w:pPr>
      <w:r>
        <w:rPr>
          <w:rFonts w:ascii="Arial" w:cs="Arial" w:eastAsia="Arial" w:hAnsi="Arial"/>
          <w:sz w:val="14"/>
          <w:szCs w:val="14"/>
          <w:color w:val="auto"/>
        </w:rPr>
        <w:t>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profitability will suffer if we are not able to maintain our resource utilization levels and continue to improve our productivity levels.</w:t>
      </w:r>
    </w:p>
    <w:p>
      <w:pPr>
        <w:spacing w:after="0" w:line="176" w:lineRule="exact"/>
        <w:rPr>
          <w:sz w:val="20"/>
          <w:szCs w:val="20"/>
          <w:color w:val="auto"/>
        </w:rPr>
      </w:pPr>
    </w:p>
    <w:p>
      <w:pPr>
        <w:ind w:right="20" w:firstLine="505"/>
        <w:spacing w:after="0" w:line="275" w:lineRule="auto"/>
        <w:rPr>
          <w:sz w:val="20"/>
          <w:szCs w:val="20"/>
          <w:color w:val="auto"/>
        </w:rPr>
      </w:pPr>
      <w:r>
        <w:rPr>
          <w:rFonts w:ascii="Arial" w:cs="Arial" w:eastAsia="Arial" w:hAnsi="Arial"/>
          <w:sz w:val="13"/>
          <w:szCs w:val="13"/>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60"/>
        <w:spacing w:after="0" w:line="277" w:lineRule="auto"/>
        <w:rPr>
          <w:sz w:val="20"/>
          <w:szCs w:val="20"/>
          <w:color w:val="auto"/>
        </w:rPr>
      </w:pPr>
      <w:r>
        <w:rPr>
          <w:rFonts w:ascii="Arial" w:cs="Arial" w:eastAsia="Arial" w:hAnsi="Arial"/>
          <w:sz w:val="14"/>
          <w:szCs w:val="14"/>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33" w:lineRule="exact"/>
        <w:rPr>
          <w:sz w:val="20"/>
          <w:szCs w:val="20"/>
          <w:color w:val="auto"/>
        </w:rPr>
      </w:pPr>
    </w:p>
    <w:p>
      <w:pPr>
        <w:ind w:right="100" w:firstLine="505"/>
        <w:spacing w:after="0" w:line="282" w:lineRule="auto"/>
        <w:rPr>
          <w:sz w:val="20"/>
          <w:szCs w:val="20"/>
          <w:color w:val="auto"/>
        </w:rPr>
      </w:pPr>
      <w:r>
        <w:rPr>
          <w:rFonts w:ascii="Arial" w:cs="Arial" w:eastAsia="Arial" w:hAnsi="Arial"/>
          <w:sz w:val="13"/>
          <w:szCs w:val="13"/>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wages for professionals in China could prevent us from sustaining our competitive advantage and could reduce our profit margins.</w:t>
      </w:r>
    </w:p>
    <w:p>
      <w:pPr>
        <w:spacing w:after="0" w:line="176" w:lineRule="exact"/>
        <w:rPr>
          <w:sz w:val="20"/>
          <w:szCs w:val="20"/>
          <w:color w:val="auto"/>
        </w:rPr>
      </w:pPr>
    </w:p>
    <w:p>
      <w:pPr>
        <w:ind w:firstLine="505"/>
        <w:spacing w:after="0" w:line="255" w:lineRule="auto"/>
        <w:rPr>
          <w:sz w:val="20"/>
          <w:szCs w:val="20"/>
          <w:color w:val="auto"/>
        </w:rPr>
      </w:pPr>
      <w:r>
        <w:rPr>
          <w:rFonts w:ascii="Arial" w:cs="Arial" w:eastAsia="Arial" w:hAnsi="Arial"/>
          <w:sz w:val="14"/>
          <w:szCs w:val="14"/>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international nature of our business exposes us to risks that could adversely affect our financial condition and results of operations.</w:t>
      </w:r>
    </w:p>
    <w:p>
      <w:pPr>
        <w:spacing w:after="0" w:line="176"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33" w:lineRule="exact"/>
        <w:rPr>
          <w:sz w:val="20"/>
          <w:szCs w:val="20"/>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significant currency fluctuations between the Renminbi and the U.S. dollar and other currencies in which we transact business;</w:t>
      </w:r>
    </w:p>
    <w:p>
      <w:pPr>
        <w:spacing w:after="0" w:line="175" w:lineRule="exact"/>
        <w:rPr>
          <w:rFonts w:ascii="Arial" w:cs="Arial" w:eastAsia="Arial" w:hAnsi="Arial"/>
          <w:sz w:val="14"/>
          <w:szCs w:val="14"/>
          <w:color w:val="auto"/>
        </w:rPr>
      </w:pPr>
    </w:p>
    <w:p>
      <w:pPr>
        <w:ind w:left="500" w:right="160" w:hanging="243"/>
        <w:spacing w:after="0" w:line="277"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potentially adverse tax consequences, such as scrutiny of transfer pricing arrangements by authorities in the countries in which we operate;</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current and future tariffs and other trade barriers, including restrictions on technology and data transfers;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unexpected changes in regulatory requirements;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terrorist attacks and other acts of violence or war.</w:t>
      </w:r>
    </w:p>
    <w:p>
      <w:pPr>
        <w:spacing w:after="0" w:line="175"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The occurrence of any of these events could have a material adverse effect on our results of operations and financial condition.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net revenues and results of operations are affected by seasonal trends.</w:t>
      </w:r>
    </w:p>
    <w:p>
      <w:pPr>
        <w:spacing w:after="0" w:line="176" w:lineRule="exact"/>
        <w:rPr>
          <w:sz w:val="20"/>
          <w:szCs w:val="20"/>
          <w:color w:val="auto"/>
        </w:rPr>
      </w:pPr>
    </w:p>
    <w:p>
      <w:pPr>
        <w:ind w:right="160" w:firstLine="505"/>
        <w:spacing w:after="0" w:line="256" w:lineRule="auto"/>
        <w:rPr>
          <w:sz w:val="20"/>
          <w:szCs w:val="20"/>
          <w:color w:val="auto"/>
        </w:rPr>
      </w:pPr>
      <w:r>
        <w:rPr>
          <w:rFonts w:ascii="Arial" w:cs="Arial" w:eastAsia="Arial" w:hAnsi="Arial"/>
          <w:sz w:val="14"/>
          <w:szCs w:val="14"/>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99" w:lineRule="exact"/>
        <w:rPr>
          <w:sz w:val="20"/>
          <w:szCs w:val="20"/>
          <w:color w:val="auto"/>
        </w:rPr>
      </w:pPr>
    </w:p>
    <w:p>
      <w:pPr>
        <w:jc w:val="both"/>
        <w:ind w:right="220" w:firstLine="505"/>
        <w:spacing w:after="0" w:line="259" w:lineRule="auto"/>
        <w:rPr>
          <w:sz w:val="20"/>
          <w:szCs w:val="20"/>
          <w:color w:val="auto"/>
        </w:rPr>
      </w:pPr>
      <w:r>
        <w:rPr>
          <w:rFonts w:ascii="Arial" w:cs="Arial" w:eastAsia="Arial" w:hAnsi="Arial"/>
          <w:sz w:val="14"/>
          <w:szCs w:val="14"/>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4"/>
          <w:szCs w:val="14"/>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33" w:lineRule="exact"/>
        <w:rPr>
          <w:sz w:val="20"/>
          <w:szCs w:val="20"/>
          <w:color w:val="auto"/>
        </w:rPr>
      </w:pPr>
    </w:p>
    <w:p>
      <w:pPr>
        <w:ind w:right="40" w:firstLine="505"/>
        <w:spacing w:after="0" w:line="264" w:lineRule="auto"/>
        <w:rPr>
          <w:sz w:val="20"/>
          <w:szCs w:val="20"/>
          <w:color w:val="auto"/>
        </w:rPr>
      </w:pPr>
      <w:r>
        <w:rPr>
          <w:rFonts w:ascii="Arial" w:cs="Arial" w:eastAsia="Arial" w:hAnsi="Arial"/>
          <w:sz w:val="14"/>
          <w:szCs w:val="14"/>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w:t>
      </w:r>
    </w:p>
    <w:p>
      <w:pPr>
        <w:spacing w:after="0" w:line="142" w:lineRule="exact"/>
        <w:rPr>
          <w:sz w:val="20"/>
          <w:szCs w:val="20"/>
          <w:color w:val="auto"/>
        </w:rPr>
      </w:pPr>
    </w:p>
    <w:p>
      <w:pPr>
        <w:ind w:right="20" w:firstLine="505"/>
        <w:spacing w:after="0" w:line="256" w:lineRule="auto"/>
        <w:rPr>
          <w:sz w:val="20"/>
          <w:szCs w:val="20"/>
          <w:color w:val="auto"/>
        </w:rPr>
      </w:pPr>
      <w:r>
        <w:rPr>
          <w:rFonts w:ascii="Arial" w:cs="Arial" w:eastAsia="Arial" w:hAnsi="Arial"/>
          <w:sz w:val="14"/>
          <w:szCs w:val="14"/>
          <w:color w:val="auto"/>
        </w:rPr>
        <w:t>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w:t>
      </w:r>
    </w:p>
    <w:p>
      <w:pPr>
        <w:spacing w:after="0" w:line="148" w:lineRule="exact"/>
        <w:rPr>
          <w:sz w:val="20"/>
          <w:szCs w:val="20"/>
          <w:color w:val="auto"/>
        </w:rPr>
      </w:pPr>
    </w:p>
    <w:p>
      <w:pPr>
        <w:ind w:firstLine="505"/>
        <w:spacing w:after="0" w:line="286" w:lineRule="auto"/>
        <w:rPr>
          <w:sz w:val="20"/>
          <w:szCs w:val="20"/>
          <w:color w:val="auto"/>
        </w:rPr>
      </w:pPr>
      <w:r>
        <w:rPr>
          <w:rFonts w:ascii="Arial" w:cs="Arial" w:eastAsia="Arial" w:hAnsi="Arial"/>
          <w:sz w:val="13"/>
          <w:szCs w:val="13"/>
          <w:color w:val="auto"/>
        </w:rPr>
        <w:t>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liable to our clients for damages caused by unauthorized disclosure of sensitive and confidential information, whether through our employees or otherwise.</w:t>
      </w:r>
    </w:p>
    <w:p>
      <w:pPr>
        <w:spacing w:after="0" w:line="176" w:lineRule="exact"/>
        <w:rPr>
          <w:sz w:val="20"/>
          <w:szCs w:val="20"/>
          <w:color w:val="auto"/>
        </w:rPr>
      </w:pPr>
    </w:p>
    <w:p>
      <w:pPr>
        <w:ind w:right="80" w:firstLine="505"/>
        <w:spacing w:after="0" w:line="254" w:lineRule="auto"/>
        <w:rPr>
          <w:sz w:val="20"/>
          <w:szCs w:val="20"/>
          <w:color w:val="auto"/>
        </w:rPr>
      </w:pPr>
      <w:r>
        <w:rPr>
          <w:rFonts w:ascii="Arial" w:cs="Arial" w:eastAsia="Arial" w:hAnsi="Arial"/>
          <w:sz w:val="14"/>
          <w:szCs w:val="14"/>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prevent others from unauthorized use of intellectual property of our clients, which could harm our business and competitive position.</w:t>
      </w:r>
    </w:p>
    <w:p>
      <w:pPr>
        <w:spacing w:after="0" w:line="176" w:lineRule="exact"/>
        <w:rPr>
          <w:sz w:val="20"/>
          <w:szCs w:val="20"/>
          <w:color w:val="auto"/>
        </w:rPr>
      </w:pPr>
    </w:p>
    <w:p>
      <w:pPr>
        <w:ind w:right="80" w:firstLine="505"/>
        <w:spacing w:after="0" w:line="277" w:lineRule="auto"/>
        <w:rPr>
          <w:sz w:val="20"/>
          <w:szCs w:val="20"/>
          <w:color w:val="auto"/>
        </w:rPr>
      </w:pPr>
      <w:r>
        <w:rPr>
          <w:rFonts w:ascii="Arial" w:cs="Arial" w:eastAsia="Arial" w:hAnsi="Arial"/>
          <w:sz w:val="13"/>
          <w:szCs w:val="13"/>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87" w:lineRule="exact"/>
        <w:rPr>
          <w:sz w:val="20"/>
          <w:szCs w:val="20"/>
          <w:color w:val="auto"/>
        </w:rPr>
      </w:pPr>
    </w:p>
    <w:p>
      <w:pPr>
        <w:ind w:right="120" w:firstLine="505"/>
        <w:spacing w:after="0" w:line="275" w:lineRule="auto"/>
        <w:rPr>
          <w:sz w:val="20"/>
          <w:szCs w:val="20"/>
          <w:color w:val="auto"/>
        </w:rPr>
      </w:pPr>
      <w:r>
        <w:rPr>
          <w:rFonts w:ascii="Arial" w:cs="Arial" w:eastAsia="Arial" w:hAnsi="Arial"/>
          <w:sz w:val="13"/>
          <w:szCs w:val="13"/>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139" w:lineRule="exact"/>
        <w:rPr>
          <w:sz w:val="20"/>
          <w:szCs w:val="20"/>
          <w:color w:val="auto"/>
        </w:rPr>
      </w:pPr>
    </w:p>
    <w:p>
      <w:pPr>
        <w:ind w:right="380"/>
        <w:spacing w:after="0" w:line="277" w:lineRule="auto"/>
        <w:rPr>
          <w:sz w:val="20"/>
          <w:szCs w:val="20"/>
          <w:color w:val="auto"/>
        </w:rPr>
      </w:pPr>
      <w:r>
        <w:rPr>
          <w:rFonts w:ascii="Arial" w:cs="Arial" w:eastAsia="Arial" w:hAnsi="Arial"/>
          <w:sz w:val="14"/>
          <w:szCs w:val="14"/>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33" w:lineRule="exact"/>
        <w:rPr>
          <w:sz w:val="20"/>
          <w:szCs w:val="20"/>
          <w:color w:val="auto"/>
        </w:rPr>
      </w:pPr>
    </w:p>
    <w:p>
      <w:pPr>
        <w:ind w:firstLine="505"/>
        <w:spacing w:after="0" w:line="274" w:lineRule="auto"/>
        <w:rPr>
          <w:sz w:val="20"/>
          <w:szCs w:val="20"/>
          <w:color w:val="auto"/>
        </w:rPr>
      </w:pPr>
      <w:r>
        <w:rPr>
          <w:rFonts w:ascii="Arial" w:cs="Arial" w:eastAsia="Arial" w:hAnsi="Arial"/>
          <w:sz w:val="13"/>
          <w:szCs w:val="13"/>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60"/>
        <w:spacing w:after="0" w:line="277" w:lineRule="auto"/>
        <w:rPr>
          <w:sz w:val="20"/>
          <w:szCs w:val="20"/>
          <w:color w:val="auto"/>
        </w:rPr>
      </w:pPr>
      <w:r>
        <w:rPr>
          <w:rFonts w:ascii="Arial" w:cs="Arial" w:eastAsia="Arial" w:hAnsi="Arial"/>
          <w:sz w:val="14"/>
          <w:szCs w:val="14"/>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33" w:lineRule="exact"/>
        <w:rPr>
          <w:sz w:val="20"/>
          <w:szCs w:val="20"/>
          <w:color w:val="auto"/>
        </w:rPr>
      </w:pPr>
    </w:p>
    <w:p>
      <w:pPr>
        <w:ind w:right="120" w:firstLine="505"/>
        <w:spacing w:after="0" w:line="257" w:lineRule="auto"/>
        <w:rPr>
          <w:sz w:val="20"/>
          <w:szCs w:val="20"/>
          <w:color w:val="auto"/>
        </w:rPr>
      </w:pPr>
      <w:r>
        <w:rPr>
          <w:rFonts w:ascii="Arial" w:cs="Arial" w:eastAsia="Arial" w:hAnsi="Arial"/>
          <w:sz w:val="14"/>
          <w:szCs w:val="14"/>
          <w:color w:val="auto"/>
        </w:rPr>
        <w:t>We believe that our current cash, cash flow from operations and the proceeds from this offering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48" w:lineRule="exact"/>
        <w:rPr>
          <w:sz w:val="20"/>
          <w:szCs w:val="20"/>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investors’ perception of, and demand for, securities of technology services outsourcing companies;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conditions of the U.S. and other capital markets in which we may seek to raise funds;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future results of operations and financial condition;</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PRC government regulation of foreign investment in China;</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economic, political and other conditions in China;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PRC government policies relating to the borrowing and remittance outside China of foreign currency.</w:t>
      </w:r>
    </w:p>
    <w:p>
      <w:pPr>
        <w:spacing w:after="0" w:line="176" w:lineRule="exact"/>
        <w:rPr>
          <w:sz w:val="20"/>
          <w:szCs w:val="20"/>
          <w:color w:val="auto"/>
        </w:rPr>
      </w:pPr>
    </w:p>
    <w:p>
      <w:pPr>
        <w:ind w:right="120" w:firstLine="505"/>
        <w:spacing w:after="0" w:line="277" w:lineRule="auto"/>
        <w:rPr>
          <w:sz w:val="20"/>
          <w:szCs w:val="20"/>
          <w:color w:val="auto"/>
        </w:rPr>
      </w:pPr>
      <w:r>
        <w:rPr>
          <w:rFonts w:ascii="Arial" w:cs="Arial" w:eastAsia="Arial" w:hAnsi="Arial"/>
          <w:sz w:val="14"/>
          <w:szCs w:val="14"/>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33" w:lineRule="exact"/>
        <w:rPr>
          <w:sz w:val="20"/>
          <w:szCs w:val="20"/>
          <w:color w:val="auto"/>
        </w:rPr>
      </w:pPr>
    </w:p>
    <w:p>
      <w:pPr>
        <w:ind w:right="20" w:firstLine="505"/>
        <w:spacing w:after="0" w:line="257" w:lineRule="auto"/>
        <w:rPr>
          <w:sz w:val="20"/>
          <w:szCs w:val="20"/>
          <w:color w:val="auto"/>
        </w:rPr>
      </w:pPr>
      <w:r>
        <w:rPr>
          <w:rFonts w:ascii="Arial" w:cs="Arial" w:eastAsia="Arial" w:hAnsi="Arial"/>
          <w:sz w:val="14"/>
          <w:szCs w:val="14"/>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losses resulting from business interruptions resulting from occurrence of natural disasters, health epidemics and other outbreaks or events.</w:t>
      </w:r>
    </w:p>
    <w:p>
      <w:pPr>
        <w:spacing w:after="0" w:line="176"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 in the value of the Renminbi and other currencies may have a material adverse effect on the value of your investment.</w:t>
      </w:r>
    </w:p>
    <w:p>
      <w:pPr>
        <w:spacing w:after="0" w:line="176"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w:t>
      </w:r>
    </w:p>
    <w:p>
      <w:pPr>
        <w:spacing w:after="0" w:line="132" w:lineRule="exact"/>
        <w:rPr>
          <w:sz w:val="20"/>
          <w:szCs w:val="20"/>
          <w:color w:val="auto"/>
        </w:rPr>
      </w:pPr>
    </w:p>
    <w:p>
      <w:pPr>
        <w:ind w:right="20" w:firstLine="505"/>
        <w:spacing w:after="0" w:line="264" w:lineRule="auto"/>
        <w:rPr>
          <w:sz w:val="20"/>
          <w:szCs w:val="20"/>
          <w:color w:val="auto"/>
        </w:rPr>
      </w:pPr>
      <w:r>
        <w:rPr>
          <w:rFonts w:ascii="Arial" w:cs="Arial" w:eastAsia="Arial" w:hAnsi="Arial"/>
          <w:sz w:val="14"/>
          <w:szCs w:val="14"/>
          <w:color w:val="auto"/>
        </w:rPr>
        <w:t>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42" w:lineRule="exact"/>
        <w:rPr>
          <w:sz w:val="20"/>
          <w:szCs w:val="20"/>
          <w:color w:val="auto"/>
        </w:rPr>
      </w:pPr>
    </w:p>
    <w:p>
      <w:pPr>
        <w:ind w:firstLine="505"/>
        <w:spacing w:after="0" w:line="278" w:lineRule="auto"/>
        <w:rPr>
          <w:sz w:val="20"/>
          <w:szCs w:val="20"/>
          <w:color w:val="auto"/>
        </w:rPr>
      </w:pPr>
      <w:r>
        <w:rPr>
          <w:rFonts w:ascii="Arial" w:cs="Arial" w:eastAsia="Arial" w:hAnsi="Arial"/>
          <w:sz w:val="13"/>
          <w:szCs w:val="13"/>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receive from this offering into for our operations, appreciation of the RMB against the U.S. dollar would have an adverse effect on the RMB amount we receive from the conversion. Conversely, if we decide to convert our RMB into U.S. dollars for the purpose of making payments for dividends on our common share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exchange rates could adversely affect our business and the value of our securities.</w:t>
      </w:r>
    </w:p>
    <w:p>
      <w:pPr>
        <w:spacing w:after="0" w:line="176" w:lineRule="exact"/>
        <w:rPr>
          <w:sz w:val="20"/>
          <w:szCs w:val="20"/>
          <w:color w:val="auto"/>
        </w:rPr>
      </w:pPr>
    </w:p>
    <w:p>
      <w:pPr>
        <w:ind w:right="140" w:firstLine="505"/>
        <w:spacing w:after="0" w:line="282" w:lineRule="auto"/>
        <w:rPr>
          <w:sz w:val="20"/>
          <w:szCs w:val="20"/>
          <w:color w:val="auto"/>
        </w:rPr>
      </w:pPr>
      <w:r>
        <w:rPr>
          <w:rFonts w:ascii="Arial" w:cs="Arial" w:eastAsia="Arial" w:hAnsi="Arial"/>
          <w:sz w:val="13"/>
          <w:szCs w:val="13"/>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 we receive from our offering into RMB for our operations, appreciation of the RMB against the U.S. dollar would have an adverse effect on the RMB amount we would receive from the conversion. Conversely, if we decide to convert our RMB into U.S. dollar for the purpose of paying dividends on our common stock or for other business purposes, appreciation of the U.S. dollar against the RMB would have a negative effect on the U.S. dollar amount available to us.</w:t>
      </w:r>
    </w:p>
    <w:p>
      <w:pPr>
        <w:spacing w:after="0" w:line="132" w:lineRule="exact"/>
        <w:rPr>
          <w:sz w:val="20"/>
          <w:szCs w:val="20"/>
          <w:color w:val="auto"/>
        </w:rPr>
      </w:pPr>
    </w:p>
    <w:p>
      <w:pPr>
        <w:ind w:right="220" w:firstLine="505"/>
        <w:spacing w:after="0" w:line="264" w:lineRule="auto"/>
        <w:rPr>
          <w:sz w:val="20"/>
          <w:szCs w:val="20"/>
          <w:color w:val="auto"/>
        </w:rPr>
      </w:pPr>
      <w:r>
        <w:rPr>
          <w:rFonts w:ascii="Arial" w:cs="Arial" w:eastAsia="Arial" w:hAnsi="Arial"/>
          <w:sz w:val="14"/>
          <w:szCs w:val="14"/>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w:t>
      </w:r>
    </w:p>
    <w:p>
      <w:pPr>
        <w:spacing w:after="0" w:line="142" w:lineRule="exact"/>
        <w:rPr>
          <w:sz w:val="20"/>
          <w:szCs w:val="20"/>
          <w:color w:val="auto"/>
        </w:rPr>
      </w:pPr>
    </w:p>
    <w:p>
      <w:pPr>
        <w:jc w:val="both"/>
        <w:ind w:right="20" w:firstLine="505"/>
        <w:spacing w:after="0" w:line="264" w:lineRule="auto"/>
        <w:rPr>
          <w:sz w:val="20"/>
          <w:szCs w:val="20"/>
          <w:color w:val="auto"/>
        </w:rPr>
      </w:pPr>
      <w:r>
        <w:rPr>
          <w:rFonts w:ascii="Arial" w:cs="Arial" w:eastAsia="Arial" w:hAnsi="Arial"/>
          <w:sz w:val="14"/>
          <w:szCs w:val="14"/>
          <w:color w:val="auto"/>
        </w:rPr>
        <w:t>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Legislation in certain countries in which we have clients may restrict companies in those countries from outsourcing work to us.</w:t>
      </w:r>
    </w:p>
    <w:p>
      <w:pPr>
        <w:spacing w:after="0" w:line="176" w:lineRule="exact"/>
        <w:rPr>
          <w:sz w:val="20"/>
          <w:szCs w:val="20"/>
          <w:color w:val="auto"/>
        </w:rPr>
      </w:pPr>
    </w:p>
    <w:p>
      <w:pPr>
        <w:ind w:right="100" w:firstLine="505"/>
        <w:spacing w:after="0" w:line="276" w:lineRule="auto"/>
        <w:rPr>
          <w:sz w:val="20"/>
          <w:szCs w:val="20"/>
          <w:color w:val="auto"/>
        </w:rPr>
      </w:pPr>
      <w:r>
        <w:rPr>
          <w:rFonts w:ascii="Arial" w:cs="Arial" w:eastAsia="Arial" w:hAnsi="Arial"/>
          <w:sz w:val="13"/>
          <w:szCs w:val="13"/>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Disruptions in telecommunications or significant failure in our IT systems could harm our service model, which could result in a reduction of our revenue.</w:t>
      </w:r>
    </w:p>
    <w:p>
      <w:pPr>
        <w:spacing w:after="0" w:line="113" w:lineRule="exact"/>
        <w:rPr>
          <w:sz w:val="20"/>
          <w:szCs w:val="20"/>
          <w:color w:val="auto"/>
        </w:rPr>
      </w:pPr>
    </w:p>
    <w:p>
      <w:pPr>
        <w:ind w:right="40" w:firstLine="505"/>
        <w:spacing w:after="0" w:line="277" w:lineRule="auto"/>
        <w:rPr>
          <w:sz w:val="20"/>
          <w:szCs w:val="20"/>
          <w:color w:val="auto"/>
        </w:rPr>
      </w:pPr>
      <w:r>
        <w:rPr>
          <w:rFonts w:ascii="Arial" w:cs="Arial" w:eastAsia="Arial" w:hAnsi="Arial"/>
          <w:sz w:val="13"/>
          <w:szCs w:val="13"/>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computer networks may be vulnerable to security risks that could disrupt our services and adversely affect our results of operations.</w:t>
      </w:r>
    </w:p>
    <w:p>
      <w:pPr>
        <w:spacing w:after="0" w:line="113"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w:t>
      </w:r>
    </w:p>
    <w:p>
      <w:pPr>
        <w:spacing w:after="0" w:line="85"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color w:val="auto"/>
        </w:rPr>
        <w:t>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fail to develop and maintain an effective system of internal control over financial reporting, we may be unable to accurately report our financial results or prevent fraud.</w:t>
      </w:r>
    </w:p>
    <w:p>
      <w:pPr>
        <w:spacing w:after="0" w:line="70" w:lineRule="exact"/>
        <w:rPr>
          <w:sz w:val="20"/>
          <w:szCs w:val="20"/>
          <w:color w:val="auto"/>
        </w:rPr>
      </w:pPr>
    </w:p>
    <w:p>
      <w:pPr>
        <w:ind w:right="160" w:firstLine="505"/>
        <w:spacing w:after="0" w:line="259" w:lineRule="auto"/>
        <w:rPr>
          <w:sz w:val="20"/>
          <w:szCs w:val="20"/>
          <w:color w:val="auto"/>
        </w:rPr>
      </w:pPr>
      <w:r>
        <w:rPr>
          <w:rFonts w:ascii="Arial" w:cs="Arial" w:eastAsia="Arial" w:hAnsi="Arial"/>
          <w:sz w:val="14"/>
          <w:szCs w:val="14"/>
          <w:color w:val="auto"/>
        </w:rPr>
        <w:t>In connection with our review of our financial statements for the six months ended December 31, 2017, our independent registered public accounting firm identified a material weakness in the design and operation of our internal controls. As defined in the standards established by the Public Company Accounting Oversight Board of the United States,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84" w:lineRule="exact"/>
        <w:rPr>
          <w:sz w:val="20"/>
          <w:szCs w:val="20"/>
          <w:color w:val="auto"/>
        </w:rPr>
      </w:pPr>
    </w:p>
    <w:p>
      <w:pPr>
        <w:ind w:right="140" w:firstLine="505"/>
        <w:spacing w:after="0" w:line="259" w:lineRule="auto"/>
        <w:rPr>
          <w:sz w:val="20"/>
          <w:szCs w:val="20"/>
          <w:color w:val="auto"/>
        </w:rPr>
      </w:pPr>
      <w:r>
        <w:rPr>
          <w:rFonts w:ascii="Arial" w:cs="Arial" w:eastAsia="Arial" w:hAnsi="Arial"/>
          <w:sz w:val="14"/>
          <w:szCs w:val="14"/>
          <w:color w:val="auto"/>
        </w:rPr>
        <w:t>The material weakness related to the Company’s lack of controls and procedures in place to monitor, capture, report and disclose subsequent events that occurred after the balance sheet date, specifically relating to certain revolving credit facilities that were put in place by the Company following such date (See Note 10 to the financial statements). Although the Company was aware of such transactions referenced in the Note, the relevant information was not provided to the financial accounting and reporting personnel, and, as a result, was not reflected in the subsequent note disclosures to the Company’s financial statements.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After review and the performance of additional analysis and other procedures, no material adjustments, restatement or other revisions to our previously issued financial statements were required.</w:t>
      </w:r>
    </w:p>
    <w:p>
      <w:pPr>
        <w:spacing w:after="0" w:line="136"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In addition, in order to address the material weakness and to further strengthen our accounting staff and internal controls, we have designated a “point” person within the Company’s accounting and finance reporting structure to whom all information relating to material transactions after the balance sheet closing date is reported to ensure that it is then properly and timely disclosure as subsequent event(s) in notes to the Company’s financial statements; the foregoing measure has been implemented immediately to further enhance and revise the design and operation of our existing controls and procedures in the near term.</w:t>
      </w:r>
    </w:p>
    <w:p>
      <w:pPr>
        <w:spacing w:after="0" w:line="84"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84" w:lineRule="exact"/>
        <w:rPr>
          <w:sz w:val="20"/>
          <w:szCs w:val="20"/>
          <w:color w:val="auto"/>
        </w:rPr>
      </w:pPr>
    </w:p>
    <w:p>
      <w:pPr>
        <w:ind w:right="40" w:firstLine="505"/>
        <w:spacing w:after="0" w:line="278" w:lineRule="auto"/>
        <w:rPr>
          <w:sz w:val="20"/>
          <w:szCs w:val="20"/>
          <w:color w:val="auto"/>
        </w:rPr>
      </w:pPr>
      <w:r>
        <w:rPr>
          <w:rFonts w:ascii="Arial" w:cs="Arial" w:eastAsia="Arial" w:hAnsi="Arial"/>
          <w:sz w:val="13"/>
          <w:szCs w:val="13"/>
          <w:color w:val="auto"/>
        </w:rPr>
        <w:t>We cannot be certain that these measures will successfully remediate the material weakness or that other material weaknesses will not be discovered in the future. If our efforts are not successful or other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common stock to decline. In addition, it could in turn limit our access to capital markets, harm our results of operations, and lead to a decline in the trading price of our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Because of our status as an emerging growth company, you will not be able to depend on any attestation from our independent registered public accountants as to our internal control over financial reporting for the foreseeable future.</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coverage may be inadequate to protect us against losses.</w:t>
      </w:r>
    </w:p>
    <w:p>
      <w:pPr>
        <w:spacing w:after="0" w:line="176" w:lineRule="exact"/>
        <w:rPr>
          <w:sz w:val="20"/>
          <w:szCs w:val="20"/>
          <w:color w:val="auto"/>
        </w:rPr>
      </w:pPr>
    </w:p>
    <w:p>
      <w:pPr>
        <w:ind w:right="380" w:firstLine="505"/>
        <w:spacing w:after="0" w:line="264" w:lineRule="auto"/>
        <w:rPr>
          <w:sz w:val="20"/>
          <w:szCs w:val="20"/>
          <w:color w:val="auto"/>
        </w:rPr>
      </w:pPr>
      <w:r>
        <w:rPr>
          <w:rFonts w:ascii="Arial" w:cs="Arial" w:eastAsia="Arial" w:hAnsi="Arial"/>
          <w:sz w:val="14"/>
          <w:szCs w:val="14"/>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Relating to Our Corporate Structure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likely not pay dividends in the foreseeable future.</w:t>
      </w:r>
    </w:p>
    <w:p>
      <w:pPr>
        <w:spacing w:after="0" w:line="176" w:lineRule="exact"/>
        <w:rPr>
          <w:sz w:val="20"/>
          <w:szCs w:val="20"/>
          <w:color w:val="auto"/>
        </w:rPr>
      </w:pPr>
    </w:p>
    <w:p>
      <w:pPr>
        <w:ind w:right="20" w:firstLine="505"/>
        <w:spacing w:after="0" w:line="254" w:lineRule="auto"/>
        <w:rPr>
          <w:sz w:val="20"/>
          <w:szCs w:val="20"/>
          <w:color w:val="auto"/>
        </w:rPr>
      </w:pPr>
      <w:r>
        <w:rPr>
          <w:rFonts w:ascii="Arial" w:cs="Arial" w:eastAsia="Arial" w:hAnsi="Arial"/>
          <w:sz w:val="14"/>
          <w:szCs w:val="14"/>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materially and adversely affected if any of our Chinese subsidiaries declare bankruptcy or become subject to a dissolution or liquidation proceeding.</w:t>
      </w:r>
    </w:p>
    <w:p>
      <w:pPr>
        <w:spacing w:after="0" w:line="176" w:lineRule="exact"/>
        <w:rPr>
          <w:sz w:val="20"/>
          <w:szCs w:val="20"/>
          <w:color w:val="auto"/>
        </w:rPr>
      </w:pPr>
    </w:p>
    <w:p>
      <w:pPr>
        <w:ind w:right="220" w:firstLine="505"/>
        <w:spacing w:after="0" w:line="259" w:lineRule="auto"/>
        <w:rPr>
          <w:sz w:val="20"/>
          <w:szCs w:val="20"/>
          <w:color w:val="auto"/>
        </w:rPr>
      </w:pPr>
      <w:r>
        <w:rPr>
          <w:rFonts w:ascii="Arial" w:cs="Arial" w:eastAsia="Arial" w:hAnsi="Arial"/>
          <w:sz w:val="14"/>
          <w:szCs w:val="14"/>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4"/>
          <w:szCs w:val="14"/>
          <w:b w:val="1"/>
          <w:bCs w:val="1"/>
          <w:i w:val="1"/>
          <w:iCs w:val="1"/>
          <w:color w:val="auto"/>
        </w:rPr>
        <w:t>WOFE is required to allocate a portion of its after-tax profits, to the statutory reserve fund, and as determined by its board of directors, to the staff welfare and bonus funds, which may not be distributed to equity owners.</w:t>
      </w:r>
    </w:p>
    <w:p>
      <w:pPr>
        <w:spacing w:after="0" w:line="133"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Pursuant to Company Law of P.R. China (2013 Revision), Wholly Foreign-Owned Enterprise Law of the P.R. China (2000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b w:val="1"/>
          <w:bCs w:val="1"/>
          <w:i w:val="1"/>
          <w:iCs w:val="1"/>
          <w:color w:val="auto"/>
        </w:rPr>
        <w:t>Our failure to obtain prior approval of the China Securities Regulatory Commission (“CSRC”) for the listing and trading of our common shares on a foreign stock exchange could delay this offering or could have a material adverse effect upon our business, operating results, reputation and trading price of our common shares.</w:t>
      </w:r>
    </w:p>
    <w:p>
      <w:pPr>
        <w:spacing w:after="0" w:line="133"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If the CSRC requires that we obtain its approval prior to the completion of this offering, the offering will be delayed until we obtain CSRC approval, which may take several months. There is also the possibility that we may not be able to obtain such approval. If prior CSRC approval was required, we may face regulatory actions or other sanctions from the CSRC or other Chinese regulatory authorities. These authorities may impose fines and penalties upon our operations in China, limit our operating privileges in China, delay or restrict the repatriation of the proceeds from this offering into China, or take other actions that could have a material adverse effect upon our business, financial condition, results of operations, reputation and prospects, as well as the trading price of our common shares. The CSRC or other Chinese regulatory agencies may also take actions requiring us, or making it advisable for us, to terminate this offering prior to closing.</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33" w:lineRule="exact"/>
        <w:rPr>
          <w:sz w:val="20"/>
          <w:szCs w:val="20"/>
          <w:color w:val="auto"/>
        </w:rPr>
      </w:pPr>
    </w:p>
    <w:p>
      <w:pPr>
        <w:ind w:firstLine="505"/>
        <w:spacing w:after="0" w:line="278" w:lineRule="auto"/>
        <w:rPr>
          <w:sz w:val="20"/>
          <w:szCs w:val="20"/>
          <w:color w:val="auto"/>
        </w:rPr>
      </w:pPr>
      <w:r>
        <w:rPr>
          <w:rFonts w:ascii="Arial" w:cs="Arial" w:eastAsia="Arial" w:hAnsi="Arial"/>
          <w:sz w:val="13"/>
          <w:szCs w:val="13"/>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4"/>
          <w:szCs w:val="14"/>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2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Currently the Company does not engage in information system integration business, therefore the Company is not required to have such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 If and to the extent we fail to maintain compliance with such applicable rules and regulations, our operations and financial results may be adversely affected.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Doing Business in China</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4"/>
          <w:szCs w:val="14"/>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33"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Uncertainties with respect to the PRC legal system could have a material adverse effect on us.</w:t>
      </w:r>
    </w:p>
    <w:p>
      <w:pPr>
        <w:spacing w:after="0" w:line="176" w:lineRule="exact"/>
        <w:rPr>
          <w:sz w:val="20"/>
          <w:szCs w:val="20"/>
          <w:color w:val="auto"/>
        </w:rPr>
      </w:pPr>
    </w:p>
    <w:p>
      <w:pPr>
        <w:ind w:firstLine="505"/>
        <w:spacing w:after="0" w:line="273" w:lineRule="auto"/>
        <w:rPr>
          <w:sz w:val="20"/>
          <w:szCs w:val="20"/>
          <w:color w:val="auto"/>
        </w:rPr>
      </w:pPr>
      <w:r>
        <w:rPr>
          <w:rFonts w:ascii="Arial" w:cs="Arial" w:eastAsia="Arial" w:hAnsi="Arial"/>
          <w:sz w:val="13"/>
          <w:szCs w:val="13"/>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45" w:lineRule="exact"/>
        <w:rPr>
          <w:sz w:val="20"/>
          <w:szCs w:val="20"/>
          <w:color w:val="auto"/>
        </w:rPr>
      </w:pPr>
    </w:p>
    <w:p>
      <w:pPr>
        <w:jc w:val="both"/>
        <w:ind w:right="240"/>
        <w:spacing w:after="0" w:line="264" w:lineRule="auto"/>
        <w:rPr>
          <w:sz w:val="20"/>
          <w:szCs w:val="20"/>
          <w:color w:val="auto"/>
        </w:rPr>
      </w:pPr>
      <w:r>
        <w:rPr>
          <w:rFonts w:ascii="Arial" w:cs="Arial" w:eastAsia="Arial" w:hAnsi="Arial"/>
          <w:sz w:val="14"/>
          <w:szCs w:val="14"/>
          <w:b w:val="1"/>
          <w:bCs w:val="1"/>
          <w:i w:val="1"/>
          <w:iCs w:val="1"/>
          <w:color w:val="auto"/>
        </w:rPr>
        <w:t>The approval of the China Securities Regulatory Commission, or the CSRC, may be required in connection with this offering under a recently adopted PRC regulation; any requirement to obtain prior CSRC approval could delay this offering and failure to obtain such approval, if required, could have a material adverse effect on our business, results of operation and reputation and could also create uncertainties for this offering.</w:t>
      </w:r>
    </w:p>
    <w:p>
      <w:pPr>
        <w:spacing w:after="0" w:line="142" w:lineRule="exact"/>
        <w:rPr>
          <w:sz w:val="20"/>
          <w:szCs w:val="20"/>
          <w:color w:val="auto"/>
        </w:rPr>
      </w:pPr>
    </w:p>
    <w:p>
      <w:pPr>
        <w:ind w:right="20" w:firstLine="505"/>
        <w:spacing w:after="0" w:line="278" w:lineRule="auto"/>
        <w:rPr>
          <w:sz w:val="20"/>
          <w:szCs w:val="20"/>
          <w:color w:val="auto"/>
        </w:rPr>
      </w:pPr>
      <w:r>
        <w:rPr>
          <w:rFonts w:ascii="Arial" w:cs="Arial" w:eastAsia="Arial" w:hAnsi="Arial"/>
          <w:sz w:val="13"/>
          <w:szCs w:val="13"/>
          <w:color w:val="auto"/>
        </w:rPr>
        <w:t>In 2006, the CSRC and five other PRC regulatory agencies jointly promulgated the Provisions Regarding Mergers and Acquisitions of Domestic Enterprises by Foreign Investors, or the M&amp;A Rule, which regulates foreign investment in PRC domestic enterprises. The M&amp;A Rule requires offshore special purpose vehicles formed for the purposes of overseas listing of equity interests in PRC companies and controlled directly or indirectly by PRC companies or individuals to obtain the approval of the CSRC prior to the listing and trading of the special purpose vehicle’s securities on an overseas stock exchange. The interpretation and application of the M&amp;A Rule is currently unclear.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this offering into China or the payment or distribution of dividends by our PRC subsidiaries, or take other actions that could have a material adverse effect on our business, financial condition, results of operations, reputation and prospects.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regulators’ ability to conduct investigations or enforce rules in China is limited.</w:t>
      </w:r>
    </w:p>
    <w:p>
      <w:pPr>
        <w:spacing w:after="0" w:line="176" w:lineRule="exact"/>
        <w:rPr>
          <w:sz w:val="20"/>
          <w:szCs w:val="20"/>
          <w:color w:val="auto"/>
        </w:rPr>
      </w:pPr>
    </w:p>
    <w:p>
      <w:pPr>
        <w:jc w:val="both"/>
        <w:ind w:right="300" w:firstLine="505"/>
        <w:spacing w:after="0" w:line="286" w:lineRule="auto"/>
        <w:rPr>
          <w:sz w:val="20"/>
          <w:szCs w:val="20"/>
          <w:color w:val="auto"/>
        </w:rPr>
      </w:pPr>
      <w:r>
        <w:rPr>
          <w:rFonts w:ascii="Arial" w:cs="Arial" w:eastAsia="Arial" w:hAnsi="Arial"/>
          <w:sz w:val="13"/>
          <w:szCs w:val="13"/>
          <w:color w:val="auto"/>
        </w:rPr>
        <w:t>The majority of our operations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uncertainty regarding the PRC tax reporting obligations and consequences for certain indirect transfers of the stock of our operating company.</w:t>
      </w:r>
    </w:p>
    <w:p>
      <w:pPr>
        <w:spacing w:after="0" w:line="176" w:lineRule="exact"/>
        <w:rPr>
          <w:sz w:val="20"/>
          <w:szCs w:val="20"/>
          <w:color w:val="auto"/>
        </w:rPr>
      </w:pPr>
    </w:p>
    <w:p>
      <w:pPr>
        <w:ind w:right="60" w:firstLine="505"/>
        <w:spacing w:after="0" w:line="276" w:lineRule="auto"/>
        <w:rPr>
          <w:sz w:val="20"/>
          <w:szCs w:val="20"/>
          <w:color w:val="auto"/>
        </w:rPr>
      </w:pPr>
      <w:r>
        <w:rPr>
          <w:rFonts w:ascii="Arial" w:cs="Arial" w:eastAsia="Arial" w:hAnsi="Arial"/>
          <w:sz w:val="13"/>
          <w:szCs w:val="13"/>
          <w:color w:val="auto"/>
        </w:rPr>
        <w:t>Pursuant to the Notice on Strengthening Administration of Enterprise Income Tax for Share Transfers by Non-PRC Resident Enterprises issued by the PRC State Administration of Taxation on December 10, 2009, or Circular 698, where a foreign investor transfers the equity interests of a PRC resident enterprise indirectly by way of the sale of equity interests of an overseas holding company, or an Indirect Transfer, and such overseas holding company is located in a tax jurisdiction that: (i) has an effective tax rate less than 12.5% or (ii) does not tax foreign income of its residents, the foreign investor should report such Indirect Transfer to the competent tax authority of the PRC resident enterprise. The PRC tax authority will examine the true nature of the Indirect Transfer, and if the tax authority considers that the foreign investor has adopted an abusive arrangement in order to avoid PRC tax, they will disregard the existence of the overseas holding company and re-characterize the Indirect Transfer and as a result, gains derived from such Indirect Transfer may be subject to PRC withholding tax at the rate of up to 10%. In addition, the PRC resident enterprise is supposed to provide necessary assistance to support the enforcement of Circular 698. At present, the PRC tax authorities will neither confirm nor deny that they would enforce Circular 698, in conjunction with other tax collection and tax withholding rules, to make claims against our PRC subsidiary as being indirectly liable for unpaid taxes, if any, arising from Indirect Transfers by shareholders who did not obtain their shares in the public offering of our shares.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0"/>
        <w:spacing w:after="0" w:line="364" w:lineRule="auto"/>
        <w:rPr>
          <w:sz w:val="20"/>
          <w:szCs w:val="20"/>
          <w:color w:val="auto"/>
        </w:rPr>
      </w:pPr>
      <w:r>
        <w:rPr>
          <w:rFonts w:ascii="Arial" w:cs="Arial" w:eastAsia="Arial" w:hAnsi="Arial"/>
          <w:sz w:val="12"/>
          <w:szCs w:val="12"/>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87" w:lineRule="exact"/>
        <w:rPr>
          <w:sz w:val="20"/>
          <w:szCs w:val="20"/>
          <w:color w:val="auto"/>
        </w:rPr>
      </w:pPr>
    </w:p>
    <w:p>
      <w:pPr>
        <w:ind w:firstLine="505"/>
        <w:spacing w:after="0" w:line="253" w:lineRule="auto"/>
        <w:rPr>
          <w:sz w:val="20"/>
          <w:szCs w:val="20"/>
          <w:color w:val="auto"/>
        </w:rPr>
      </w:pPr>
      <w:r>
        <w:rPr>
          <w:rFonts w:ascii="Arial" w:cs="Arial" w:eastAsia="Arial" w:hAnsi="Arial"/>
          <w:sz w:val="14"/>
          <w:szCs w:val="14"/>
          <w:color w:val="auto"/>
        </w:rPr>
        <w:t>The PRC State Administration of Foreign Exchange, or SAFE, issued a public notice in 2005 known as Circular 75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In addition, any PRC resident that is the shareholder of an offshore special purpose company is required to amend its SAFE registration with the local SAFE branch with respect to that offshore special purpose company in connection with any increase or decrease of capital, transfer of shares, merger, division, equity investment or creation of any security interest over any assets located in China. If these shareholders fail to comply, the PRC subsidiaries of the offshore special purpose company may be prohibited from distributing their profits and proceeds from any reduction in capital, share transfer or liquidation to their offshore parent company and the offshore parent company may be restricted in its ability to contribute additional capital into its PRC subsidiaries. Moreover, failure to comply with the above SAFE registration requirements could result in liabilities under PRC laws for evasion of foreign exchange restrictions.</w:t>
      </w:r>
    </w:p>
    <w:p>
      <w:pPr>
        <w:spacing w:after="0" w:line="155" w:lineRule="exact"/>
        <w:rPr>
          <w:sz w:val="20"/>
          <w:szCs w:val="20"/>
          <w:color w:val="auto"/>
        </w:rPr>
      </w:pPr>
    </w:p>
    <w:p>
      <w:pPr>
        <w:ind w:right="40" w:firstLine="505"/>
        <w:spacing w:after="0" w:line="307" w:lineRule="auto"/>
        <w:rPr>
          <w:sz w:val="20"/>
          <w:szCs w:val="20"/>
          <w:color w:val="auto"/>
        </w:rPr>
      </w:pPr>
      <w:r>
        <w:rPr>
          <w:rFonts w:ascii="Arial" w:cs="Arial" w:eastAsia="Arial" w:hAnsi="Arial"/>
          <w:sz w:val="12"/>
          <w:szCs w:val="12"/>
          <w:color w:val="auto"/>
        </w:rPr>
        <w:t>We are committed to complying with the Circular 75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75 requirements. As a result, we cannot assure you that all of our shareholders or beneficial owners who are PRC citizens or residents will at all times comply with, or in the future make or obtain any applicable registrations or approvals required by, Circular 75 or other related regulations. Failure by any such shareholders or beneficial owners to comply with Circular 75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20" w:lineRule="exact"/>
        <w:rPr>
          <w:sz w:val="20"/>
          <w:szCs w:val="20"/>
          <w:color w:val="auto"/>
        </w:rPr>
      </w:pPr>
    </w:p>
    <w:p>
      <w:pPr>
        <w:ind w:right="20" w:firstLine="505"/>
        <w:spacing w:after="0" w:line="257" w:lineRule="auto"/>
        <w:rPr>
          <w:sz w:val="20"/>
          <w:szCs w:val="20"/>
          <w:color w:val="auto"/>
        </w:rPr>
      </w:pPr>
      <w:r>
        <w:rPr>
          <w:rFonts w:ascii="Arial" w:cs="Arial" w:eastAsia="Arial" w:hAnsi="Arial"/>
          <w:sz w:val="14"/>
          <w:szCs w:val="14"/>
          <w:color w:val="auto"/>
        </w:rPr>
        <w:t>In addition, the PRC National Development and Reform Commission promulgated a rule in 2004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300"/>
        <w:spacing w:after="0" w:line="317" w:lineRule="auto"/>
        <w:rPr>
          <w:sz w:val="20"/>
          <w:szCs w:val="20"/>
          <w:color w:val="auto"/>
        </w:rPr>
      </w:pPr>
      <w:r>
        <w:rPr>
          <w:rFonts w:ascii="Arial" w:cs="Arial" w:eastAsia="Arial" w:hAnsi="Arial"/>
          <w:sz w:val="13"/>
          <w:szCs w:val="13"/>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In utilizing the proceeds from this public offering or any future offerings, as an offshore holding company of our PRC subsidiaries, 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47" w:lineRule="exact"/>
        <w:rPr>
          <w:sz w:val="20"/>
          <w:szCs w:val="20"/>
          <w:color w:val="auto"/>
        </w:rPr>
      </w:pPr>
    </w:p>
    <w:p>
      <w:pPr>
        <w:ind w:right="180" w:firstLine="505"/>
        <w:spacing w:after="0" w:line="286" w:lineRule="auto"/>
        <w:rPr>
          <w:sz w:val="20"/>
          <w:szCs w:val="20"/>
          <w:color w:val="auto"/>
        </w:rPr>
      </w:pPr>
      <w:r>
        <w:rPr>
          <w:rFonts w:ascii="Arial" w:cs="Arial" w:eastAsia="Arial" w:hAnsi="Arial"/>
          <w:sz w:val="13"/>
          <w:szCs w:val="13"/>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129" w:lineRule="exact"/>
        <w:rPr>
          <w:sz w:val="20"/>
          <w:szCs w:val="20"/>
          <w:color w:val="auto"/>
        </w:rPr>
      </w:pPr>
    </w:p>
    <w:p>
      <w:pPr>
        <w:ind w:firstLine="505"/>
        <w:spacing w:after="0" w:line="310" w:lineRule="auto"/>
        <w:rPr>
          <w:sz w:val="20"/>
          <w:szCs w:val="20"/>
          <w:color w:val="auto"/>
        </w:rPr>
      </w:pPr>
      <w:r>
        <w:rPr>
          <w:rFonts w:ascii="Arial" w:cs="Arial" w:eastAsia="Arial" w:hAnsi="Arial"/>
          <w:sz w:val="12"/>
          <w:szCs w:val="12"/>
          <w:color w:val="auto"/>
        </w:rPr>
        <w:t>In 2008, SAFE promulgated Circular 142, a notice regulating the conversion by a foreign-invested enterprise of foreign currency into Renminbi by restricting how the converted Renminbi may be used. Circular 142 requires that Renminbi converted from the foreign currency-denominated capital of a foreign-invested enterprise may only be used for purposes within the business scope approved by the applicable governmental authority and may not be used for equity investments within the PRC unless specifically provided for otherwise in its business scope. In addition, SAFE strengthened its oversight of the flow and use of Renminbi funds converted from the foreign currency-denominated capital of a foreign-invested enterprise. The use of such Renminbi may not be changed without approval from SAFE, and may not be used to repay Renminbi loans if the proceeds of such loans have not yet been used for purposes within the foreign-invested enterprise’s approved business scope.</w:t>
      </w:r>
    </w:p>
    <w:p>
      <w:pPr>
        <w:spacing w:after="0" w:line="119"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use the proceeds we receive from this offering and to capitalize or otherwise fund our PRC operations may be negatively affected, which could adversely and materially affect our liquidity and our ability to fund and expand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Governmental control of currency conversion may limit our ability to use our revenues effectively and the ability of our PRC subsidiaries to obtain financing.</w:t>
      </w:r>
    </w:p>
    <w:p>
      <w:pPr>
        <w:spacing w:after="0" w:line="176" w:lineRule="exact"/>
        <w:rPr>
          <w:sz w:val="20"/>
          <w:szCs w:val="20"/>
          <w:color w:val="auto"/>
        </w:rPr>
      </w:pPr>
    </w:p>
    <w:p>
      <w:pPr>
        <w:ind w:firstLine="505"/>
        <w:spacing w:after="0" w:line="278" w:lineRule="auto"/>
        <w:rPr>
          <w:sz w:val="20"/>
          <w:szCs w:val="20"/>
          <w:color w:val="auto"/>
        </w:rPr>
      </w:pPr>
      <w:r>
        <w:rPr>
          <w:rFonts w:ascii="Arial" w:cs="Arial" w:eastAsia="Arial" w:hAnsi="Arial"/>
          <w:sz w:val="13"/>
          <w:szCs w:val="13"/>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w:t>
      </w:r>
    </w:p>
    <w:p>
      <w:pPr>
        <w:spacing w:after="0" w:line="135" w:lineRule="exact"/>
        <w:rPr>
          <w:sz w:val="20"/>
          <w:szCs w:val="20"/>
          <w:color w:val="auto"/>
        </w:rPr>
      </w:pPr>
    </w:p>
    <w:p>
      <w:pPr>
        <w:jc w:val="both"/>
        <w:ind w:right="80" w:firstLine="505"/>
        <w:spacing w:after="0" w:line="259" w:lineRule="auto"/>
        <w:rPr>
          <w:sz w:val="20"/>
          <w:szCs w:val="20"/>
          <w:color w:val="auto"/>
        </w:rPr>
      </w:pPr>
      <w:r>
        <w:rPr>
          <w:rFonts w:ascii="Arial" w:cs="Arial" w:eastAsia="Arial" w:hAnsi="Arial"/>
          <w:sz w:val="14"/>
          <w:szCs w:val="14"/>
          <w:color w:val="auto"/>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99" w:lineRule="exact"/>
        <w:rPr>
          <w:sz w:val="20"/>
          <w:szCs w:val="20"/>
          <w:color w:val="auto"/>
        </w:rPr>
      </w:pPr>
    </w:p>
    <w:p>
      <w:pPr>
        <w:ind w:right="80" w:firstLine="505"/>
        <w:spacing w:after="0" w:line="276" w:lineRule="auto"/>
        <w:rPr>
          <w:sz w:val="20"/>
          <w:szCs w:val="20"/>
          <w:color w:val="auto"/>
        </w:rPr>
      </w:pPr>
      <w:r>
        <w:rPr>
          <w:rFonts w:ascii="Arial" w:cs="Arial" w:eastAsia="Arial" w:hAnsi="Arial"/>
          <w:sz w:val="13"/>
          <w:szCs w:val="13"/>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36" w:lineRule="exact"/>
        <w:rPr>
          <w:sz w:val="20"/>
          <w:szCs w:val="20"/>
          <w:color w:val="auto"/>
        </w:rPr>
      </w:pPr>
    </w:p>
    <w:p>
      <w:pPr>
        <w:ind w:right="20" w:firstLine="505"/>
        <w:spacing w:after="0" w:line="299" w:lineRule="auto"/>
        <w:rPr>
          <w:sz w:val="20"/>
          <w:szCs w:val="20"/>
          <w:color w:val="auto"/>
        </w:rPr>
      </w:pPr>
      <w:r>
        <w:rPr>
          <w:rFonts w:ascii="Arial" w:cs="Arial" w:eastAsia="Arial" w:hAnsi="Arial"/>
          <w:sz w:val="12"/>
          <w:szCs w:val="12"/>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4"/>
          <w:szCs w:val="14"/>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33" w:lineRule="exact"/>
        <w:rPr>
          <w:sz w:val="20"/>
          <w:szCs w:val="20"/>
          <w:color w:val="auto"/>
        </w:rPr>
      </w:pPr>
    </w:p>
    <w:p>
      <w:pPr>
        <w:ind w:right="40" w:firstLine="505"/>
        <w:spacing w:after="0" w:line="274" w:lineRule="auto"/>
        <w:rPr>
          <w:sz w:val="20"/>
          <w:szCs w:val="20"/>
          <w:color w:val="auto"/>
        </w:rPr>
      </w:pPr>
      <w:r>
        <w:rPr>
          <w:rFonts w:ascii="Arial" w:cs="Arial" w:eastAsia="Arial" w:hAnsi="Arial"/>
          <w:sz w:val="13"/>
          <w:szCs w:val="13"/>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480"/>
        <w:spacing w:after="0" w:line="277" w:lineRule="auto"/>
        <w:rPr>
          <w:sz w:val="20"/>
          <w:szCs w:val="20"/>
          <w:color w:val="auto"/>
        </w:rPr>
      </w:pPr>
      <w:r>
        <w:rPr>
          <w:rFonts w:ascii="Arial" w:cs="Arial" w:eastAsia="Arial" w:hAnsi="Arial"/>
          <w:sz w:val="14"/>
          <w:szCs w:val="14"/>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33" w:lineRule="exact"/>
        <w:rPr>
          <w:sz w:val="20"/>
          <w:szCs w:val="20"/>
          <w:color w:val="auto"/>
        </w:rPr>
      </w:pPr>
    </w:p>
    <w:p>
      <w:pPr>
        <w:ind w:firstLine="505"/>
        <w:spacing w:after="0" w:line="276" w:lineRule="auto"/>
        <w:rPr>
          <w:sz w:val="20"/>
          <w:szCs w:val="20"/>
          <w:color w:val="auto"/>
        </w:rPr>
      </w:pPr>
      <w:r>
        <w:rPr>
          <w:rFonts w:ascii="Arial" w:cs="Arial" w:eastAsia="Arial" w:hAnsi="Arial"/>
          <w:sz w:val="13"/>
          <w:szCs w:val="13"/>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Enhanced scrutiny over acquisition transactions by the PRC tax authorities may have a negative impact on potential acquisitions we may pursue in the future.</w:t>
      </w:r>
    </w:p>
    <w:p>
      <w:pPr>
        <w:spacing w:after="0" w:line="176" w:lineRule="exact"/>
        <w:rPr>
          <w:sz w:val="20"/>
          <w:szCs w:val="20"/>
          <w:color w:val="auto"/>
        </w:rPr>
      </w:pPr>
    </w:p>
    <w:p>
      <w:pPr>
        <w:ind w:right="40" w:firstLine="505"/>
        <w:spacing w:after="0" w:line="264" w:lineRule="auto"/>
        <w:rPr>
          <w:sz w:val="20"/>
          <w:szCs w:val="20"/>
          <w:color w:val="auto"/>
        </w:rPr>
      </w:pPr>
      <w:r>
        <w:rPr>
          <w:rFonts w:ascii="Arial" w:cs="Arial" w:eastAsia="Arial" w:hAnsi="Arial"/>
          <w:sz w:val="14"/>
          <w:szCs w:val="14"/>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and Circular 698, which became effective in January 2008, and a Circular 7 in replacement of some of the existing rules in Circular 698, which became effective in February 2015.</w:t>
      </w:r>
    </w:p>
    <w:p>
      <w:pPr>
        <w:spacing w:after="0" w:line="142"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Under Circular 698, where a non-resident enterprise conducts an “indirect transfer” by transferring the equity interests of a PRC “resident enterprise” indirectly by disposing of the equity interests of an overseas holding company,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 Circular 698 also provides that, where a non-PRC resident enterprise transfers its equity interests in a PRC resident enterprise to its related parties at a price lower than the fair market value, the relevant tax authority has the power to make a reasonable adjustment to the taxable income of the transaction.</w:t>
      </w:r>
    </w:p>
    <w:p>
      <w:pPr>
        <w:spacing w:after="0" w:line="148" w:lineRule="exact"/>
        <w:rPr>
          <w:sz w:val="20"/>
          <w:szCs w:val="20"/>
          <w:color w:val="auto"/>
        </w:rPr>
      </w:pPr>
    </w:p>
    <w:p>
      <w:pPr>
        <w:ind w:firstLine="505"/>
        <w:spacing w:after="0" w:line="301" w:lineRule="auto"/>
        <w:rPr>
          <w:sz w:val="20"/>
          <w:szCs w:val="20"/>
          <w:color w:val="auto"/>
        </w:rPr>
      </w:pPr>
      <w:r>
        <w:rPr>
          <w:rFonts w:ascii="Arial" w:cs="Arial" w:eastAsia="Arial" w:hAnsi="Arial"/>
          <w:sz w:val="12"/>
          <w:szCs w:val="12"/>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or Circular 698 and Circular 7, and may be required to expend valuable resources to comply with Circular 59, Circular 698 and Circular 7 or to establish that we and our non-resident enterprises should not be taxed under these circulars, which may have a material adverse effect on our financial condition and results of operations.</w:t>
      </w:r>
    </w:p>
    <w:p>
      <w:pPr>
        <w:spacing w:after="0" w:line="132"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The PRC tax authorities have the discretion under SAT Circular 59, Circular 698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698 and Circular 7, our income tax costs associated with such potential acquisitions will be increased, which may have an adverse effect on our financial condition and results of operations.</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4"/>
          <w:szCs w:val="14"/>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33" w:lineRule="exact"/>
        <w:rPr>
          <w:sz w:val="20"/>
          <w:szCs w:val="20"/>
          <w:color w:val="auto"/>
        </w:rPr>
      </w:pPr>
    </w:p>
    <w:p>
      <w:pPr>
        <w:ind w:right="40" w:firstLine="505"/>
        <w:spacing w:after="0" w:line="277" w:lineRule="auto"/>
        <w:rPr>
          <w:sz w:val="20"/>
          <w:szCs w:val="20"/>
          <w:color w:val="auto"/>
        </w:rPr>
      </w:pPr>
      <w:r>
        <w:rPr>
          <w:rFonts w:ascii="Arial" w:cs="Arial" w:eastAsia="Arial" w:hAnsi="Arial"/>
          <w:sz w:val="13"/>
          <w:szCs w:val="13"/>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current employment practices may be restricted under the PRC Labor Contract Law and our labor costs may increase as a result.</w:t>
      </w:r>
    </w:p>
    <w:p>
      <w:pPr>
        <w:spacing w:after="0" w:line="176" w:lineRule="exact"/>
        <w:rPr>
          <w:sz w:val="20"/>
          <w:szCs w:val="20"/>
          <w:color w:val="auto"/>
        </w:rPr>
      </w:pPr>
    </w:p>
    <w:p>
      <w:pPr>
        <w:ind w:right="20" w:firstLine="505"/>
        <w:spacing w:after="0" w:line="275" w:lineRule="auto"/>
        <w:rPr>
          <w:sz w:val="20"/>
          <w:szCs w:val="20"/>
          <w:color w:val="auto"/>
        </w:rPr>
      </w:pPr>
      <w:r>
        <w:rPr>
          <w:rFonts w:ascii="Arial" w:cs="Arial" w:eastAsia="Arial" w:hAnsi="Arial"/>
          <w:sz w:val="13"/>
          <w:szCs w:val="13"/>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Risks Associated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There has been no public market for our common shares prior to this offering, and you may not be able to resell our common shares at or above the price you paid, or at all.</w:t>
      </w:r>
    </w:p>
    <w:p>
      <w:pPr>
        <w:spacing w:after="0" w:line="187"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Prior to this initial public offering, there has been no public market for our shares. We intend to list our common shares on the NASDAQ Capital Market. If an active trading market for our common shares does not develop after this offering, the market price and liquidity of our common shares will be materially and adversely affected. Negotiations with the underwriters will determine the initial public offering price for our common shares which may bear no relationship to their market price after the initial public offering. We cannot assure you that an active trading market for our common shares will develop or that the market price of our common shares will not decline below the initial public offering price.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comply with certain conditions, our common shares may not trade on the NASDAQ Capital Market.</w:t>
      </w:r>
    </w:p>
    <w:p>
      <w:pPr>
        <w:spacing w:after="0" w:line="172"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 have received approval to list our common shares on the NASDAQ Capital Market provided that we pay the balance of our entry fee and show that we will have 300 round-lot</w:t>
      </w:r>
      <w:r>
        <w:rPr>
          <w:rFonts w:ascii="Arial" w:cs="Arial" w:eastAsia="Arial" w:hAnsi="Arial"/>
          <w:sz w:val="14"/>
          <w:szCs w:val="14"/>
          <w:color w:val="auto"/>
        </w:rPr>
        <w:t xml:space="preserve"> </w:t>
      </w:r>
      <w:r>
        <w:rPr>
          <w:rFonts w:ascii="Arial" w:cs="Arial" w:eastAsia="Arial" w:hAnsi="Arial"/>
          <w:sz w:val="14"/>
          <w:szCs w:val="14"/>
          <w:b w:val="1"/>
          <w:bCs w:val="1"/>
          <w:color w:val="auto"/>
        </w:rPr>
        <w:t>shareholders prior to our first day of trading</w:t>
      </w:r>
      <w:r>
        <w:rPr>
          <w:rFonts w:ascii="Arial" w:cs="Arial" w:eastAsia="Arial" w:hAnsi="Arial"/>
          <w:sz w:val="14"/>
          <w:szCs w:val="14"/>
          <w:color w:val="auto"/>
        </w:rPr>
        <w:t>.] If we are unable to meet these final conditions our shares may not trade on the NASDAQ Capital Market. In addition, we have relied on an exemption to</w:t>
      </w:r>
      <w:r>
        <w:rPr>
          <w:rFonts w:ascii="Arial" w:cs="Arial" w:eastAsia="Arial" w:hAnsi="Arial"/>
          <w:sz w:val="14"/>
          <w:szCs w:val="14"/>
          <w:b w:val="1"/>
          <w:bCs w:val="1"/>
          <w:color w:val="auto"/>
        </w:rPr>
        <w:t xml:space="preserve"> </w:t>
      </w:r>
      <w:r>
        <w:rPr>
          <w:rFonts w:ascii="Arial" w:cs="Arial" w:eastAsia="Arial" w:hAnsi="Arial"/>
          <w:sz w:val="14"/>
          <w:szCs w:val="14"/>
          <w:color w:val="auto"/>
        </w:rPr>
        <w:t>the blue sky registration requirements afforded to “covered securities.” Securities listed on the NASDAQ Capital Market are “covered securities.” If we were unable to meet the final conditions for listing, then we would be unable to rely on the covered securities exemption to blue sky registration requirements and we would need to register the offering in each state in which we planned to sell shares. Consequently, we will not complete this offering until we have met the final conditions.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listed on the NASDAQ Capital Market and our financial condition deteriorates, we may not meet continued listing standards on the NASDAQ Capital Market.</w:t>
      </w:r>
    </w:p>
    <w:p>
      <w:pPr>
        <w:spacing w:after="0" w:line="176" w:lineRule="exact"/>
        <w:rPr>
          <w:sz w:val="20"/>
          <w:szCs w:val="20"/>
          <w:color w:val="auto"/>
        </w:rPr>
      </w:pPr>
    </w:p>
    <w:p>
      <w:pPr>
        <w:ind w:right="20" w:firstLine="505"/>
        <w:spacing w:after="0" w:line="277" w:lineRule="auto"/>
        <w:rPr>
          <w:sz w:val="20"/>
          <w:szCs w:val="20"/>
          <w:color w:val="auto"/>
        </w:rPr>
      </w:pPr>
      <w:r>
        <w:rPr>
          <w:rFonts w:ascii="Arial" w:cs="Arial" w:eastAsia="Arial" w:hAnsi="Arial"/>
          <w:sz w:val="13"/>
          <w:szCs w:val="13"/>
          <w:color w:val="auto"/>
        </w:rPr>
        <w:t>The NASDAQ Capital Market also requires companies to fulfill specific requirements in order for their shares to continue to be listed. If our shares are listed on the NASDAQ Capital Market but are delisted from the NASDAQ Capital Market at some later date, our shareholders could find it difficult to sell our shares. In addition, if our common shares are delisted from the NASDAQ Capital Market at some later date, we may apply to have our common shares quoted on the Bulletin Board or in the “pink sheets” maintained by the National Quotation Bureau, Inc. The Bulletin Board and the “pink sheets” are generally considered to be less efficient markets than the NASDAQ Capital Market. In addition, if our common shares are not so listed or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not so listed or are delisted from the NASDAQ Capital Market at some later date or become subject to the penny stock regulations, it is likely that the price of our shares would decline and that our shareholders would find it difficult to sell their shares.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jc w:val="both"/>
        <w:ind w:right="220"/>
        <w:spacing w:after="0" w:line="277" w:lineRule="auto"/>
        <w:rPr>
          <w:sz w:val="20"/>
          <w:szCs w:val="20"/>
          <w:color w:val="auto"/>
        </w:rPr>
      </w:pPr>
      <w:r>
        <w:rPr>
          <w:rFonts w:ascii="Arial" w:cs="Arial" w:eastAsia="Arial" w:hAnsi="Arial"/>
          <w:sz w:val="14"/>
          <w:szCs w:val="14"/>
          <w:b w:val="1"/>
          <w:bCs w:val="1"/>
          <w:i w:val="1"/>
          <w:iCs w:val="1"/>
          <w:color w:val="auto"/>
        </w:rPr>
        <w:t>If a limited number of participants in this offering purchase a significant percentage of the offering, the effective public float may be smaller than anticipated and the price of our common shares may be volatile.</w:t>
      </w:r>
    </w:p>
    <w:p>
      <w:pPr>
        <w:spacing w:after="0" w:line="133" w:lineRule="exact"/>
        <w:rPr>
          <w:sz w:val="20"/>
          <w:szCs w:val="20"/>
          <w:color w:val="auto"/>
        </w:rPr>
      </w:pPr>
    </w:p>
    <w:p>
      <w:pPr>
        <w:jc w:val="both"/>
        <w:ind w:right="200" w:firstLine="505"/>
        <w:spacing w:after="0" w:line="293" w:lineRule="auto"/>
        <w:rPr>
          <w:sz w:val="20"/>
          <w:szCs w:val="20"/>
          <w:color w:val="auto"/>
        </w:rPr>
      </w:pPr>
      <w:r>
        <w:rPr>
          <w:rFonts w:ascii="Arial" w:cs="Arial" w:eastAsia="Arial" w:hAnsi="Arial"/>
          <w:sz w:val="13"/>
          <w:szCs w:val="13"/>
          <w:color w:val="auto"/>
        </w:rPr>
        <w:t>As a company conducting a relatively modest public offering, we are subject to the risk that a small number of investors will purchase a high percentage of the offering. If this were to happen, investors could find our shares to be more volatile than they might otherwise anticipate. Companies that experience such volatility in their stock price may be more likely to be the subject of securities litigation. In addition, if a large portion of our public float were to be held by a few investors, smaller investors may find it more difficult to sell their shares.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for our shares may be volatile.</w:t>
      </w:r>
    </w:p>
    <w:p>
      <w:pPr>
        <w:spacing w:after="0" w:line="176" w:lineRule="exact"/>
        <w:rPr>
          <w:sz w:val="20"/>
          <w:szCs w:val="20"/>
          <w:color w:val="auto"/>
        </w:rPr>
      </w:pPr>
    </w:p>
    <w:p>
      <w:pPr>
        <w:ind w:firstLine="505"/>
        <w:spacing w:after="0" w:line="276" w:lineRule="auto"/>
        <w:rPr>
          <w:sz w:val="20"/>
          <w:szCs w:val="20"/>
          <w:color w:val="auto"/>
        </w:rPr>
      </w:pPr>
      <w:r>
        <w:rPr>
          <w:rFonts w:ascii="Arial" w:cs="Arial" w:eastAsia="Arial" w:hAnsi="Arial"/>
          <w:sz w:val="13"/>
          <w:szCs w:val="13"/>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36" w:lineRule="exact"/>
        <w:rPr>
          <w:sz w:val="20"/>
          <w:szCs w:val="20"/>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developments affecting us, our users, or our industry;</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uncertainties with regard to our variable interest entity arrangements;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announcements of studies and reports relating to our service offerings or those of our competitors;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actual or anticipated fluctuations in our quarterly results of operations and changes or revisions of our expected results;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financial estimates by securities research analysts;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 and service offerings, acquisitions, strategic relationships, joint ventures or capital commitments;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additions to or departures of our senior management;</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detrimental negative publicity about us, our management or our industry;</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fluctuations of exchange rates between the RMB and the U.S. dollar;</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release or expiry of lock-up or other transfer restrictions on our outstanding common shares;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sales or perceived potential sales of additional common shares.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60"/>
        <w:spacing w:after="0" w:line="317" w:lineRule="auto"/>
        <w:rPr>
          <w:sz w:val="20"/>
          <w:szCs w:val="20"/>
          <w:color w:val="auto"/>
        </w:rPr>
      </w:pPr>
      <w:r>
        <w:rPr>
          <w:rFonts w:ascii="Arial" w:cs="Arial" w:eastAsia="Arial" w:hAnsi="Arial"/>
          <w:sz w:val="13"/>
          <w:szCs w:val="13"/>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10" w:lineRule="exact"/>
        <w:rPr>
          <w:sz w:val="20"/>
          <w:szCs w:val="20"/>
          <w:color w:val="auto"/>
        </w:rPr>
      </w:pPr>
    </w:p>
    <w:p>
      <w:pPr>
        <w:ind w:right="60" w:firstLine="505"/>
        <w:spacing w:after="0" w:line="304" w:lineRule="auto"/>
        <w:rPr>
          <w:sz w:val="20"/>
          <w:szCs w:val="20"/>
          <w:color w:val="auto"/>
        </w:rPr>
      </w:pPr>
      <w:r>
        <w:rPr>
          <w:rFonts w:ascii="Arial" w:cs="Arial" w:eastAsia="Arial" w:hAnsi="Arial"/>
          <w:sz w:val="12"/>
          <w:szCs w:val="12"/>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23"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b w:val="1"/>
          <w:bCs w:val="1"/>
          <w:i w:val="1"/>
          <w:iCs w:val="1"/>
          <w:color w:val="auto"/>
        </w:rPr>
        <w:t>Shares eligible for future sale may adversely affect the market price of our common shares, as the future sale of a substantial amount of outstanding common shares in the public marketplace could reduce the price of our common shares.</w:t>
      </w:r>
    </w:p>
    <w:p>
      <w:pPr>
        <w:spacing w:after="0" w:line="133" w:lineRule="exact"/>
        <w:rPr>
          <w:sz w:val="20"/>
          <w:szCs w:val="20"/>
          <w:color w:val="auto"/>
        </w:rPr>
      </w:pPr>
    </w:p>
    <w:p>
      <w:pPr>
        <w:ind w:right="100" w:firstLine="505"/>
        <w:spacing w:after="0" w:line="257" w:lineRule="auto"/>
        <w:rPr>
          <w:sz w:val="20"/>
          <w:szCs w:val="20"/>
          <w:color w:val="auto"/>
        </w:rPr>
      </w:pPr>
      <w:r>
        <w:rPr>
          <w:rFonts w:ascii="Arial" w:cs="Arial" w:eastAsia="Arial" w:hAnsi="Arial"/>
          <w:sz w:val="14"/>
          <w:szCs w:val="14"/>
          <w:color w:val="auto"/>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common shares. An aggregate of shares is outstanding before the consummation of this offering and [●] shares will be outstanding immediately after this offering. All of the shares sold in the offering will be freely transferable without restriction or further registration under the Securities Act. The remaining shares will be “restricted securities” as defined in Rule 144. These shares may be sold in the future without registration under the Securities Act to the extent permitted by Rule 144 or other exemptions under the Securities Act.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will experience immediate and substantial dilution.</w:t>
      </w:r>
    </w:p>
    <w:p>
      <w:pPr>
        <w:spacing w:after="0" w:line="176" w:lineRule="exact"/>
        <w:rPr>
          <w:sz w:val="20"/>
          <w:szCs w:val="20"/>
          <w:color w:val="auto"/>
        </w:rPr>
      </w:pPr>
    </w:p>
    <w:p>
      <w:pPr>
        <w:ind w:right="40" w:firstLine="505"/>
        <w:spacing w:after="0" w:line="293" w:lineRule="auto"/>
        <w:rPr>
          <w:sz w:val="20"/>
          <w:szCs w:val="20"/>
          <w:color w:val="auto"/>
        </w:rPr>
      </w:pPr>
      <w:r>
        <w:rPr>
          <w:rFonts w:ascii="Arial" w:cs="Arial" w:eastAsia="Arial" w:hAnsi="Arial"/>
          <w:sz w:val="13"/>
          <w:szCs w:val="13"/>
          <w:color w:val="auto"/>
        </w:rPr>
        <w:t>The initial public offering price of our shares is expected to be substantially higher than the pro forma net tangible book value per share of our common shares. Assuming the completion of the offering, if you purchase shares in this offering, you will incur immediate dilution of approximately $[●] or approximately [●]% in the pro forma net tangible book value per share from the price per share that you pay for the shares. Accordingly, if you purchase shares in this offering, you will incur immediate and substantial dilution of your investment. See “Dilution.”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 finally determined the use of the proceeds from this offering, and we may use the proceeds in ways with which you may not agree.</w:t>
      </w:r>
    </w:p>
    <w:p>
      <w:pPr>
        <w:spacing w:after="0" w:line="176" w:lineRule="exact"/>
        <w:rPr>
          <w:sz w:val="20"/>
          <w:szCs w:val="20"/>
          <w:color w:val="auto"/>
        </w:rPr>
      </w:pPr>
    </w:p>
    <w:p>
      <w:pPr>
        <w:ind w:firstLine="505"/>
        <w:spacing w:after="0" w:line="255" w:lineRule="auto"/>
        <w:rPr>
          <w:sz w:val="20"/>
          <w:szCs w:val="20"/>
          <w:color w:val="auto"/>
        </w:rPr>
      </w:pPr>
      <w:r>
        <w:rPr>
          <w:rFonts w:ascii="Arial" w:cs="Arial" w:eastAsia="Arial" w:hAnsi="Arial"/>
          <w:sz w:val="14"/>
          <w:szCs w:val="14"/>
          <w:color w:val="auto"/>
        </w:rPr>
        <w:t>While we have identified the priorities to which we expect to put the proceeds of this offering, our management will have considerable discretion in the application of the net proceeds received by us. Specifically, we intend to use the net proceeds from this offering for expansion and upgrades of our production lines and warehouse facilities, establishment promotion of overseas sales websites, and working capital and general corporate purposes. We have reserved the right to re-allocate funds currently allocated to that purpose to our general working capital. If that were to happen, then our management would have discretion over even more of the net proceeds to be received by our company in this offering. You will not have the opportunity, as part of your investment decision, to assess whether the proceeds are being used appropriately. You must rely on the judgment of our management regarding the application of the net proceeds of this offering. The net proceeds may be used for corporate purposes that do not improve our efforts to achieve profitability or increase our stock price. The net proceeds from this offering may be placed in investments that do not produce profit or increase value. See “Use of Proceeds.”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33" w:lineRule="exact"/>
        <w:rPr>
          <w:sz w:val="20"/>
          <w:szCs w:val="20"/>
          <w:color w:val="auto"/>
        </w:rPr>
      </w:pPr>
    </w:p>
    <w:p>
      <w:pPr>
        <w:ind w:right="40" w:firstLine="505"/>
        <w:spacing w:after="0" w:line="276" w:lineRule="auto"/>
        <w:rPr>
          <w:sz w:val="20"/>
          <w:szCs w:val="20"/>
          <w:color w:val="auto"/>
        </w:rPr>
      </w:pPr>
      <w:r>
        <w:rPr>
          <w:rFonts w:ascii="Arial" w:cs="Arial" w:eastAsia="Arial" w:hAnsi="Arial"/>
          <w:sz w:val="13"/>
          <w:szCs w:val="13"/>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Judgments obtained against us by our shareholders may not be enforceable.</w:t>
      </w:r>
    </w:p>
    <w:p>
      <w:pPr>
        <w:spacing w:after="0" w:line="176"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99"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Upon consummation of this offering, we will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33" w:lineRule="exact"/>
        <w:rPr>
          <w:sz w:val="20"/>
          <w:szCs w:val="20"/>
          <w:color w:val="auto"/>
        </w:rPr>
      </w:pPr>
    </w:p>
    <w:p>
      <w:pPr>
        <w:ind w:left="500" w:hanging="243"/>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sections of the Exchange Act that regulate the solicitation of proxies, consents or authorizations in respect of a security registered under the Exchange Act;</w:t>
      </w:r>
    </w:p>
    <w:p>
      <w:pPr>
        <w:spacing w:after="0" w:line="175" w:lineRule="exact"/>
        <w:rPr>
          <w:rFonts w:ascii="Arial" w:cs="Arial" w:eastAsia="Arial" w:hAnsi="Arial"/>
          <w:sz w:val="14"/>
          <w:szCs w:val="14"/>
          <w:color w:val="auto"/>
        </w:rPr>
      </w:pPr>
    </w:p>
    <w:p>
      <w:pPr>
        <w:ind w:left="500" w:right="160" w:hanging="243"/>
        <w:spacing w:after="0" w:line="277"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33" w:lineRule="exact"/>
        <w:rPr>
          <w:rFonts w:ascii="Arial" w:cs="Arial" w:eastAsia="Arial" w:hAnsi="Arial"/>
          <w:sz w:val="14"/>
          <w:szCs w:val="14"/>
          <w:color w:val="auto"/>
        </w:rPr>
      </w:pPr>
    </w:p>
    <w:p>
      <w:pPr>
        <w:ind w:left="500" w:right="160" w:hanging="243"/>
        <w:spacing w:after="0" w:line="277"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33" w:lineRule="exact"/>
        <w:rPr>
          <w:sz w:val="20"/>
          <w:szCs w:val="20"/>
          <w:color w:val="auto"/>
        </w:rPr>
      </w:pPr>
    </w:p>
    <w:p>
      <w:pPr>
        <w:ind w:right="160" w:firstLine="505"/>
        <w:spacing w:after="0" w:line="282" w:lineRule="auto"/>
        <w:rPr>
          <w:sz w:val="20"/>
          <w:szCs w:val="20"/>
          <w:color w:val="auto"/>
        </w:rPr>
      </w:pPr>
      <w:r>
        <w:rPr>
          <w:rFonts w:ascii="Arial" w:cs="Arial" w:eastAsia="Arial" w:hAnsi="Arial"/>
          <w:sz w:val="13"/>
          <w:szCs w:val="13"/>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lose our foreign private issuer status in the future, which could result in significant additional costs and expenses.</w:t>
      </w:r>
    </w:p>
    <w:p>
      <w:pPr>
        <w:spacing w:after="0" w:line="176" w:lineRule="exact"/>
        <w:rPr>
          <w:sz w:val="20"/>
          <w:szCs w:val="20"/>
          <w:color w:val="auto"/>
        </w:rPr>
      </w:pPr>
    </w:p>
    <w:p>
      <w:pPr>
        <w:ind w:firstLine="505"/>
        <w:spacing w:after="0" w:line="310" w:lineRule="auto"/>
        <w:rPr>
          <w:sz w:val="20"/>
          <w:szCs w:val="20"/>
          <w:color w:val="auto"/>
        </w:rPr>
      </w:pPr>
      <w:r>
        <w:rPr>
          <w:rFonts w:ascii="Arial" w:cs="Arial" w:eastAsia="Arial" w:hAnsi="Arial"/>
          <w:sz w:val="12"/>
          <w:szCs w:val="12"/>
          <w:color w:val="auto"/>
        </w:rPr>
        <w:t>The determination of our status as a foreign private issuer is made annually on the last business day of our most recently completed second fiscal quarter and, accordingly, the next determination will be made with respect to us on or after June 30, 2018.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incur increased costs as a result of being a publicly-traded company.</w:t>
      </w:r>
    </w:p>
    <w:p>
      <w:pPr>
        <w:spacing w:after="0" w:line="176" w:lineRule="exact"/>
        <w:rPr>
          <w:sz w:val="20"/>
          <w:szCs w:val="20"/>
          <w:color w:val="auto"/>
        </w:rPr>
      </w:pPr>
    </w:p>
    <w:p>
      <w:pPr>
        <w:ind w:right="60" w:firstLine="505"/>
        <w:spacing w:after="0" w:line="264" w:lineRule="auto"/>
        <w:rPr>
          <w:sz w:val="20"/>
          <w:szCs w:val="20"/>
          <w:color w:val="auto"/>
        </w:rPr>
      </w:pPr>
      <w:r>
        <w:rPr>
          <w:rFonts w:ascii="Arial" w:cs="Arial" w:eastAsia="Arial" w:hAnsi="Arial"/>
          <w:sz w:val="14"/>
          <w:szCs w:val="14"/>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exposed to risks relating to evaluations of controls required by Sarbanes-Oxley Act of 2002.</w:t>
      </w:r>
    </w:p>
    <w:p>
      <w:pPr>
        <w:spacing w:after="0" w:line="176" w:lineRule="exact"/>
        <w:rPr>
          <w:sz w:val="20"/>
          <w:szCs w:val="20"/>
          <w:color w:val="auto"/>
        </w:rPr>
      </w:pPr>
    </w:p>
    <w:p>
      <w:pPr>
        <w:ind w:right="120" w:firstLine="505"/>
        <w:spacing w:after="0" w:line="257" w:lineRule="auto"/>
        <w:rPr>
          <w:sz w:val="20"/>
          <w:szCs w:val="20"/>
          <w:color w:val="auto"/>
        </w:rPr>
      </w:pPr>
      <w:r>
        <w:rPr>
          <w:rFonts w:ascii="Arial" w:cs="Arial" w:eastAsia="Arial" w:hAnsi="Arial"/>
          <w:sz w:val="14"/>
          <w:szCs w:val="14"/>
          <w:color w:val="auto"/>
        </w:rPr>
        <w:t>Pursuant to Sarbanes-Oxley Act of 2002, our management will be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99"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As an “emerging growth company” under the JOBS Act, we are permitted to, and intend to, rely on exemptions from certain disclosure requirements. We are an emerging growth company until the earliest of:</w:t>
      </w:r>
    </w:p>
    <w:p>
      <w:pPr>
        <w:spacing w:after="0" w:line="133" w:lineRule="exact"/>
        <w:rPr>
          <w:sz w:val="20"/>
          <w:szCs w:val="20"/>
          <w:color w:val="auto"/>
        </w:rPr>
      </w:pPr>
    </w:p>
    <w:p>
      <w:pPr>
        <w:ind w:left="500" w:hanging="243"/>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last day of the fiscal year during which we have total annual gross revenues of $1 billion or more;</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this offering;</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date on which we have, during the previous 3-year period, issued more than $1 billion in non-convertible debt; or</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date on which we are deemed a “large accelerated issuer” as defined under the federal securities laws.</w:t>
      </w:r>
    </w:p>
    <w:p>
      <w:pPr>
        <w:spacing w:after="0" w:line="176"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this offering.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213"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classified as a passive foreign investment company, which could result in adverse U.S. federal income tax consequences to U.S. holders of our common shares.</w:t>
      </w:r>
    </w:p>
    <w:p>
      <w:pPr>
        <w:spacing w:after="0" w:line="187" w:lineRule="exact"/>
        <w:rPr>
          <w:sz w:val="20"/>
          <w:szCs w:val="20"/>
          <w:color w:val="auto"/>
        </w:rPr>
      </w:pPr>
    </w:p>
    <w:p>
      <w:pPr>
        <w:ind w:right="220" w:firstLine="505"/>
        <w:spacing w:after="0" w:line="257" w:lineRule="auto"/>
        <w:rPr>
          <w:sz w:val="20"/>
          <w:szCs w:val="20"/>
          <w:color w:val="auto"/>
        </w:rPr>
      </w:pPr>
      <w:r>
        <w:rPr>
          <w:rFonts w:ascii="Arial" w:cs="Arial" w:eastAsia="Arial" w:hAnsi="Arial"/>
          <w:sz w:val="14"/>
          <w:szCs w:val="14"/>
          <w:color w:val="auto"/>
        </w:rPr>
        <w:t>Based on the anticipated market price of our common shares in this offering and expected price of our common shares following this offering,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33" w:lineRule="exact"/>
        <w:rPr>
          <w:sz w:val="20"/>
          <w:szCs w:val="20"/>
          <w:color w:val="auto"/>
        </w:rPr>
      </w:pPr>
    </w:p>
    <w:p>
      <w:pPr>
        <w:ind w:right="60" w:firstLine="505"/>
        <w:spacing w:after="0" w:line="259" w:lineRule="auto"/>
        <w:rPr>
          <w:sz w:val="20"/>
          <w:szCs w:val="20"/>
          <w:color w:val="auto"/>
        </w:rPr>
      </w:pPr>
      <w:r>
        <w:rPr>
          <w:rFonts w:ascii="Arial" w:cs="Arial" w:eastAsia="Arial" w:hAnsi="Arial"/>
          <w:sz w:val="14"/>
          <w:szCs w:val="14"/>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structure, together with applicable law, may impede shareholders from asserting claims against us and our principals.</w:t>
      </w:r>
    </w:p>
    <w:p>
      <w:pPr>
        <w:spacing w:after="0" w:line="176" w:lineRule="exact"/>
        <w:rPr>
          <w:sz w:val="20"/>
          <w:szCs w:val="20"/>
          <w:color w:val="auto"/>
        </w:rPr>
      </w:pPr>
    </w:p>
    <w:p>
      <w:pPr>
        <w:ind w:firstLine="505"/>
        <w:spacing w:after="0" w:line="310" w:lineRule="auto"/>
        <w:rPr>
          <w:sz w:val="20"/>
          <w:szCs w:val="20"/>
          <w:color w:val="auto"/>
        </w:rPr>
      </w:pPr>
      <w:r>
        <w:rPr>
          <w:rFonts w:ascii="Arial" w:cs="Arial" w:eastAsia="Arial" w:hAnsi="Arial"/>
          <w:sz w:val="12"/>
          <w:szCs w:val="12"/>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19" w:lineRule="exact"/>
        <w:rPr>
          <w:sz w:val="20"/>
          <w:szCs w:val="20"/>
          <w:color w:val="auto"/>
        </w:rPr>
      </w:pPr>
    </w:p>
    <w:p>
      <w:pPr>
        <w:ind w:right="160"/>
        <w:spacing w:after="0" w:line="277" w:lineRule="auto"/>
        <w:rPr>
          <w:sz w:val="20"/>
          <w:szCs w:val="20"/>
          <w:color w:val="auto"/>
        </w:rPr>
      </w:pPr>
      <w:r>
        <w:rPr>
          <w:rFonts w:ascii="Arial" w:cs="Arial" w:eastAsia="Arial" w:hAnsi="Arial"/>
          <w:sz w:val="14"/>
          <w:szCs w:val="14"/>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33" w:lineRule="exact"/>
        <w:rPr>
          <w:sz w:val="20"/>
          <w:szCs w:val="20"/>
          <w:color w:val="auto"/>
        </w:rPr>
      </w:pPr>
    </w:p>
    <w:p>
      <w:pPr>
        <w:ind w:right="120" w:firstLine="505"/>
        <w:spacing w:after="0" w:line="255" w:lineRule="auto"/>
        <w:rPr>
          <w:sz w:val="20"/>
          <w:szCs w:val="20"/>
          <w:color w:val="auto"/>
        </w:rPr>
      </w:pPr>
      <w:r>
        <w:rPr>
          <w:rFonts w:ascii="Arial" w:cs="Arial" w:eastAsia="Arial" w:hAnsi="Arial"/>
          <w:sz w:val="14"/>
          <w:szCs w:val="14"/>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DEFINED TERMS AND CONVENTIONS FORWARD-LOOKING STATEMENTS</w:t>
      </w:r>
    </w:p>
    <w:p>
      <w:pPr>
        <w:spacing w:after="0" w:line="180" w:lineRule="exact"/>
        <w:rPr>
          <w:sz w:val="20"/>
          <w:szCs w:val="20"/>
          <w:color w:val="auto"/>
        </w:rPr>
      </w:pPr>
    </w:p>
    <w:p>
      <w:pPr>
        <w:ind w:firstLine="505"/>
        <w:spacing w:after="0" w:line="256" w:lineRule="auto"/>
        <w:rPr>
          <w:sz w:val="20"/>
          <w:szCs w:val="20"/>
          <w:color w:val="auto"/>
        </w:rPr>
      </w:pPr>
      <w:r>
        <w:rPr>
          <w:rFonts w:ascii="Arial" w:cs="Arial" w:eastAsia="Arial" w:hAnsi="Arial"/>
          <w:sz w:val="14"/>
          <w:szCs w:val="14"/>
          <w:color w:val="auto"/>
        </w:rPr>
        <w:t>We have made statements in this prospectus, including under “Prospectus Summary,” “Risk Factors,” “Management’s Discussion and Analysis of Financial Condition and Results of Operations,” “Our Business” and elsewhere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Examples of forward-looking statements include:</w:t>
      </w:r>
    </w:p>
    <w:p>
      <w:pPr>
        <w:spacing w:after="0" w:line="176" w:lineRule="exact"/>
        <w:rPr>
          <w:sz w:val="20"/>
          <w:szCs w:val="20"/>
          <w:color w:val="auto"/>
        </w:rPr>
      </w:pPr>
    </w:p>
    <w:p>
      <w:pPr>
        <w:ind w:left="500" w:hanging="243"/>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the development of future services;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projections of revenue, earnings, capital structure and other financial items;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development of future company-owned call centers;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statements regarding the capabilities of our business operations;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statements of expected future economic performance;</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statements regarding competition in our market;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assumptions underlying statements regarding us or our business.</w:t>
      </w:r>
    </w:p>
    <w:p>
      <w:pPr>
        <w:spacing w:after="0" w:line="176" w:lineRule="exact"/>
        <w:rPr>
          <w:sz w:val="20"/>
          <w:szCs w:val="20"/>
          <w:color w:val="auto"/>
        </w:rPr>
      </w:pPr>
    </w:p>
    <w:p>
      <w:pPr>
        <w:ind w:right="100" w:firstLine="505"/>
        <w:spacing w:after="0" w:line="310" w:lineRule="auto"/>
        <w:rPr>
          <w:sz w:val="20"/>
          <w:szCs w:val="20"/>
          <w:color w:val="auto"/>
        </w:rPr>
      </w:pPr>
      <w:r>
        <w:rPr>
          <w:rFonts w:ascii="Arial" w:cs="Arial" w:eastAsia="Arial" w:hAnsi="Arial"/>
          <w:sz w:val="12"/>
          <w:szCs w:val="12"/>
          <w:color w:val="auto"/>
        </w:rPr>
        <w:t>The ultimate correctness of these forward-looking statements depends upon a number of known and unknown risks and events. We discuss our known material risks under the heading “Risk Factors” above. Many factors could cause our actual results to differ materially from those expressed or implied in our forward-looking statements. Consequently, you should not place undue reliance on these forward-looking statements. 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USE OF PROCEEDS</w:t>
      </w:r>
    </w:p>
    <w:p>
      <w:pPr>
        <w:spacing w:after="0" w:line="180" w:lineRule="exact"/>
        <w:rPr>
          <w:sz w:val="20"/>
          <w:szCs w:val="20"/>
          <w:color w:val="auto"/>
        </w:rPr>
      </w:pPr>
    </w:p>
    <w:p>
      <w:pPr>
        <w:ind w:right="100" w:firstLine="505"/>
        <w:spacing w:after="0" w:line="259" w:lineRule="auto"/>
        <w:rPr>
          <w:sz w:val="20"/>
          <w:szCs w:val="20"/>
          <w:color w:val="auto"/>
        </w:rPr>
      </w:pPr>
      <w:r>
        <w:rPr>
          <w:rFonts w:ascii="Arial" w:cs="Arial" w:eastAsia="Arial" w:hAnsi="Arial"/>
          <w:sz w:val="14"/>
          <w:szCs w:val="14"/>
          <w:color w:val="auto"/>
        </w:rPr>
        <w:t>We estimate that we will receive net proceeds from the sale of common shares of approximately $[●] million, based upon an assumed initial public offering price of $[●] per share, the midpoint of the range set forth on the cover page of this prospectus, and after deducting estimated underwriting discounts and commissions and estimated offering expenses. If the underwriters’ option to purchase additional common shares is exercised in full, we estimate that we will receive net proceeds of approximately $[●] million, after deducting estimated underwriting discounts and commissions and estimated offering expenses.</w:t>
      </w:r>
    </w:p>
    <w:p>
      <w:pPr>
        <w:spacing w:after="0" w:line="147" w:lineRule="exact"/>
        <w:rPr>
          <w:sz w:val="20"/>
          <w:szCs w:val="20"/>
          <w:color w:val="auto"/>
        </w:rPr>
      </w:pPr>
    </w:p>
    <w:p>
      <w:pPr>
        <w:ind w:right="20" w:firstLine="505"/>
        <w:spacing w:after="0" w:line="316" w:lineRule="auto"/>
        <w:rPr>
          <w:sz w:val="20"/>
          <w:szCs w:val="20"/>
          <w:color w:val="auto"/>
        </w:rPr>
      </w:pPr>
      <w:r>
        <w:rPr>
          <w:rFonts w:ascii="Arial" w:cs="Arial" w:eastAsia="Arial" w:hAnsi="Arial"/>
          <w:sz w:val="12"/>
          <w:szCs w:val="12"/>
          <w:color w:val="auto"/>
        </w:rPr>
        <w:t>Each $0.25 increase (decrease) in the assumed initial public offering price of $[●] per share, the midpoint of the range set forth on the cover page of this prospectus, would increase (decrease) the net proceeds to us from this offering by approximately $[●], assuming the number of shares offered, as set forth on the cover page of this prospectus, remains the same and after deducting estimated underwriting discounts and commissions. Similarly, each increase (decrease) of [●] common shares in the number of common shares would increase (decrease) the net proceeds to us from this offering by approximately $[●], assuming that the assumed initial public offering price remains the same, and after deducting estimated underwriting discounts and commissions.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intend to use the net proceeds of this offering as follows after we complete the remittance process:</w:t>
      </w:r>
    </w:p>
    <w:p>
      <w:pPr>
        <w:spacing w:after="0" w:line="176" w:lineRule="exact"/>
        <w:rPr>
          <w:sz w:val="20"/>
          <w:szCs w:val="20"/>
          <w:color w:val="auto"/>
        </w:rPr>
      </w:pPr>
    </w:p>
    <w:p>
      <w:pPr>
        <w:ind w:left="500" w:hanging="243"/>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Approximately $[●] million or 40% for global expansion, i.e., to expand our existing locations to develop new clients by hiring more qualified personnel, system integration and marketing effort;</w:t>
      </w:r>
    </w:p>
    <w:p>
      <w:pPr>
        <w:spacing w:after="0" w:line="187" w:lineRule="exact"/>
        <w:rPr>
          <w:rFonts w:ascii="Arial" w:cs="Arial" w:eastAsia="Arial" w:hAnsi="Arial"/>
          <w:sz w:val="13"/>
          <w:szCs w:val="13"/>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Approximately $[●] million or 30% for working capital and general corporate purposes;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Approximately $[●] million or 20% for R&amp;D;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Approximately $[●] million or 10% for talent development.</w:t>
      </w:r>
    </w:p>
    <w:p>
      <w:pPr>
        <w:spacing w:after="0" w:line="176" w:lineRule="exact"/>
        <w:rPr>
          <w:sz w:val="20"/>
          <w:szCs w:val="20"/>
          <w:color w:val="auto"/>
        </w:rPr>
      </w:pPr>
    </w:p>
    <w:p>
      <w:pPr>
        <w:ind w:firstLine="543"/>
        <w:spacing w:after="0" w:line="276" w:lineRule="auto"/>
        <w:rPr>
          <w:sz w:val="20"/>
          <w:szCs w:val="20"/>
          <w:color w:val="auto"/>
        </w:rPr>
      </w:pPr>
      <w:r>
        <w:rPr>
          <w:rFonts w:ascii="Arial" w:cs="Arial" w:eastAsia="Arial" w:hAnsi="Arial"/>
          <w:sz w:val="13"/>
          <w:szCs w:val="13"/>
          <w:color w:val="auto"/>
        </w:rPr>
        <w:t>The precise amounts and percentage of proceeds we would devote to particular categories of activity will depend on prevailing market and business conditions as well as particular opportunities that may arise from time to time.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any unforeseen cash needs. Similarly, the priority of our prospective uses of proceeds will depend on business and market conditions are they develop. Accordingly, our management will have significant flexibility and broad discretion in applying the net proceeds of the offering. If an unforeseen event occurs or business conditions change, we may use the proceeds of this offering differently than as described in this prospectus. 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or make additional capital contributions to our PRC subsidiary to fund its capital expenditures or working capital. We cannot assure you that we will be able to obtain these government registrations or approvals on a timely basis, if at all. Pending remitting the offering proceeds to the PRC, we intend to invest our net proceeds in short-term, interest bearing, investment-grade obligations.</w:t>
      </w:r>
    </w:p>
    <w:p>
      <w:pPr>
        <w:spacing w:after="0" w:line="136" w:lineRule="exact"/>
        <w:rPr>
          <w:sz w:val="20"/>
          <w:szCs w:val="20"/>
          <w:color w:val="auto"/>
        </w:rPr>
      </w:pPr>
    </w:p>
    <w:p>
      <w:pPr>
        <w:ind w:right="740" w:firstLine="505"/>
        <w:spacing w:after="0" w:line="364" w:lineRule="auto"/>
        <w:rPr>
          <w:sz w:val="20"/>
          <w:szCs w:val="20"/>
          <w:color w:val="auto"/>
        </w:rPr>
      </w:pPr>
      <w:r>
        <w:rPr>
          <w:rFonts w:ascii="Arial" w:cs="Arial" w:eastAsia="Arial" w:hAnsi="Arial"/>
          <w:sz w:val="12"/>
          <w:szCs w:val="12"/>
          <w:color w:val="auto"/>
        </w:rPr>
        <w:t>Although we may use a portion of the proceeds for the acquisition of, or investment in, companies, technologies, products or assets that complement our business, we have no present understandings, commitments or agreements to enter into any acquisitions or make any investments. We cannot assure you that we will make any acquisitions or investments in the future.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DIVIDEND POLICY</w:t>
      </w:r>
    </w:p>
    <w:p>
      <w:pPr>
        <w:spacing w:after="0" w:line="180" w:lineRule="exact"/>
        <w:rPr>
          <w:sz w:val="20"/>
          <w:szCs w:val="20"/>
          <w:color w:val="auto"/>
        </w:rPr>
      </w:pPr>
    </w:p>
    <w:p>
      <w:pPr>
        <w:ind w:right="20" w:firstLine="505"/>
        <w:spacing w:after="0" w:line="256" w:lineRule="auto"/>
        <w:rPr>
          <w:sz w:val="20"/>
          <w:szCs w:val="20"/>
          <w:color w:val="auto"/>
        </w:rPr>
      </w:pPr>
      <w:r>
        <w:rPr>
          <w:rFonts w:ascii="Arial" w:cs="Arial" w:eastAsia="Arial" w:hAnsi="Arial"/>
          <w:sz w:val="14"/>
          <w:szCs w:val="14"/>
          <w:color w:val="auto"/>
        </w:rPr>
        <w:t>The holders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our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EXCHANGE RATE INFORMATION</w:t>
      </w:r>
    </w:p>
    <w:p>
      <w:pPr>
        <w:spacing w:after="0" w:line="180" w:lineRule="exact"/>
        <w:rPr>
          <w:sz w:val="20"/>
          <w:szCs w:val="20"/>
          <w:color w:val="auto"/>
        </w:rPr>
      </w:pPr>
    </w:p>
    <w:p>
      <w:pPr>
        <w:ind w:firstLine="505"/>
        <w:spacing w:after="0" w:line="286" w:lineRule="auto"/>
        <w:rPr>
          <w:sz w:val="20"/>
          <w:szCs w:val="20"/>
          <w:color w:val="auto"/>
        </w:rPr>
      </w:pPr>
      <w:r>
        <w:rPr>
          <w:rFonts w:ascii="Arial" w:cs="Arial" w:eastAsia="Arial" w:hAnsi="Arial"/>
          <w:sz w:val="13"/>
          <w:szCs w:val="13"/>
          <w:color w:val="auto"/>
        </w:rPr>
        <w:t>Our business is conducted in China and all of our revenues are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 The following table sets forth information concerning exchange rates between the RMB and the U.S. dollar for the periods indicated. Assets and liabilities are translated at the exchange rates as of the balance sheet date.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4240" w:type="dxa"/>
            <w:vAlign w:val="bottom"/>
          </w:tcPr>
          <w:p>
            <w:pPr>
              <w:spacing w:after="0"/>
              <w:rPr>
                <w:sz w:val="20"/>
                <w:szCs w:val="20"/>
                <w:color w:val="auto"/>
              </w:rPr>
            </w:pPr>
            <w:r>
              <w:rPr>
                <w:rFonts w:ascii="Arial" w:cs="Arial" w:eastAsia="Arial" w:hAnsi="Arial"/>
                <w:sz w:val="14"/>
                <w:szCs w:val="14"/>
                <w:b w:val="1"/>
                <w:bCs w:val="1"/>
                <w:color w:val="auto"/>
              </w:rPr>
              <w:t>Balance sheet items, except for equity accounts</w:t>
            </w:r>
          </w:p>
        </w:tc>
        <w:tc>
          <w:tcPr>
            <w:tcW w:w="3000" w:type="dxa"/>
            <w:vAlign w:val="bottom"/>
            <w:gridSpan w:val="3"/>
          </w:tcPr>
          <w:p>
            <w:pPr>
              <w:jc w:val="center"/>
              <w:ind w:left="1770"/>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ind w:right="210"/>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r>
      <w:tr>
        <w:trPr>
          <w:trHeight w:val="168"/>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USD:RMB</w:t>
            </w: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6.7793</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6.6459</w:t>
            </w: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6.5063</w:t>
            </w: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6.9430</w:t>
            </w:r>
          </w:p>
        </w:tc>
        <w:tc>
          <w:tcPr>
            <w:tcW w:w="100" w:type="dxa"/>
            <w:vAlign w:val="bottom"/>
            <w:tcBorders>
              <w:top w:val="single" w:sz="8" w:color="CCEEFF"/>
            </w:tcBorders>
            <w:shd w:val="clear" w:color="auto" w:fill="CCEEFF"/>
          </w:tcPr>
          <w:p>
            <w:pPr>
              <w:spacing w:after="0"/>
              <w:rPr>
                <w:sz w:val="14"/>
                <w:szCs w:val="14"/>
                <w:color w:val="auto"/>
              </w:rPr>
            </w:pPr>
          </w:p>
        </w:tc>
      </w:tr>
      <w:tr>
        <w:trPr>
          <w:trHeight w:val="337"/>
        </w:trPr>
        <w:tc>
          <w:tcPr>
            <w:tcW w:w="8860" w:type="dxa"/>
            <w:vAlign w:val="bottom"/>
            <w:gridSpan w:val="8"/>
          </w:tcPr>
          <w:p>
            <w:pPr>
              <w:ind w:left="500"/>
              <w:spacing w:after="0"/>
              <w:rPr>
                <w:sz w:val="20"/>
                <w:szCs w:val="20"/>
                <w:color w:val="auto"/>
              </w:rPr>
            </w:pPr>
            <w:r>
              <w:rPr>
                <w:rFonts w:ascii="Arial" w:cs="Arial" w:eastAsia="Arial" w:hAnsi="Arial"/>
                <w:sz w:val="14"/>
                <w:szCs w:val="14"/>
                <w:color w:val="auto"/>
                <w:w w:val="90"/>
              </w:rPr>
              <w:t>Items in the statements of operations and comprehensive loss, and statements cash flows are translated at the average exchange rate of the period.</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8"/>
        </w:trPr>
        <w:tc>
          <w:tcPr>
            <w:tcW w:w="4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ind w:left="920"/>
              <w:spacing w:after="0"/>
              <w:rPr>
                <w:sz w:val="20"/>
                <w:szCs w:val="20"/>
                <w:color w:val="auto"/>
              </w:rPr>
            </w:pPr>
            <w:r>
              <w:rPr>
                <w:rFonts w:ascii="Arial" w:cs="Arial" w:eastAsia="Arial" w:hAnsi="Arial"/>
                <w:sz w:val="14"/>
                <w:szCs w:val="14"/>
                <w:b w:val="1"/>
                <w:bCs w:val="1"/>
                <w:color w:val="auto"/>
                <w:w w:val="88"/>
              </w:rPr>
              <w:t>Years ended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4"/>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54"/>
        </w:trPr>
        <w:tc>
          <w:tcPr>
            <w:tcW w:w="4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top w:val="single" w:sz="8" w:color="auto"/>
            </w:tcBorders>
            <w:gridSpan w:val="3"/>
          </w:tcPr>
          <w:p>
            <w:pPr>
              <w:jc w:val="center"/>
              <w:ind w:right="500"/>
              <w:spacing w:after="0" w:line="154"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Borders>
              <w:top w:val="single" w:sz="8" w:color="auto"/>
            </w:tcBorders>
          </w:tcPr>
          <w:p>
            <w:pPr>
              <w:jc w:val="center"/>
              <w:ind w:right="230"/>
              <w:spacing w:after="0" w:line="154"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3"/>
                <w:szCs w:val="13"/>
                <w:color w:val="auto"/>
              </w:rPr>
            </w:pPr>
          </w:p>
        </w:tc>
        <w:tc>
          <w:tcPr>
            <w:tcW w:w="1360" w:type="dxa"/>
            <w:vAlign w:val="bottom"/>
            <w:tcBorders>
              <w:top w:val="single" w:sz="8" w:color="auto"/>
            </w:tcBorders>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87"/>
              </w:rPr>
              <w:t>December 31,</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3"/>
                <w:szCs w:val="13"/>
                <w:color w:val="auto"/>
              </w:rPr>
            </w:pPr>
          </w:p>
        </w:tc>
      </w:tr>
      <w:tr>
        <w:trPr>
          <w:trHeight w:val="184"/>
        </w:trPr>
        <w:tc>
          <w:tcPr>
            <w:tcW w:w="4240" w:type="dxa"/>
            <w:vAlign w:val="bottom"/>
          </w:tcPr>
          <w:p>
            <w:pPr>
              <w:spacing w:after="0"/>
              <w:rPr>
                <w:sz w:val="16"/>
                <w:szCs w:val="16"/>
                <w:color w:val="auto"/>
              </w:rPr>
            </w:pPr>
          </w:p>
        </w:tc>
        <w:tc>
          <w:tcPr>
            <w:tcW w:w="3000" w:type="dxa"/>
            <w:vAlign w:val="bottom"/>
            <w:gridSpan w:val="3"/>
          </w:tcPr>
          <w:p>
            <w:pPr>
              <w:jc w:val="center"/>
              <w:ind w:left="1770"/>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ind w:right="210"/>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r>
      <w:tr>
        <w:trPr>
          <w:trHeight w:val="168"/>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USD:RMB</w:t>
            </w:r>
          </w:p>
        </w:tc>
        <w:tc>
          <w:tcPr>
            <w:tcW w:w="1840" w:type="dxa"/>
            <w:vAlign w:val="bottom"/>
            <w:tcBorders>
              <w:top w:val="single" w:sz="8" w:color="CCEEFF"/>
            </w:tcBorders>
            <w:gridSpan w:val="2"/>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6.8087</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6.4405</w:t>
            </w: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6.6412</w:t>
            </w: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6.7457</w:t>
            </w:r>
          </w:p>
        </w:tc>
        <w:tc>
          <w:tcPr>
            <w:tcW w:w="100" w:type="dxa"/>
            <w:vAlign w:val="bottom"/>
            <w:tcBorders>
              <w:top w:val="single" w:sz="8" w:color="CCEEFF"/>
            </w:tcBorders>
            <w:shd w:val="clear" w:color="auto" w:fill="CCEEFF"/>
          </w:tcPr>
          <w:p>
            <w:pPr>
              <w:spacing w:after="0"/>
              <w:rPr>
                <w:sz w:val="14"/>
                <w:szCs w:val="14"/>
                <w:color w:val="auto"/>
              </w:rPr>
            </w:pPr>
          </w:p>
        </w:tc>
      </w:tr>
      <w:tr>
        <w:trPr>
          <w:trHeight w:val="506"/>
        </w:trPr>
        <w:tc>
          <w:tcPr>
            <w:tcW w:w="4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13" w:right="21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HISTORICAL FINANCIAL AND OPERATING DATA</w:t>
      </w:r>
    </w:p>
    <w:p>
      <w:pPr>
        <w:spacing w:after="0" w:line="18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w:t>
      </w:r>
    </w:p>
    <w:p>
      <w:pPr>
        <w:spacing w:after="0" w:line="133" w:lineRule="exact"/>
        <w:rPr>
          <w:sz w:val="20"/>
          <w:szCs w:val="20"/>
          <w:color w:val="auto"/>
        </w:rPr>
      </w:pPr>
    </w:p>
    <w:p>
      <w:pPr>
        <w:ind w:right="140" w:firstLine="505"/>
        <w:spacing w:after="0" w:line="264" w:lineRule="auto"/>
        <w:rPr>
          <w:sz w:val="20"/>
          <w:szCs w:val="20"/>
          <w:color w:val="auto"/>
        </w:rPr>
      </w:pPr>
      <w:r>
        <w:rPr>
          <w:rFonts w:ascii="Arial" w:cs="Arial" w:eastAsia="Arial" w:hAnsi="Arial"/>
          <w:sz w:val="14"/>
          <w:szCs w:val="14"/>
          <w:color w:val="auto"/>
        </w:rPr>
        <w:t>The following selected consolidated financial and operating data for the fiscal years ended June 30, 2017 and 2016, and the consolidated balance sheet data as of June 30, 2017 and 2016, have been derived from our audited consolidated financial statements included elsewhere in this prospectus. The consolidated financial statements for the six months ended December 31, 2017 and 2016 have been derived from our unaudited consolidated financial statements included elsewhere in this prospectus.</w:t>
      </w:r>
    </w:p>
    <w:p>
      <w:pPr>
        <w:spacing w:after="0" w:line="142"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The following table presents our summary consolidated statements of income and comprehensive income for the fiscal years ended June 30, 2017 and 2016, and six months ended December 31, 2017 and 2016.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Consolidated Statement of Income and Comprehensive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U.S. dollars, except number of shares)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For the years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ind w:right="250"/>
              <w:spacing w:after="0"/>
              <w:rPr>
                <w:sz w:val="20"/>
                <w:szCs w:val="20"/>
                <w:color w:val="auto"/>
              </w:rPr>
            </w:pPr>
            <w:r>
              <w:rPr>
                <w:rFonts w:ascii="Arial" w:cs="Arial" w:eastAsia="Arial" w:hAnsi="Arial"/>
                <w:sz w:val="14"/>
                <w:szCs w:val="14"/>
                <w:color w:val="auto"/>
              </w:rPr>
              <w:t>June 30,</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rPr>
              <w:t>2017</w:t>
            </w: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w w:val="89"/>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rPr>
              <w:t>2017</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7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0"/>
              <w:spacing w:after="0"/>
              <w:rPr>
                <w:sz w:val="20"/>
                <w:szCs w:val="20"/>
                <w:color w:val="auto"/>
              </w:rPr>
            </w:pPr>
            <w:r>
              <w:rPr>
                <w:rFonts w:ascii="Arial" w:cs="Arial" w:eastAsia="Arial" w:hAnsi="Arial"/>
                <w:sz w:val="14"/>
                <w:szCs w:val="14"/>
                <w:color w:val="auto"/>
                <w:w w:val="98"/>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31,361,976</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29,024,178</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22,199,995</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14,323,938</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Arial" w:cs="Arial" w:eastAsia="Arial" w:hAnsi="Arial"/>
                <w:sz w:val="14"/>
                <w:szCs w:val="14"/>
                <w:color w:val="auto"/>
              </w:rPr>
              <w:t>Less: Cost of revenues</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(18,669,812)</w:t>
            </w:r>
          </w:p>
        </w:tc>
        <w:tc>
          <w:tcPr>
            <w:tcW w:w="4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(17,463,416)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(13,341,978)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(8,483,897)</w:t>
            </w:r>
          </w:p>
        </w:tc>
        <w:tc>
          <w:tcPr>
            <w:tcW w:w="0" w:type="dxa"/>
            <w:vAlign w:val="bottom"/>
          </w:tcPr>
          <w:p>
            <w:pPr>
              <w:spacing w:after="0"/>
              <w:rPr>
                <w:sz w:val="1"/>
                <w:szCs w:val="1"/>
                <w:color w:val="auto"/>
              </w:rPr>
            </w:pPr>
          </w:p>
        </w:tc>
      </w:tr>
      <w:tr>
        <w:trPr>
          <w:trHeight w:val="169"/>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profit</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12,692,164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11,560,762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8,858,017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5,840,041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140"/>
              <w:spacing w:after="0"/>
              <w:rPr>
                <w:sz w:val="20"/>
                <w:szCs w:val="20"/>
                <w:color w:val="auto"/>
              </w:rPr>
            </w:pPr>
            <w:r>
              <w:rPr>
                <w:rFonts w:ascii="Arial" w:cs="Arial" w:eastAsia="Arial" w:hAnsi="Arial"/>
                <w:sz w:val="14"/>
                <w:szCs w:val="14"/>
                <w:color w:val="auto"/>
              </w:rPr>
              <w:t>Selling and marketing</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1,206,493</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413,016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1,132,931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282,618</w:t>
            </w: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4,232,788</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5,579,058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3,562,988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2,006,766</w:t>
            </w:r>
          </w:p>
        </w:tc>
        <w:tc>
          <w:tcPr>
            <w:tcW w:w="0" w:type="dxa"/>
            <w:vAlign w:val="bottom"/>
          </w:tcPr>
          <w:p>
            <w:pPr>
              <w:spacing w:after="0"/>
              <w:rPr>
                <w:sz w:val="1"/>
                <w:szCs w:val="1"/>
                <w:color w:val="auto"/>
              </w:rPr>
            </w:pPr>
          </w:p>
        </w:tc>
      </w:tr>
      <w:tr>
        <w:trPr>
          <w:trHeight w:val="180"/>
        </w:trPr>
        <w:tc>
          <w:tcPr>
            <w:tcW w:w="60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5,647,790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4,955,037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3,064,232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3,032,589</w:t>
            </w:r>
          </w:p>
        </w:tc>
        <w:tc>
          <w:tcPr>
            <w:tcW w:w="0" w:type="dxa"/>
            <w:vAlign w:val="bottom"/>
          </w:tcPr>
          <w:p>
            <w:pPr>
              <w:spacing w:after="0"/>
              <w:rPr>
                <w:sz w:val="1"/>
                <w:szCs w:val="1"/>
                <w:color w:val="auto"/>
              </w:rPr>
            </w:pPr>
          </w:p>
        </w:tc>
      </w:tr>
      <w:tr>
        <w:trPr>
          <w:trHeight w:val="188"/>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11,087,071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10,947,111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7,760,151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5,321,973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1,605,093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613,651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1,097,866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518,068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Subsidies and other income</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508,187</w:t>
            </w: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1,446,408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366,798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455,009</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Arial" w:cs="Arial" w:eastAsia="Arial" w:hAnsi="Arial"/>
                <w:sz w:val="14"/>
                <w:szCs w:val="14"/>
                <w:color w:val="auto"/>
              </w:rPr>
              <w:t>Other expense</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(10,469</w:t>
            </w:r>
          </w:p>
        </w:tc>
        <w:tc>
          <w:tcPr>
            <w:tcW w:w="4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(5,935)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(13,213)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68"/>
        </w:trPr>
        <w:tc>
          <w:tcPr>
            <w:tcW w:w="60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Income before income tax</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2,102,811</w:t>
            </w:r>
          </w:p>
        </w:tc>
        <w:tc>
          <w:tcPr>
            <w:tcW w:w="4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2,054,124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1,451,451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970,931</w:t>
            </w: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(118,546</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269,153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(54,042)</w:t>
            </w:r>
          </w:p>
        </w:tc>
        <w:tc>
          <w:tcPr>
            <w:tcW w:w="0" w:type="dxa"/>
            <w:vAlign w:val="bottom"/>
          </w:tcPr>
          <w:p>
            <w:pPr>
              <w:spacing w:after="0"/>
              <w:rPr>
                <w:sz w:val="1"/>
                <w:szCs w:val="1"/>
                <w:color w:val="auto"/>
              </w:rPr>
            </w:pPr>
          </w:p>
        </w:tc>
      </w:tr>
      <w:tr>
        <w:trPr>
          <w:trHeight w:val="149"/>
        </w:trPr>
        <w:tc>
          <w:tcPr>
            <w:tcW w:w="608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2,221,357</w:t>
            </w: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1,784,971</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1,325,391</w:t>
            </w: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1,024,973</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173,912</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12"/>
        </w:trPr>
        <w:tc>
          <w:tcPr>
            <w:tcW w:w="6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4"/>
                <w:szCs w:val="14"/>
                <w:b w:val="1"/>
                <w:bCs w:val="1"/>
                <w:color w:val="auto"/>
              </w:rPr>
              <w:t>Net income attributable to CLPS Incorporation's shareholders</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2,047,445</w:t>
            </w:r>
          </w:p>
        </w:tc>
        <w:tc>
          <w:tcPr>
            <w:tcW w:w="2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1,826,112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1,331,329</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1,025,448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Other comprehensive (loss) income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(loss) gain</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(93,177</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(387,100)</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231,224</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(233,825)</w:t>
            </w:r>
          </w:p>
        </w:tc>
        <w:tc>
          <w:tcPr>
            <w:tcW w:w="0" w:type="dxa"/>
            <w:vAlign w:val="bottom"/>
          </w:tcPr>
          <w:p>
            <w:pPr>
              <w:spacing w:after="0"/>
              <w:rPr>
                <w:sz w:val="1"/>
                <w:szCs w:val="1"/>
                <w:color w:val="auto"/>
              </w:rPr>
            </w:pPr>
          </w:p>
        </w:tc>
      </w:tr>
      <w:tr>
        <w:trPr>
          <w:trHeight w:val="179"/>
        </w:trPr>
        <w:tc>
          <w:tcPr>
            <w:tcW w:w="6080" w:type="dxa"/>
            <w:vAlign w:val="bottom"/>
          </w:tcPr>
          <w:p>
            <w:pPr>
              <w:spacing w:after="0"/>
              <w:rPr>
                <w:sz w:val="20"/>
                <w:szCs w:val="20"/>
                <w:color w:val="auto"/>
              </w:rPr>
            </w:pPr>
            <w:r>
              <w:rPr>
                <w:rFonts w:ascii="Arial" w:cs="Arial" w:eastAsia="Arial" w:hAnsi="Arial"/>
                <w:sz w:val="14"/>
                <w:szCs w:val="14"/>
                <w:color w:val="auto"/>
              </w:rPr>
              <w:t>Less: foreign currency translation (loss) gain attributable to Non-controlling interests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1,732</w:t>
            </w:r>
          </w:p>
        </w:tc>
        <w:tc>
          <w:tcPr>
            <w:tcW w:w="4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(1,471)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20,773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(7,049)</w:t>
            </w:r>
          </w:p>
        </w:tc>
        <w:tc>
          <w:tcPr>
            <w:tcW w:w="0" w:type="dxa"/>
            <w:vAlign w:val="bottom"/>
          </w:tcPr>
          <w:p>
            <w:pPr>
              <w:spacing w:after="0"/>
              <w:rPr>
                <w:sz w:val="1"/>
                <w:szCs w:val="1"/>
                <w:color w:val="auto"/>
              </w:rPr>
            </w:pPr>
          </w:p>
        </w:tc>
      </w:tr>
      <w:tr>
        <w:trPr>
          <w:trHeight w:val="21"/>
        </w:trPr>
        <w:tc>
          <w:tcPr>
            <w:tcW w:w="60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Other comprehensive (loss) income attributable to CLPS Incorporation’s shareholders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0"/>
        </w:trPr>
        <w:tc>
          <w:tcPr>
            <w:tcW w:w="6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(94,909</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(385,629</w:t>
            </w:r>
          </w:p>
        </w:tc>
        <w:tc>
          <w:tcPr>
            <w:tcW w:w="140" w:type="dxa"/>
            <w:vAlign w:val="bottom"/>
            <w:vMerge w:val="continue"/>
            <w:shd w:val="clear" w:color="auto" w:fill="CCEEFF"/>
          </w:tcPr>
          <w:p>
            <w:pPr>
              <w:spacing w:after="0"/>
              <w:rPr>
                <w:sz w:val="16"/>
                <w:szCs w:val="16"/>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210,451</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(226,776</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CLPS Incorporation shareholders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1,952,536</w:t>
            </w:r>
          </w:p>
        </w:tc>
        <w:tc>
          <w:tcPr>
            <w:tcW w:w="240" w:type="dxa"/>
            <w:vAlign w:val="bottom"/>
          </w:tcPr>
          <w:p>
            <w:pPr>
              <w:spacing w:after="0"/>
              <w:rPr>
                <w:sz w:val="14"/>
                <w:szCs w:val="14"/>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1,440,483</w:t>
            </w: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1,541,780</w:t>
            </w:r>
          </w:p>
        </w:tc>
        <w:tc>
          <w:tcPr>
            <w:tcW w:w="120" w:type="dxa"/>
            <w:vAlign w:val="bottom"/>
          </w:tcPr>
          <w:p>
            <w:pPr>
              <w:spacing w:after="0"/>
              <w:rPr>
                <w:sz w:val="14"/>
                <w:szCs w:val="14"/>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798,672</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175,644</w:t>
            </w: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(42,612)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(7,524)</w:t>
            </w:r>
          </w:p>
        </w:tc>
        <w:tc>
          <w:tcPr>
            <w:tcW w:w="0" w:type="dxa"/>
            <w:vAlign w:val="bottom"/>
          </w:tcPr>
          <w:p>
            <w:pPr>
              <w:spacing w:after="0"/>
              <w:rPr>
                <w:sz w:val="1"/>
                <w:szCs w:val="1"/>
                <w:color w:val="auto"/>
              </w:rPr>
            </w:pPr>
          </w:p>
        </w:tc>
      </w:tr>
      <w:tr>
        <w:trPr>
          <w:trHeight w:val="230"/>
        </w:trPr>
        <w:tc>
          <w:tcPr>
            <w:tcW w:w="6080" w:type="dxa"/>
            <w:vAlign w:val="bottom"/>
            <w:tcBorders>
              <w:top w:val="single" w:sz="8" w:color="CCEEFF"/>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2,128,180</w:t>
            </w:r>
          </w:p>
        </w:tc>
        <w:tc>
          <w:tcPr>
            <w:tcW w:w="240" w:type="dxa"/>
            <w:vAlign w:val="bottom"/>
            <w:tcBorders>
              <w:top w:val="single" w:sz="8" w:color="CCEEFF"/>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1,397,871</w:t>
            </w:r>
          </w:p>
        </w:tc>
        <w:tc>
          <w:tcPr>
            <w:tcW w:w="14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1,556,615</w:t>
            </w:r>
          </w:p>
        </w:tc>
        <w:tc>
          <w:tcPr>
            <w:tcW w:w="12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791,148</w:t>
            </w:r>
          </w:p>
        </w:tc>
        <w:tc>
          <w:tcPr>
            <w:tcW w:w="10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4"/>
                <w:szCs w:val="14"/>
                <w:color w:val="auto"/>
              </w:rPr>
              <w:t>Basic and diluted earnings per common share *</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0.16</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0.18</w:t>
            </w: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0.12</w:t>
            </w: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61"/>
        </w:trPr>
        <w:tc>
          <w:tcPr>
            <w:tcW w:w="608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Weighted average number of share outstanding – basic and diluted</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5660" w:right="5580" w:hanging="5656"/>
        <w:spacing w:after="0" w:line="594" w:lineRule="auto"/>
        <w:tabs>
          <w:tab w:leader="none" w:pos="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shares and per share data are presented on a retroactive basis to reflect the nominal share issuance.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217805</wp:posOffset>
            </wp:positionV>
            <wp:extent cx="727710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746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420" w:type="dxa"/>
            <w:vAlign w:val="bottom"/>
            <w:shd w:val="clear" w:color="auto" w:fill="0000EE"/>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7"/>
        </w:trPr>
        <w:tc>
          <w:tcPr>
            <w:tcW w:w="7860" w:type="dxa"/>
            <w:vAlign w:val="bottom"/>
            <w:gridSpan w:val="3"/>
          </w:tcPr>
          <w:p>
            <w:pPr>
              <w:ind w:left="500"/>
              <w:spacing w:after="0"/>
              <w:rPr>
                <w:sz w:val="20"/>
                <w:szCs w:val="20"/>
                <w:color w:val="auto"/>
              </w:rPr>
            </w:pPr>
            <w:r>
              <w:rPr>
                <w:rFonts w:ascii="Arial" w:cs="Arial" w:eastAsia="Arial" w:hAnsi="Arial"/>
                <w:sz w:val="14"/>
                <w:szCs w:val="14"/>
                <w:color w:val="auto"/>
                <w:w w:val="89"/>
              </w:rPr>
              <w:t>The following table presents our summary consolidated balance sheet data as of June 30, 2017 and 2016, and December 31, 2017.</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7"/>
        </w:trPr>
        <w:tc>
          <w:tcPr>
            <w:tcW w:w="14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As of</w:t>
            </w:r>
          </w:p>
        </w:tc>
      </w:tr>
      <w:tr>
        <w:trPr>
          <w:trHeight w:val="191"/>
        </w:trPr>
        <w:tc>
          <w:tcPr>
            <w:tcW w:w="14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As of 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December 31,</w:t>
            </w:r>
          </w:p>
        </w:tc>
      </w:tr>
      <w:tr>
        <w:trPr>
          <w:trHeight w:val="180"/>
        </w:trPr>
        <w:tc>
          <w:tcPr>
            <w:tcW w:w="14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w w:val="96"/>
              </w:rPr>
              <w:t>2017</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5"/>
                <w:szCs w:val="15"/>
                <w:color w:val="auto"/>
              </w:rPr>
            </w:pPr>
          </w:p>
        </w:tc>
      </w:tr>
      <w:tr>
        <w:trPr>
          <w:trHeight w:val="168"/>
        </w:trPr>
        <w:tc>
          <w:tcPr>
            <w:tcW w:w="14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4"/>
                <w:szCs w:val="14"/>
                <w:color w:val="auto"/>
              </w:rPr>
            </w:pPr>
          </w:p>
        </w:tc>
      </w:tr>
      <w:tr>
        <w:trPr>
          <w:trHeight w:val="168"/>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4,814,568</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5,277,196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4,659,037</w:t>
            </w:r>
          </w:p>
        </w:tc>
      </w:tr>
      <w:tr>
        <w:trPr>
          <w:trHeight w:val="168"/>
        </w:trPr>
        <w:tc>
          <w:tcPr>
            <w:tcW w:w="746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12,325,296</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9,910,841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16,619,705</w:t>
            </w:r>
          </w:p>
        </w:tc>
      </w:tr>
      <w:tr>
        <w:trPr>
          <w:trHeight w:val="168"/>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13,521,923</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10,471,529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17,853,399</w:t>
            </w:r>
          </w:p>
        </w:tc>
      </w:tr>
      <w:tr>
        <w:trPr>
          <w:trHeight w:val="168"/>
        </w:trPr>
        <w:tc>
          <w:tcPr>
            <w:tcW w:w="746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8,210,625</w:t>
            </w:r>
          </w:p>
        </w:tc>
        <w:tc>
          <w:tcPr>
            <w:tcW w:w="220" w:type="dxa"/>
            <w:vAlign w:val="bottom"/>
          </w:tcPr>
          <w:p>
            <w:pPr>
              <w:spacing w:after="0"/>
              <w:rPr>
                <w:sz w:val="14"/>
                <w:szCs w:val="14"/>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6,264,005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10,985,416</w:t>
            </w:r>
          </w:p>
        </w:tc>
      </w:tr>
      <w:tr>
        <w:trPr>
          <w:trHeight w:val="168"/>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CLPS Incorporation’s Shareholders' Equity</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4,834,188</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4,203,490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6,375,968</w:t>
            </w:r>
          </w:p>
        </w:tc>
      </w:tr>
      <w:tr>
        <w:trPr>
          <w:trHeight w:val="168"/>
        </w:trPr>
        <w:tc>
          <w:tcPr>
            <w:tcW w:w="7460" w:type="dxa"/>
            <w:vAlign w:val="bottom"/>
            <w:gridSpan w:val="2"/>
          </w:tcPr>
          <w:p>
            <w:pPr>
              <w:spacing w:after="0"/>
              <w:rPr>
                <w:sz w:val="20"/>
                <w:szCs w:val="20"/>
                <w:color w:val="auto"/>
              </w:rPr>
            </w:pPr>
            <w:r>
              <w:rPr>
                <w:rFonts w:ascii="Arial" w:cs="Arial" w:eastAsia="Arial" w:hAnsi="Arial"/>
                <w:sz w:val="14"/>
                <w:szCs w:val="14"/>
                <w:color w:val="auto"/>
              </w:rPr>
              <w:t>Non-controlling Interests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477,110</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4,034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492,015</w:t>
            </w:r>
          </w:p>
        </w:tc>
      </w:tr>
      <w:tr>
        <w:trPr>
          <w:trHeight w:val="168"/>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Shareholders’ Equity</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5,311,298</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4,207,524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6,867,983</w:t>
            </w:r>
          </w:p>
        </w:tc>
      </w:tr>
      <w:tr>
        <w:trPr>
          <w:trHeight w:val="179"/>
        </w:trPr>
        <w:tc>
          <w:tcPr>
            <w:tcW w:w="7460" w:type="dxa"/>
            <w:vAlign w:val="bottom"/>
            <w:gridSpan w:val="2"/>
          </w:tcPr>
          <w:p>
            <w:pPr>
              <w:spacing w:after="0"/>
              <w:rPr>
                <w:sz w:val="20"/>
                <w:szCs w:val="20"/>
                <w:color w:val="auto"/>
              </w:rPr>
            </w:pPr>
            <w:r>
              <w:rPr>
                <w:rFonts w:ascii="Arial" w:cs="Arial" w:eastAsia="Arial" w:hAnsi="Arial"/>
                <w:sz w:val="14"/>
                <w:szCs w:val="14"/>
                <w:color w:val="auto"/>
              </w:rPr>
              <w:t>Total Liabilities and Shareholders’ Equity</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13,521,923</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10,471,529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17,853,399</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sets forth our capitalization as of December 31, 2017:</w:t>
      </w:r>
    </w:p>
    <w:p>
      <w:pPr>
        <w:spacing w:after="0" w:line="176" w:lineRule="exact"/>
        <w:rPr>
          <w:sz w:val="20"/>
          <w:szCs w:val="20"/>
          <w:color w:val="auto"/>
        </w:rPr>
      </w:pPr>
    </w:p>
    <w:p>
      <w:pPr>
        <w:ind w:left="840" w:hanging="331"/>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an actual basis; and</w:t>
      </w:r>
    </w:p>
    <w:p>
      <w:pPr>
        <w:spacing w:after="0" w:line="175" w:lineRule="exact"/>
        <w:rPr>
          <w:rFonts w:ascii="Arial" w:cs="Arial" w:eastAsia="Arial" w:hAnsi="Arial"/>
          <w:sz w:val="14"/>
          <w:szCs w:val="14"/>
          <w:color w:val="auto"/>
        </w:rPr>
      </w:pPr>
    </w:p>
    <w:p>
      <w:pPr>
        <w:jc w:val="both"/>
        <w:ind w:right="60" w:firstLine="509"/>
        <w:spacing w:after="0" w:line="364" w:lineRule="auto"/>
        <w:tabs>
          <w:tab w:leader="none" w:pos="835" w:val="left"/>
        </w:tabs>
        <w:numPr>
          <w:ilvl w:val="0"/>
          <w:numId w:val="21"/>
        </w:numPr>
        <w:rPr>
          <w:rFonts w:ascii="Arial" w:cs="Arial" w:eastAsia="Arial" w:hAnsi="Arial"/>
          <w:sz w:val="12"/>
          <w:szCs w:val="12"/>
          <w:color w:val="auto"/>
        </w:rPr>
      </w:pPr>
      <w:r>
        <w:rPr>
          <w:rFonts w:ascii="Arial" w:cs="Arial" w:eastAsia="Arial" w:hAnsi="Arial"/>
          <w:sz w:val="12"/>
          <w:szCs w:val="12"/>
          <w:color w:val="auto"/>
        </w:rPr>
        <w:t>On a pro forma basis to give effect to the sale of [_] common shares by us in this offering at the assumed initial public offering price of $[_] per share, the midpoint of the range set forth on the cover page of this prospectus, after deducting the estimated underwriting commissions and estimated offering expenses and assuming that the underwriters do not exercise their over-allotment option.</w:t>
      </w:r>
    </w:p>
    <w:p>
      <w:pPr>
        <w:spacing w:after="0" w:line="87" w:lineRule="exact"/>
        <w:rPr>
          <w:sz w:val="20"/>
          <w:szCs w:val="20"/>
          <w:color w:val="auto"/>
        </w:rPr>
      </w:pPr>
    </w:p>
    <w:p>
      <w:pPr>
        <w:ind w:right="200" w:firstLine="505"/>
        <w:spacing w:after="0" w:line="317" w:lineRule="auto"/>
        <w:rPr>
          <w:sz w:val="20"/>
          <w:szCs w:val="20"/>
          <w:color w:val="auto"/>
        </w:rPr>
      </w:pPr>
      <w:r>
        <w:rPr>
          <w:rFonts w:ascii="Arial" w:cs="Arial" w:eastAsia="Arial" w:hAnsi="Arial"/>
          <w:sz w:val="13"/>
          <w:szCs w:val="13"/>
          <w:color w:val="auto"/>
        </w:rPr>
        <w:t>You should read this table in conjunction with our financial statements and related notes appearing elsewhere in this prospectus and “Use of Proceeds” and “Description of Share Capital.” You should read this table in conjunction with our financial statements and related notes appearing elsewhere in this prospectus and “Use of Proceeds” and “Description of Share Capital.”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5220" w:type="dxa"/>
            <w:vAlign w:val="bottom"/>
            <w:gridSpan w:val="2"/>
          </w:tcPr>
          <w:p>
            <w:pPr>
              <w:jc w:val="right"/>
              <w:ind w:right="2500"/>
              <w:spacing w:after="0"/>
              <w:rPr>
                <w:sz w:val="20"/>
                <w:szCs w:val="20"/>
                <w:color w:val="auto"/>
              </w:rPr>
            </w:pPr>
            <w:r>
              <w:rPr>
                <w:rFonts w:ascii="Arial" w:cs="Arial" w:eastAsia="Arial" w:hAnsi="Arial"/>
                <w:sz w:val="14"/>
                <w:szCs w:val="14"/>
                <w:b w:val="1"/>
                <w:bCs w:val="1"/>
                <w:color w:val="auto"/>
              </w:rPr>
              <w:t>As of December 31, 2017</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2"/>
        </w:trPr>
        <w:tc>
          <w:tcPr>
            <w:tcW w:w="37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 Forma</w:t>
            </w:r>
          </w:p>
        </w:tc>
      </w:tr>
      <w:tr>
        <w:trPr>
          <w:trHeight w:val="168"/>
        </w:trPr>
        <w:tc>
          <w:tcPr>
            <w:tcW w:w="37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Adjusted</w:t>
            </w:r>
          </w:p>
        </w:tc>
      </w:tr>
      <w:tr>
        <w:trPr>
          <w:trHeight w:val="184"/>
        </w:trPr>
        <w:tc>
          <w:tcPr>
            <w:tcW w:w="37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As Reported</w:t>
            </w: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for IPO</w:t>
            </w:r>
          </w:p>
        </w:tc>
      </w:tr>
      <w:tr>
        <w:trPr>
          <w:trHeight w:val="168"/>
        </w:trPr>
        <w:tc>
          <w:tcPr>
            <w:tcW w:w="3740" w:type="dxa"/>
            <w:vAlign w:val="bottom"/>
          </w:tcPr>
          <w:p>
            <w:pPr>
              <w:spacing w:after="0"/>
              <w:rPr>
                <w:sz w:val="20"/>
                <w:szCs w:val="20"/>
                <w:color w:val="auto"/>
              </w:rPr>
            </w:pPr>
            <w:r>
              <w:rPr>
                <w:rFonts w:ascii="Arial" w:cs="Arial" w:eastAsia="Arial" w:hAnsi="Arial"/>
                <w:sz w:val="14"/>
                <w:szCs w:val="14"/>
                <w:b w:val="1"/>
                <w:bCs w:val="1"/>
                <w:color w:val="auto"/>
              </w:rPr>
              <w:t>Common shares</w:t>
            </w:r>
          </w:p>
        </w:tc>
        <w:tc>
          <w:tcPr>
            <w:tcW w:w="5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5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11,290,000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3740" w:type="dxa"/>
            <w:vAlign w:val="bottom"/>
          </w:tcPr>
          <w:p>
            <w:pPr>
              <w:spacing w:after="0"/>
              <w:rPr>
                <w:sz w:val="20"/>
                <w:szCs w:val="20"/>
                <w:color w:val="auto"/>
              </w:rPr>
            </w:pPr>
            <w:r>
              <w:rPr>
                <w:rFonts w:ascii="Arial" w:cs="Arial" w:eastAsia="Arial" w:hAnsi="Arial"/>
                <w:sz w:val="14"/>
                <w:szCs w:val="14"/>
                <w:color w:val="auto"/>
              </w:rPr>
              <w:t>Par Value Amount</w:t>
            </w:r>
          </w:p>
        </w:tc>
        <w:tc>
          <w:tcPr>
            <w:tcW w:w="5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1,129</w:t>
            </w:r>
          </w:p>
        </w:tc>
        <w:tc>
          <w:tcPr>
            <w:tcW w:w="1240" w:type="dxa"/>
            <w:vAlign w:val="bottom"/>
            <w:gridSpan w:val="2"/>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8"/>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5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7,120,943</w:t>
            </w:r>
          </w:p>
        </w:tc>
        <w:tc>
          <w:tcPr>
            <w:tcW w:w="1240" w:type="dxa"/>
            <w:vAlign w:val="bottom"/>
            <w:gridSpan w:val="2"/>
            <w:shd w:val="clear" w:color="auto" w:fill="CCEEFF"/>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3740" w:type="dxa"/>
            <w:vAlign w:val="bottom"/>
          </w:tcPr>
          <w:p>
            <w:pPr>
              <w:spacing w:after="0"/>
              <w:rPr>
                <w:sz w:val="20"/>
                <w:szCs w:val="20"/>
                <w:color w:val="auto"/>
              </w:rPr>
            </w:pPr>
            <w:r>
              <w:rPr>
                <w:rFonts w:ascii="Arial" w:cs="Arial" w:eastAsia="Arial" w:hAnsi="Arial"/>
                <w:sz w:val="14"/>
                <w:szCs w:val="14"/>
                <w:color w:val="auto"/>
              </w:rPr>
              <w:t>Statutory Reserves</w:t>
            </w:r>
          </w:p>
        </w:tc>
        <w:tc>
          <w:tcPr>
            <w:tcW w:w="5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905,553</w:t>
            </w:r>
          </w:p>
        </w:tc>
        <w:tc>
          <w:tcPr>
            <w:tcW w:w="1240" w:type="dxa"/>
            <w:vAlign w:val="bottom"/>
            <w:gridSpan w:val="2"/>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8"/>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5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(1,414,838)</w:t>
            </w:r>
          </w:p>
        </w:tc>
        <w:tc>
          <w:tcPr>
            <w:tcW w:w="1240" w:type="dxa"/>
            <w:vAlign w:val="bottom"/>
            <w:gridSpan w:val="2"/>
            <w:shd w:val="clear" w:color="auto" w:fill="CCEEFF"/>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374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5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(236,819)</w:t>
            </w:r>
          </w:p>
        </w:tc>
        <w:tc>
          <w:tcPr>
            <w:tcW w:w="1240" w:type="dxa"/>
            <w:vAlign w:val="bottom"/>
            <w:gridSpan w:val="2"/>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8"/>
        </w:trPr>
        <w:tc>
          <w:tcPr>
            <w:tcW w:w="3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5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6,375,968</w:t>
            </w:r>
          </w:p>
        </w:tc>
        <w:tc>
          <w:tcPr>
            <w:tcW w:w="1240" w:type="dxa"/>
            <w:vAlign w:val="bottom"/>
            <w:gridSpan w:val="2"/>
            <w:shd w:val="clear" w:color="auto" w:fill="CCEEFF"/>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DILUTION</w:t>
      </w:r>
    </w:p>
    <w:p>
      <w:pPr>
        <w:spacing w:after="0" w:line="180" w:lineRule="exact"/>
        <w:rPr>
          <w:sz w:val="20"/>
          <w:szCs w:val="20"/>
          <w:color w:val="auto"/>
        </w:rPr>
      </w:pPr>
    </w:p>
    <w:p>
      <w:pPr>
        <w:jc w:val="both"/>
        <w:ind w:right="220" w:firstLine="505"/>
        <w:spacing w:after="0" w:line="264" w:lineRule="auto"/>
        <w:rPr>
          <w:sz w:val="20"/>
          <w:szCs w:val="20"/>
          <w:color w:val="auto"/>
        </w:rPr>
      </w:pPr>
      <w:r>
        <w:rPr>
          <w:rFonts w:ascii="Arial" w:cs="Arial" w:eastAsia="Arial" w:hAnsi="Arial"/>
          <w:sz w:val="14"/>
          <w:szCs w:val="14"/>
          <w:color w:val="auto"/>
        </w:rPr>
        <w:t>If you invest in our shares, your interest will be diluted to the extent of the difference between the initial public offering price per common share and the pro forma net tangible book value per common share after the offering. Our pro forma net tangible book value as of [_] was [_], or $[_] per share. Our pro forma net tangible book value per share set forth below represents our total tangible assets less total liabilities, divided by the number of shares of our share stock outstanding.</w:t>
      </w:r>
    </w:p>
    <w:p>
      <w:pPr>
        <w:spacing w:after="0" w:line="142" w:lineRule="exact"/>
        <w:rPr>
          <w:sz w:val="20"/>
          <w:szCs w:val="20"/>
          <w:color w:val="auto"/>
        </w:rPr>
      </w:pPr>
    </w:p>
    <w:p>
      <w:pPr>
        <w:ind w:right="20" w:firstLine="505"/>
        <w:spacing w:after="0" w:line="310" w:lineRule="auto"/>
        <w:rPr>
          <w:sz w:val="20"/>
          <w:szCs w:val="20"/>
          <w:color w:val="auto"/>
        </w:rPr>
      </w:pPr>
      <w:r>
        <w:rPr>
          <w:rFonts w:ascii="Arial" w:cs="Arial" w:eastAsia="Arial" w:hAnsi="Arial"/>
          <w:sz w:val="12"/>
          <w:szCs w:val="12"/>
          <w:color w:val="auto"/>
        </w:rPr>
        <w:t>Dilution results from the fact that the per common share offering price is substantially in excess of the book value per common share attributable to the existing shareholders for our presently outstanding common shares. After giving effect to our issuance and sale of [_] shares in this offering at an assumed initial public offering price of $[_] per share, after deducting the estimated underwriting discounts and offering expenses payable by us, the pro forma as adjusted net tangible book value as of [_] would have been [_], or $[_] per share. This represents an immediate increase in net tangible book value to existing shareholders of $[_] per share. The public offering price per share will significantly exceed the net tangible book value per share. Accordingly, new investors who purchase shares in this offering will suffer an immediate dilution of their investment of $[_] per share. The following table illustrates this per share dilution to the new investors purchasing shares in this offering: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8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Offering</w:t>
            </w:r>
            <w:r>
              <w:rPr>
                <w:rFonts w:ascii="Arial" w:cs="Arial" w:eastAsia="Arial" w:hAnsi="Arial"/>
                <w:sz w:val="23"/>
                <w:szCs w:val="23"/>
                <w:b w:val="1"/>
                <w:bCs w:val="1"/>
                <w:color w:val="auto"/>
                <w:vertAlign w:val="superscript"/>
              </w:rPr>
              <w:t>(1)</w:t>
            </w:r>
          </w:p>
        </w:tc>
      </w:tr>
      <w:tr>
        <w:trPr>
          <w:trHeight w:val="168"/>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Assumed offering price per common share</w:t>
            </w:r>
          </w:p>
        </w:tc>
        <w:tc>
          <w:tcPr>
            <w:tcW w:w="54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8"/>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4820" w:type="dxa"/>
            <w:vAlign w:val="bottom"/>
          </w:tcPr>
          <w:p>
            <w:pPr>
              <w:spacing w:after="0"/>
              <w:rPr>
                <w:sz w:val="20"/>
                <w:szCs w:val="20"/>
                <w:color w:val="auto"/>
              </w:rPr>
            </w:pPr>
            <w:r>
              <w:rPr>
                <w:rFonts w:ascii="Arial" w:cs="Arial" w:eastAsia="Arial" w:hAnsi="Arial"/>
                <w:sz w:val="14"/>
                <w:szCs w:val="14"/>
                <w:color w:val="auto"/>
              </w:rPr>
              <w:t>Net tangible book value per common share as of</w:t>
            </w:r>
          </w:p>
        </w:tc>
        <w:tc>
          <w:tcPr>
            <w:tcW w:w="55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r>
      <w:tr>
        <w:trPr>
          <w:trHeight w:val="168"/>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Increase per common share attributable to this offering</w:t>
            </w:r>
          </w:p>
        </w:tc>
        <w:tc>
          <w:tcPr>
            <w:tcW w:w="55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r>
      <w:tr>
        <w:trPr>
          <w:trHeight w:val="168"/>
        </w:trPr>
        <w:tc>
          <w:tcPr>
            <w:tcW w:w="4820" w:type="dxa"/>
            <w:vAlign w:val="bottom"/>
          </w:tcPr>
          <w:p>
            <w:pPr>
              <w:spacing w:after="0"/>
              <w:rPr>
                <w:sz w:val="20"/>
                <w:szCs w:val="20"/>
                <w:color w:val="auto"/>
              </w:rPr>
            </w:pPr>
            <w:r>
              <w:rPr>
                <w:rFonts w:ascii="Arial" w:cs="Arial" w:eastAsia="Arial" w:hAnsi="Arial"/>
                <w:sz w:val="14"/>
                <w:szCs w:val="14"/>
                <w:color w:val="auto"/>
              </w:rPr>
              <w:t>Pro forma net tangible book value per common share after the offering</w:t>
            </w:r>
          </w:p>
        </w:tc>
        <w:tc>
          <w:tcPr>
            <w:tcW w:w="55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r>
      <w:tr>
        <w:trPr>
          <w:trHeight w:val="168"/>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Dilution per common share to new investors</w:t>
            </w:r>
          </w:p>
        </w:tc>
        <w:tc>
          <w:tcPr>
            <w:tcW w:w="55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r>
      <w:tr>
        <w:trPr>
          <w:trHeight w:val="506"/>
        </w:trPr>
        <w:tc>
          <w:tcPr>
            <w:tcW w:w="48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right"/>
              <w:ind w:right="4350"/>
              <w:spacing w:after="0"/>
              <w:rPr>
                <w:sz w:val="20"/>
                <w:szCs w:val="20"/>
                <w:color w:val="auto"/>
              </w:rPr>
            </w:pPr>
            <w:r>
              <w:rPr>
                <w:rFonts w:ascii="Arial" w:cs="Arial" w:eastAsia="Arial" w:hAnsi="Arial"/>
                <w:sz w:val="14"/>
                <w:szCs w:val="14"/>
                <w:color w:val="auto"/>
              </w:rPr>
              <w:t>40</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00" w:right="21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20" w:firstLine="505"/>
        <w:spacing w:after="0" w:line="293" w:lineRule="auto"/>
        <w:rPr>
          <w:sz w:val="20"/>
          <w:szCs w:val="20"/>
          <w:color w:val="auto"/>
        </w:rPr>
      </w:pPr>
      <w:r>
        <w:rPr>
          <w:rFonts w:ascii="Arial" w:cs="Arial" w:eastAsia="Arial" w:hAnsi="Arial"/>
          <w:sz w:val="13"/>
          <w:szCs w:val="13"/>
          <w:color w:val="auto"/>
        </w:rPr>
        <w:t>A $1.00 increase (decrease) in the assumed public offering price of $[●] per share would increase (decrease) the pro forma net tangible book value by $[●] million, the pro forma net tangible book value per share after this offering by $[●] per share and the dilution in pro forma net tangible book value per share to investors in this offering by $[●] per share, assuming that the number of shares offered by us, as set forth on the cover page of this prospectus, remains the same and after deducting the estimated underwriting discount and offering expenses payable by 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POST-OFFERING OWNERSHIP</w:t>
      </w:r>
    </w:p>
    <w:p>
      <w:pPr>
        <w:spacing w:after="0" w:line="180" w:lineRule="exact"/>
        <w:rPr>
          <w:sz w:val="20"/>
          <w:szCs w:val="20"/>
          <w:color w:val="auto"/>
        </w:rPr>
      </w:pPr>
    </w:p>
    <w:p>
      <w:pPr>
        <w:ind w:right="200" w:firstLine="505"/>
        <w:spacing w:after="0" w:line="264" w:lineRule="auto"/>
        <w:rPr>
          <w:sz w:val="20"/>
          <w:szCs w:val="20"/>
          <w:color w:val="auto"/>
        </w:rPr>
      </w:pPr>
      <w:r>
        <w:rPr>
          <w:rFonts w:ascii="Arial" w:cs="Arial" w:eastAsia="Arial" w:hAnsi="Arial"/>
          <w:sz w:val="14"/>
          <w:szCs w:val="14"/>
          <w:color w:val="auto"/>
        </w:rPr>
        <w:t>The following charts illustrate our pro forma proportionate ownership, upon completion of this offering by present shareholders and investors in this offering, compared to the relative amounts paid by each. The charts reflect payment by present shareholders as of the date the consideration was received and by investors in this offering at the assumed offering price without deduction of commissions or expenses. The charts further assume no changes in net tangible book value other than those resulting from the offering.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560" w:type="dxa"/>
            <w:vAlign w:val="bottom"/>
            <w:gridSpan w:val="3"/>
          </w:tcPr>
          <w:p>
            <w:pPr>
              <w:ind w:left="74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6"/>
                <w:szCs w:val="16"/>
                <w:color w:val="auto"/>
              </w:rPr>
            </w:pPr>
          </w:p>
        </w:tc>
        <w:tc>
          <w:tcPr>
            <w:tcW w:w="250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r>
      <w:tr>
        <w:trPr>
          <w:trHeight w:val="180"/>
        </w:trPr>
        <w:tc>
          <w:tcPr>
            <w:tcW w:w="4700" w:type="dxa"/>
            <w:vAlign w:val="bottom"/>
          </w:tcPr>
          <w:p>
            <w:pPr>
              <w:spacing w:after="0"/>
              <w:rPr>
                <w:sz w:val="15"/>
                <w:szCs w:val="15"/>
                <w:color w:val="auto"/>
              </w:rPr>
            </w:pPr>
          </w:p>
        </w:tc>
        <w:tc>
          <w:tcPr>
            <w:tcW w:w="14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Amount (#)</w:t>
            </w:r>
          </w:p>
        </w:tc>
        <w:tc>
          <w:tcPr>
            <w:tcW w:w="116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Percent (%)</w:t>
            </w:r>
          </w:p>
        </w:tc>
        <w:tc>
          <w:tcPr>
            <w:tcW w:w="240" w:type="dxa"/>
            <w:vAlign w:val="bottom"/>
          </w:tcPr>
          <w:p>
            <w:pPr>
              <w:spacing w:after="0"/>
              <w:rPr>
                <w:sz w:val="15"/>
                <w:szCs w:val="15"/>
                <w:color w:val="auto"/>
              </w:rPr>
            </w:pPr>
          </w:p>
        </w:tc>
        <w:tc>
          <w:tcPr>
            <w:tcW w:w="13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Amount ($)</w:t>
            </w:r>
          </w:p>
        </w:tc>
        <w:tc>
          <w:tcPr>
            <w:tcW w:w="114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Percent (%)</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Per Share ($)</w:t>
            </w:r>
          </w:p>
        </w:tc>
        <w:tc>
          <w:tcPr>
            <w:tcW w:w="100" w:type="dxa"/>
            <w:vAlign w:val="bottom"/>
          </w:tcPr>
          <w:p>
            <w:pPr>
              <w:spacing w:after="0"/>
              <w:rPr>
                <w:sz w:val="15"/>
                <w:szCs w:val="15"/>
                <w:color w:val="auto"/>
              </w:rPr>
            </w:pPr>
          </w:p>
        </w:tc>
      </w:tr>
      <w:tr>
        <w:trPr>
          <w:trHeight w:val="168"/>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Existing shareholders</w:t>
            </w: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9"/>
              </w:rPr>
              <w:t>%</w:t>
            </w: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6100" w:type="dxa"/>
            <w:vAlign w:val="bottom"/>
            <w:gridSpan w:val="3"/>
          </w:tcPr>
          <w:p>
            <w:pPr>
              <w:spacing w:after="0"/>
              <w:rPr>
                <w:sz w:val="20"/>
                <w:szCs w:val="20"/>
                <w:color w:val="auto"/>
              </w:rPr>
            </w:pPr>
            <w:r>
              <w:rPr>
                <w:rFonts w:ascii="Arial" w:cs="Arial" w:eastAsia="Arial" w:hAnsi="Arial"/>
                <w:sz w:val="14"/>
                <w:szCs w:val="14"/>
                <w:color w:val="auto"/>
              </w:rPr>
              <w:t>New investors</w:t>
            </w:r>
          </w:p>
        </w:tc>
        <w:tc>
          <w:tcPr>
            <w:tcW w:w="1160" w:type="dxa"/>
            <w:vAlign w:val="bottom"/>
          </w:tcPr>
          <w:p>
            <w:pPr>
              <w:spacing w:after="0"/>
              <w:rPr>
                <w:sz w:val="14"/>
                <w:szCs w:val="14"/>
                <w:color w:val="auto"/>
              </w:rPr>
            </w:pPr>
          </w:p>
        </w:tc>
        <w:tc>
          <w:tcPr>
            <w:tcW w:w="240" w:type="dxa"/>
            <w:vAlign w:val="bottom"/>
          </w:tcPr>
          <w:p>
            <w:pPr>
              <w:jc w:val="right"/>
              <w:ind w:right="50"/>
              <w:spacing w:after="0"/>
              <w:rPr>
                <w:sz w:val="20"/>
                <w:szCs w:val="20"/>
                <w:color w:val="auto"/>
              </w:rPr>
            </w:pPr>
            <w:r>
              <w:rPr>
                <w:rFonts w:ascii="Arial" w:cs="Arial" w:eastAsia="Arial" w:hAnsi="Arial"/>
                <w:sz w:val="14"/>
                <w:szCs w:val="14"/>
                <w:color w:val="auto"/>
                <w:w w:val="79"/>
              </w:rPr>
              <w:t>%</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200" w:type="dxa"/>
            <w:vAlign w:val="bottom"/>
            <w:gridSpan w:val="2"/>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8"/>
        </w:trPr>
        <w:tc>
          <w:tcPr>
            <w:tcW w:w="6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9"/>
              </w:rPr>
              <w:t>%</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200" w:type="dxa"/>
            <w:vAlign w:val="bottom"/>
            <w:gridSpan w:val="2"/>
            <w:shd w:val="clear" w:color="auto" w:fill="CCEEFF"/>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337"/>
        </w:trPr>
        <w:tc>
          <w:tcPr>
            <w:tcW w:w="6100" w:type="dxa"/>
            <w:vAlign w:val="bottom"/>
            <w:gridSpan w:val="3"/>
          </w:tcPr>
          <w:p>
            <w:pPr>
              <w:ind w:left="500"/>
              <w:spacing w:after="0"/>
              <w:rPr>
                <w:sz w:val="20"/>
                <w:szCs w:val="20"/>
                <w:color w:val="auto"/>
              </w:rPr>
            </w:pPr>
            <w:r>
              <w:rPr>
                <w:rFonts w:ascii="Arial" w:cs="Arial" w:eastAsia="Arial" w:hAnsi="Arial"/>
                <w:sz w:val="14"/>
                <w:szCs w:val="14"/>
                <w:color w:val="auto"/>
              </w:rPr>
              <w:t>The table below shows what happens when over-allotment option exercised:</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560" w:type="dxa"/>
            <w:vAlign w:val="bottom"/>
            <w:gridSpan w:val="3"/>
          </w:tcPr>
          <w:p>
            <w:pPr>
              <w:ind w:left="74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6"/>
                <w:szCs w:val="16"/>
                <w:color w:val="auto"/>
              </w:rPr>
            </w:pPr>
          </w:p>
        </w:tc>
        <w:tc>
          <w:tcPr>
            <w:tcW w:w="250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r>
      <w:tr>
        <w:trPr>
          <w:trHeight w:val="180"/>
        </w:trPr>
        <w:tc>
          <w:tcPr>
            <w:tcW w:w="4700" w:type="dxa"/>
            <w:vAlign w:val="bottom"/>
          </w:tcPr>
          <w:p>
            <w:pPr>
              <w:spacing w:after="0"/>
              <w:rPr>
                <w:sz w:val="15"/>
                <w:szCs w:val="15"/>
                <w:color w:val="auto"/>
              </w:rPr>
            </w:pPr>
          </w:p>
        </w:tc>
        <w:tc>
          <w:tcPr>
            <w:tcW w:w="14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Amount (#)</w:t>
            </w:r>
          </w:p>
        </w:tc>
        <w:tc>
          <w:tcPr>
            <w:tcW w:w="116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Percent (%)</w:t>
            </w:r>
          </w:p>
        </w:tc>
        <w:tc>
          <w:tcPr>
            <w:tcW w:w="240" w:type="dxa"/>
            <w:vAlign w:val="bottom"/>
          </w:tcPr>
          <w:p>
            <w:pPr>
              <w:spacing w:after="0"/>
              <w:rPr>
                <w:sz w:val="15"/>
                <w:szCs w:val="15"/>
                <w:color w:val="auto"/>
              </w:rPr>
            </w:pPr>
          </w:p>
        </w:tc>
        <w:tc>
          <w:tcPr>
            <w:tcW w:w="13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Amount ($)</w:t>
            </w:r>
          </w:p>
        </w:tc>
        <w:tc>
          <w:tcPr>
            <w:tcW w:w="114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Percent (%)</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Per Share ($)</w:t>
            </w:r>
          </w:p>
        </w:tc>
        <w:tc>
          <w:tcPr>
            <w:tcW w:w="100" w:type="dxa"/>
            <w:vAlign w:val="bottom"/>
          </w:tcPr>
          <w:p>
            <w:pPr>
              <w:spacing w:after="0"/>
              <w:rPr>
                <w:sz w:val="15"/>
                <w:szCs w:val="15"/>
                <w:color w:val="auto"/>
              </w:rPr>
            </w:pPr>
          </w:p>
        </w:tc>
      </w:tr>
      <w:tr>
        <w:trPr>
          <w:trHeight w:val="168"/>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Existing shareholders</w:t>
            </w: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9"/>
              </w:rPr>
              <w:t>%</w:t>
            </w: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6100" w:type="dxa"/>
            <w:vAlign w:val="bottom"/>
            <w:gridSpan w:val="3"/>
          </w:tcPr>
          <w:p>
            <w:pPr>
              <w:spacing w:after="0"/>
              <w:rPr>
                <w:sz w:val="20"/>
                <w:szCs w:val="20"/>
                <w:color w:val="auto"/>
              </w:rPr>
            </w:pPr>
            <w:r>
              <w:rPr>
                <w:rFonts w:ascii="Arial" w:cs="Arial" w:eastAsia="Arial" w:hAnsi="Arial"/>
                <w:sz w:val="14"/>
                <w:szCs w:val="14"/>
                <w:color w:val="auto"/>
              </w:rPr>
              <w:t>New investors</w:t>
            </w:r>
          </w:p>
        </w:tc>
        <w:tc>
          <w:tcPr>
            <w:tcW w:w="1160" w:type="dxa"/>
            <w:vAlign w:val="bottom"/>
          </w:tcPr>
          <w:p>
            <w:pPr>
              <w:spacing w:after="0"/>
              <w:rPr>
                <w:sz w:val="14"/>
                <w:szCs w:val="14"/>
                <w:color w:val="auto"/>
              </w:rPr>
            </w:pPr>
          </w:p>
        </w:tc>
        <w:tc>
          <w:tcPr>
            <w:tcW w:w="240" w:type="dxa"/>
            <w:vAlign w:val="bottom"/>
          </w:tcPr>
          <w:p>
            <w:pPr>
              <w:jc w:val="right"/>
              <w:ind w:right="50"/>
              <w:spacing w:after="0"/>
              <w:rPr>
                <w:sz w:val="20"/>
                <w:szCs w:val="20"/>
                <w:color w:val="auto"/>
              </w:rPr>
            </w:pPr>
            <w:r>
              <w:rPr>
                <w:rFonts w:ascii="Arial" w:cs="Arial" w:eastAsia="Arial" w:hAnsi="Arial"/>
                <w:sz w:val="14"/>
                <w:szCs w:val="14"/>
                <w:color w:val="auto"/>
                <w:w w:val="79"/>
              </w:rPr>
              <w:t>%</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200" w:type="dxa"/>
            <w:vAlign w:val="bottom"/>
            <w:gridSpan w:val="2"/>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8"/>
        </w:trPr>
        <w:tc>
          <w:tcPr>
            <w:tcW w:w="6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9"/>
              </w:rPr>
              <w:t>%</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200" w:type="dxa"/>
            <w:vAlign w:val="bottom"/>
            <w:gridSpan w:val="2"/>
            <w:shd w:val="clear" w:color="auto" w:fill="CCEEFF"/>
          </w:tcPr>
          <w:p>
            <w:pPr>
              <w:jc w:val="right"/>
              <w:ind w:right="99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bl>
    <w:p>
      <w:pPr>
        <w:spacing w:after="0" w:line="158" w:lineRule="exact"/>
        <w:rPr>
          <w:sz w:val="20"/>
          <w:szCs w:val="20"/>
          <w:color w:val="auto"/>
        </w:rPr>
      </w:pPr>
    </w:p>
    <w:p>
      <w:pPr>
        <w:ind w:right="580" w:firstLine="505"/>
        <w:spacing w:after="0" w:line="317" w:lineRule="auto"/>
        <w:rPr>
          <w:sz w:val="20"/>
          <w:szCs w:val="20"/>
          <w:color w:val="auto"/>
        </w:rPr>
      </w:pPr>
      <w:r>
        <w:rPr>
          <w:rFonts w:ascii="Arial" w:cs="Arial" w:eastAsia="Arial" w:hAnsi="Arial"/>
          <w:sz w:val="13"/>
          <w:szCs w:val="13"/>
          <w:color w:val="auto"/>
        </w:rPr>
        <w:t>If the underwriters’ over-allotment option of [_] shares is exercised in full, the number of shares held by existing stockholders will be reduced to [_]% of the total number of shares to be outstanding after this offering; and the number of shares held by the new investors will be increased to [_] shares, or [_]%, of the total number of shares outstanding after this offering.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80" w:lineRule="exact"/>
        <w:rPr>
          <w:sz w:val="20"/>
          <w:szCs w:val="20"/>
          <w:color w:val="auto"/>
        </w:rPr>
      </w:pPr>
    </w:p>
    <w:p>
      <w:pPr>
        <w:ind w:right="80"/>
        <w:spacing w:after="0" w:line="293"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in conjunction with our audited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 of Company</w:t>
      </w:r>
    </w:p>
    <w:p>
      <w:pPr>
        <w:spacing w:after="0" w:line="176" w:lineRule="exact"/>
        <w:rPr>
          <w:sz w:val="20"/>
          <w:szCs w:val="20"/>
          <w:color w:val="auto"/>
        </w:rPr>
      </w:pPr>
    </w:p>
    <w:p>
      <w:pPr>
        <w:ind w:right="40" w:firstLine="505"/>
        <w:spacing w:after="0" w:line="257" w:lineRule="auto"/>
        <w:rPr>
          <w:sz w:val="20"/>
          <w:szCs w:val="20"/>
          <w:color w:val="auto"/>
        </w:rPr>
      </w:pPr>
      <w:r>
        <w:rPr>
          <w:rFonts w:ascii="Arial" w:cs="Arial" w:eastAsia="Arial" w:hAnsi="Arial"/>
          <w:sz w:val="14"/>
          <w:szCs w:val="14"/>
          <w:color w:val="auto"/>
        </w:rPr>
        <w:t>CLPS Incorporation (“CLPS” or the “Company”), is a company that was established under the laws of the Cayman Islands on May 11, 2017 as a holding company. The Company, through its subsidiaries, designs, builds, and delivers IT services, solutions and other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and President, together with Mr. Raymond Ming Hui Lin, the Company’s Chief Executive Officer and Director are the controlling shareholders of the Company (the “Controlling Shareholders”).</w:t>
      </w:r>
    </w:p>
    <w:p>
      <w:pPr>
        <w:spacing w:after="0" w:line="148" w:lineRule="exact"/>
        <w:rPr>
          <w:sz w:val="20"/>
          <w:szCs w:val="20"/>
          <w:color w:val="auto"/>
        </w:rPr>
      </w:pPr>
    </w:p>
    <w:p>
      <w:pPr>
        <w:ind w:right="200" w:firstLine="505"/>
        <w:spacing w:after="0" w:line="293" w:lineRule="auto"/>
        <w:rPr>
          <w:sz w:val="20"/>
          <w:szCs w:val="20"/>
          <w:color w:val="auto"/>
        </w:rPr>
      </w:pPr>
      <w:r>
        <w:rPr>
          <w:rFonts w:ascii="Arial" w:cs="Arial" w:eastAsia="Arial" w:hAnsi="Arial"/>
          <w:sz w:val="13"/>
          <w:szCs w:val="13"/>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26" w:lineRule="exact"/>
        <w:rPr>
          <w:sz w:val="20"/>
          <w:szCs w:val="20"/>
          <w:color w:val="auto"/>
        </w:rPr>
      </w:pPr>
    </w:p>
    <w:p>
      <w:pPr>
        <w:ind w:right="140" w:firstLine="505"/>
        <w:spacing w:after="0" w:line="282" w:lineRule="auto"/>
        <w:rPr>
          <w:sz w:val="20"/>
          <w:szCs w:val="20"/>
          <w:color w:val="auto"/>
        </w:rPr>
      </w:pPr>
      <w:r>
        <w:rPr>
          <w:rFonts w:ascii="Arial" w:cs="Arial" w:eastAsia="Arial" w:hAnsi="Arial"/>
          <w:sz w:val="13"/>
          <w:szCs w:val="13"/>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32" w:lineRule="exact"/>
        <w:rPr>
          <w:sz w:val="20"/>
          <w:szCs w:val="20"/>
          <w:color w:val="auto"/>
        </w:rPr>
      </w:pPr>
    </w:p>
    <w:p>
      <w:pPr>
        <w:ind w:right="20" w:firstLine="505"/>
        <w:spacing w:after="0" w:line="277" w:lineRule="auto"/>
        <w:rPr>
          <w:sz w:val="20"/>
          <w:szCs w:val="20"/>
          <w:color w:val="auto"/>
        </w:rPr>
      </w:pPr>
      <w:r>
        <w:rPr>
          <w:rFonts w:ascii="Arial" w:cs="Arial" w:eastAsia="Arial" w:hAnsi="Arial"/>
          <w:sz w:val="14"/>
          <w:szCs w:val="14"/>
          <w:color w:val="auto"/>
        </w:rPr>
        <w:t>On July 25, 2017, the Company incorporated CLIVST, as a holding company, in BVI. On September 27, 2017 and October 24, 2017, the Company incorporated CLPS Guangzhou in Guangzhou, PRC and FDT-CL in Hong Kong.</w:t>
      </w:r>
    </w:p>
    <w:p>
      <w:pPr>
        <w:spacing w:after="0" w:line="133" w:lineRule="exact"/>
        <w:rPr>
          <w:sz w:val="20"/>
          <w:szCs w:val="20"/>
          <w:color w:val="auto"/>
        </w:rPr>
      </w:pPr>
    </w:p>
    <w:p>
      <w:pPr>
        <w:ind w:right="40" w:firstLine="505"/>
        <w:spacing w:after="0" w:line="293" w:lineRule="auto"/>
        <w:rPr>
          <w:sz w:val="20"/>
          <w:szCs w:val="20"/>
          <w:color w:val="auto"/>
        </w:rPr>
      </w:pPr>
      <w:r>
        <w:rPr>
          <w:rFonts w:ascii="Arial" w:cs="Arial" w:eastAsia="Arial" w:hAnsi="Arial"/>
          <w:sz w:val="13"/>
          <w:szCs w:val="13"/>
          <w:color w:val="auto"/>
        </w:rPr>
        <w:t>On September 27, 2017, the Company and a non-controlling interest shareholder of CLPS Beijing incorporated Tianjin Huanyu Qinshang network technology Co., Ltd. (“Huanyu”). The Company subscribed 30% of equity interest in Huanyu for $0.4 million. The Company planned to complete the capital contribution of $0.4 million by the end of 2017. On October 17, 2017, the Company acquired 55% of JQ equity interest and its 100% owned subsidiary – JL for a consideration of approximately $0.07 million to operate software consulting business in Taiwan.</w:t>
      </w:r>
    </w:p>
    <w:p>
      <w:pPr>
        <w:spacing w:after="0" w:line="126" w:lineRule="exact"/>
        <w:rPr>
          <w:sz w:val="20"/>
          <w:szCs w:val="20"/>
          <w:color w:val="auto"/>
        </w:rPr>
      </w:pPr>
    </w:p>
    <w:p>
      <w:pPr>
        <w:ind w:firstLine="505"/>
        <w:spacing w:after="0" w:line="255" w:lineRule="auto"/>
        <w:rPr>
          <w:sz w:val="20"/>
          <w:szCs w:val="20"/>
          <w:color w:val="auto"/>
        </w:rPr>
      </w:pPr>
      <w:r>
        <w:rPr>
          <w:rFonts w:ascii="Arial" w:cs="Arial" w:eastAsia="Arial" w:hAnsi="Arial"/>
          <w:sz w:val="14"/>
          <w:szCs w:val="14"/>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effectively controlled by the same group of the shareholders before and after the reorganization, they are considered under common control. The above-mentioned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150" w:lineRule="exact"/>
        <w:rPr>
          <w:sz w:val="20"/>
          <w:szCs w:val="20"/>
          <w:color w:val="auto"/>
        </w:rPr>
      </w:pPr>
    </w:p>
    <w:p>
      <w:pPr>
        <w:jc w:val="both"/>
        <w:ind w:right="120" w:firstLine="505"/>
        <w:spacing w:after="0" w:line="282" w:lineRule="auto"/>
        <w:rPr>
          <w:sz w:val="20"/>
          <w:szCs w:val="20"/>
          <w:color w:val="auto"/>
        </w:rPr>
      </w:pPr>
      <w:r>
        <w:rPr>
          <w:rFonts w:ascii="Arial" w:cs="Arial" w:eastAsia="Arial" w:hAnsi="Arial"/>
          <w:sz w:val="13"/>
          <w:szCs w:val="13"/>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3"/>
          <w:szCs w:val="13"/>
          <w:i w:val="1"/>
          <w:iCs w:val="1"/>
          <w:color w:val="auto"/>
        </w:rPr>
        <w:t>Enterprise Software Certification</w:t>
      </w:r>
      <w:r>
        <w:rPr>
          <w:rFonts w:ascii="Arial" w:cs="Arial" w:eastAsia="Arial" w:hAnsi="Arial"/>
          <w:sz w:val="13"/>
          <w:szCs w:val="13"/>
          <w:color w:val="auto"/>
        </w:rPr>
        <w:t xml:space="preserve">, </w:t>
      </w:r>
      <w:r>
        <w:rPr>
          <w:rFonts w:ascii="Arial" w:cs="Arial" w:eastAsia="Arial" w:hAnsi="Arial"/>
          <w:sz w:val="13"/>
          <w:szCs w:val="13"/>
          <w:i w:val="1"/>
          <w:iCs w:val="1"/>
          <w:color w:val="auto"/>
        </w:rPr>
        <w:t>High-tech Enterprise</w:t>
      </w:r>
      <w:r>
        <w:rPr>
          <w:rFonts w:ascii="Arial" w:cs="Arial" w:eastAsia="Arial" w:hAnsi="Arial"/>
          <w:sz w:val="13"/>
          <w:szCs w:val="13"/>
          <w:color w:val="auto"/>
        </w:rPr>
        <w:t>,</w:t>
      </w:r>
      <w:r>
        <w:rPr>
          <w:rFonts w:ascii="Arial" w:cs="Arial" w:eastAsia="Arial" w:hAnsi="Arial"/>
          <w:sz w:val="13"/>
          <w:szCs w:val="13"/>
          <w:i w:val="1"/>
          <w:iCs w:val="1"/>
          <w:color w:val="auto"/>
        </w:rPr>
        <w:t xml:space="preserve"> Little Giant Company for Science and Technology </w:t>
      </w:r>
      <w:r>
        <w:rPr>
          <w:rFonts w:ascii="Arial" w:cs="Arial" w:eastAsia="Arial" w:hAnsi="Arial"/>
          <w:sz w:val="13"/>
          <w:szCs w:val="13"/>
          <w:color w:val="auto"/>
        </w:rPr>
        <w:t>and</w:t>
      </w:r>
      <w:r>
        <w:rPr>
          <w:rFonts w:ascii="Arial" w:cs="Arial" w:eastAsia="Arial" w:hAnsi="Arial"/>
          <w:sz w:val="13"/>
          <w:szCs w:val="13"/>
          <w:i w:val="1"/>
          <w:iCs w:val="1"/>
          <w:color w:val="auto"/>
        </w:rPr>
        <w:t xml:space="preserve"> Professional Talent Development Training Camp</w:t>
      </w:r>
      <w:r>
        <w:rPr>
          <w:rFonts w:ascii="Arial" w:cs="Arial" w:eastAsia="Arial" w:hAnsi="Arial"/>
          <w:sz w:val="13"/>
          <w:szCs w:val="13"/>
          <w:color w:val="auto"/>
        </w:rPr>
        <w:t>. In addition, the Company was recognized as one of the recipients of</w:t>
      </w:r>
      <w:r>
        <w:rPr>
          <w:rFonts w:ascii="Arial" w:cs="Arial" w:eastAsia="Arial" w:hAnsi="Arial"/>
          <w:sz w:val="13"/>
          <w:szCs w:val="13"/>
          <w:i w:val="1"/>
          <w:iCs w:val="1"/>
          <w:color w:val="auto"/>
        </w:rPr>
        <w:t xml:space="preserve"> 2017 IDC China Top 25 FinTech Pioneers </w:t>
      </w:r>
      <w:r>
        <w:rPr>
          <w:rFonts w:ascii="Arial" w:cs="Arial" w:eastAsia="Arial" w:hAnsi="Arial"/>
          <w:sz w:val="13"/>
          <w:szCs w:val="13"/>
          <w:color w:val="auto"/>
        </w:rPr>
        <w:t>during the award ceremony spearheaded by IDC on August 25, 2017.</w:t>
      </w:r>
    </w:p>
    <w:p>
      <w:pPr>
        <w:spacing w:after="0" w:line="132" w:lineRule="exact"/>
        <w:rPr>
          <w:sz w:val="20"/>
          <w:szCs w:val="20"/>
          <w:color w:val="auto"/>
        </w:rPr>
      </w:pPr>
    </w:p>
    <w:p>
      <w:pPr>
        <w:ind w:right="60" w:firstLine="505"/>
        <w:spacing w:after="0" w:line="328" w:lineRule="auto"/>
        <w:rPr>
          <w:sz w:val="20"/>
          <w:szCs w:val="20"/>
          <w:color w:val="auto"/>
        </w:rPr>
      </w:pPr>
      <w:r>
        <w:rPr>
          <w:rFonts w:ascii="Arial" w:cs="Arial" w:eastAsia="Arial" w:hAnsi="Arial"/>
          <w:sz w:val="12"/>
          <w:szCs w:val="12"/>
          <w:color w:val="auto"/>
        </w:rPr>
        <w:t>Our operations are primarily based in China, where we derive a substantial portion of our revenues. For the years ended June 30, 2017 and 2016, our revenues were $31.4 million and $29.0 million, respectively. Revenue generated outside of China was approximately $0.5 million and Nil for fiscal 2017 and 2016, respectively. In fiscal 2017 and 2016, we had a net income of $2.2 million and $1.8 million, respectively. Our total assets as of June 30, 2017 were $13.5 million of which cash and cash equivalent amounted to $4.8 million. Our total liabilities as of June 30, 2017 were $8.2 million.</w:t>
      </w:r>
    </w:p>
    <w:p>
      <w:pPr>
        <w:spacing w:after="0" w:line="108"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For the six months ended December 31, 2017 and 2016, our revenues were $22.2 million and $14.3 million, respectively. Revenue generated outside of China was approximately $0.7 million and $0.07 million for the six months ended December 31, 2017 and 2016, respectively. For the six months ended December 31 2017 and 2016, we had a net income of approximately $1.3 million and $1.0 million, respectively. Our total assets as of December 31, 2017 were $17.9 million of which cash and cash equivalent amounted to $4.7 million. Our total liabilities as of December 31, 2017 were $11.0 million.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Affecting Our Results of Operations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believe the most significant factors that affect our business and results of operations include the following:</w:t>
      </w:r>
    </w:p>
    <w:p>
      <w:pPr>
        <w:spacing w:after="0" w:line="176" w:lineRule="exact"/>
        <w:rPr>
          <w:sz w:val="20"/>
          <w:szCs w:val="20"/>
          <w:color w:val="auto"/>
        </w:rPr>
      </w:pPr>
    </w:p>
    <w:p>
      <w:pPr>
        <w:jc w:val="both"/>
        <w:ind w:left="500" w:hanging="243"/>
        <w:spacing w:after="0" w:line="254"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also increases. Therefore, our ability to obtain new clients, as well as our ability to maintain and increase business from our existing clients, will have a significant effect on our results of operations and financial condition. During fiscal 2017, our revenue derived from our IT consulting services increased by 4.0% or $1.1 million from fiscal 2016, all attributable to revenue growth from our new clients. IT consulting service revenue from new clients amounted to approximately $2.5 million in fiscal 2017, offset with a reduction of revenue from our existing clients. Our revenues derived from our customized IT solution service significantly increased by 99.1% or $0.9 million from fiscal 2016. The increase in revenue attributable to our new clients was approximately $0.6 million and the rest of growth was attributable to revenue from our existing clients. During the six months ended December 31, 2017, our revenue derived from our IT consulting services increased by 62.9% or $8.3 million from the six months ended December 31, 2016, all attributable to revenue growth from our new and existing clients. IT consulting service revenue from new clients amounted to approximately $1.5 million for the six months ended December 31, 2017.</w:t>
      </w:r>
    </w:p>
    <w:p>
      <w:pPr>
        <w:spacing w:after="0" w:line="150" w:lineRule="exact"/>
        <w:rPr>
          <w:rFonts w:ascii="Arial" w:cs="Arial" w:eastAsia="Arial" w:hAnsi="Arial"/>
          <w:sz w:val="14"/>
          <w:szCs w:val="14"/>
          <w:color w:val="auto"/>
        </w:rPr>
      </w:pPr>
    </w:p>
    <w:p>
      <w:pPr>
        <w:jc w:val="both"/>
        <w:ind w:left="500" w:hanging="243"/>
        <w:spacing w:after="0" w:line="259"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ability to expand our portfolio of service offerings. We intend to increase our revenues by continuing to expand our service offerings and providing quality service to our existing customers and to attract new customers. Through research and development, targeted hiring and strategic acquisitions, we have proactively invested in broadening our existing service lines, including those for serving our specific industry verticals. As part of our strategy, we will continue to expand our service offerings to provide customized IT solutions to our clients. Our revenue derived from our customized IT solution service significantly increased by 99.1% or $0.9 million from fiscal 2016.</w:t>
      </w:r>
    </w:p>
    <w:p>
      <w:pPr>
        <w:spacing w:after="0" w:line="146" w:lineRule="exact"/>
        <w:rPr>
          <w:rFonts w:ascii="Arial" w:cs="Arial" w:eastAsia="Arial" w:hAnsi="Arial"/>
          <w:sz w:val="14"/>
          <w:szCs w:val="14"/>
          <w:color w:val="auto"/>
        </w:rPr>
      </w:pPr>
    </w:p>
    <w:p>
      <w:pPr>
        <w:jc w:val="both"/>
        <w:ind w:left="500" w:hanging="243"/>
        <w:spacing w:after="0" w:line="264"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42" w:lineRule="exact"/>
        <w:rPr>
          <w:sz w:val="20"/>
          <w:szCs w:val="20"/>
          <w:color w:val="auto"/>
        </w:rPr>
      </w:pPr>
    </w:p>
    <w:p>
      <w:pPr>
        <w:ind w:right="380" w:firstLine="505"/>
        <w:spacing w:after="0" w:line="277" w:lineRule="auto"/>
        <w:rPr>
          <w:sz w:val="20"/>
          <w:szCs w:val="20"/>
          <w:color w:val="auto"/>
        </w:rPr>
      </w:pPr>
      <w:r>
        <w:rPr>
          <w:rFonts w:ascii="Arial" w:cs="Arial" w:eastAsia="Arial" w:hAnsi="Arial"/>
          <w:sz w:val="14"/>
          <w:szCs w:val="14"/>
          <w:color w:val="auto"/>
        </w:rPr>
        <w:t>We use the following key operating metrics to oversee and manage the Company’s business: (i) developing new business, (ii) focusing on the TCP/TDP training programs to provide highly trained and qualified employees to the clients; and (iii) retaining employees to continue to meet client ever-changing needs.</w:t>
      </w:r>
    </w:p>
    <w:p>
      <w:pPr>
        <w:spacing w:after="0" w:line="133" w:lineRule="exact"/>
        <w:rPr>
          <w:sz w:val="20"/>
          <w:szCs w:val="20"/>
          <w:color w:val="auto"/>
        </w:rPr>
      </w:pPr>
    </w:p>
    <w:p>
      <w:pPr>
        <w:ind w:right="120" w:firstLine="505"/>
        <w:spacing w:after="0" w:line="364" w:lineRule="auto"/>
        <w:rPr>
          <w:sz w:val="20"/>
          <w:szCs w:val="20"/>
          <w:color w:val="auto"/>
        </w:rPr>
      </w:pPr>
      <w:r>
        <w:rPr>
          <w:rFonts w:ascii="Arial" w:cs="Arial" w:eastAsia="Arial" w:hAnsi="Arial"/>
          <w:sz w:val="12"/>
          <w:szCs w:val="12"/>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and leveraging costs and drive margins to produce profitability and return on investment for our stockholders.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Acquisitions</w:t>
      </w:r>
    </w:p>
    <w:p>
      <w:pPr>
        <w:spacing w:after="0" w:line="180" w:lineRule="exact"/>
        <w:rPr>
          <w:sz w:val="20"/>
          <w:szCs w:val="20"/>
          <w:color w:val="auto"/>
        </w:rPr>
      </w:pPr>
    </w:p>
    <w:p>
      <w:pPr>
        <w:ind w:right="120" w:firstLine="505"/>
        <w:spacing w:after="0" w:line="255" w:lineRule="auto"/>
        <w:rPr>
          <w:sz w:val="20"/>
          <w:szCs w:val="20"/>
          <w:color w:val="auto"/>
        </w:rPr>
      </w:pPr>
      <w:r>
        <w:rPr>
          <w:rFonts w:ascii="Arial" w:cs="Arial" w:eastAsia="Arial" w:hAnsi="Arial"/>
          <w:sz w:val="14"/>
          <w:szCs w:val="14"/>
          <w:color w:val="auto"/>
        </w:rPr>
        <w:t>On November 9, 2016, CLPS Shanghai acquired 60% of Judge (Shanghai) Co., Ltd (“Judge China”) and its 70% owned subsidiary Judge (Shanghai) Human Resource Co., Ltd (“Judge HR”) from Judge Company Asia Limited with the final purchase price of $480,061 (RMB 3.25 million). The Company funded the acquisition with cash and a loan payable of $128,928 (RMB 0.9 million), of which $103,255 was subsequently offset with the company’s receivables from Judge Asia. The Company believes that the acquisition will allow it to better manage opportunities and capitalize on the growth potential of the human resource related industries. 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Company recognized goodwill of $195,080 from this acquisition. The goodwill is comprised of the assembled work force and the expected but unidentifiable business growth that the Company expects to realize due to the synergies related to the acquisition.</w:t>
      </w:r>
    </w:p>
    <w:p>
      <w:pPr>
        <w:spacing w:after="0" w:line="150" w:lineRule="exact"/>
        <w:rPr>
          <w:sz w:val="20"/>
          <w:szCs w:val="20"/>
          <w:color w:val="auto"/>
        </w:rPr>
      </w:pPr>
    </w:p>
    <w:p>
      <w:pPr>
        <w:ind w:right="340" w:firstLine="561"/>
        <w:spacing w:after="0" w:line="259" w:lineRule="auto"/>
        <w:rPr>
          <w:sz w:val="20"/>
          <w:szCs w:val="20"/>
          <w:color w:val="auto"/>
        </w:rPr>
      </w:pPr>
      <w:r>
        <w:rPr>
          <w:rFonts w:ascii="Arial" w:cs="Arial" w:eastAsia="Arial" w:hAnsi="Arial"/>
          <w:sz w:val="14"/>
          <w:szCs w:val="14"/>
          <w:color w:val="auto"/>
        </w:rPr>
        <w:t>On October 17, 2017, the Company acquired 55% of JQ equity interest, and its 100% owned subsidiary – JL in Taiwan for a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 the Years Ended June 30, 2017 and 2016</w:t>
      </w:r>
    </w:p>
    <w:p>
      <w:pPr>
        <w:spacing w:after="0" w:line="176" w:lineRule="exact"/>
        <w:rPr>
          <w:sz w:val="20"/>
          <w:szCs w:val="20"/>
          <w:color w:val="auto"/>
        </w:rPr>
      </w:pPr>
    </w:p>
    <w:p>
      <w:pPr>
        <w:ind w:right="160" w:firstLine="505"/>
        <w:spacing w:after="0" w:line="277" w:lineRule="auto"/>
        <w:rPr>
          <w:sz w:val="20"/>
          <w:szCs w:val="20"/>
          <w:color w:val="auto"/>
        </w:rPr>
      </w:pPr>
      <w:r>
        <w:rPr>
          <w:rFonts w:ascii="Arial" w:cs="Arial" w:eastAsia="Arial" w:hAnsi="Arial"/>
          <w:sz w:val="14"/>
          <w:szCs w:val="14"/>
          <w:color w:val="auto"/>
        </w:rPr>
        <w:t>The following table summarizes the results of our operations for the years ended June 30, 2017 and 2016, respectively, and provides information regarding the dollar and percentage increase or (decrease) during such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left="510"/>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4"/>
                <w:szCs w:val="14"/>
                <w:b w:val="1"/>
                <w:bCs w:val="1"/>
                <w:color w:val="auto"/>
                <w:w w:val="90"/>
              </w:rPr>
              <w:t>June 30, 2017</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4"/>
                <w:szCs w:val="14"/>
                <w:b w:val="1"/>
                <w:bCs w:val="1"/>
                <w:color w:val="auto"/>
                <w:w w:val="87"/>
              </w:rPr>
              <w:t>June 30, 2016</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312"/>
        </w:trPr>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As %</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As %</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of Sales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of Sales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31,361,976</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8"/>
              </w:rPr>
              <w:t>100.0%</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29,024,178</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100.0%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2,337,798</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Cost of revenues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18,669,812</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59.5%</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17,463,416</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60.2%</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1,206,396</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8"/>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profit</w:t>
            </w: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12,692,164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40.5%</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11,560,762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39.8%</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1,131,402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Selling and marketing</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1,206,493</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413,016</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793,477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168"/>
        </w:trPr>
        <w:tc>
          <w:tcPr>
            <w:tcW w:w="2760" w:type="dxa"/>
            <w:vAlign w:val="bottom"/>
          </w:tcPr>
          <w:p>
            <w:pPr>
              <w:ind w:left="120"/>
              <w:spacing w:after="0"/>
              <w:rPr>
                <w:sz w:val="20"/>
                <w:szCs w:val="20"/>
                <w:color w:val="auto"/>
              </w:rPr>
            </w:pPr>
            <w:r>
              <w:rPr>
                <w:rFonts w:ascii="Arial" w:cs="Arial" w:eastAsia="Arial" w:hAnsi="Arial"/>
                <w:sz w:val="14"/>
                <w:szCs w:val="14"/>
                <w:color w:val="auto"/>
              </w:rPr>
              <w:t>Research and development expense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4,232,788</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13.5%</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5,579,058</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(1,346,270)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9"/>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 expenses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5,647,790</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18.0%</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4,955,037</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692,753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50"/>
        </w:trPr>
        <w:tc>
          <w:tcPr>
            <w:tcW w:w="2760" w:type="dxa"/>
            <w:vAlign w:val="bottom"/>
            <w:tcBorders>
              <w:top w:val="single" w:sz="8" w:color="CCEEFF"/>
              <w:bottom w:val="single" w:sz="8" w:color="CCEEFF"/>
            </w:tcBorders>
          </w:tcPr>
          <w:p>
            <w:pPr>
              <w:spacing w:after="0" w:line="149" w:lineRule="exact"/>
              <w:rPr>
                <w:sz w:val="20"/>
                <w:szCs w:val="20"/>
                <w:color w:val="auto"/>
              </w:rPr>
            </w:pPr>
            <w:r>
              <w:rPr>
                <w:rFonts w:ascii="Arial" w:cs="Arial" w:eastAsia="Arial" w:hAnsi="Arial"/>
                <w:sz w:val="14"/>
                <w:szCs w:val="14"/>
                <w:color w:val="auto"/>
              </w:rPr>
              <w:t>Total operating expenses</w:t>
            </w:r>
          </w:p>
        </w:tc>
        <w:tc>
          <w:tcPr>
            <w:tcW w:w="560" w:type="dxa"/>
            <w:vAlign w:val="bottom"/>
            <w:tcBorders>
              <w:top w:val="single" w:sz="8" w:color="CCEEFF"/>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11,087,071</w:t>
            </w:r>
          </w:p>
        </w:tc>
        <w:tc>
          <w:tcPr>
            <w:tcW w:w="200" w:type="dxa"/>
            <w:vAlign w:val="bottom"/>
            <w:tcBorders>
              <w:top w:val="single" w:sz="8" w:color="CCEEFF"/>
              <w:bottom w:val="single" w:sz="8" w:color="CCEEFF"/>
            </w:tcBorders>
          </w:tcPr>
          <w:p>
            <w:pPr>
              <w:spacing w:after="0"/>
              <w:rPr>
                <w:sz w:val="13"/>
                <w:szCs w:val="13"/>
                <w:color w:val="auto"/>
              </w:rPr>
            </w:pPr>
          </w:p>
        </w:tc>
        <w:tc>
          <w:tcPr>
            <w:tcW w:w="320" w:type="dxa"/>
            <w:vAlign w:val="bottom"/>
            <w:tcBorders>
              <w:top w:val="single" w:sz="8" w:color="CCEEFF"/>
              <w:bottom w:val="single" w:sz="8" w:color="CCEEFF"/>
            </w:tcBorders>
          </w:tcPr>
          <w:p>
            <w:pPr>
              <w:spacing w:after="0"/>
              <w:rPr>
                <w:sz w:val="13"/>
                <w:szCs w:val="13"/>
                <w:color w:val="auto"/>
              </w:rPr>
            </w:pPr>
          </w:p>
        </w:tc>
        <w:tc>
          <w:tcPr>
            <w:tcW w:w="500" w:type="dxa"/>
            <w:vAlign w:val="bottom"/>
            <w:tcBorders>
              <w:top w:val="single" w:sz="8" w:color="CCEEFF"/>
              <w:bottom w:val="single" w:sz="8" w:color="CCEEFF"/>
            </w:tcBorders>
          </w:tcPr>
          <w:p>
            <w:pPr>
              <w:spacing w:after="0"/>
              <w:rPr>
                <w:sz w:val="13"/>
                <w:szCs w:val="13"/>
                <w:color w:val="auto"/>
              </w:rPr>
            </w:pPr>
          </w:p>
        </w:tc>
        <w:tc>
          <w:tcPr>
            <w:tcW w:w="600" w:type="dxa"/>
            <w:vAlign w:val="bottom"/>
            <w:tcBorders>
              <w:top w:val="single" w:sz="8" w:color="CCEEFF"/>
              <w:bottom w:val="single" w:sz="8" w:color="CCEEFF"/>
            </w:tcBorders>
            <w:gridSpan w:val="2"/>
          </w:tcPr>
          <w:p>
            <w:pPr>
              <w:jc w:val="right"/>
              <w:ind w:right="160"/>
              <w:spacing w:after="0" w:line="149" w:lineRule="exact"/>
              <w:rPr>
                <w:sz w:val="20"/>
                <w:szCs w:val="20"/>
                <w:color w:val="auto"/>
              </w:rPr>
            </w:pPr>
            <w:r>
              <w:rPr>
                <w:rFonts w:ascii="Arial" w:cs="Arial" w:eastAsia="Arial" w:hAnsi="Arial"/>
                <w:sz w:val="14"/>
                <w:szCs w:val="14"/>
                <w:color w:val="auto"/>
              </w:rPr>
              <w:t>35.4%</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10,947,111</w:t>
            </w:r>
          </w:p>
        </w:tc>
        <w:tc>
          <w:tcPr>
            <w:tcW w:w="200" w:type="dxa"/>
            <w:vAlign w:val="bottom"/>
            <w:tcBorders>
              <w:top w:val="single" w:sz="8" w:color="CCEEFF"/>
              <w:bottom w:val="single" w:sz="8" w:color="CCEEFF"/>
            </w:tcBorders>
          </w:tcPr>
          <w:p>
            <w:pPr>
              <w:spacing w:after="0"/>
              <w:rPr>
                <w:sz w:val="13"/>
                <w:szCs w:val="13"/>
                <w:color w:val="auto"/>
              </w:rPr>
            </w:pPr>
          </w:p>
        </w:tc>
        <w:tc>
          <w:tcPr>
            <w:tcW w:w="320" w:type="dxa"/>
            <w:vAlign w:val="bottom"/>
            <w:tcBorders>
              <w:top w:val="single" w:sz="8" w:color="CCEEFF"/>
              <w:bottom w:val="single" w:sz="8" w:color="CCEEFF"/>
            </w:tcBorders>
          </w:tcPr>
          <w:p>
            <w:pPr>
              <w:spacing w:after="0"/>
              <w:rPr>
                <w:sz w:val="13"/>
                <w:szCs w:val="13"/>
                <w:color w:val="auto"/>
              </w:rPr>
            </w:pPr>
          </w:p>
        </w:tc>
        <w:tc>
          <w:tcPr>
            <w:tcW w:w="500" w:type="dxa"/>
            <w:vAlign w:val="bottom"/>
            <w:tcBorders>
              <w:top w:val="single" w:sz="8" w:color="CCEEFF"/>
              <w:bottom w:val="single" w:sz="8" w:color="CCEEFF"/>
            </w:tcBorders>
          </w:tcPr>
          <w:p>
            <w:pPr>
              <w:spacing w:after="0"/>
              <w:rPr>
                <w:sz w:val="13"/>
                <w:szCs w:val="13"/>
                <w:color w:val="auto"/>
              </w:rPr>
            </w:pPr>
          </w:p>
        </w:tc>
        <w:tc>
          <w:tcPr>
            <w:tcW w:w="560" w:type="dxa"/>
            <w:vAlign w:val="bottom"/>
            <w:tcBorders>
              <w:top w:val="single" w:sz="8" w:color="CCEEFF"/>
              <w:bottom w:val="single" w:sz="8" w:color="CCEEFF"/>
            </w:tcBorders>
            <w:gridSpan w:val="2"/>
          </w:tcPr>
          <w:p>
            <w:pPr>
              <w:jc w:val="right"/>
              <w:ind w:right="120"/>
              <w:spacing w:after="0" w:line="149" w:lineRule="exact"/>
              <w:rPr>
                <w:sz w:val="20"/>
                <w:szCs w:val="20"/>
                <w:color w:val="auto"/>
              </w:rPr>
            </w:pPr>
            <w:r>
              <w:rPr>
                <w:rFonts w:ascii="Arial" w:cs="Arial" w:eastAsia="Arial" w:hAnsi="Arial"/>
                <w:sz w:val="14"/>
                <w:szCs w:val="14"/>
                <w:color w:val="auto"/>
              </w:rPr>
              <w:t>37.7%</w:t>
            </w: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139,960</w:t>
            </w:r>
          </w:p>
        </w:tc>
        <w:tc>
          <w:tcPr>
            <w:tcW w:w="220" w:type="dxa"/>
            <w:vAlign w:val="bottom"/>
            <w:tcBorders>
              <w:top w:val="single" w:sz="8" w:color="CCEEFF"/>
              <w:bottom w:val="single" w:sz="8" w:color="CCEEFF"/>
            </w:tcBorders>
          </w:tcPr>
          <w:p>
            <w:pPr>
              <w:spacing w:after="0"/>
              <w:rPr>
                <w:sz w:val="13"/>
                <w:szCs w:val="13"/>
                <w:color w:val="auto"/>
              </w:rPr>
            </w:pPr>
          </w:p>
        </w:tc>
        <w:tc>
          <w:tcPr>
            <w:tcW w:w="1300" w:type="dxa"/>
            <w:vAlign w:val="bottom"/>
            <w:tcBorders>
              <w:top w:val="single" w:sz="8" w:color="CCEEFF"/>
              <w:bottom w:val="single" w:sz="8" w:color="CCEEFF"/>
            </w:tcBorders>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1,605,093</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613,651</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991,442</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Subsidies and other income</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508,187</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1,446,408</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(938,221)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80"/>
        </w:trPr>
        <w:tc>
          <w:tcPr>
            <w:tcW w:w="2760" w:type="dxa"/>
            <w:vAlign w:val="bottom"/>
          </w:tcPr>
          <w:p>
            <w:pPr>
              <w:ind w:left="140"/>
              <w:spacing w:after="0"/>
              <w:rPr>
                <w:sz w:val="20"/>
                <w:szCs w:val="20"/>
                <w:color w:val="auto"/>
              </w:rPr>
            </w:pPr>
            <w:r>
              <w:rPr>
                <w:rFonts w:ascii="Arial" w:cs="Arial" w:eastAsia="Arial" w:hAnsi="Arial"/>
                <w:sz w:val="14"/>
                <w:szCs w:val="14"/>
                <w:color w:val="auto"/>
              </w:rPr>
              <w:t>Other expenses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(10,469)</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(5,935)</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(4,534)</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68"/>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2,102,811</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6.7%</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2,054,124</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48,687</w:t>
            </w:r>
          </w:p>
        </w:tc>
        <w:tc>
          <w:tcPr>
            <w:tcW w:w="2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9"/>
        </w:trPr>
        <w:tc>
          <w:tcPr>
            <w:tcW w:w="2760" w:type="dxa"/>
            <w:vAlign w:val="bottom"/>
          </w:tcPr>
          <w:p>
            <w:pPr>
              <w:spacing w:after="0"/>
              <w:rPr>
                <w:sz w:val="20"/>
                <w:szCs w:val="20"/>
                <w:color w:val="auto"/>
              </w:rPr>
            </w:pPr>
            <w:r>
              <w:rPr>
                <w:rFonts w:ascii="Arial" w:cs="Arial" w:eastAsia="Arial" w:hAnsi="Arial"/>
                <w:sz w:val="14"/>
                <w:szCs w:val="14"/>
                <w:color w:val="auto"/>
              </w:rPr>
              <w:t>Provision (benefit) for income taxes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(118,546)</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269,153</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0.9%</w:t>
            </w: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(387,699)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21"/>
        </w:trPr>
        <w:tc>
          <w:tcPr>
            <w:tcW w:w="27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income</w:t>
            </w: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7.1%</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6.1%</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line="20" w:lineRule="exact"/>
              <w:rPr>
                <w:sz w:val="1"/>
                <w:szCs w:val="1"/>
                <w:color w:val="auto"/>
              </w:rPr>
            </w:pPr>
          </w:p>
        </w:tc>
      </w:tr>
      <w:tr>
        <w:trPr>
          <w:trHeight w:val="190"/>
        </w:trPr>
        <w:tc>
          <w:tcPr>
            <w:tcW w:w="276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2,221,357</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1,784,971</w:t>
            </w: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436,386</w:t>
            </w:r>
          </w:p>
        </w:tc>
        <w:tc>
          <w:tcPr>
            <w:tcW w:w="13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76"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42" w:lineRule="exact"/>
        <w:rPr>
          <w:sz w:val="20"/>
          <w:szCs w:val="20"/>
          <w:color w:val="auto"/>
        </w:rPr>
      </w:pPr>
    </w:p>
    <w:p>
      <w:pPr>
        <w:ind w:right="220" w:firstLine="505"/>
        <w:spacing w:after="0" w:line="259" w:lineRule="auto"/>
        <w:rPr>
          <w:sz w:val="20"/>
          <w:szCs w:val="20"/>
          <w:color w:val="auto"/>
        </w:rPr>
      </w:pPr>
      <w:r>
        <w:rPr>
          <w:rFonts w:ascii="Arial" w:cs="Arial" w:eastAsia="Arial" w:hAnsi="Arial"/>
          <w:sz w:val="14"/>
          <w:szCs w:val="14"/>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47" w:lineRule="exact"/>
        <w:rPr>
          <w:sz w:val="20"/>
          <w:szCs w:val="20"/>
          <w:color w:val="auto"/>
        </w:rPr>
      </w:pPr>
    </w:p>
    <w:p>
      <w:pPr>
        <w:ind w:right="160" w:firstLine="505"/>
        <w:spacing w:after="0" w:line="277" w:lineRule="auto"/>
        <w:rPr>
          <w:sz w:val="20"/>
          <w:szCs w:val="20"/>
          <w:color w:val="auto"/>
        </w:rPr>
      </w:pPr>
      <w:r>
        <w:rPr>
          <w:rFonts w:ascii="Arial" w:cs="Arial" w:eastAsia="Arial" w:hAnsi="Arial"/>
          <w:sz w:val="14"/>
          <w:szCs w:val="14"/>
          <w:color w:val="auto"/>
        </w:rPr>
        <w:t>For fiscal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presents our revenues by our service lines.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4"/>
                <w:szCs w:val="14"/>
                <w:b w:val="1"/>
                <w:bCs w:val="1"/>
                <w:color w:val="auto"/>
                <w:w w:val="98"/>
              </w:rPr>
              <w:t>For the Year ended June 30,</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0"/>
              <w:spacing w:after="0" w:line="154" w:lineRule="exact"/>
              <w:rPr>
                <w:sz w:val="20"/>
                <w:szCs w:val="20"/>
                <w:color w:val="auto"/>
              </w:rPr>
            </w:pPr>
            <w:r>
              <w:rPr>
                <w:rFonts w:ascii="Arial" w:cs="Arial" w:eastAsia="Arial" w:hAnsi="Arial"/>
                <w:sz w:val="14"/>
                <w:szCs w:val="14"/>
                <w:b w:val="1"/>
                <w:bCs w:val="1"/>
                <w:color w:val="auto"/>
              </w:rPr>
              <w:t>% of total</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90"/>
              <w:spacing w:after="0" w:line="154" w:lineRule="exact"/>
              <w:rPr>
                <w:sz w:val="20"/>
                <w:szCs w:val="20"/>
                <w:color w:val="auto"/>
              </w:rPr>
            </w:pPr>
            <w:r>
              <w:rPr>
                <w:rFonts w:ascii="Arial" w:cs="Arial" w:eastAsia="Arial" w:hAnsi="Arial"/>
                <w:sz w:val="14"/>
                <w:szCs w:val="14"/>
                <w:b w:val="1"/>
                <w:bCs w:val="1"/>
                <w:color w:val="auto"/>
              </w:rPr>
              <w:t>% of total</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Revenue</w:t>
            </w:r>
          </w:p>
        </w:tc>
        <w:tc>
          <w:tcPr>
            <w:tcW w:w="11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Revenue</w:t>
            </w:r>
          </w:p>
        </w:tc>
        <w:tc>
          <w:tcPr>
            <w:tcW w:w="11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Variance</w:t>
            </w:r>
          </w:p>
        </w:tc>
        <w:tc>
          <w:tcPr>
            <w:tcW w:w="1140" w:type="dxa"/>
            <w:vAlign w:val="bottom"/>
          </w:tcPr>
          <w:p>
            <w:pPr>
              <w:jc w:val="right"/>
              <w:ind w:right="4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IT consulting service</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29,146,470</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28,015,173</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1,131,297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20"/>
                <w:szCs w:val="20"/>
                <w:color w:val="auto"/>
              </w:rPr>
            </w:pPr>
            <w:r>
              <w:rPr>
                <w:rFonts w:ascii="Arial" w:cs="Arial" w:eastAsia="Arial" w:hAnsi="Arial"/>
                <w:sz w:val="14"/>
                <w:szCs w:val="14"/>
                <w:color w:val="auto"/>
              </w:rPr>
              <w:t>Customized IT solution service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1,846,423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927,185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919,238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369,083</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81,820</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287,263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w:t>
            </w: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line="20" w:lineRule="exact"/>
              <w:rPr>
                <w:sz w:val="1"/>
                <w:szCs w:val="1"/>
                <w:color w:val="auto"/>
              </w:rPr>
            </w:pPr>
          </w:p>
        </w:tc>
      </w:tr>
      <w:tr>
        <w:trPr>
          <w:trHeight w:val="172"/>
        </w:trPr>
        <w:tc>
          <w:tcPr>
            <w:tcW w:w="25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31,361,976</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80" w:type="dxa"/>
            <w:vAlign w:val="bottom"/>
            <w:vMerge w:val="continue"/>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29,024,178</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180" w:type="dxa"/>
            <w:vAlign w:val="bottom"/>
            <w:vMerge w:val="continue"/>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2,337,798</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13" w:right="21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Our total revenues increased by approximately $2.3 million, or 8.1%, to approximately $31.4 million for the fiscal year ended June 30, 2017 from approximately $29.0 million for the fiscal year ended June 30, 2016. The overall growth in our revenues reflected an increase in revenues from both of our IT consulting service and customized IT solution service.</w:t>
      </w:r>
    </w:p>
    <w:p>
      <w:pPr>
        <w:spacing w:after="0" w:line="133" w:lineRule="exact"/>
        <w:rPr>
          <w:sz w:val="20"/>
          <w:szCs w:val="20"/>
          <w:color w:val="auto"/>
        </w:rPr>
      </w:pPr>
    </w:p>
    <w:p>
      <w:pPr>
        <w:ind w:right="40" w:firstLine="505"/>
        <w:spacing w:after="0" w:line="293" w:lineRule="auto"/>
        <w:rPr>
          <w:sz w:val="20"/>
          <w:szCs w:val="20"/>
          <w:color w:val="auto"/>
        </w:rPr>
      </w:pPr>
      <w:r>
        <w:rPr>
          <w:rFonts w:ascii="Arial" w:cs="Arial" w:eastAsia="Arial" w:hAnsi="Arial"/>
          <w:sz w:val="13"/>
          <w:szCs w:val="13"/>
          <w:color w:val="auto"/>
        </w:rPr>
        <w:t>For the year ended June 30, 2017, revenue derived from our IT consulting services increased by 4.0% to $29.1 million from $28.0 million in fiscal 2016, primarily reflecting the increasing demands for our IT consulting service from banks and other financial institutions. For fiscal 2017 and 2016, 54.0% and 69.5% of our IT consulting service revenue were from international banks. In fiscal 2017, we strengthened our expertise in the financial industry to leverage our existing industry knowledge and grew our customer base of local Chinese financial institutions.</w:t>
      </w:r>
    </w:p>
    <w:p>
      <w:pPr>
        <w:spacing w:after="0" w:line="126" w:lineRule="exact"/>
        <w:rPr>
          <w:sz w:val="20"/>
          <w:szCs w:val="20"/>
          <w:color w:val="auto"/>
        </w:rPr>
      </w:pPr>
    </w:p>
    <w:p>
      <w:pPr>
        <w:ind w:right="20" w:firstLine="505"/>
        <w:spacing w:after="0" w:line="257" w:lineRule="auto"/>
        <w:rPr>
          <w:sz w:val="20"/>
          <w:szCs w:val="20"/>
          <w:color w:val="auto"/>
        </w:rPr>
      </w:pPr>
      <w:r>
        <w:rPr>
          <w:rFonts w:ascii="Arial" w:cs="Arial" w:eastAsia="Arial" w:hAnsi="Arial"/>
          <w:sz w:val="14"/>
          <w:szCs w:val="14"/>
          <w:color w:val="auto"/>
        </w:rPr>
        <w:t>For the year ended June 30, 2017, revenues derived from our customized IT solution service significantly increased by 99.1% to $1.8 million from $0.9 million in fiscal 2016.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revenues</w:t>
      </w:r>
    </w:p>
    <w:p>
      <w:pPr>
        <w:spacing w:after="0" w:line="176" w:lineRule="exact"/>
        <w:rPr>
          <w:sz w:val="20"/>
          <w:szCs w:val="20"/>
          <w:color w:val="auto"/>
        </w:rPr>
      </w:pPr>
    </w:p>
    <w:p>
      <w:pPr>
        <w:ind w:right="240" w:firstLine="505"/>
        <w:spacing w:after="0" w:line="259" w:lineRule="auto"/>
        <w:rPr>
          <w:sz w:val="20"/>
          <w:szCs w:val="20"/>
          <w:color w:val="auto"/>
        </w:rPr>
      </w:pPr>
      <w:r>
        <w:rPr>
          <w:rFonts w:ascii="Arial" w:cs="Arial" w:eastAsia="Arial" w:hAnsi="Arial"/>
          <w:sz w:val="14"/>
          <w:szCs w:val="14"/>
          <w:color w:val="auto"/>
        </w:rPr>
        <w:t>Our cost of revenues mainly consists of compensation benefit expenses for our IT professionals, travel expenses and material costs. Our cost of revenues increased by $1.2 million or 6.9% to approximately $18.7 million in fiscal 2017 from approximately $17.5 million in fiscal 2016, primarily as a result of increased headcount, expanded office facilities and increase of depreciation and amortization expenses to enable and match the growth of our business. As a percentage of revenues, our cost of revenues is consistently around 60% for both fiscal 2017 and 2016. Our total number of employees grew from 1,055 employees as of June 30, 2016 to 1,242 employees as of June 30, 2017.</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w:t>
      </w:r>
    </w:p>
    <w:p>
      <w:pPr>
        <w:spacing w:after="0" w:line="176" w:lineRule="exact"/>
        <w:rPr>
          <w:sz w:val="20"/>
          <w:szCs w:val="20"/>
          <w:color w:val="auto"/>
        </w:rPr>
      </w:pPr>
    </w:p>
    <w:p>
      <w:pPr>
        <w:ind w:right="60" w:firstLine="505"/>
        <w:spacing w:after="0" w:line="259" w:lineRule="auto"/>
        <w:rPr>
          <w:sz w:val="20"/>
          <w:szCs w:val="20"/>
          <w:color w:val="auto"/>
        </w:rPr>
      </w:pPr>
      <w:r>
        <w:rPr>
          <w:rFonts w:ascii="Arial" w:cs="Arial" w:eastAsia="Arial" w:hAnsi="Arial"/>
          <w:sz w:val="14"/>
          <w:szCs w:val="14"/>
          <w:color w:val="auto"/>
        </w:rPr>
        <w:t>Our gross profit increased by $1.1 million, or 9.8%, to approximately $12.7 million in fiscal 2017 from approximately $11.6 million in fiscal 2016. As a percentage of revenues, our gross margin slightly increased from 39.8% in fiscal 2016 to 40.5% in fiscal 2017. The higher gross profit margin in fiscal 2017 was primarily attributable to the increase in our billing rates of both IT consulting services and customized IT solution services. As our IT consulting services scale and mature, we are able to generate higher gross margins. Also, customized IT solution services contribute favorably to our client retention and understanding of our clients’ businesses, and provide opportunities to cross-sell our other services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and marketing expenses</w:t>
      </w:r>
    </w:p>
    <w:p>
      <w:pPr>
        <w:spacing w:after="0" w:line="176" w:lineRule="exact"/>
        <w:rPr>
          <w:sz w:val="20"/>
          <w:szCs w:val="20"/>
          <w:color w:val="auto"/>
        </w:rPr>
      </w:pPr>
    </w:p>
    <w:p>
      <w:pPr>
        <w:ind w:right="680" w:firstLine="505"/>
        <w:spacing w:after="0" w:line="277" w:lineRule="auto"/>
        <w:rPr>
          <w:sz w:val="20"/>
          <w:szCs w:val="20"/>
          <w:color w:val="auto"/>
        </w:rPr>
      </w:pPr>
      <w:r>
        <w:rPr>
          <w:rFonts w:ascii="Arial" w:cs="Arial" w:eastAsia="Arial" w:hAnsi="Arial"/>
          <w:sz w:val="14"/>
          <w:szCs w:val="14"/>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33" w:lineRule="exact"/>
        <w:rPr>
          <w:sz w:val="20"/>
          <w:szCs w:val="20"/>
          <w:color w:val="auto"/>
        </w:rPr>
      </w:pPr>
    </w:p>
    <w:p>
      <w:pPr>
        <w:ind w:firstLine="505"/>
        <w:spacing w:after="0" w:line="302" w:lineRule="auto"/>
        <w:rPr>
          <w:sz w:val="20"/>
          <w:szCs w:val="20"/>
          <w:color w:val="auto"/>
        </w:rPr>
      </w:pPr>
      <w:r>
        <w:rPr>
          <w:rFonts w:ascii="Arial" w:cs="Arial" w:eastAsia="Arial" w:hAnsi="Arial"/>
          <w:sz w:val="12"/>
          <w:szCs w:val="12"/>
          <w:color w:val="auto"/>
        </w:rPr>
        <w:t>Selling and marketing expenses increased by $0.8 million or 192.1% from $0.4 million in fiscal 2016 to $1.2 million in fiscal 2017. The increase was primarily attributable to our expansion of the pre-sales and marketing teams in Shanghai and Dalian, China to support our operations. Accordingly, as a percentage of sales, our selling expenses were 3.8% of revenues in fiscal 2017 as compared to</w:t>
      </w:r>
    </w:p>
    <w:p>
      <w:pPr>
        <w:spacing w:after="0" w:line="261" w:lineRule="auto"/>
        <w:rPr>
          <w:sz w:val="20"/>
          <w:szCs w:val="20"/>
          <w:color w:val="auto"/>
        </w:rPr>
      </w:pPr>
      <w:r>
        <w:rPr>
          <w:rFonts w:ascii="Arial" w:cs="Arial" w:eastAsia="Arial" w:hAnsi="Arial"/>
          <w:sz w:val="14"/>
          <w:szCs w:val="14"/>
          <w:color w:val="auto"/>
        </w:rPr>
        <w:t>1.4% in fiscal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(“R&amp;D”) expenses</w:t>
      </w:r>
    </w:p>
    <w:p>
      <w:pPr>
        <w:spacing w:after="0" w:line="176" w:lineRule="exact"/>
        <w:rPr>
          <w:sz w:val="20"/>
          <w:szCs w:val="20"/>
          <w:color w:val="auto"/>
        </w:rPr>
      </w:pPr>
    </w:p>
    <w:p>
      <w:pPr>
        <w:ind w:firstLine="505"/>
        <w:spacing w:after="0" w:line="256" w:lineRule="auto"/>
        <w:rPr>
          <w:sz w:val="20"/>
          <w:szCs w:val="20"/>
          <w:color w:val="auto"/>
        </w:rPr>
      </w:pPr>
      <w:r>
        <w:rPr>
          <w:rFonts w:ascii="Arial" w:cs="Arial" w:eastAsia="Arial" w:hAnsi="Arial"/>
          <w:sz w:val="14"/>
          <w:szCs w:val="14"/>
          <w:color w:val="auto"/>
        </w:rPr>
        <w:t>R&amp;D expenses primarily consisted of compensation and benefit expenses relating to our research and development personnel as well as office overhead and other expenses relating to our R&amp;D activities. Our R&amp;D expenses decreased by $1.4 million from $5.6 million in fiscal 2016 to $4.2 million in fiscal 2017, representing 13.5% and 19.2% of our total revenues for fiscal 2017 and 2016, respectively. The increased R&amp;D expense in fiscal 2016 is attributable to the launch of several research projects related to cloud computing and mobile internet application in fiscal 2016. Upon completion of these projects in fiscal 2017, the related IT developers were transferred to our production department. As a result, the related compensation for these individuals was included as a cost of revenue in fiscal 2017. We expect to increase our investment in research and development to enhance our industry knowledge, improve our competitiveness and enable us to identify attractive market opportunities for new and enhanced services and solutions.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76" w:lineRule="exact"/>
        <w:rPr>
          <w:sz w:val="20"/>
          <w:szCs w:val="20"/>
          <w:color w:val="auto"/>
        </w:rPr>
      </w:pPr>
    </w:p>
    <w:p>
      <w:pPr>
        <w:ind w:right="120" w:firstLine="505"/>
        <w:spacing w:after="0" w:line="277" w:lineRule="auto"/>
        <w:rPr>
          <w:sz w:val="20"/>
          <w:szCs w:val="20"/>
          <w:color w:val="auto"/>
        </w:rPr>
      </w:pPr>
      <w:r>
        <w:rPr>
          <w:rFonts w:ascii="Arial" w:cs="Arial" w:eastAsia="Arial" w:hAnsi="Arial"/>
          <w:sz w:val="14"/>
          <w:szCs w:val="14"/>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33" w:lineRule="exact"/>
        <w:rPr>
          <w:sz w:val="20"/>
          <w:szCs w:val="20"/>
          <w:color w:val="auto"/>
        </w:rPr>
      </w:pPr>
    </w:p>
    <w:p>
      <w:pPr>
        <w:ind w:right="20" w:firstLine="505"/>
        <w:spacing w:after="0" w:line="282" w:lineRule="auto"/>
        <w:rPr>
          <w:sz w:val="20"/>
          <w:szCs w:val="20"/>
          <w:color w:val="auto"/>
        </w:rPr>
      </w:pPr>
      <w:r>
        <w:rPr>
          <w:rFonts w:ascii="Arial" w:cs="Arial" w:eastAsia="Arial" w:hAnsi="Arial"/>
          <w:sz w:val="13"/>
          <w:szCs w:val="13"/>
          <w:color w:val="auto"/>
        </w:rPr>
        <w:t>General and administrative expenses increased by $0.6 million or 14.0% from approximately $5.0 million in fiscal 2016 to approximately $5.6 million in fiscal 2017, almost all of which is attributable to increasing headcount and related staff costs in Hong Kong and Australia, which approximated $0.6 million. We incorporated CLPS Technology (Australia) PTY LTD (“CLPS AU”) in November 2015 and CLPS Technology (Hong Kong) Co., Limited (“CLPS Hong Kong”) in January 2016 to provide service for our international client’s local operations. Additionally, we acquired Judge (Shanghai) Technology service Co., Ltd (“Judge China”) in November 2016; Judge China accounted for approximately $0.1 million increase in our general and administrative expense in fiscal 2017. As a percentage of revenues, general and administrative expenses were 18.0% and 17.1% of our revenue in fiscal 2017 and 2016,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Subsidies and other income</w:t>
      </w:r>
    </w:p>
    <w:p>
      <w:pPr>
        <w:spacing w:after="0" w:line="176" w:lineRule="exact"/>
        <w:rPr>
          <w:sz w:val="20"/>
          <w:szCs w:val="20"/>
          <w:color w:val="auto"/>
        </w:rPr>
      </w:pPr>
    </w:p>
    <w:p>
      <w:pPr>
        <w:ind w:right="40" w:firstLine="505"/>
        <w:spacing w:after="0" w:line="282" w:lineRule="auto"/>
        <w:rPr>
          <w:sz w:val="20"/>
          <w:szCs w:val="20"/>
          <w:color w:val="auto"/>
        </w:rPr>
      </w:pPr>
      <w:r>
        <w:rPr>
          <w:rFonts w:ascii="Arial" w:cs="Arial" w:eastAsia="Arial" w:hAnsi="Arial"/>
          <w:sz w:val="13"/>
          <w:szCs w:val="13"/>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$0.4 million and $1.3 million for the years ended June 30, 2017 and 2016, respectively. The decrease in government subsidies in fiscal 2017 was because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before income taxes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income before income taxes was approximately $2.1 million in fiscal 2017, an increase of 2.4% compared with fiscal 2016.</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(benefit) for income taxes</w:t>
      </w:r>
    </w:p>
    <w:p>
      <w:pPr>
        <w:spacing w:after="0" w:line="176" w:lineRule="exact"/>
        <w:rPr>
          <w:sz w:val="20"/>
          <w:szCs w:val="20"/>
          <w:color w:val="auto"/>
        </w:rPr>
      </w:pPr>
    </w:p>
    <w:p>
      <w:pPr>
        <w:jc w:val="both"/>
        <w:ind w:right="80" w:firstLine="505"/>
        <w:spacing w:after="0" w:line="328" w:lineRule="auto"/>
        <w:rPr>
          <w:sz w:val="20"/>
          <w:szCs w:val="20"/>
          <w:color w:val="auto"/>
        </w:rPr>
      </w:pPr>
      <w:r>
        <w:rPr>
          <w:rFonts w:ascii="Arial" w:cs="Arial" w:eastAsia="Arial" w:hAnsi="Arial"/>
          <w:sz w:val="12"/>
          <w:szCs w:val="12"/>
          <w:color w:val="auto"/>
        </w:rPr>
        <w:t>Our provision for income taxes benefit was $0.1 million in fiscal 2017, compared to $0.3 million income tax expense in fiscal 2016. Our current income tax provision decrease by approximately $0.3 million. The decrease of the current income tax provision is mainly due to CLPS Dalian has qualified as Software Enterprise and is enjoying two-year income tax exemption starting from their first profitable year. The increase of $0.1 million in deferred tax benefit was mainly because we recognized deferred tax assets as a result of the net operating losses carry forward for some of our subsidiaries.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w:t>
      </w:r>
    </w:p>
    <w:p>
      <w:pPr>
        <w:spacing w:after="0" w:line="176"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Our net income was approximately $2.2 million in fiscal 2017, an increase of $0.4 million from $1.8 million in fiscal 2016. The increase in net income was in line with increased revenues, gross profit and operating expenses for fiscal 2017 as compared to fiscal 2016 as mentioned above.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comprehensive income</w:t>
      </w:r>
    </w:p>
    <w:p>
      <w:pPr>
        <w:spacing w:after="0" w:line="176" w:lineRule="exact"/>
        <w:rPr>
          <w:sz w:val="20"/>
          <w:szCs w:val="20"/>
          <w:color w:val="auto"/>
        </w:rPr>
      </w:pPr>
    </w:p>
    <w:p>
      <w:pPr>
        <w:ind w:right="100" w:firstLine="505"/>
        <w:spacing w:after="0" w:line="257" w:lineRule="auto"/>
        <w:rPr>
          <w:sz w:val="20"/>
          <w:szCs w:val="20"/>
          <w:color w:val="auto"/>
        </w:rPr>
      </w:pPr>
      <w:r>
        <w:rPr>
          <w:rFonts w:ascii="Arial" w:cs="Arial" w:eastAsia="Arial" w:hAnsi="Arial"/>
          <w:sz w:val="14"/>
          <w:szCs w:val="14"/>
          <w:color w:val="auto"/>
        </w:rPr>
        <w:t>Foreign currency translation adjustments amounted to a loss of $0.1 million and $0.4 million for the years ended June 30, 2017 and 2016, respectively. The balance sheet amounts with the exception of equity as of June 30, 2017 were translated at 6.7793 RMB to 1.00 USD as compared to 6.6459 RMB to 1.00USD as of June 30, 2016. The equity accounts were stated at their historical rate. The average translation rates applied to the income statements accounts for the years ended June 30, 2017 and 2016 were 6.8087 RMB to 1.00 USD and 6.4405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 the Six Months Ended December 31, 2017 and 2016</w:t>
      </w:r>
    </w:p>
    <w:p>
      <w:pPr>
        <w:spacing w:after="0" w:line="176" w:lineRule="exact"/>
        <w:rPr>
          <w:sz w:val="20"/>
          <w:szCs w:val="20"/>
          <w:color w:val="auto"/>
        </w:rPr>
      </w:pPr>
    </w:p>
    <w:p>
      <w:pPr>
        <w:ind w:right="180" w:firstLine="505"/>
        <w:spacing w:after="0" w:line="277" w:lineRule="auto"/>
        <w:rPr>
          <w:sz w:val="20"/>
          <w:szCs w:val="20"/>
          <w:color w:val="auto"/>
        </w:rPr>
      </w:pPr>
      <w:r>
        <w:rPr>
          <w:rFonts w:ascii="Arial" w:cs="Arial" w:eastAsia="Arial" w:hAnsi="Arial"/>
          <w:sz w:val="14"/>
          <w:szCs w:val="14"/>
          <w:color w:val="auto"/>
        </w:rPr>
        <w:t>The following table summarizes the results of our operations for the six months ended December 31, 2017 and 2016, respectively, and provides information regarding the dollar and percentage increase or (decrease) during such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left="30"/>
              <w:spacing w:after="0"/>
              <w:rPr>
                <w:sz w:val="20"/>
                <w:szCs w:val="20"/>
                <w:color w:val="auto"/>
              </w:rPr>
            </w:pPr>
            <w:r>
              <w:rPr>
                <w:rFonts w:ascii="Arial" w:cs="Arial" w:eastAsia="Arial" w:hAnsi="Arial"/>
                <w:sz w:val="14"/>
                <w:szCs w:val="14"/>
                <w:b w:val="1"/>
                <w:bCs w:val="1"/>
                <w:color w:val="auto"/>
                <w:w w:val="87"/>
              </w:rPr>
              <w:t>Six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left="30"/>
              <w:spacing w:after="0"/>
              <w:rPr>
                <w:sz w:val="20"/>
                <w:szCs w:val="20"/>
                <w:color w:val="auto"/>
              </w:rPr>
            </w:pPr>
            <w:r>
              <w:rPr>
                <w:rFonts w:ascii="Arial" w:cs="Arial" w:eastAsia="Arial" w:hAnsi="Arial"/>
                <w:sz w:val="14"/>
                <w:szCs w:val="14"/>
                <w:b w:val="1"/>
                <w:bCs w:val="1"/>
                <w:color w:val="auto"/>
                <w:w w:val="87"/>
              </w:rPr>
              <w:t>Six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left="50"/>
              <w:spacing w:after="0"/>
              <w:rPr>
                <w:sz w:val="20"/>
                <w:szCs w:val="20"/>
                <w:color w:val="auto"/>
              </w:rPr>
            </w:pPr>
            <w:r>
              <w:rPr>
                <w:rFonts w:ascii="Arial" w:cs="Arial" w:eastAsia="Arial" w:hAnsi="Arial"/>
                <w:sz w:val="14"/>
                <w:szCs w:val="14"/>
                <w:b w:val="1"/>
                <w:bCs w:val="1"/>
                <w:color w:val="auto"/>
                <w:w w:val="88"/>
              </w:rPr>
              <w:t>December 31, 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left="50"/>
              <w:spacing w:after="0"/>
              <w:rPr>
                <w:sz w:val="20"/>
                <w:szCs w:val="20"/>
                <w:color w:val="auto"/>
              </w:rPr>
            </w:pPr>
            <w:r>
              <w:rPr>
                <w:rFonts w:ascii="Arial" w:cs="Arial" w:eastAsia="Arial" w:hAnsi="Arial"/>
                <w:sz w:val="14"/>
                <w:szCs w:val="14"/>
                <w:b w:val="1"/>
                <w:bCs w:val="1"/>
                <w:color w:val="auto"/>
                <w:w w:val="88"/>
              </w:rPr>
              <w:t>December 31, 2016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4"/>
                <w:szCs w:val="14"/>
                <w:b w:val="1"/>
                <w:bCs w:val="1"/>
                <w:color w:val="auto"/>
                <w:w w:val="92"/>
              </w:rPr>
              <w:t>(Unaudited)</w:t>
            </w: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4"/>
                <w:szCs w:val="14"/>
                <w:b w:val="1"/>
                <w:bCs w:val="1"/>
                <w:color w:val="auto"/>
                <w:w w:val="92"/>
              </w:rPr>
              <w:t>(Unaudited)</w:t>
            </w: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As %</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As %</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of Sales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of Sales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22,199,995</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8"/>
              </w:rPr>
              <w:t>100.0%</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14,323,938</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8"/>
              </w:rPr>
              <w:t>100.0%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7,876,057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Cost of revenues</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13,341,978</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60.1%</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8,483,897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59.2%</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4,858,081</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88"/>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profit</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8,858,017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39.9%</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5,840,041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40.8%</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3,017,976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Selling and marketing</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1,132,931</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282,618</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850,313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Arial" w:cs="Arial" w:eastAsia="Arial" w:hAnsi="Arial"/>
                <w:sz w:val="14"/>
                <w:szCs w:val="14"/>
                <w:color w:val="auto"/>
              </w:rPr>
              <w:t>Research and development expense</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3,562,988</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2,006,766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14.0%</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1,556,222</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 expenses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3,064,232</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3,032,589</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31,643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0"/>
        </w:trPr>
        <w:tc>
          <w:tcPr>
            <w:tcW w:w="3300" w:type="dxa"/>
            <w:vAlign w:val="bottom"/>
            <w:tcBorders>
              <w:top w:val="single" w:sz="8" w:color="CCEEFF"/>
              <w:bottom w:val="single" w:sz="8" w:color="CCEEFF"/>
            </w:tcBorders>
          </w:tcPr>
          <w:p>
            <w:pPr>
              <w:spacing w:after="0" w:line="149" w:lineRule="exact"/>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7,760,151</w:t>
            </w:r>
          </w:p>
        </w:tc>
        <w:tc>
          <w:tcPr>
            <w:tcW w:w="200" w:type="dxa"/>
            <w:vAlign w:val="bottom"/>
            <w:tcBorders>
              <w:top w:val="single" w:sz="8" w:color="CCEEFF"/>
              <w:bottom w:val="single" w:sz="8" w:color="CCEEFF"/>
            </w:tcBorders>
          </w:tcPr>
          <w:p>
            <w:pPr>
              <w:spacing w:after="0"/>
              <w:rPr>
                <w:sz w:val="13"/>
                <w:szCs w:val="13"/>
                <w:color w:val="auto"/>
              </w:rPr>
            </w:pPr>
          </w:p>
        </w:tc>
        <w:tc>
          <w:tcPr>
            <w:tcW w:w="300" w:type="dxa"/>
            <w:vAlign w:val="bottom"/>
            <w:tcBorders>
              <w:top w:val="single" w:sz="8" w:color="CCEEFF"/>
              <w:bottom w:val="single" w:sz="8" w:color="CCEEFF"/>
            </w:tcBorders>
          </w:tcPr>
          <w:p>
            <w:pPr>
              <w:spacing w:after="0"/>
              <w:rPr>
                <w:sz w:val="13"/>
                <w:szCs w:val="13"/>
                <w:color w:val="auto"/>
              </w:rPr>
            </w:pPr>
          </w:p>
        </w:tc>
        <w:tc>
          <w:tcPr>
            <w:tcW w:w="520" w:type="dxa"/>
            <w:vAlign w:val="bottom"/>
            <w:tcBorders>
              <w:top w:val="single" w:sz="8" w:color="CCEEFF"/>
              <w:bottom w:val="single" w:sz="8" w:color="CCEEFF"/>
            </w:tcBorders>
          </w:tcPr>
          <w:p>
            <w:pPr>
              <w:spacing w:after="0"/>
              <w:rPr>
                <w:sz w:val="13"/>
                <w:szCs w:val="13"/>
                <w:color w:val="auto"/>
              </w:rPr>
            </w:pPr>
          </w:p>
        </w:tc>
        <w:tc>
          <w:tcPr>
            <w:tcW w:w="600" w:type="dxa"/>
            <w:vAlign w:val="bottom"/>
            <w:tcBorders>
              <w:top w:val="single" w:sz="8" w:color="CCEEFF"/>
              <w:bottom w:val="single" w:sz="8" w:color="CCEEFF"/>
            </w:tcBorders>
            <w:gridSpan w:val="2"/>
          </w:tcPr>
          <w:p>
            <w:pPr>
              <w:jc w:val="right"/>
              <w:ind w:right="160"/>
              <w:spacing w:after="0" w:line="149" w:lineRule="exact"/>
              <w:rPr>
                <w:sz w:val="20"/>
                <w:szCs w:val="20"/>
                <w:color w:val="auto"/>
              </w:rPr>
            </w:pPr>
            <w:r>
              <w:rPr>
                <w:rFonts w:ascii="Arial" w:cs="Arial" w:eastAsia="Arial" w:hAnsi="Arial"/>
                <w:sz w:val="14"/>
                <w:szCs w:val="14"/>
                <w:color w:val="auto"/>
              </w:rPr>
              <w:t>35.0%</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5,321,973</w:t>
            </w:r>
          </w:p>
        </w:tc>
        <w:tc>
          <w:tcPr>
            <w:tcW w:w="200" w:type="dxa"/>
            <w:vAlign w:val="bottom"/>
            <w:tcBorders>
              <w:top w:val="single" w:sz="8" w:color="CCEEFF"/>
              <w:bottom w:val="single" w:sz="8" w:color="CCEEFF"/>
            </w:tcBorders>
          </w:tcPr>
          <w:p>
            <w:pPr>
              <w:spacing w:after="0"/>
              <w:rPr>
                <w:sz w:val="13"/>
                <w:szCs w:val="13"/>
                <w:color w:val="auto"/>
              </w:rPr>
            </w:pPr>
          </w:p>
        </w:tc>
        <w:tc>
          <w:tcPr>
            <w:tcW w:w="300" w:type="dxa"/>
            <w:vAlign w:val="bottom"/>
            <w:tcBorders>
              <w:top w:val="single" w:sz="8" w:color="CCEEFF"/>
              <w:bottom w:val="single" w:sz="8" w:color="CCEEFF"/>
            </w:tcBorders>
          </w:tcPr>
          <w:p>
            <w:pPr>
              <w:spacing w:after="0"/>
              <w:rPr>
                <w:sz w:val="13"/>
                <w:szCs w:val="13"/>
                <w:color w:val="auto"/>
              </w:rPr>
            </w:pPr>
          </w:p>
        </w:tc>
        <w:tc>
          <w:tcPr>
            <w:tcW w:w="520" w:type="dxa"/>
            <w:vAlign w:val="bottom"/>
            <w:tcBorders>
              <w:top w:val="single" w:sz="8" w:color="CCEEFF"/>
              <w:bottom w:val="single" w:sz="8" w:color="CCEEFF"/>
            </w:tcBorders>
          </w:tcPr>
          <w:p>
            <w:pPr>
              <w:spacing w:after="0"/>
              <w:rPr>
                <w:sz w:val="13"/>
                <w:szCs w:val="13"/>
                <w:color w:val="auto"/>
              </w:rPr>
            </w:pPr>
          </w:p>
        </w:tc>
        <w:tc>
          <w:tcPr>
            <w:tcW w:w="600" w:type="dxa"/>
            <w:vAlign w:val="bottom"/>
            <w:tcBorders>
              <w:top w:val="single" w:sz="8" w:color="CCEEFF"/>
              <w:bottom w:val="single" w:sz="8" w:color="CCEEFF"/>
            </w:tcBorders>
            <w:gridSpan w:val="2"/>
          </w:tcPr>
          <w:p>
            <w:pPr>
              <w:jc w:val="right"/>
              <w:ind w:right="160"/>
              <w:spacing w:after="0" w:line="149" w:lineRule="exact"/>
              <w:rPr>
                <w:sz w:val="20"/>
                <w:szCs w:val="20"/>
                <w:color w:val="auto"/>
              </w:rPr>
            </w:pPr>
            <w:r>
              <w:rPr>
                <w:rFonts w:ascii="Arial" w:cs="Arial" w:eastAsia="Arial" w:hAnsi="Arial"/>
                <w:sz w:val="14"/>
                <w:szCs w:val="14"/>
                <w:color w:val="auto"/>
              </w:rPr>
              <w:t>37.2%</w:t>
            </w: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2,438,178</w:t>
            </w:r>
          </w:p>
        </w:tc>
        <w:tc>
          <w:tcPr>
            <w:tcW w:w="220" w:type="dxa"/>
            <w:vAlign w:val="bottom"/>
            <w:tcBorders>
              <w:top w:val="single" w:sz="8" w:color="CCEEFF"/>
              <w:bottom w:val="single" w:sz="8" w:color="CCEEFF"/>
            </w:tcBorders>
          </w:tcPr>
          <w:p>
            <w:pPr>
              <w:spacing w:after="0"/>
              <w:rPr>
                <w:sz w:val="13"/>
                <w:szCs w:val="13"/>
                <w:color w:val="auto"/>
              </w:rPr>
            </w:pPr>
          </w:p>
        </w:tc>
        <w:tc>
          <w:tcPr>
            <w:tcW w:w="1300" w:type="dxa"/>
            <w:vAlign w:val="bottom"/>
            <w:tcBorders>
              <w:top w:val="single" w:sz="8" w:color="CCEEFF"/>
              <w:bottom w:val="single" w:sz="8" w:color="CCEEFF"/>
            </w:tcBorders>
            <w:gridSpan w:val="2"/>
          </w:tcPr>
          <w:p>
            <w:pPr>
              <w:jc w:val="right"/>
              <w:ind w:right="40"/>
              <w:spacing w:after="0" w:line="149" w:lineRule="exact"/>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1,097,866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518,068</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579,798</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Subsidies and other income</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366,798</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455,009</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(88,211)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0"/>
        </w:trPr>
        <w:tc>
          <w:tcPr>
            <w:tcW w:w="3300" w:type="dxa"/>
            <w:vAlign w:val="bottom"/>
          </w:tcPr>
          <w:p>
            <w:pPr>
              <w:ind w:left="140"/>
              <w:spacing w:after="0"/>
              <w:rPr>
                <w:sz w:val="20"/>
                <w:szCs w:val="20"/>
                <w:color w:val="auto"/>
              </w:rPr>
            </w:pPr>
            <w:r>
              <w:rPr>
                <w:rFonts w:ascii="Arial" w:cs="Arial" w:eastAsia="Arial" w:hAnsi="Arial"/>
                <w:sz w:val="14"/>
                <w:szCs w:val="14"/>
                <w:color w:val="auto"/>
              </w:rPr>
              <w:t>Other expenses</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(13,213)</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(2,146)</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11,067</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515.7%</w:t>
            </w:r>
          </w:p>
        </w:tc>
        <w:tc>
          <w:tcPr>
            <w:tcW w:w="0" w:type="dxa"/>
            <w:vAlign w:val="bottom"/>
          </w:tcPr>
          <w:p>
            <w:pPr>
              <w:spacing w:after="0"/>
              <w:rPr>
                <w:sz w:val="1"/>
                <w:szCs w:val="1"/>
                <w:color w:val="auto"/>
              </w:rPr>
            </w:pPr>
          </w:p>
        </w:tc>
      </w:tr>
      <w:tr>
        <w:trPr>
          <w:trHeight w:val="168"/>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1,451,451</w:t>
            </w: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970,931</w:t>
            </w: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6.8%</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480,520</w:t>
            </w:r>
          </w:p>
        </w:tc>
        <w:tc>
          <w:tcPr>
            <w:tcW w:w="2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79"/>
        </w:trPr>
        <w:tc>
          <w:tcPr>
            <w:tcW w:w="3300" w:type="dxa"/>
            <w:vAlign w:val="bottom"/>
          </w:tcPr>
          <w:p>
            <w:pPr>
              <w:spacing w:after="0"/>
              <w:rPr>
                <w:sz w:val="20"/>
                <w:szCs w:val="20"/>
                <w:color w:val="auto"/>
              </w:rPr>
            </w:pPr>
            <w:r>
              <w:rPr>
                <w:rFonts w:ascii="Arial" w:cs="Arial" w:eastAsia="Arial" w:hAnsi="Arial"/>
                <w:sz w:val="14"/>
                <w:szCs w:val="14"/>
                <w:color w:val="auto"/>
              </w:rPr>
              <w:t>Provision (benefit) for income taxes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126,060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(54,042)</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180,102</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333.3%</w:t>
            </w:r>
          </w:p>
        </w:tc>
        <w:tc>
          <w:tcPr>
            <w:tcW w:w="0" w:type="dxa"/>
            <w:vAlign w:val="bottom"/>
          </w:tcPr>
          <w:p>
            <w:pPr>
              <w:spacing w:after="0"/>
              <w:rPr>
                <w:sz w:val="1"/>
                <w:szCs w:val="1"/>
                <w:color w:val="auto"/>
              </w:rPr>
            </w:pPr>
          </w:p>
        </w:tc>
      </w:tr>
      <w:tr>
        <w:trPr>
          <w:trHeight w:val="21"/>
        </w:trPr>
        <w:tc>
          <w:tcPr>
            <w:tcW w:w="3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6.0%</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7.2%</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line="20" w:lineRule="exact"/>
              <w:rPr>
                <w:sz w:val="1"/>
                <w:szCs w:val="1"/>
                <w:color w:val="auto"/>
              </w:rPr>
            </w:pPr>
          </w:p>
        </w:tc>
      </w:tr>
      <w:tr>
        <w:trPr>
          <w:trHeight w:val="190"/>
        </w:trPr>
        <w:tc>
          <w:tcPr>
            <w:tcW w:w="33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1,325,391</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1,024,973</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300,418</w:t>
            </w:r>
          </w:p>
        </w:tc>
        <w:tc>
          <w:tcPr>
            <w:tcW w:w="13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76"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42" w:lineRule="exact"/>
        <w:rPr>
          <w:sz w:val="20"/>
          <w:szCs w:val="20"/>
          <w:color w:val="auto"/>
        </w:rPr>
      </w:pPr>
    </w:p>
    <w:p>
      <w:pPr>
        <w:ind w:right="220" w:firstLine="505"/>
        <w:spacing w:after="0" w:line="259" w:lineRule="auto"/>
        <w:rPr>
          <w:sz w:val="20"/>
          <w:szCs w:val="20"/>
          <w:color w:val="auto"/>
        </w:rPr>
      </w:pPr>
      <w:r>
        <w:rPr>
          <w:rFonts w:ascii="Arial" w:cs="Arial" w:eastAsia="Arial" w:hAnsi="Arial"/>
          <w:sz w:val="14"/>
          <w:szCs w:val="14"/>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47"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For the six months ended December 31,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EE"/>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980" w:type="dxa"/>
            <w:vAlign w:val="bottom"/>
            <w:gridSpan w:val="7"/>
          </w:tcPr>
          <w:p>
            <w:pPr>
              <w:ind w:left="500"/>
              <w:spacing w:after="0"/>
              <w:rPr>
                <w:sz w:val="20"/>
                <w:szCs w:val="20"/>
                <w:color w:val="auto"/>
              </w:rPr>
            </w:pPr>
            <w:r>
              <w:rPr>
                <w:rFonts w:ascii="Arial" w:cs="Arial" w:eastAsia="Arial" w:hAnsi="Arial"/>
                <w:sz w:val="14"/>
                <w:szCs w:val="14"/>
                <w:color w:val="auto"/>
              </w:rPr>
              <w:t>The following table presents our revenues by our service lines.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4"/>
                <w:szCs w:val="14"/>
                <w:b w:val="1"/>
                <w:bCs w:val="1"/>
                <w:color w:val="auto"/>
                <w:w w:val="92"/>
              </w:rPr>
              <w:t>For the six months ended December 31, 2017</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jc w:val="center"/>
              <w:ind w:left="630"/>
              <w:spacing w:after="0"/>
              <w:rPr>
                <w:sz w:val="20"/>
                <w:szCs w:val="20"/>
                <w:color w:val="auto"/>
              </w:rPr>
            </w:pPr>
            <w:r>
              <w:rPr>
                <w:rFonts w:ascii="Arial" w:cs="Arial" w:eastAsia="Arial" w:hAnsi="Arial"/>
                <w:sz w:val="14"/>
                <w:szCs w:val="14"/>
                <w:b w:val="1"/>
                <w:bCs w:val="1"/>
                <w:color w:val="auto"/>
                <w:w w:val="92"/>
              </w:rPr>
              <w:t>(Unaudited)</w:t>
            </w:r>
          </w:p>
        </w:tc>
        <w:tc>
          <w:tcPr>
            <w:tcW w:w="106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w w:val="95"/>
              </w:rPr>
              <w:t>% of total</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center"/>
              <w:ind w:left="630"/>
              <w:spacing w:after="0"/>
              <w:rPr>
                <w:sz w:val="20"/>
                <w:szCs w:val="20"/>
                <w:color w:val="auto"/>
              </w:rPr>
            </w:pPr>
            <w:r>
              <w:rPr>
                <w:rFonts w:ascii="Arial" w:cs="Arial" w:eastAsia="Arial" w:hAnsi="Arial"/>
                <w:sz w:val="14"/>
                <w:szCs w:val="14"/>
                <w:b w:val="1"/>
                <w:bCs w:val="1"/>
                <w:color w:val="auto"/>
                <w:w w:val="92"/>
              </w:rPr>
              <w:t>(Unaudited)</w:t>
            </w:r>
          </w:p>
        </w:tc>
        <w:tc>
          <w:tcPr>
            <w:tcW w:w="112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w w:val="95"/>
              </w:rPr>
              <w:t>% of total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2"/>
              </w:rPr>
              <w:t>Revenue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Revenue</w:t>
            </w:r>
          </w:p>
        </w:tc>
        <w:tc>
          <w:tcPr>
            <w:tcW w:w="11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Variance</w:t>
            </w:r>
          </w:p>
        </w:tc>
        <w:tc>
          <w:tcPr>
            <w:tcW w:w="1140" w:type="dxa"/>
            <w:vAlign w:val="bottom"/>
          </w:tcPr>
          <w:p>
            <w:pPr>
              <w:jc w:val="right"/>
              <w:ind w:right="43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 consulting service</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21,632,609</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13,282,841</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92.7%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8,349,768</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68"/>
        </w:trPr>
        <w:tc>
          <w:tcPr>
            <w:tcW w:w="2540" w:type="dxa"/>
            <w:vAlign w:val="bottom"/>
            <w:gridSpan w:val="2"/>
          </w:tcPr>
          <w:p>
            <w:pPr>
              <w:spacing w:after="0"/>
              <w:rPr>
                <w:sz w:val="20"/>
                <w:szCs w:val="20"/>
                <w:color w:val="auto"/>
              </w:rPr>
            </w:pPr>
            <w:r>
              <w:rPr>
                <w:rFonts w:ascii="Arial" w:cs="Arial" w:eastAsia="Arial" w:hAnsi="Arial"/>
                <w:sz w:val="14"/>
                <w:szCs w:val="14"/>
                <w:color w:val="auto"/>
              </w:rPr>
              <w:t>Customized IT solution service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524,220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760,599</w:t>
            </w:r>
          </w:p>
        </w:tc>
        <w:tc>
          <w:tcPr>
            <w:tcW w:w="260" w:type="dxa"/>
            <w:vAlign w:val="bottom"/>
          </w:tcPr>
          <w:p>
            <w:pPr>
              <w:spacing w:after="0"/>
              <w:rPr>
                <w:sz w:val="14"/>
                <w:szCs w:val="14"/>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(236,379)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79"/>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43,166</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280,498</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(237,332)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Total</w:t>
            </w: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4"/>
                <w:szCs w:val="14"/>
                <w:color w:val="auto"/>
              </w:rPr>
              <w:t>55.0%</w:t>
            </w:r>
          </w:p>
        </w:tc>
        <w:tc>
          <w:tcPr>
            <w:tcW w:w="0" w:type="dxa"/>
            <w:vAlign w:val="bottom"/>
          </w:tcPr>
          <w:p>
            <w:pPr>
              <w:spacing w:after="0" w:line="20" w:lineRule="exact"/>
              <w:rPr>
                <w:sz w:val="1"/>
                <w:szCs w:val="1"/>
                <w:color w:val="auto"/>
              </w:rPr>
            </w:pPr>
          </w:p>
        </w:tc>
      </w:tr>
      <w:tr>
        <w:trPr>
          <w:trHeight w:val="172"/>
        </w:trPr>
        <w:tc>
          <w:tcPr>
            <w:tcW w:w="25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22,199,995</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w:t>
            </w:r>
          </w:p>
        </w:tc>
        <w:tc>
          <w:tcPr>
            <w:tcW w:w="180" w:type="dxa"/>
            <w:vAlign w:val="bottom"/>
            <w:vMerge w:val="continue"/>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14,323,938</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vMerge w:val="continue"/>
          </w:tcPr>
          <w:p>
            <w:pPr>
              <w:spacing w:after="0"/>
              <w:rPr>
                <w:sz w:val="14"/>
                <w:szCs w:val="14"/>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7,876,057</w:t>
            </w: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00" w:firstLine="505"/>
        <w:spacing w:after="0" w:line="277" w:lineRule="auto"/>
        <w:rPr>
          <w:sz w:val="20"/>
          <w:szCs w:val="20"/>
          <w:color w:val="auto"/>
        </w:rPr>
      </w:pPr>
      <w:r>
        <w:rPr>
          <w:rFonts w:ascii="Arial" w:cs="Arial" w:eastAsia="Arial" w:hAnsi="Arial"/>
          <w:sz w:val="14"/>
          <w:szCs w:val="14"/>
          <w:color w:val="auto"/>
        </w:rPr>
        <w:t>Our total revenues increased by approximately $7.9 million, or 55%, to approximately $22.2 million for the six months ended December 31, 2017 from approximately $14.3 million for the six months ended December 31, 2016. The overall growth in our revenues reflected an increase in revenues from our IT consulting service.</w:t>
      </w:r>
    </w:p>
    <w:p>
      <w:pPr>
        <w:spacing w:after="0" w:line="133" w:lineRule="exact"/>
        <w:rPr>
          <w:sz w:val="20"/>
          <w:szCs w:val="20"/>
          <w:color w:val="auto"/>
        </w:rPr>
      </w:pPr>
    </w:p>
    <w:p>
      <w:pPr>
        <w:ind w:right="200" w:firstLine="505"/>
        <w:spacing w:after="0" w:line="259" w:lineRule="auto"/>
        <w:rPr>
          <w:sz w:val="20"/>
          <w:szCs w:val="20"/>
          <w:color w:val="auto"/>
        </w:rPr>
      </w:pPr>
      <w:r>
        <w:rPr>
          <w:rFonts w:ascii="Arial" w:cs="Arial" w:eastAsia="Arial" w:hAnsi="Arial"/>
          <w:sz w:val="14"/>
          <w:szCs w:val="14"/>
          <w:color w:val="auto"/>
        </w:rPr>
        <w:t>For the six months ended December 31, 2017, revenue derived from our IT consulting services increased by 62.9% to $21.6 million from $13.3 million for the six months ended December 31, 2016, primarily reflecting the increasing demand for our IT consulting service from banks and other financial institutions. For the six months ended December 31, 2017 and 2016, 46.1% and 56.5%, respectively, of our IT consulting service revenue were from international banks. For the six months ended December 31, 2017, we strengthened our expertise in the financial industry to leverage our existing industry knowledge and grew our customer base of local Chinese financial institutions.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revenues</w:t>
      </w:r>
    </w:p>
    <w:p>
      <w:pPr>
        <w:spacing w:after="0" w:line="176" w:lineRule="exact"/>
        <w:rPr>
          <w:sz w:val="20"/>
          <w:szCs w:val="20"/>
          <w:color w:val="auto"/>
        </w:rPr>
      </w:pPr>
    </w:p>
    <w:p>
      <w:pPr>
        <w:ind w:right="120" w:firstLine="505"/>
        <w:spacing w:after="0" w:line="286" w:lineRule="auto"/>
        <w:rPr>
          <w:sz w:val="20"/>
          <w:szCs w:val="20"/>
          <w:color w:val="auto"/>
        </w:rPr>
      </w:pPr>
      <w:r>
        <w:rPr>
          <w:rFonts w:ascii="Arial" w:cs="Arial" w:eastAsia="Arial" w:hAnsi="Arial"/>
          <w:sz w:val="13"/>
          <w:szCs w:val="13"/>
          <w:color w:val="auto"/>
        </w:rPr>
        <w:t>Our cost of revenues mainly consists of compensation and benefit expenses for our IT professionals, travel expenses and material costs. Our cost of revenues increased by $4.9 million or 57.3% to approximately $13.3 million for the six months ended December 31, 2017 from approximately $8.5 million for the six months ended December 31, 2016, primarily as a result of increased headcount, expanded office facilities and increased depreciation and amortization expenses to support the growth of our business. As a percentage of revenues, our cost of revenues is consistently around 60% for both periods of 2017 and 2016. Our total number of employees grew from 1,179 employees as of December 31, 2016 to 1,586 employees as of December 31, 2017.</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w:t>
      </w:r>
    </w:p>
    <w:p>
      <w:pPr>
        <w:spacing w:after="0" w:line="176" w:lineRule="exact"/>
        <w:rPr>
          <w:sz w:val="20"/>
          <w:szCs w:val="20"/>
          <w:color w:val="auto"/>
        </w:rPr>
      </w:pPr>
    </w:p>
    <w:p>
      <w:pPr>
        <w:ind w:right="240" w:firstLine="505"/>
        <w:spacing w:after="0" w:line="364" w:lineRule="auto"/>
        <w:rPr>
          <w:sz w:val="20"/>
          <w:szCs w:val="20"/>
          <w:color w:val="auto"/>
        </w:rPr>
      </w:pPr>
      <w:r>
        <w:rPr>
          <w:rFonts w:ascii="Arial" w:cs="Arial" w:eastAsia="Arial" w:hAnsi="Arial"/>
          <w:sz w:val="12"/>
          <w:szCs w:val="12"/>
          <w:color w:val="auto"/>
        </w:rPr>
        <w:t>Our gross profit increased by $3 million, or 51.7%, to approximately $8.8 million for the six months ended December 31, 2017 from approximately $5.8 million for the six months ended December 31, 2016. As a percentage of revenues, our gross margin slightly decreased from 40.8% for the six months ended December 31, 2016 to 39.9% for the six months ended December 31, 2017.</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and marketing expenses</w:t>
      </w:r>
    </w:p>
    <w:p>
      <w:pPr>
        <w:spacing w:after="0" w:line="176" w:lineRule="exact"/>
        <w:rPr>
          <w:sz w:val="20"/>
          <w:szCs w:val="20"/>
          <w:color w:val="auto"/>
        </w:rPr>
      </w:pPr>
    </w:p>
    <w:p>
      <w:pPr>
        <w:ind w:right="640" w:firstLine="505"/>
        <w:spacing w:after="0" w:line="277" w:lineRule="auto"/>
        <w:rPr>
          <w:sz w:val="20"/>
          <w:szCs w:val="20"/>
          <w:color w:val="auto"/>
        </w:rPr>
      </w:pPr>
      <w:r>
        <w:rPr>
          <w:rFonts w:ascii="Arial" w:cs="Arial" w:eastAsia="Arial" w:hAnsi="Arial"/>
          <w:sz w:val="14"/>
          <w:szCs w:val="14"/>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33" w:lineRule="exact"/>
        <w:rPr>
          <w:sz w:val="20"/>
          <w:szCs w:val="20"/>
          <w:color w:val="auto"/>
        </w:rPr>
      </w:pPr>
    </w:p>
    <w:p>
      <w:pPr>
        <w:ind w:firstLine="505"/>
        <w:spacing w:after="0" w:line="316" w:lineRule="auto"/>
        <w:rPr>
          <w:sz w:val="20"/>
          <w:szCs w:val="20"/>
          <w:color w:val="auto"/>
        </w:rPr>
      </w:pPr>
      <w:r>
        <w:rPr>
          <w:rFonts w:ascii="Arial" w:cs="Arial" w:eastAsia="Arial" w:hAnsi="Arial"/>
          <w:sz w:val="12"/>
          <w:szCs w:val="12"/>
          <w:color w:val="auto"/>
        </w:rPr>
        <w:t>Selling and marketing expenses increased by $0.8 million or 300.9% from $0.3 million for the six months ended December 31, 2016 to $1.1 million for the six months ended December 31, 2017. The increase was primarily attributable to our expansion of the pre-sales and marketing teams in Shanghai and Dalian, China to support our operations. Accordingly, as a percentage of sales, our selling expenses were 5.1% of revenues for the six months ended December 31, 2017 as compared to 2.0% for the six months ended December 31,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(“R&amp;D”) expenses</w:t>
      </w:r>
    </w:p>
    <w:p>
      <w:pPr>
        <w:spacing w:after="0" w:line="176" w:lineRule="exact"/>
        <w:rPr>
          <w:sz w:val="20"/>
          <w:szCs w:val="20"/>
          <w:color w:val="auto"/>
        </w:rPr>
      </w:pPr>
    </w:p>
    <w:p>
      <w:pPr>
        <w:jc w:val="both"/>
        <w:ind w:right="80" w:firstLine="505"/>
        <w:spacing w:after="0" w:line="282" w:lineRule="auto"/>
        <w:rPr>
          <w:sz w:val="20"/>
          <w:szCs w:val="20"/>
          <w:color w:val="auto"/>
        </w:rPr>
      </w:pPr>
      <w:r>
        <w:rPr>
          <w:rFonts w:ascii="Arial" w:cs="Arial" w:eastAsia="Arial" w:hAnsi="Arial"/>
          <w:sz w:val="13"/>
          <w:szCs w:val="13"/>
          <w:color w:val="auto"/>
        </w:rPr>
        <w:t>R&amp;D expenses primarily consisted of compensation and benefit expenses relating to our research and development personnel as well as office overhead and other expenses relating to our R&amp;D activities. Our R&amp;D expenses increased by $1.6 million from $2.0 million for the six months ended December 31, 2016 to $3.6 million for the six months ended December 31, 2017, representing 16.0% and 14.0% of our total revenues for the period of 2017 and 2016, respectively. The increased R&amp;D expense for the six months ended December 31, 2017 was attributable to the two research projects on office automation system and big data platform for decision-making. We expect to increase our investment in research and development to enhance our industry knowledge, improve our competitiveness and enable us to identify attractive market opportunities for new and enhanced services and solutions.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76" w:lineRule="exact"/>
        <w:rPr>
          <w:sz w:val="20"/>
          <w:szCs w:val="20"/>
          <w:color w:val="auto"/>
        </w:rPr>
      </w:pPr>
    </w:p>
    <w:p>
      <w:pPr>
        <w:jc w:val="both"/>
        <w:ind w:right="100" w:firstLine="505"/>
        <w:spacing w:after="0" w:line="277" w:lineRule="auto"/>
        <w:rPr>
          <w:sz w:val="20"/>
          <w:szCs w:val="20"/>
          <w:color w:val="auto"/>
        </w:rPr>
      </w:pPr>
      <w:r>
        <w:rPr>
          <w:rFonts w:ascii="Arial" w:cs="Arial" w:eastAsia="Arial" w:hAnsi="Arial"/>
          <w:sz w:val="14"/>
          <w:szCs w:val="14"/>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33" w:lineRule="exact"/>
        <w:rPr>
          <w:sz w:val="20"/>
          <w:szCs w:val="20"/>
          <w:color w:val="auto"/>
        </w:rPr>
      </w:pPr>
    </w:p>
    <w:p>
      <w:pPr>
        <w:ind w:right="100" w:firstLine="505"/>
        <w:spacing w:after="0" w:line="264" w:lineRule="auto"/>
        <w:rPr>
          <w:sz w:val="20"/>
          <w:szCs w:val="20"/>
          <w:color w:val="auto"/>
        </w:rPr>
      </w:pPr>
      <w:r>
        <w:rPr>
          <w:rFonts w:ascii="Arial" w:cs="Arial" w:eastAsia="Arial" w:hAnsi="Arial"/>
          <w:sz w:val="14"/>
          <w:szCs w:val="14"/>
          <w:color w:val="auto"/>
        </w:rPr>
        <w:t>General and administrative expenses increased by $0.03 million or 1.0% from approximately $3.0 million for the six months ended December 31, 2016 to approximately $3.1 million for the six months ended December 31, 2017. As a percentage of revenues, general and administrative expenses were 13.8% and 21.2% of our revenue for the six months ended December 31, 2017 and 2016, respectively.</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Subsidies and other income</w:t>
      </w:r>
    </w:p>
    <w:p>
      <w:pPr>
        <w:spacing w:after="0" w:line="176" w:lineRule="exact"/>
        <w:rPr>
          <w:sz w:val="20"/>
          <w:szCs w:val="20"/>
          <w:color w:val="auto"/>
        </w:rPr>
      </w:pPr>
    </w:p>
    <w:p>
      <w:pPr>
        <w:ind w:right="20" w:firstLine="505"/>
        <w:spacing w:after="0" w:line="282" w:lineRule="auto"/>
        <w:rPr>
          <w:sz w:val="20"/>
          <w:szCs w:val="20"/>
          <w:color w:val="auto"/>
        </w:rPr>
      </w:pPr>
      <w:r>
        <w:rPr>
          <w:rFonts w:ascii="Arial" w:cs="Arial" w:eastAsia="Arial" w:hAnsi="Arial"/>
          <w:sz w:val="13"/>
          <w:szCs w:val="13"/>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$0.3 million and $0.4 million for the six months ended December 31, 2017 and 2016, respectively. The decrease in government subsidies in fiscal 2017 was because the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before income taxes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income before income taxes was approximately $1.5 million for the six months ended December 31, 2017, an increase of 49.5% compared with the period 2016.</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(benefit) for income taxes</w:t>
      </w:r>
    </w:p>
    <w:p>
      <w:pPr>
        <w:spacing w:after="0" w:line="176" w:lineRule="exact"/>
        <w:rPr>
          <w:sz w:val="20"/>
          <w:szCs w:val="20"/>
          <w:color w:val="auto"/>
        </w:rPr>
      </w:pPr>
    </w:p>
    <w:p>
      <w:pPr>
        <w:ind w:right="140" w:firstLine="505"/>
        <w:spacing w:after="0" w:line="264" w:lineRule="auto"/>
        <w:rPr>
          <w:sz w:val="20"/>
          <w:szCs w:val="20"/>
          <w:color w:val="auto"/>
        </w:rPr>
      </w:pPr>
      <w:r>
        <w:rPr>
          <w:rFonts w:ascii="Arial" w:cs="Arial" w:eastAsia="Arial" w:hAnsi="Arial"/>
          <w:sz w:val="14"/>
          <w:szCs w:val="14"/>
          <w:color w:val="auto"/>
        </w:rPr>
        <w:t>Our provision for income taxes expense was $0.1 million for the six months ended December 31, 2017, compared to $0.05 million income tax benefit for the six months ended December 31, 2016. Our current income tax provision decreased by approximately $0.05 million. The increase of $0.2 million in deferred tax expense was due to an increase in our deferred tax liabilities as a result an increase in unbilled accounts receivables from our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w:t>
      </w:r>
    </w:p>
    <w:p>
      <w:pPr>
        <w:spacing w:after="0" w:line="176"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Our net income was approximately $1.3 million for the six months ended December 31, 2017, an increase of $0.3 million with $1.0 million for the six months ended December 31, 2016. For the six months ended December 31, 2017, income tax provision increased but government subsidies decreased as compared to the period of 2016 as mentioned above.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comprehensive income</w:t>
      </w:r>
    </w:p>
    <w:p>
      <w:pPr>
        <w:spacing w:after="0" w:line="176"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Foreign currency translation adjustments amounted to a gain of $0.2 million for the six months ended December 31, 2017 and a loss of $0.2 million for the six months ended December 31, 2016, respectively. The balance sheet amounts with the exception of equity as of December 31, 2017 were translated at 6.5063 RMB to 1.00 USD as compared to 6.9430 RMB to 1.00 USD as of December 31, 2016. The equity accounts were stated at their historical rate. The average translation rates applied to the income statements accounts for the periods ended December 31, 2017 and 2016 were 6.6412 RMB to 1.00 USD and 6.7457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0" w:lineRule="exact"/>
        <w:rPr>
          <w:sz w:val="20"/>
          <w:szCs w:val="20"/>
          <w:color w:val="auto"/>
        </w:rPr>
      </w:pPr>
    </w:p>
    <w:p>
      <w:pPr>
        <w:ind w:right="80" w:firstLine="505"/>
        <w:spacing w:after="0" w:line="364" w:lineRule="auto"/>
        <w:rPr>
          <w:sz w:val="20"/>
          <w:szCs w:val="20"/>
          <w:color w:val="auto"/>
        </w:rPr>
      </w:pPr>
      <w:r>
        <w:rPr>
          <w:rFonts w:ascii="Arial" w:cs="Arial" w:eastAsia="Arial" w:hAnsi="Arial"/>
          <w:sz w:val="12"/>
          <w:szCs w:val="12"/>
          <w:color w:val="auto"/>
        </w:rPr>
        <w:t>As of December 31, 2017, we had cash and cash equivalents of approximately $4.7 million. Our current assets were approximately $16.6 million, and our current liabilities were approximately $11.0 million. Total shareholders’ equity as of December 31, 2017 was approximately $6.9 million. We believe that we will have sufficient working capital to operate our business for the next 12 months.</w:t>
      </w:r>
    </w:p>
    <w:p>
      <w:pPr>
        <w:spacing w:after="0" w:line="87" w:lineRule="exact"/>
        <w:rPr>
          <w:sz w:val="20"/>
          <w:szCs w:val="20"/>
          <w:color w:val="auto"/>
        </w:rPr>
      </w:pPr>
    </w:p>
    <w:p>
      <w:pPr>
        <w:ind w:right="220" w:firstLine="505"/>
        <w:spacing w:after="0" w:line="277" w:lineRule="auto"/>
        <w:rPr>
          <w:sz w:val="20"/>
          <w:szCs w:val="20"/>
          <w:color w:val="auto"/>
        </w:rPr>
      </w:pPr>
      <w:r>
        <w:rPr>
          <w:rFonts w:ascii="Arial" w:cs="Arial" w:eastAsia="Arial" w:hAnsi="Arial"/>
          <w:sz w:val="14"/>
          <w:szCs w:val="14"/>
          <w:color w:val="auto"/>
        </w:rPr>
        <w:t>As of June 30, 2017, we had cash and cash equivalents of approximately $4.8 million. Our current assets were approximately $12.3 million, and our current liabilities were approximately $8.2 million. Total shareholders’ equity as of June 30, 2017 was approximately $5.3 million.</w:t>
      </w:r>
    </w:p>
    <w:p>
      <w:pPr>
        <w:spacing w:after="0" w:line="133" w:lineRule="exact"/>
        <w:rPr>
          <w:sz w:val="20"/>
          <w:szCs w:val="20"/>
          <w:color w:val="auto"/>
        </w:rPr>
      </w:pPr>
    </w:p>
    <w:p>
      <w:pPr>
        <w:ind w:firstLine="505"/>
        <w:spacing w:after="0" w:line="279" w:lineRule="auto"/>
        <w:rPr>
          <w:sz w:val="20"/>
          <w:szCs w:val="20"/>
          <w:color w:val="auto"/>
        </w:rPr>
      </w:pPr>
      <w:r>
        <w:rPr>
          <w:rFonts w:ascii="Arial" w:cs="Arial" w:eastAsia="Arial" w:hAnsi="Arial"/>
          <w:sz w:val="13"/>
          <w:szCs w:val="13"/>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2017, cash and cash equivalents of approximately $4.2 million, $0.1 million, $0.1 million and $0.4 million were held by the Company and its subsidiaries in mainland PRC, Singapore, Australia and Hong Kong, respectively. As of December 31, 2017, the Company had $ 4,384,139, $ 47,432, $ 44,794, $134,880 and $ 47,792 of cash and cash equivalents on deposit at financial institutions in mainland PRC, Singapore, Australia, Hong Kong and Taiwan,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36" w:lineRule="exact"/>
        <w:rPr>
          <w:sz w:val="20"/>
          <w:szCs w:val="20"/>
          <w:color w:val="auto"/>
        </w:rPr>
      </w:pPr>
    </w:p>
    <w:p>
      <w:pPr>
        <w:ind w:right="60" w:firstLine="505"/>
        <w:spacing w:after="0" w:line="282" w:lineRule="auto"/>
        <w:rPr>
          <w:sz w:val="20"/>
          <w:szCs w:val="20"/>
          <w:color w:val="auto"/>
        </w:rPr>
      </w:pPr>
      <w:r>
        <w:rPr>
          <w:rFonts w:ascii="Arial" w:cs="Arial" w:eastAsia="Arial" w:hAnsi="Arial"/>
          <w:sz w:val="13"/>
          <w:szCs w:val="13"/>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For years ended June 30, 2017 and 2016, our operating cash flow was positive. Our operating cash flow was negative for the six months ended December 31, 2017 but positive for the period of 2016. We have historically funded our working capital needs primarily from operations, advance payments from customers and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1780" w:type="dxa"/>
            <w:vAlign w:val="bottom"/>
            <w:gridSpan w:val="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7"/>
        </w:trPr>
        <w:tc>
          <w:tcPr>
            <w:tcW w:w="320" w:type="dxa"/>
            <w:vAlign w:val="bottom"/>
          </w:tcPr>
          <w:p>
            <w:pPr>
              <w:spacing w:after="0"/>
              <w:rPr>
                <w:sz w:val="24"/>
                <w:szCs w:val="24"/>
                <w:color w:val="auto"/>
              </w:rPr>
            </w:pPr>
          </w:p>
        </w:tc>
        <w:tc>
          <w:tcPr>
            <w:tcW w:w="5760" w:type="dxa"/>
            <w:vAlign w:val="bottom"/>
            <w:gridSpan w:val="3"/>
          </w:tcPr>
          <w:p>
            <w:pPr>
              <w:ind w:left="180"/>
              <w:spacing w:after="0"/>
              <w:rPr>
                <w:sz w:val="20"/>
                <w:szCs w:val="20"/>
                <w:color w:val="auto"/>
              </w:rPr>
            </w:pPr>
            <w:r>
              <w:rPr>
                <w:rFonts w:ascii="Arial" w:cs="Arial" w:eastAsia="Arial" w:hAnsi="Arial"/>
                <w:sz w:val="14"/>
                <w:szCs w:val="14"/>
                <w:color w:val="auto"/>
              </w:rPr>
              <w:t>The following table sets forth summary of our cash flows for the periods indicated:</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2"/>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Years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For the six months ended</w:t>
            </w:r>
          </w:p>
        </w:tc>
      </w:tr>
      <w:tr>
        <w:trPr>
          <w:trHeight w:val="184"/>
        </w:trPr>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80"/>
        </w:trPr>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69"/>
        </w:trPr>
        <w:tc>
          <w:tcPr>
            <w:tcW w:w="3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CCEEFF"/>
            </w:tcBorders>
          </w:tcPr>
          <w:p>
            <w:pPr>
              <w:spacing w:after="0"/>
              <w:rPr>
                <w:sz w:val="14"/>
                <w:szCs w:val="14"/>
                <w:color w:val="auto"/>
              </w:rPr>
            </w:pPr>
          </w:p>
        </w:tc>
      </w:tr>
      <w:tr>
        <w:trPr>
          <w:trHeight w:val="188"/>
        </w:trPr>
        <w:tc>
          <w:tcPr>
            <w:tcW w:w="60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624,344</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4,462,268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(137,467</w:t>
            </w:r>
          </w:p>
        </w:tc>
        <w:tc>
          <w:tcPr>
            <w:tcW w:w="120" w:type="dxa"/>
            <w:vAlign w:val="bottom"/>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740,065</w:t>
            </w:r>
          </w:p>
        </w:tc>
        <w:tc>
          <w:tcPr>
            <w:tcW w:w="100" w:type="dxa"/>
            <w:vAlign w:val="bottom"/>
            <w:shd w:val="clear" w:color="auto" w:fill="CCEEFF"/>
          </w:tcPr>
          <w:p>
            <w:pPr>
              <w:spacing w:after="0"/>
              <w:rPr>
                <w:sz w:val="16"/>
                <w:szCs w:val="16"/>
                <w:color w:val="auto"/>
              </w:rPr>
            </w:pPr>
          </w:p>
        </w:tc>
      </w:tr>
      <w:tr>
        <w:trPr>
          <w:trHeight w:val="150"/>
        </w:trPr>
        <w:tc>
          <w:tcPr>
            <w:tcW w:w="1780" w:type="dxa"/>
            <w:vAlign w:val="bottom"/>
            <w:tcBorders>
              <w:top w:val="single" w:sz="8" w:color="CCEEFF"/>
              <w:bottom w:val="single" w:sz="8" w:color="CCEEFF"/>
            </w:tcBorders>
            <w:gridSpan w:val="3"/>
          </w:tcPr>
          <w:p>
            <w:pPr>
              <w:spacing w:after="0" w:line="149" w:lineRule="exact"/>
              <w:rPr>
                <w:sz w:val="20"/>
                <w:szCs w:val="20"/>
                <w:color w:val="auto"/>
              </w:rPr>
            </w:pPr>
            <w:r>
              <w:rPr>
                <w:rFonts w:ascii="Arial" w:cs="Arial" w:eastAsia="Arial" w:hAnsi="Arial"/>
                <w:sz w:val="14"/>
                <w:szCs w:val="14"/>
                <w:color w:val="auto"/>
                <w:w w:val="92"/>
              </w:rPr>
              <w:t>Net cash (used in) provided by</w:t>
            </w:r>
          </w:p>
        </w:tc>
        <w:tc>
          <w:tcPr>
            <w:tcW w:w="4300" w:type="dxa"/>
            <w:vAlign w:val="bottom"/>
            <w:tcBorders>
              <w:top w:val="single" w:sz="8" w:color="CCEEFF"/>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investing activities</w:t>
            </w: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(101,218</w:t>
            </w:r>
          </w:p>
        </w:tc>
        <w:tc>
          <w:tcPr>
            <w:tcW w:w="240" w:type="dxa"/>
            <w:vAlign w:val="bottom"/>
            <w:tcBorders>
              <w:top w:val="single" w:sz="8" w:color="CCEEFF"/>
              <w:bottom w:val="single" w:sz="8" w:color="CCEEFF"/>
            </w:tcBorders>
          </w:tcPr>
          <w:p>
            <w:pPr>
              <w:jc w:val="right"/>
              <w:ind w:right="110"/>
              <w:spacing w:after="0" w:line="149" w:lineRule="exact"/>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(374,348</w:t>
            </w:r>
          </w:p>
        </w:tc>
        <w:tc>
          <w:tcPr>
            <w:tcW w:w="14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(219,693</w:t>
            </w:r>
          </w:p>
        </w:tc>
        <w:tc>
          <w:tcPr>
            <w:tcW w:w="12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236,476</w:t>
            </w:r>
          </w:p>
        </w:tc>
        <w:tc>
          <w:tcPr>
            <w:tcW w:w="100" w:type="dxa"/>
            <w:vAlign w:val="bottom"/>
            <w:tcBorders>
              <w:top w:val="single" w:sz="8" w:color="CCEEFF"/>
              <w:bottom w:val="single" w:sz="8" w:color="CCEEFF"/>
            </w:tcBorders>
          </w:tcPr>
          <w:p>
            <w:pPr>
              <w:spacing w:after="0"/>
              <w:rPr>
                <w:sz w:val="13"/>
                <w:szCs w:val="13"/>
                <w:color w:val="auto"/>
              </w:rPr>
            </w:pPr>
          </w:p>
        </w:tc>
      </w:tr>
      <w:tr>
        <w:trPr>
          <w:trHeight w:val="188"/>
        </w:trPr>
        <w:tc>
          <w:tcPr>
            <w:tcW w:w="1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2"/>
              </w:rPr>
              <w:t>Net cash (used in) provided by</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(832,752</w:t>
            </w:r>
          </w:p>
        </w:tc>
        <w:tc>
          <w:tcPr>
            <w:tcW w:w="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84"/>
              </w:rPr>
              <w:t>)</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(378,837</w:t>
            </w:r>
          </w:p>
        </w:tc>
        <w:tc>
          <w:tcPr>
            <w:tcW w:w="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(13,730</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170,232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50"/>
        </w:trPr>
        <w:tc>
          <w:tcPr>
            <w:tcW w:w="178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color w:val="auto"/>
                <w:w w:val="90"/>
              </w:rPr>
              <w:t>Effect of exchange rate change</w:t>
            </w:r>
          </w:p>
        </w:tc>
        <w:tc>
          <w:tcPr>
            <w:tcW w:w="43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(153,002</w:t>
            </w:r>
          </w:p>
        </w:tc>
        <w:tc>
          <w:tcPr>
            <w:tcW w:w="240" w:type="dxa"/>
            <w:vAlign w:val="bottom"/>
            <w:tcBorders>
              <w:bottom w:val="single" w:sz="8" w:color="CCEEFF"/>
            </w:tcBorders>
          </w:tcPr>
          <w:p>
            <w:pPr>
              <w:jc w:val="right"/>
              <w:ind w:right="110"/>
              <w:spacing w:after="0" w:line="149" w:lineRule="exact"/>
              <w:rPr>
                <w:sz w:val="20"/>
                <w:szCs w:val="20"/>
                <w:color w:val="auto"/>
              </w:rPr>
            </w:pPr>
            <w:r>
              <w:rPr>
                <w:rFonts w:ascii="Arial" w:cs="Arial" w:eastAsia="Arial" w:hAnsi="Arial"/>
                <w:sz w:val="14"/>
                <w:szCs w:val="14"/>
                <w:color w:val="auto"/>
                <w:w w:val="84"/>
              </w:rPr>
              <w:t>)</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(227,771</w:t>
            </w:r>
          </w:p>
        </w:tc>
        <w:tc>
          <w:tcPr>
            <w:tcW w:w="140" w:type="dxa"/>
            <w:vAlign w:val="bottom"/>
            <w:tcBorders>
              <w:bottom w:val="single" w:sz="8" w:color="CCEEFF"/>
            </w:tcBorders>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215,359</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(120,034</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68"/>
        </w:trPr>
        <w:tc>
          <w:tcPr>
            <w:tcW w:w="17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89"/>
              </w:rPr>
              <w:t>Net (decrease) increase in cash</w:t>
            </w:r>
          </w:p>
        </w:tc>
        <w:tc>
          <w:tcPr>
            <w:tcW w:w="4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(462,628)</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3,481,312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1,026,739</w:t>
            </w:r>
          </w:p>
        </w:tc>
        <w:tc>
          <w:tcPr>
            <w:tcW w:w="100" w:type="dxa"/>
            <w:vAlign w:val="bottom"/>
            <w:shd w:val="clear" w:color="auto" w:fill="CCEEFF"/>
          </w:tcPr>
          <w:p>
            <w:pPr>
              <w:spacing w:after="0"/>
              <w:rPr>
                <w:sz w:val="14"/>
                <w:szCs w:val="14"/>
                <w:color w:val="auto"/>
              </w:rPr>
            </w:pPr>
          </w:p>
        </w:tc>
      </w:tr>
      <w:tr>
        <w:trPr>
          <w:trHeight w:val="180"/>
        </w:trPr>
        <w:tc>
          <w:tcPr>
            <w:tcW w:w="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1"/>
              </w:rPr>
              <w:t>Cash</w:t>
            </w:r>
          </w:p>
        </w:tc>
        <w:tc>
          <w:tcPr>
            <w:tcW w:w="57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and cash equivalents, beginning of period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5,277,196</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1,795,884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4,814,568</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5,277,196</w:t>
            </w:r>
          </w:p>
        </w:tc>
        <w:tc>
          <w:tcPr>
            <w:tcW w:w="100" w:type="dxa"/>
            <w:vAlign w:val="bottom"/>
            <w:tcBorders>
              <w:bottom w:val="single" w:sz="8" w:color="CCEEFF"/>
            </w:tcBorders>
          </w:tcPr>
          <w:p>
            <w:pPr>
              <w:spacing w:after="0"/>
              <w:rPr>
                <w:sz w:val="15"/>
                <w:szCs w:val="15"/>
                <w:color w:val="auto"/>
              </w:rPr>
            </w:pPr>
          </w:p>
        </w:tc>
      </w:tr>
      <w:tr>
        <w:trPr>
          <w:trHeight w:val="190"/>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w w:val="91"/>
              </w:rPr>
              <w:t>Cash</w:t>
            </w:r>
          </w:p>
        </w:tc>
        <w:tc>
          <w:tcPr>
            <w:tcW w:w="5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and cash equivalents, end of period</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4,814,568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5,277,196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4,659,037</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6,303,935</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76" w:lineRule="exact"/>
        <w:rPr>
          <w:sz w:val="20"/>
          <w:szCs w:val="20"/>
          <w:color w:val="auto"/>
        </w:rPr>
      </w:pPr>
    </w:p>
    <w:p>
      <w:pPr>
        <w:ind w:right="20" w:firstLine="505"/>
        <w:spacing w:after="0" w:line="282" w:lineRule="auto"/>
        <w:rPr>
          <w:sz w:val="20"/>
          <w:szCs w:val="20"/>
          <w:color w:val="auto"/>
        </w:rPr>
      </w:pPr>
      <w:r>
        <w:rPr>
          <w:rFonts w:ascii="Arial" w:cs="Arial" w:eastAsia="Arial" w:hAnsi="Arial"/>
          <w:sz w:val="13"/>
          <w:szCs w:val="13"/>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During fiscal 2017, our revenue turnover in days was 65 days, slightly increased from 64 days in fiscal 2016. The adjustments for changes in operating assets and liabilities also included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pacing w:after="0" w:line="132" w:lineRule="exact"/>
        <w:rPr>
          <w:sz w:val="20"/>
          <w:szCs w:val="20"/>
          <w:color w:val="auto"/>
        </w:rPr>
      </w:pPr>
    </w:p>
    <w:p>
      <w:pPr>
        <w:ind w:firstLine="505"/>
        <w:spacing w:after="0" w:line="302" w:lineRule="auto"/>
        <w:rPr>
          <w:sz w:val="20"/>
          <w:szCs w:val="20"/>
          <w:color w:val="auto"/>
        </w:rPr>
      </w:pPr>
      <w:r>
        <w:rPr>
          <w:rFonts w:ascii="Arial" w:cs="Arial" w:eastAsia="Arial" w:hAnsi="Arial"/>
          <w:sz w:val="12"/>
          <w:szCs w:val="12"/>
          <w:color w:val="auto"/>
        </w:rPr>
        <w:t>Net cash provided by operating activities for the year ended June 30, 2016 was approximately $4.5 million, which was primarily attributable to net income of approximately $1.8 million, adjusted for non-cash items for approximately $0.04 million and positive adjustments for changes in working capital of approximately $2.7 million. The adjustments for changes in working capital mainly included</w:t>
      </w:r>
    </w:p>
    <w:p>
      <w:pPr>
        <w:ind w:right="100" w:firstLine="4"/>
        <w:spacing w:after="0" w:line="261" w:lineRule="auto"/>
        <w:tabs>
          <w:tab w:leader="none" w:pos="167"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decrease in accounts receivable of approximately $1.1 million due to an increase in sales collections in fiscal 2016, (ii) increase in salaries and benefits payable of $1.0 million due to unpaid employee compensation and benefits and (iii) decrease in prepayment of approximately $0.4 million due to utilization in our operation.</w:t>
      </w:r>
    </w:p>
    <w:p>
      <w:pPr>
        <w:spacing w:after="0" w:line="144" w:lineRule="exact"/>
        <w:rPr>
          <w:sz w:val="20"/>
          <w:szCs w:val="20"/>
          <w:color w:val="auto"/>
        </w:rPr>
      </w:pPr>
    </w:p>
    <w:p>
      <w:pPr>
        <w:ind w:right="80" w:firstLine="505"/>
        <w:spacing w:after="0" w:line="282" w:lineRule="auto"/>
        <w:rPr>
          <w:sz w:val="20"/>
          <w:szCs w:val="20"/>
          <w:color w:val="auto"/>
        </w:rPr>
      </w:pPr>
      <w:r>
        <w:rPr>
          <w:rFonts w:ascii="Arial" w:cs="Arial" w:eastAsia="Arial" w:hAnsi="Arial"/>
          <w:sz w:val="13"/>
          <w:szCs w:val="13"/>
          <w:color w:val="auto"/>
        </w:rPr>
        <w:t>Net cash used in operating activities was approximately $0.1 million for the six months ended December 31, 2017, including net income of $1.3 million, adjusted for non-cash items of $0.2 million and negative adjustments for changes in operating assets and liabilities of $1.6 million. The adjustments for changes in operating assets and liabilities mainly included an increase in accounts receivable of $4.1 million due to increased sales for the six months ended December 31, 2017. For the six months ended December 31, 2017, our revenue turnover in days was 72 days, an increase from 65 days for the period of 2016. The adjustments for changes in operating assets and liabilities also included an increase in deferred costs of $0.2 million for project progress, and offset with an increase in salaries and benefits payable of $1.8 million due to unpaid employee compensation and benefits for the six months ended December 31, 2017.</w:t>
      </w:r>
    </w:p>
    <w:p>
      <w:pPr>
        <w:spacing w:after="0" w:line="132" w:lineRule="exact"/>
        <w:rPr>
          <w:sz w:val="20"/>
          <w:szCs w:val="20"/>
          <w:color w:val="auto"/>
        </w:rPr>
      </w:pPr>
    </w:p>
    <w:p>
      <w:pPr>
        <w:ind w:right="20" w:firstLine="505"/>
        <w:spacing w:after="0" w:line="257" w:lineRule="auto"/>
        <w:rPr>
          <w:sz w:val="20"/>
          <w:szCs w:val="20"/>
          <w:color w:val="auto"/>
        </w:rPr>
      </w:pPr>
      <w:r>
        <w:rPr>
          <w:rFonts w:ascii="Arial" w:cs="Arial" w:eastAsia="Arial" w:hAnsi="Arial"/>
          <w:sz w:val="14"/>
          <w:szCs w:val="14"/>
          <w:color w:val="auto"/>
        </w:rPr>
        <w:t>Net cash provided by operating activities for the six months ended December 31, 2016 was approximately $0.7 million, which was primarily attributable to net income of approximately $1.0 million, adjusted for non-cash items for approximately $0.01 million and negative adjustments for changes in working capital of approximately $0.3 million. The adjustments for changes in working capital mainly included (i) increase in accounts receivable of approximately $1.5 million due to an increase in revenues and slight reduction in accounts receivable collections for the six months ended December 31, 2016, (ii) increase in salaries and benefits payable of $0.9 million due to unpaid employee compensation and benefits and (iii) increase in accounts payable and other payable of $0.2 million due to the accrued cost of IT solutions services.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00" w:right="21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7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cash used in investing activities was approximately $0.4 million in fiscal 2016, primarily due to our purchases of office equipment and furniture.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For the six months ended December 31, 2017, net cash used in investing activities was approximately $0.2 million, primarily due to our purchases of office equipment and furniture.</w:t>
      </w:r>
    </w:p>
    <w:p>
      <w:pPr>
        <w:spacing w:after="0" w:line="187" w:lineRule="exact"/>
        <w:rPr>
          <w:sz w:val="20"/>
          <w:szCs w:val="20"/>
          <w:color w:val="auto"/>
        </w:rPr>
      </w:pPr>
    </w:p>
    <w:p>
      <w:pPr>
        <w:ind w:right="280" w:firstLine="505"/>
        <w:spacing w:after="0" w:line="277" w:lineRule="auto"/>
        <w:rPr>
          <w:sz w:val="20"/>
          <w:szCs w:val="20"/>
          <w:color w:val="auto"/>
        </w:rPr>
      </w:pPr>
      <w:r>
        <w:rPr>
          <w:rFonts w:ascii="Arial" w:cs="Arial" w:eastAsia="Arial" w:hAnsi="Arial"/>
          <w:sz w:val="14"/>
          <w:szCs w:val="14"/>
          <w:color w:val="auto"/>
        </w:rPr>
        <w:t>For the six months ended December 31, 2016, net cash provided by investing activities was approximately $0.2 million primarily due to our acquisition of Judge China in November, 2016 to better manage opportunities and capitalize on the growth potential in the human resource related industry in China.</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76" w:lineRule="exact"/>
        <w:rPr>
          <w:sz w:val="20"/>
          <w:szCs w:val="20"/>
          <w:color w:val="auto"/>
        </w:rPr>
      </w:pPr>
    </w:p>
    <w:p>
      <w:pPr>
        <w:ind w:right="280" w:firstLine="505"/>
        <w:spacing w:after="0" w:line="277" w:lineRule="auto"/>
        <w:rPr>
          <w:sz w:val="20"/>
          <w:szCs w:val="20"/>
          <w:color w:val="auto"/>
        </w:rPr>
      </w:pPr>
      <w:r>
        <w:rPr>
          <w:rFonts w:ascii="Arial" w:cs="Arial" w:eastAsia="Arial" w:hAnsi="Arial"/>
          <w:sz w:val="14"/>
          <w:szCs w:val="14"/>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33" w:lineRule="exact"/>
        <w:rPr>
          <w:sz w:val="20"/>
          <w:szCs w:val="20"/>
          <w:color w:val="auto"/>
        </w:rPr>
      </w:pPr>
    </w:p>
    <w:p>
      <w:pPr>
        <w:ind w:right="320" w:firstLine="505"/>
        <w:spacing w:after="0" w:line="277" w:lineRule="auto"/>
        <w:rPr>
          <w:sz w:val="20"/>
          <w:szCs w:val="20"/>
          <w:color w:val="auto"/>
        </w:rPr>
      </w:pPr>
      <w:r>
        <w:rPr>
          <w:rFonts w:ascii="Arial" w:cs="Arial" w:eastAsia="Arial" w:hAnsi="Arial"/>
          <w:sz w:val="14"/>
          <w:szCs w:val="14"/>
          <w:color w:val="auto"/>
        </w:rPr>
        <w:t>Net cash used in financing activities was approximately $0.4 million in fiscal 2016. In fiscal 2016, proceeds from our shareholder’s contributions amounted to $2.1 million, and collection of restricted cash of $2.5 million. We paid $5.3 million of dividends to our existing shareholders.</w:t>
      </w:r>
    </w:p>
    <w:p>
      <w:pPr>
        <w:spacing w:after="0" w:line="133" w:lineRule="exact"/>
        <w:rPr>
          <w:sz w:val="20"/>
          <w:szCs w:val="20"/>
          <w:color w:val="auto"/>
        </w:rPr>
      </w:pPr>
    </w:p>
    <w:p>
      <w:pPr>
        <w:ind w:right="200" w:firstLine="505"/>
        <w:spacing w:after="0" w:line="277" w:lineRule="auto"/>
        <w:rPr>
          <w:sz w:val="20"/>
          <w:szCs w:val="20"/>
          <w:color w:val="auto"/>
        </w:rPr>
      </w:pPr>
      <w:r>
        <w:rPr>
          <w:rFonts w:ascii="Arial" w:cs="Arial" w:eastAsia="Arial" w:hAnsi="Arial"/>
          <w:sz w:val="14"/>
          <w:szCs w:val="14"/>
          <w:color w:val="auto"/>
        </w:rPr>
        <w:t>Net cash used in financing activities was approximately $0.01 million for the six months ended December 31, 2017. During the period of 2017, we borrowed bank loans of approximately $2.2 million, repaid loans of approximately $1.5 million, and paid $0.6 million of dividends to our existing shareholders.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Net cash provided in financing activities was approximately $0.2 million for the six months ended December 31, 2016. They were primarily proceeds from our shareholder’s contributions.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Expenditures</w:t>
      </w:r>
    </w:p>
    <w:p>
      <w:pPr>
        <w:spacing w:after="0" w:line="176" w:lineRule="exact"/>
        <w:rPr>
          <w:sz w:val="20"/>
          <w:szCs w:val="20"/>
          <w:color w:val="auto"/>
        </w:rPr>
      </w:pPr>
    </w:p>
    <w:p>
      <w:pPr>
        <w:ind w:right="120" w:firstLine="505"/>
        <w:spacing w:after="0" w:line="277" w:lineRule="auto"/>
        <w:rPr>
          <w:sz w:val="20"/>
          <w:szCs w:val="20"/>
          <w:color w:val="auto"/>
        </w:rPr>
      </w:pPr>
      <w:r>
        <w:rPr>
          <w:rFonts w:ascii="Arial" w:cs="Arial" w:eastAsia="Arial" w:hAnsi="Arial"/>
          <w:sz w:val="14"/>
          <w:szCs w:val="14"/>
          <w:color w:val="auto"/>
        </w:rPr>
        <w:t>The Company made capital expenditures of $0.06 million and $0.3 million for the years ended June 30, 2017 and 2016, respectively. In these periods, our capital expenditures were mainly used for purchases of office equipment. The Company will continue to make capital expenditures to meet the expected growth of its business.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20" w:firstLine="505"/>
        <w:spacing w:after="0" w:line="277" w:lineRule="auto"/>
        <w:rPr>
          <w:sz w:val="20"/>
          <w:szCs w:val="20"/>
          <w:color w:val="auto"/>
        </w:rPr>
      </w:pPr>
      <w:r>
        <w:rPr>
          <w:rFonts w:ascii="Arial" w:cs="Arial" w:eastAsia="Arial" w:hAnsi="Arial"/>
          <w:sz w:val="14"/>
          <w:szCs w:val="14"/>
          <w:color w:val="auto"/>
        </w:rPr>
        <w:t>The Company made capital expenditures of $0.2 million and $0.03 million for the six months ended December 31, 2017 and 2016, respectively. In these periods, our capital expenditures were mainly used for purchases of office equipment. The Company will continue to make capital expenditures to meet the expected growth of its business.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Inflation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do not believe the impact of inflation on our company is material. Our operations are in China and China’s inflation rates have been relatively stable over the last two years: 1.4% in 2016 and</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2.0% in 2015. Our operations are in China and China’s inflation rates have been relatively stable over the last two years: 1.6% in 2017 and 1.4% in 2016.</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76" w:lineRule="exact"/>
        <w:rPr>
          <w:sz w:val="20"/>
          <w:szCs w:val="20"/>
          <w:color w:val="auto"/>
        </w:rPr>
      </w:pPr>
    </w:p>
    <w:p>
      <w:pPr>
        <w:ind w:right="520" w:firstLine="505"/>
        <w:spacing w:after="0" w:line="277" w:lineRule="auto"/>
        <w:rPr>
          <w:sz w:val="20"/>
          <w:szCs w:val="20"/>
          <w:color w:val="auto"/>
        </w:rPr>
      </w:pPr>
      <w:r>
        <w:rPr>
          <w:rFonts w:ascii="Arial" w:cs="Arial" w:eastAsia="Arial" w:hAnsi="Arial"/>
          <w:sz w:val="14"/>
          <w:szCs w:val="14"/>
          <w:color w:val="auto"/>
        </w:rPr>
        <w:t>The Company’s subsidiaries lease office spaces under various operating leases. Operating lease expense amounted to $565,328 and $431,043 for the years ended June 30, 2017 and 2016, respectively. The following table sets forth our contractual obligations and commercial commitments as of June 30, 2017: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Payment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4"/>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88"/>
              </w:rPr>
              <w:t>Less than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6"/>
                <w:szCs w:val="16"/>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9"/>
              </w:rPr>
              <w:t>More than 5 Years</w:t>
            </w:r>
          </w:p>
        </w:tc>
      </w:tr>
      <w:tr>
        <w:trPr>
          <w:trHeight w:val="168"/>
        </w:trPr>
        <w:tc>
          <w:tcPr>
            <w:tcW w:w="4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arrangements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931,047</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520,637</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410,410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r>
      <w:tr>
        <w:trPr>
          <w:trHeight w:val="150"/>
        </w:trPr>
        <w:tc>
          <w:tcPr>
            <w:tcW w:w="470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931,047</w:t>
            </w: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520,637</w:t>
            </w: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5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410,410</w:t>
            </w: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tcPr>
          <w:p>
            <w:pPr>
              <w:spacing w:after="0"/>
              <w:rPr>
                <w:sz w:val="13"/>
                <w:szCs w:val="13"/>
                <w:color w:val="auto"/>
              </w:rPr>
            </w:pPr>
          </w:p>
        </w:tc>
        <w:tc>
          <w:tcPr>
            <w:tcW w:w="20" w:type="dxa"/>
            <w:vAlign w:val="bottom"/>
            <w:tcBorders>
              <w:top w:val="single" w:sz="8" w:color="CCEEFF"/>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bl>
    <w:p>
      <w:pPr>
        <w:spacing w:after="0" w:line="158" w:lineRule="exact"/>
        <w:rPr>
          <w:sz w:val="20"/>
          <w:szCs w:val="20"/>
          <w:color w:val="auto"/>
        </w:rPr>
      </w:pPr>
    </w:p>
    <w:p>
      <w:pPr>
        <w:ind w:right="20" w:firstLine="505"/>
        <w:spacing w:after="0" w:line="264" w:lineRule="auto"/>
        <w:rPr>
          <w:sz w:val="20"/>
          <w:szCs w:val="20"/>
          <w:color w:val="auto"/>
        </w:rPr>
      </w:pPr>
      <w:r>
        <w:rPr>
          <w:rFonts w:ascii="Arial" w:cs="Arial" w:eastAsia="Arial" w:hAnsi="Arial"/>
          <w:sz w:val="14"/>
          <w:szCs w:val="14"/>
          <w:color w:val="auto"/>
        </w:rPr>
        <w:t>Operating lease expense amounted to $310,505 and $ 244,458 for the six months ended December 31, 2017 and 2016, respectively. Outstanding balance of short-term bank loans was $753,116 as of December 31, 2017. Interest expense was $14,681 and Nil for the six months ended December 31, 2017 and 2016, respectively. The following table sets forth our contractual obligations and commercial commitments as of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663"/>
              <w:spacing w:after="0"/>
              <w:rPr>
                <w:sz w:val="20"/>
                <w:szCs w:val="20"/>
                <w:color w:val="auto"/>
              </w:rPr>
            </w:pPr>
            <w:r>
              <w:rPr>
                <w:rFonts w:ascii="Arial" w:cs="Arial" w:eastAsia="Arial" w:hAnsi="Arial"/>
                <w:sz w:val="14"/>
                <w:szCs w:val="14"/>
                <w:b w:val="1"/>
                <w:bCs w:val="1"/>
                <w:color w:val="auto"/>
              </w:rPr>
              <w:t>Payment Due by Period (Unaudited)</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4"/>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8"/>
              </w:rPr>
              <w:t>Less than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960" w:type="dxa"/>
            <w:vAlign w:val="bottom"/>
          </w:tcPr>
          <w:p>
            <w:pPr>
              <w:jc w:val="right"/>
              <w:ind w:right="63"/>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More than 5 Years</w:t>
            </w:r>
          </w:p>
        </w:tc>
      </w:tr>
      <w:tr>
        <w:trPr>
          <w:trHeight w:val="168"/>
        </w:trPr>
        <w:tc>
          <w:tcPr>
            <w:tcW w:w="4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Short-term bank loans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2,681,240</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2,681,240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4700" w:type="dxa"/>
            <w:vAlign w:val="bottom"/>
          </w:tcPr>
          <w:p>
            <w:pPr>
              <w:spacing w:after="0"/>
              <w:rPr>
                <w:sz w:val="20"/>
                <w:szCs w:val="20"/>
                <w:color w:val="auto"/>
              </w:rPr>
            </w:pPr>
            <w:r>
              <w:rPr>
                <w:rFonts w:ascii="Arial" w:cs="Arial" w:eastAsia="Arial" w:hAnsi="Arial"/>
                <w:sz w:val="14"/>
                <w:szCs w:val="14"/>
                <w:color w:val="auto"/>
              </w:rPr>
              <w:t>Operating lease arrangements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785,431</w:t>
            </w:r>
          </w:p>
        </w:tc>
        <w:tc>
          <w:tcPr>
            <w:tcW w:w="28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543,174</w:t>
            </w:r>
          </w:p>
        </w:tc>
        <w:tc>
          <w:tcPr>
            <w:tcW w:w="30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242,257</w:t>
            </w:r>
          </w:p>
        </w:tc>
        <w:tc>
          <w:tcPr>
            <w:tcW w:w="240" w:type="dxa"/>
            <w:vAlign w:val="bottom"/>
          </w:tcPr>
          <w:p>
            <w:pPr>
              <w:spacing w:after="0"/>
              <w:rPr>
                <w:sz w:val="15"/>
                <w:szCs w:val="15"/>
                <w:color w:val="auto"/>
              </w:rPr>
            </w:pPr>
          </w:p>
        </w:tc>
        <w:tc>
          <w:tcPr>
            <w:tcW w:w="960" w:type="dxa"/>
            <w:vAlign w:val="bottom"/>
          </w:tcPr>
          <w:p>
            <w:pPr>
              <w:jc w:val="right"/>
              <w:ind w:right="843"/>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3,466,671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3,224,414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242,257</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506"/>
        </w:trPr>
        <w:tc>
          <w:tcPr>
            <w:tcW w:w="4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13" w:right="21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Commitments and Arrangements</w:t>
      </w:r>
    </w:p>
    <w:p>
      <w:pPr>
        <w:spacing w:after="0" w:line="176" w:lineRule="exact"/>
        <w:rPr>
          <w:sz w:val="20"/>
          <w:szCs w:val="20"/>
          <w:color w:val="auto"/>
        </w:rPr>
      </w:pPr>
    </w:p>
    <w:p>
      <w:pPr>
        <w:ind w:right="20" w:firstLine="505"/>
        <w:spacing w:after="0" w:line="277" w:lineRule="auto"/>
        <w:rPr>
          <w:sz w:val="20"/>
          <w:szCs w:val="20"/>
          <w:color w:val="auto"/>
        </w:rPr>
      </w:pPr>
      <w:r>
        <w:rPr>
          <w:rFonts w:ascii="Arial" w:cs="Arial" w:eastAsia="Arial" w:hAnsi="Arial"/>
          <w:sz w:val="14"/>
          <w:szCs w:val="14"/>
          <w:color w:val="auto"/>
        </w:rPr>
        <w:t>There were no off-balance sheet arrangements for the years ended June 30, 2017 and 2016 and for the six months ended December 31, 2017, 2016 that have or that in the opinion of management are likely to have, a current or future material effect on our financial condition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Critical Accounting Policies</w:t>
      </w:r>
    </w:p>
    <w:p>
      <w:pPr>
        <w:spacing w:after="0" w:line="180" w:lineRule="exact"/>
        <w:rPr>
          <w:sz w:val="20"/>
          <w:szCs w:val="20"/>
          <w:color w:val="auto"/>
        </w:rPr>
      </w:pPr>
    </w:p>
    <w:p>
      <w:pPr>
        <w:ind w:right="80" w:firstLine="505"/>
        <w:spacing w:after="0" w:line="257" w:lineRule="auto"/>
        <w:rPr>
          <w:sz w:val="20"/>
          <w:szCs w:val="20"/>
          <w:color w:val="auto"/>
        </w:rPr>
      </w:pPr>
      <w:r>
        <w:rPr>
          <w:rFonts w:ascii="Arial" w:cs="Arial" w:eastAsia="Arial" w:hAnsi="Arial"/>
          <w:sz w:val="14"/>
          <w:szCs w:val="14"/>
          <w:color w:val="auto"/>
        </w:rPr>
        <w:t>We prepare our consolidated financial statements in conformity with accounting principles generally accepted by the United States of America (“U.S. GAAP”), which requires us to make judgments, estimates and assumptions that affect our reported amount of assets, liabilities, revenue, costs and expenses, and any related disclosures. Although there were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48"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 and Assumptions</w:t>
      </w:r>
    </w:p>
    <w:p>
      <w:pPr>
        <w:spacing w:after="0" w:line="176" w:lineRule="exact"/>
        <w:rPr>
          <w:sz w:val="20"/>
          <w:szCs w:val="20"/>
          <w:color w:val="auto"/>
        </w:rPr>
      </w:pPr>
    </w:p>
    <w:p>
      <w:pPr>
        <w:ind w:right="40" w:firstLine="505"/>
        <w:spacing w:after="0" w:line="282" w:lineRule="auto"/>
        <w:rPr>
          <w:sz w:val="20"/>
          <w:szCs w:val="20"/>
          <w:color w:val="auto"/>
        </w:rPr>
      </w:pPr>
      <w:r>
        <w:rPr>
          <w:rFonts w:ascii="Arial" w:cs="Arial" w:eastAsia="Arial" w:hAnsi="Arial"/>
          <w:sz w:val="13"/>
          <w:szCs w:val="13"/>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Company provides a comprehensive range of IT services and solutions, the contracts for which are billed for primarily are on a time-and-expense basis, or fixed-price basis.</w:t>
      </w:r>
    </w:p>
    <w:p>
      <w:pPr>
        <w:spacing w:after="0" w:line="187" w:lineRule="exact"/>
        <w:rPr>
          <w:sz w:val="20"/>
          <w:szCs w:val="20"/>
          <w:color w:val="auto"/>
        </w:rPr>
      </w:pPr>
    </w:p>
    <w:p>
      <w:pPr>
        <w:ind w:right="140" w:firstLine="505"/>
        <w:spacing w:after="0" w:line="277" w:lineRule="auto"/>
        <w:rPr>
          <w:sz w:val="20"/>
          <w:szCs w:val="20"/>
          <w:color w:val="auto"/>
        </w:rPr>
      </w:pPr>
      <w:r>
        <w:rPr>
          <w:rFonts w:ascii="Arial" w:cs="Arial" w:eastAsia="Arial" w:hAnsi="Arial"/>
          <w:sz w:val="14"/>
          <w:szCs w:val="14"/>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Time-and-expense basis contracts</w:t>
      </w:r>
    </w:p>
    <w:p>
      <w:pPr>
        <w:spacing w:after="0" w:line="176"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Fixed-price basis contracts</w:t>
      </w:r>
    </w:p>
    <w:p>
      <w:pPr>
        <w:spacing w:after="0" w:line="176" w:lineRule="exact"/>
        <w:rPr>
          <w:sz w:val="20"/>
          <w:szCs w:val="20"/>
          <w:color w:val="auto"/>
        </w:rPr>
      </w:pPr>
    </w:p>
    <w:p>
      <w:pPr>
        <w:ind w:right="140" w:firstLine="505"/>
        <w:spacing w:after="0" w:line="286" w:lineRule="auto"/>
        <w:rPr>
          <w:sz w:val="20"/>
          <w:szCs w:val="20"/>
          <w:color w:val="auto"/>
        </w:rPr>
      </w:pPr>
      <w:r>
        <w:rPr>
          <w:rFonts w:ascii="Arial" w:cs="Arial" w:eastAsia="Arial" w:hAnsi="Arial"/>
          <w:sz w:val="13"/>
          <w:szCs w:val="13"/>
          <w:color w:val="auto"/>
        </w:rPr>
        <w:t>Revenues from fixed-price customized solution contracts require the Company to perform services for systems design, planning and integration based on customers’ specific needs. These solutions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of time ranging from three months to one year (“PCS period”) after the customized application is delivered. The type of service for PCS clause is generally not specified in the contract or stand-ready service on when-and-if-available basis.</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213" w:right="27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Company considers the following service elements in negotiating a fixed-fee solution contract:</w:t>
      </w:r>
    </w:p>
    <w:p>
      <w:pPr>
        <w:spacing w:after="0" w:line="176" w:lineRule="exact"/>
        <w:rPr>
          <w:sz w:val="20"/>
          <w:szCs w:val="20"/>
          <w:color w:val="auto"/>
        </w:rPr>
      </w:pPr>
    </w:p>
    <w:p>
      <w:pPr>
        <w:ind w:left="760" w:hanging="251"/>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Solution development service</w:t>
      </w:r>
    </w:p>
    <w:p>
      <w:pPr>
        <w:spacing w:after="0" w:line="175" w:lineRule="exact"/>
        <w:rPr>
          <w:rFonts w:ascii="Arial" w:cs="Arial" w:eastAsia="Arial" w:hAnsi="Arial"/>
          <w:sz w:val="14"/>
          <w:szCs w:val="14"/>
          <w:color w:val="auto"/>
        </w:rPr>
      </w:pPr>
    </w:p>
    <w:p>
      <w:pPr>
        <w:ind w:left="760" w:hanging="251"/>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PCS, and</w:t>
      </w:r>
    </w:p>
    <w:p>
      <w:pPr>
        <w:spacing w:after="0" w:line="175" w:lineRule="exact"/>
        <w:rPr>
          <w:rFonts w:ascii="Arial" w:cs="Arial" w:eastAsia="Arial" w:hAnsi="Arial"/>
          <w:sz w:val="14"/>
          <w:szCs w:val="14"/>
          <w:color w:val="auto"/>
        </w:rPr>
      </w:pPr>
    </w:p>
    <w:p>
      <w:pPr>
        <w:ind w:left="760" w:hanging="251"/>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Specific service such as training, if applicable</w:t>
      </w:r>
    </w:p>
    <w:p>
      <w:pPr>
        <w:spacing w:after="0" w:line="176" w:lineRule="exact"/>
        <w:rPr>
          <w:sz w:val="20"/>
          <w:szCs w:val="20"/>
          <w:color w:val="auto"/>
        </w:rPr>
      </w:pPr>
    </w:p>
    <w:p>
      <w:pPr>
        <w:ind w:firstLine="505"/>
        <w:spacing w:after="0" w:line="256" w:lineRule="auto"/>
        <w:rPr>
          <w:sz w:val="20"/>
          <w:szCs w:val="20"/>
          <w:color w:val="auto"/>
        </w:rPr>
      </w:pPr>
      <w:r>
        <w:rPr>
          <w:rFonts w:ascii="Arial" w:cs="Arial" w:eastAsia="Arial" w:hAnsi="Arial"/>
          <w:sz w:val="14"/>
          <w:szCs w:val="14"/>
          <w:color w:val="auto"/>
        </w:rPr>
        <w:t>For multiple-element arrangements that include application customized services and PCS as well as specific service components,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148" w:lineRule="exact"/>
        <w:rPr>
          <w:sz w:val="20"/>
          <w:szCs w:val="20"/>
          <w:color w:val="auto"/>
        </w:rPr>
      </w:pPr>
    </w:p>
    <w:p>
      <w:pPr>
        <w:ind w:firstLine="505"/>
        <w:spacing w:after="0" w:line="277" w:lineRule="auto"/>
        <w:rPr>
          <w:sz w:val="20"/>
          <w:szCs w:val="20"/>
          <w:color w:val="auto"/>
        </w:rPr>
      </w:pPr>
      <w:r>
        <w:rPr>
          <w:rFonts w:ascii="Arial" w:cs="Arial" w:eastAsia="Arial" w:hAnsi="Arial"/>
          <w:sz w:val="13"/>
          <w:szCs w:val="13"/>
          <w:color w:val="auto"/>
        </w:rPr>
        <w:t>Revenue allocated to solution development service components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to the customer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as the best available indicator of the pattern and timing in which contract obligations are fulfilled. Pursuant to the contract terms, the Company has enforceable rights to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35"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42"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Differences between the timing of billings and the recognition of revenue based on various methods of accounting are recorded as deferred revenue.</w:t>
      </w:r>
    </w:p>
    <w:p>
      <w:pPr>
        <w:spacing w:after="0" w:line="176" w:lineRule="exact"/>
        <w:rPr>
          <w:sz w:val="20"/>
          <w:szCs w:val="20"/>
          <w:color w:val="auto"/>
        </w:rPr>
      </w:pPr>
    </w:p>
    <w:p>
      <w:pPr>
        <w:ind w:right="60" w:firstLine="505"/>
        <w:spacing w:after="0" w:line="317" w:lineRule="auto"/>
        <w:rPr>
          <w:sz w:val="20"/>
          <w:szCs w:val="20"/>
          <w:color w:val="auto"/>
        </w:rPr>
      </w:pPr>
      <w:r>
        <w:rPr>
          <w:rFonts w:ascii="Arial" w:cs="Arial" w:eastAsia="Arial" w:hAnsi="Arial"/>
          <w:sz w:val="13"/>
          <w:szCs w:val="13"/>
          <w:color w:val="auto"/>
        </w:rPr>
        <w:t>Net 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176" w:lineRule="exact"/>
        <w:rPr>
          <w:sz w:val="20"/>
          <w:szCs w:val="20"/>
          <w:color w:val="auto"/>
        </w:rPr>
      </w:pPr>
    </w:p>
    <w:p>
      <w:pPr>
        <w:ind w:right="40" w:firstLine="505"/>
        <w:spacing w:after="0" w:line="259" w:lineRule="auto"/>
        <w:rPr>
          <w:sz w:val="20"/>
          <w:szCs w:val="20"/>
          <w:color w:val="auto"/>
        </w:rPr>
      </w:pPr>
      <w:r>
        <w:rPr>
          <w:rFonts w:ascii="Arial" w:cs="Arial" w:eastAsia="Arial" w:hAnsi="Arial"/>
          <w:sz w:val="14"/>
          <w:szCs w:val="14"/>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 off against the allowance for doubtful accounts after management has determined that the likelihood of collection is not probable.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Unbilled accounts receivable included in accounts receivable represent revenue earned on contracts to be billed, in subsequent periods, as per the terms of the related contracts.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w:t>
      </w:r>
    </w:p>
    <w:p>
      <w:pPr>
        <w:spacing w:after="0" w:line="176" w:lineRule="exact"/>
        <w:rPr>
          <w:sz w:val="20"/>
          <w:szCs w:val="20"/>
          <w:color w:val="auto"/>
        </w:rPr>
      </w:pPr>
    </w:p>
    <w:p>
      <w:pPr>
        <w:ind w:right="140" w:firstLine="505"/>
        <w:spacing w:after="0" w:line="264" w:lineRule="auto"/>
        <w:rPr>
          <w:sz w:val="20"/>
          <w:szCs w:val="20"/>
          <w:color w:val="auto"/>
        </w:rPr>
      </w:pPr>
      <w:r>
        <w:rPr>
          <w:rFonts w:ascii="Arial" w:cs="Arial" w:eastAsia="Arial" w:hAnsi="Arial"/>
          <w:sz w:val="14"/>
          <w:szCs w:val="14"/>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w:t>
      </w:r>
    </w:p>
    <w:p>
      <w:pPr>
        <w:spacing w:after="0" w:line="176" w:lineRule="exact"/>
        <w:rPr>
          <w:sz w:val="20"/>
          <w:szCs w:val="20"/>
          <w:color w:val="auto"/>
        </w:rPr>
      </w:pPr>
    </w:p>
    <w:p>
      <w:pPr>
        <w:ind w:right="100" w:firstLine="505"/>
        <w:spacing w:after="0" w:line="264" w:lineRule="auto"/>
        <w:rPr>
          <w:sz w:val="20"/>
          <w:szCs w:val="20"/>
          <w:color w:val="auto"/>
        </w:rPr>
      </w:pPr>
      <w:r>
        <w:rPr>
          <w:rFonts w:ascii="Arial" w:cs="Arial" w:eastAsia="Arial" w:hAnsi="Arial"/>
          <w:sz w:val="14"/>
          <w:szCs w:val="14"/>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operations as an allocation of the total income or loss for the year between non-controlling interest holders and the shareholders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with definite lives</w:t>
      </w:r>
    </w:p>
    <w:p>
      <w:pPr>
        <w:spacing w:after="0" w:line="176" w:lineRule="exact"/>
        <w:rPr>
          <w:sz w:val="20"/>
          <w:szCs w:val="20"/>
          <w:color w:val="auto"/>
        </w:rPr>
      </w:pPr>
    </w:p>
    <w:p>
      <w:pPr>
        <w:ind w:right="40" w:firstLine="505"/>
        <w:spacing w:after="0" w:line="277" w:lineRule="auto"/>
        <w:rPr>
          <w:sz w:val="20"/>
          <w:szCs w:val="20"/>
          <w:color w:val="auto"/>
        </w:rPr>
      </w:pPr>
      <w:r>
        <w:rPr>
          <w:rFonts w:ascii="Arial" w:cs="Arial" w:eastAsia="Arial" w:hAnsi="Arial"/>
          <w:sz w:val="14"/>
          <w:szCs w:val="14"/>
          <w:color w:val="auto"/>
        </w:rPr>
        <w:t>Intangible assets, other than goodwill, are initially measured and recorded at their fair values. Intangible assets primarily consist of customer contacts acquired by Judge China. Customer contacts are amortized using the estimated attrition pattern which is estimated over 10 years.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76" w:lineRule="exact"/>
        <w:rPr>
          <w:sz w:val="20"/>
          <w:szCs w:val="20"/>
          <w:color w:val="auto"/>
        </w:rPr>
      </w:pPr>
    </w:p>
    <w:p>
      <w:pPr>
        <w:ind w:right="60" w:firstLine="505"/>
        <w:spacing w:after="0" w:line="259" w:lineRule="auto"/>
        <w:rPr>
          <w:sz w:val="20"/>
          <w:szCs w:val="20"/>
          <w:color w:val="auto"/>
        </w:rPr>
      </w:pPr>
      <w:r>
        <w:rPr>
          <w:rFonts w:ascii="Arial" w:cs="Arial" w:eastAsia="Arial" w:hAnsi="Arial"/>
          <w:sz w:val="14"/>
          <w:szCs w:val="14"/>
          <w:color w:val="auto"/>
        </w:rPr>
        <w:t>Goodwill represents the excess of the consideration over the fair value of the net assets acquired at the date of acquisition. Goodwill is not amortized but rather tested for impairment at least annually at the reporting unit level by applying a fair value based test in accordance with accounting and disclosure requirements for goodwill and other indefinite lived intangible assets. This test is performed by management annually or more frequently if the Company believes impairment indicators are present. Goodwill was allocated to the one reporting unit as of June 30, 2017 and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76" w:lineRule="exact"/>
        <w:rPr>
          <w:sz w:val="20"/>
          <w:szCs w:val="20"/>
          <w:color w:val="auto"/>
        </w:rPr>
      </w:pPr>
    </w:p>
    <w:p>
      <w:pPr>
        <w:ind w:firstLine="505"/>
        <w:spacing w:after="0" w:line="286" w:lineRule="auto"/>
        <w:rPr>
          <w:sz w:val="20"/>
          <w:szCs w:val="20"/>
          <w:color w:val="auto"/>
        </w:rPr>
      </w:pPr>
      <w:r>
        <w:rPr>
          <w:rFonts w:ascii="Arial" w:cs="Arial" w:eastAsia="Arial" w:hAnsi="Arial"/>
          <w:sz w:val="13"/>
          <w:szCs w:val="13"/>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goodwill</w:t>
      </w:r>
    </w:p>
    <w:p>
      <w:pPr>
        <w:spacing w:after="0" w:line="176" w:lineRule="exact"/>
        <w:rPr>
          <w:sz w:val="20"/>
          <w:szCs w:val="20"/>
          <w:color w:val="auto"/>
        </w:rPr>
      </w:pPr>
    </w:p>
    <w:p>
      <w:pPr>
        <w:ind w:right="20" w:firstLine="505"/>
        <w:spacing w:after="0" w:line="275" w:lineRule="auto"/>
        <w:rPr>
          <w:sz w:val="20"/>
          <w:szCs w:val="20"/>
          <w:color w:val="auto"/>
        </w:rPr>
      </w:pPr>
      <w:r>
        <w:rPr>
          <w:rFonts w:ascii="Arial" w:cs="Arial" w:eastAsia="Arial" w:hAnsi="Arial"/>
          <w:sz w:val="13"/>
          <w:szCs w:val="13"/>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 There was no impairment of goodwill during the years ended June 30, 2017 and 2016 and for the six months ended December 31, 2017.</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76" w:lineRule="exact"/>
        <w:rPr>
          <w:sz w:val="20"/>
          <w:szCs w:val="20"/>
          <w:color w:val="auto"/>
        </w:rPr>
      </w:pPr>
    </w:p>
    <w:p>
      <w:pPr>
        <w:ind w:right="140" w:firstLine="505"/>
        <w:spacing w:after="0" w:line="264" w:lineRule="auto"/>
        <w:rPr>
          <w:sz w:val="20"/>
          <w:szCs w:val="20"/>
          <w:color w:val="auto"/>
        </w:rPr>
      </w:pPr>
      <w:r>
        <w:rPr>
          <w:rFonts w:ascii="Arial" w:cs="Arial" w:eastAsia="Arial" w:hAnsi="Arial"/>
          <w:sz w:val="14"/>
          <w:szCs w:val="14"/>
          <w:color w:val="auto"/>
        </w:rPr>
        <w:t>Research and development incurred in the development of new software modules and products, either as part of the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subsidies</w:t>
      </w:r>
    </w:p>
    <w:p>
      <w:pPr>
        <w:spacing w:after="0" w:line="176" w:lineRule="exact"/>
        <w:rPr>
          <w:sz w:val="20"/>
          <w:szCs w:val="20"/>
          <w:color w:val="auto"/>
        </w:rPr>
      </w:pPr>
    </w:p>
    <w:p>
      <w:pPr>
        <w:ind w:right="160" w:firstLine="505"/>
        <w:spacing w:after="0" w:line="286" w:lineRule="auto"/>
        <w:rPr>
          <w:sz w:val="20"/>
          <w:szCs w:val="20"/>
          <w:color w:val="auto"/>
        </w:rPr>
      </w:pPr>
      <w:r>
        <w:rPr>
          <w:rFonts w:ascii="Arial" w:cs="Arial" w:eastAsia="Arial" w:hAnsi="Arial"/>
          <w:sz w:val="13"/>
          <w:szCs w:val="13"/>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Total government subsidies amounted to $332,070 and $388,099 for the six-month periods ended December 31, 2017 and 2016,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76" w:lineRule="exact"/>
        <w:rPr>
          <w:sz w:val="20"/>
          <w:szCs w:val="20"/>
          <w:color w:val="auto"/>
        </w:rPr>
      </w:pPr>
    </w:p>
    <w:p>
      <w:pPr>
        <w:ind w:right="140" w:firstLine="505"/>
        <w:spacing w:after="0" w:line="286" w:lineRule="auto"/>
        <w:rPr>
          <w:sz w:val="20"/>
          <w:szCs w:val="20"/>
          <w:color w:val="auto"/>
        </w:rPr>
      </w:pPr>
      <w:r>
        <w:rPr>
          <w:rFonts w:ascii="Arial" w:cs="Arial" w:eastAsia="Arial" w:hAnsi="Arial"/>
          <w:sz w:val="13"/>
          <w:szCs w:val="13"/>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29" w:lineRule="exact"/>
        <w:rPr>
          <w:sz w:val="20"/>
          <w:szCs w:val="20"/>
          <w:color w:val="auto"/>
        </w:rPr>
      </w:pPr>
    </w:p>
    <w:p>
      <w:pPr>
        <w:ind w:right="40" w:firstLine="505"/>
        <w:spacing w:after="0" w:line="257" w:lineRule="auto"/>
        <w:rPr>
          <w:sz w:val="20"/>
          <w:szCs w:val="20"/>
          <w:color w:val="auto"/>
        </w:rPr>
      </w:pPr>
      <w:r>
        <w:rPr>
          <w:rFonts w:ascii="Arial" w:cs="Arial" w:eastAsia="Arial" w:hAnsi="Arial"/>
          <w:sz w:val="14"/>
          <w:szCs w:val="14"/>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and for the six months ended December 31, 2017, and 2016. All of the tax returns of the Company remain subject to examination by the tax authorities for five years from the date of filing through year 2022.</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0" w:lineRule="exact"/>
        <w:rPr>
          <w:sz w:val="20"/>
          <w:szCs w:val="20"/>
          <w:color w:val="auto"/>
        </w:rPr>
      </w:pPr>
    </w:p>
    <w:p>
      <w:pPr>
        <w:ind w:firstLine="505"/>
        <w:spacing w:after="0" w:line="296" w:lineRule="auto"/>
        <w:rPr>
          <w:sz w:val="20"/>
          <w:szCs w:val="20"/>
          <w:color w:val="auto"/>
        </w:rPr>
      </w:pPr>
      <w:r>
        <w:rPr>
          <w:rFonts w:ascii="Arial" w:cs="Arial" w:eastAsia="Arial" w:hAnsi="Arial"/>
          <w:sz w:val="12"/>
          <w:szCs w:val="12"/>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606 for annual reporting periods beginning after December 15, 2018, and interim reporting periods within annual reporting periods beginning after December 15, 2019. We are planning to adopt Topic 606 in the first quarter of our fiscal 2020 using the retrospective transition method, and 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no significant impact is expected upon adoption of the new guidance, the Company will not be able to make that determination until the time of adoption based upon outstanding contracts at that time.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32" w:lineRule="exact"/>
        <w:rPr>
          <w:sz w:val="20"/>
          <w:szCs w:val="20"/>
          <w:color w:val="auto"/>
        </w:rPr>
      </w:pPr>
    </w:p>
    <w:p>
      <w:pPr>
        <w:ind w:right="40" w:firstLine="505"/>
        <w:spacing w:after="0" w:line="275" w:lineRule="auto"/>
        <w:rPr>
          <w:sz w:val="20"/>
          <w:szCs w:val="20"/>
          <w:color w:val="auto"/>
        </w:rPr>
      </w:pPr>
      <w:r>
        <w:rPr>
          <w:rFonts w:ascii="Arial" w:cs="Arial" w:eastAsia="Arial" w:hAnsi="Arial"/>
          <w:sz w:val="13"/>
          <w:szCs w:val="13"/>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 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The Company has not early adopted this update and it will become effective on July 1, 2020. The Company is currently evaluating the impact of this new standard on its consolidated financial statements and related disclosures.</w:t>
      </w:r>
    </w:p>
    <w:p>
      <w:pPr>
        <w:spacing w:after="0" w:line="139" w:lineRule="exact"/>
        <w:rPr>
          <w:sz w:val="20"/>
          <w:szCs w:val="20"/>
          <w:color w:val="auto"/>
        </w:rPr>
      </w:pPr>
    </w:p>
    <w:p>
      <w:pPr>
        <w:ind w:right="40" w:firstLine="505"/>
        <w:spacing w:after="0" w:line="275" w:lineRule="auto"/>
        <w:rPr>
          <w:sz w:val="20"/>
          <w:szCs w:val="20"/>
          <w:color w:val="auto"/>
        </w:rPr>
      </w:pPr>
      <w:r>
        <w:rPr>
          <w:rFonts w:ascii="Arial" w:cs="Arial" w:eastAsia="Arial" w:hAnsi="Arial"/>
          <w:sz w:val="13"/>
          <w:szCs w:val="13"/>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39" w:lineRule="exact"/>
        <w:rPr>
          <w:sz w:val="20"/>
          <w:szCs w:val="20"/>
          <w:color w:val="auto"/>
        </w:rPr>
      </w:pPr>
    </w:p>
    <w:p>
      <w:pPr>
        <w:ind w:right="20" w:firstLine="505"/>
        <w:spacing w:after="0" w:line="279" w:lineRule="auto"/>
        <w:rPr>
          <w:sz w:val="20"/>
          <w:szCs w:val="20"/>
          <w:color w:val="auto"/>
        </w:rPr>
      </w:pPr>
      <w:r>
        <w:rPr>
          <w:rFonts w:ascii="Arial" w:cs="Arial" w:eastAsia="Arial" w:hAnsi="Arial"/>
          <w:sz w:val="13"/>
          <w:szCs w:val="13"/>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36" w:lineRule="exact"/>
        <w:rPr>
          <w:sz w:val="20"/>
          <w:szCs w:val="20"/>
          <w:color w:val="auto"/>
        </w:rPr>
      </w:pPr>
    </w:p>
    <w:p>
      <w:pPr>
        <w:ind w:right="20" w:firstLine="505"/>
        <w:spacing w:after="0" w:line="282" w:lineRule="auto"/>
        <w:rPr>
          <w:sz w:val="20"/>
          <w:szCs w:val="20"/>
          <w:color w:val="auto"/>
        </w:rPr>
      </w:pPr>
      <w:r>
        <w:rPr>
          <w:rFonts w:ascii="Arial" w:cs="Arial" w:eastAsia="Arial" w:hAnsi="Arial"/>
          <w:sz w:val="13"/>
          <w:szCs w:val="13"/>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32" w:lineRule="exact"/>
        <w:rPr>
          <w:sz w:val="20"/>
          <w:szCs w:val="20"/>
          <w:color w:val="auto"/>
        </w:rPr>
      </w:pPr>
    </w:p>
    <w:p>
      <w:pPr>
        <w:ind w:right="60" w:firstLine="505"/>
        <w:spacing w:after="0" w:line="257" w:lineRule="auto"/>
        <w:rPr>
          <w:sz w:val="20"/>
          <w:szCs w:val="20"/>
          <w:color w:val="auto"/>
        </w:rPr>
      </w:pPr>
      <w:r>
        <w:rPr>
          <w:rFonts w:ascii="Arial" w:cs="Arial" w:eastAsia="Arial" w:hAnsi="Arial"/>
          <w:sz w:val="14"/>
          <w:szCs w:val="14"/>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32" w:lineRule="exact"/>
        <w:rPr>
          <w:sz w:val="20"/>
          <w:szCs w:val="20"/>
          <w:color w:val="auto"/>
        </w:rPr>
      </w:pPr>
    </w:p>
    <w:p>
      <w:pPr>
        <w:ind w:right="100" w:firstLine="505"/>
        <w:spacing w:after="0" w:line="282" w:lineRule="auto"/>
        <w:rPr>
          <w:sz w:val="20"/>
          <w:szCs w:val="20"/>
          <w:color w:val="auto"/>
        </w:rPr>
      </w:pPr>
      <w:r>
        <w:rPr>
          <w:rFonts w:ascii="Arial" w:cs="Arial" w:eastAsia="Arial" w:hAnsi="Arial"/>
          <w:sz w:val="13"/>
          <w:szCs w:val="13"/>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32" w:lineRule="exact"/>
        <w:rPr>
          <w:sz w:val="20"/>
          <w:szCs w:val="20"/>
          <w:color w:val="auto"/>
        </w:rPr>
      </w:pPr>
    </w:p>
    <w:p>
      <w:pPr>
        <w:ind w:right="40" w:firstLine="501"/>
        <w:spacing w:after="0" w:line="275" w:lineRule="auto"/>
        <w:rPr>
          <w:sz w:val="20"/>
          <w:szCs w:val="20"/>
          <w:color w:val="auto"/>
        </w:rPr>
      </w:pPr>
      <w:r>
        <w:rPr>
          <w:rFonts w:ascii="Arial" w:cs="Arial" w:eastAsia="Arial" w:hAnsi="Arial"/>
          <w:sz w:val="13"/>
          <w:szCs w:val="13"/>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 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136" w:lineRule="exact"/>
        <w:rPr>
          <w:sz w:val="20"/>
          <w:szCs w:val="20"/>
          <w:color w:val="auto"/>
        </w:rPr>
      </w:pPr>
    </w:p>
    <w:p>
      <w:pPr>
        <w:ind w:right="20" w:firstLine="497"/>
        <w:spacing w:after="0" w:line="286" w:lineRule="auto"/>
        <w:rPr>
          <w:sz w:val="20"/>
          <w:szCs w:val="20"/>
          <w:color w:val="auto"/>
        </w:rPr>
      </w:pPr>
      <w:r>
        <w:rPr>
          <w:rFonts w:ascii="Arial" w:cs="Arial" w:eastAsia="Arial" w:hAnsi="Arial"/>
          <w:sz w:val="13"/>
          <w:szCs w:val="13"/>
          <w:color w:val="auto"/>
        </w:rPr>
        <w:t>In February 2018, the FASB issued ASU No. 2018-02, “Income Statement—Reporting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129" w:lineRule="exact"/>
        <w:rPr>
          <w:sz w:val="20"/>
          <w:szCs w:val="20"/>
          <w:color w:val="auto"/>
        </w:rPr>
      </w:pPr>
    </w:p>
    <w:p>
      <w:pPr>
        <w:ind w:right="80" w:firstLine="497"/>
        <w:spacing w:after="0" w:line="286" w:lineRule="auto"/>
        <w:rPr>
          <w:sz w:val="20"/>
          <w:szCs w:val="20"/>
          <w:color w:val="auto"/>
        </w:rPr>
      </w:pPr>
      <w:r>
        <w:rPr>
          <w:rFonts w:ascii="Arial" w:cs="Arial" w:eastAsia="Arial" w:hAnsi="Arial"/>
          <w:sz w:val="13"/>
          <w:szCs w:val="13"/>
          <w:color w:val="auto"/>
        </w:rPr>
        <w:t>In February 2018, the FASB issued ASU No. 2018-03, Technical Corrections and Improvements to Financial Instruments—Overall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is currently evaluating the impact of our pending adoption of ASU 2018-03 on its consolidated financial statements.</w:t>
      </w:r>
    </w:p>
    <w:p>
      <w:pPr>
        <w:spacing w:after="0" w:line="129"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0" w:lineRule="exact"/>
        <w:rPr>
          <w:sz w:val="20"/>
          <w:szCs w:val="20"/>
          <w:color w:val="auto"/>
        </w:rPr>
      </w:pPr>
    </w:p>
    <w:p>
      <w:pPr>
        <w:ind w:right="60" w:firstLine="505"/>
        <w:spacing w:after="0" w:line="277" w:lineRule="auto"/>
        <w:rPr>
          <w:sz w:val="20"/>
          <w:szCs w:val="20"/>
          <w:color w:val="auto"/>
        </w:rPr>
      </w:pPr>
      <w:r>
        <w:rPr>
          <w:rFonts w:ascii="Arial" w:cs="Arial" w:eastAsia="Arial" w:hAnsi="Arial"/>
          <w:sz w:val="13"/>
          <w:szCs w:val="13"/>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 and Background</w:t>
      </w:r>
    </w:p>
    <w:p>
      <w:pPr>
        <w:spacing w:after="0" w:line="180"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CLPS Incorporation was incorporated under the laws of the Cayman Islands on May 11, 2017. Our share capital of the Company is US$10,000, which is divided into 100,000,000 common shares are authorized with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47" w:lineRule="exact"/>
        <w:rPr>
          <w:sz w:val="20"/>
          <w:szCs w:val="20"/>
          <w:color w:val="auto"/>
        </w:rPr>
      </w:pPr>
    </w:p>
    <w:p>
      <w:pPr>
        <w:ind w:right="140" w:firstLine="505"/>
        <w:spacing w:after="0" w:line="264" w:lineRule="auto"/>
        <w:rPr>
          <w:sz w:val="20"/>
          <w:szCs w:val="20"/>
          <w:color w:val="auto"/>
        </w:rPr>
      </w:pPr>
      <w:r>
        <w:rPr>
          <w:rFonts w:ascii="Arial" w:cs="Arial" w:eastAsia="Arial" w:hAnsi="Arial"/>
          <w:sz w:val="14"/>
          <w:szCs w:val="14"/>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42" w:lineRule="exact"/>
        <w:rPr>
          <w:sz w:val="20"/>
          <w:szCs w:val="20"/>
          <w:color w:val="auto"/>
        </w:rPr>
      </w:pPr>
    </w:p>
    <w:p>
      <w:pPr>
        <w:ind w:right="280" w:firstLine="505"/>
        <w:spacing w:after="0" w:line="317" w:lineRule="auto"/>
        <w:rPr>
          <w:sz w:val="20"/>
          <w:szCs w:val="20"/>
          <w:color w:val="auto"/>
        </w:rPr>
      </w:pPr>
      <w:r>
        <w:rPr>
          <w:rFonts w:ascii="Arial" w:cs="Arial" w:eastAsia="Arial" w:hAnsi="Arial"/>
          <w:sz w:val="13"/>
          <w:szCs w:val="13"/>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10"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On December 23, 2005, CLPS Shanghai increased its registered capital to RMB1,000,000 (approximately US$123,671). Jingsu Pan and Xiaochun Deng respectively made full payment for their subscribed capital to RMB500,000 (approximately US$61,835) on December 21.</w:t>
      </w:r>
    </w:p>
    <w:p>
      <w:pPr>
        <w:spacing w:after="0" w:line="133" w:lineRule="exact"/>
        <w:rPr>
          <w:sz w:val="20"/>
          <w:szCs w:val="20"/>
          <w:color w:val="auto"/>
        </w:rPr>
      </w:pPr>
    </w:p>
    <w:p>
      <w:pPr>
        <w:ind w:right="80" w:firstLine="505"/>
        <w:spacing w:after="0" w:line="364" w:lineRule="auto"/>
        <w:rPr>
          <w:sz w:val="20"/>
          <w:szCs w:val="20"/>
          <w:color w:val="auto"/>
        </w:rPr>
      </w:pPr>
      <w:r>
        <w:rPr>
          <w:rFonts w:ascii="Arial" w:cs="Arial" w:eastAsia="Arial" w:hAnsi="Arial"/>
          <w:sz w:val="12"/>
          <w:szCs w:val="12"/>
          <w:color w:val="auto"/>
        </w:rPr>
        <w:t xml:space="preserve">On March 29, 2010, Yan Pan entered into a </w:t>
      </w:r>
      <w:r>
        <w:rPr>
          <w:rFonts w:ascii="Arial" w:cs="Arial" w:eastAsia="Arial" w:hAnsi="Arial"/>
          <w:sz w:val="12"/>
          <w:szCs w:val="12"/>
          <w:i w:val="1"/>
          <w:iCs w:val="1"/>
          <w:color w:val="auto"/>
        </w:rPr>
        <w:t>Share Purchase Agreement</w:t>
      </w:r>
      <w:r>
        <w:rPr>
          <w:rFonts w:ascii="Arial" w:cs="Arial" w:eastAsia="Arial" w:hAnsi="Arial"/>
          <w:sz w:val="12"/>
          <w:szCs w:val="12"/>
          <w:color w:val="auto"/>
        </w:rPr>
        <w:t xml:space="preserve"> with Jingsu Pan to purchase all of Jingsu Pan’s shares in CLPS Shanghai. Pursuant to the </w:t>
      </w:r>
      <w:r>
        <w:rPr>
          <w:rFonts w:ascii="Arial" w:cs="Arial" w:eastAsia="Arial" w:hAnsi="Arial"/>
          <w:sz w:val="12"/>
          <w:szCs w:val="12"/>
          <w:i w:val="1"/>
          <w:iCs w:val="1"/>
          <w:color w:val="auto"/>
        </w:rPr>
        <w:t>Share Purchase Agreement</w:t>
      </w:r>
      <w:r>
        <w:rPr>
          <w:rFonts w:ascii="Arial" w:cs="Arial" w:eastAsia="Arial" w:hAnsi="Arial"/>
          <w:sz w:val="12"/>
          <w:szCs w:val="12"/>
          <w:color w:val="auto"/>
        </w:rPr>
        <w:t>, Yan Pan paid RMB¥ 500,000 (approximately US$61,835) for 50% shares of CLPS Shanghai. After this share transfer, Yan Pan and Xiaochun Deng respectively held 50% shares of CLPS Shanghai.</w:t>
      </w:r>
    </w:p>
    <w:p>
      <w:pPr>
        <w:spacing w:after="0" w:line="87" w:lineRule="exact"/>
        <w:rPr>
          <w:sz w:val="20"/>
          <w:szCs w:val="20"/>
          <w:color w:val="auto"/>
        </w:rPr>
      </w:pPr>
    </w:p>
    <w:p>
      <w:pPr>
        <w:ind w:right="20" w:firstLine="505"/>
        <w:spacing w:after="0" w:line="293" w:lineRule="auto"/>
        <w:rPr>
          <w:sz w:val="20"/>
          <w:szCs w:val="20"/>
          <w:color w:val="auto"/>
        </w:rPr>
      </w:pPr>
      <w:r>
        <w:rPr>
          <w:rFonts w:ascii="Arial" w:cs="Arial" w:eastAsia="Arial" w:hAnsi="Arial"/>
          <w:sz w:val="13"/>
          <w:szCs w:val="13"/>
          <w:color w:val="auto"/>
        </w:rPr>
        <w:t xml:space="preserve">On October 19, 2010, Raymond Ming Hui Lin entered into a </w:t>
      </w:r>
      <w:r>
        <w:rPr>
          <w:rFonts w:ascii="Arial" w:cs="Arial" w:eastAsia="Arial" w:hAnsi="Arial"/>
          <w:sz w:val="13"/>
          <w:szCs w:val="13"/>
          <w:i w:val="1"/>
          <w:iCs w:val="1"/>
          <w:color w:val="auto"/>
        </w:rPr>
        <w:t>Share Purchase Agreement</w:t>
      </w:r>
      <w:r>
        <w:rPr>
          <w:rFonts w:ascii="Arial" w:cs="Arial" w:eastAsia="Arial" w:hAnsi="Arial"/>
          <w:sz w:val="13"/>
          <w:szCs w:val="13"/>
          <w:color w:val="auto"/>
        </w:rPr>
        <w:t xml:space="preserve"> with Xiaochun Deng to purchase all of Xiaochun Deng’s shares in CLPS Shanghai. Pursuant to the </w:t>
      </w:r>
      <w:r>
        <w:rPr>
          <w:rFonts w:ascii="Arial" w:cs="Arial" w:eastAsia="Arial" w:hAnsi="Arial"/>
          <w:sz w:val="13"/>
          <w:szCs w:val="13"/>
          <w:i w:val="1"/>
          <w:iCs w:val="1"/>
          <w:color w:val="auto"/>
        </w:rPr>
        <w:t>Share</w:t>
      </w:r>
      <w:r>
        <w:rPr>
          <w:rFonts w:ascii="Arial" w:cs="Arial" w:eastAsia="Arial" w:hAnsi="Arial"/>
          <w:sz w:val="13"/>
          <w:szCs w:val="13"/>
          <w:color w:val="auto"/>
        </w:rPr>
        <w:t xml:space="preserve"> </w:t>
      </w:r>
      <w:r>
        <w:rPr>
          <w:rFonts w:ascii="Arial" w:cs="Arial" w:eastAsia="Arial" w:hAnsi="Arial"/>
          <w:sz w:val="13"/>
          <w:szCs w:val="13"/>
          <w:i w:val="1"/>
          <w:iCs w:val="1"/>
          <w:color w:val="auto"/>
        </w:rPr>
        <w:t>Purchase Agreement</w:t>
      </w:r>
      <w:r>
        <w:rPr>
          <w:rFonts w:ascii="Arial" w:cs="Arial" w:eastAsia="Arial" w:hAnsi="Arial"/>
          <w:sz w:val="13"/>
          <w:szCs w:val="13"/>
          <w:color w:val="auto"/>
        </w:rPr>
        <w:t>, Raymond Ming Hui Lin paid RMB500,000 (approximately US$61,835) for 50% shares of CLPS Shanghai. After this share transfer, Yan Pan and Raymond Ming Hui Lin</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held 50% shares of CLPS Shanghai. Since Raymond Ming Hui Lin is a Hong Kong resident, CLPS Shanghai changed its form in a Sino-foreign equity joint venture.</w:t>
      </w:r>
    </w:p>
    <w:p>
      <w:pPr>
        <w:spacing w:after="0" w:line="126" w:lineRule="exact"/>
        <w:rPr>
          <w:sz w:val="20"/>
          <w:szCs w:val="20"/>
          <w:color w:val="auto"/>
        </w:rPr>
      </w:pPr>
    </w:p>
    <w:p>
      <w:pPr>
        <w:ind w:right="260" w:firstLine="505"/>
        <w:spacing w:after="0" w:line="264" w:lineRule="auto"/>
        <w:rPr>
          <w:sz w:val="20"/>
          <w:szCs w:val="20"/>
          <w:color w:val="auto"/>
        </w:rPr>
      </w:pPr>
      <w:r>
        <w:rPr>
          <w:rFonts w:ascii="Arial" w:cs="Arial" w:eastAsia="Arial" w:hAnsi="Arial"/>
          <w:sz w:val="14"/>
          <w:szCs w:val="14"/>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42" w:lineRule="exact"/>
        <w:rPr>
          <w:sz w:val="20"/>
          <w:szCs w:val="20"/>
          <w:color w:val="auto"/>
        </w:rPr>
      </w:pPr>
    </w:p>
    <w:p>
      <w:pPr>
        <w:jc w:val="both"/>
        <w:ind w:right="40" w:firstLine="505"/>
        <w:spacing w:after="0" w:line="264" w:lineRule="auto"/>
        <w:rPr>
          <w:sz w:val="20"/>
          <w:szCs w:val="20"/>
          <w:color w:val="auto"/>
        </w:rPr>
      </w:pPr>
      <w:r>
        <w:rPr>
          <w:rFonts w:ascii="Arial" w:cs="Arial" w:eastAsia="Arial" w:hAnsi="Arial"/>
          <w:sz w:val="14"/>
          <w:szCs w:val="14"/>
          <w:color w:val="auto"/>
        </w:rPr>
        <w:t xml:space="preserve">On October 30, 2013, Xiao Feng Yang entered into a </w:t>
      </w:r>
      <w:r>
        <w:rPr>
          <w:rFonts w:ascii="Arial" w:cs="Arial" w:eastAsia="Arial" w:hAnsi="Arial"/>
          <w:sz w:val="14"/>
          <w:szCs w:val="14"/>
          <w:i w:val="1"/>
          <w:iCs w:val="1"/>
          <w:color w:val="auto"/>
        </w:rPr>
        <w:t>Share Purchase Agreement</w:t>
      </w:r>
      <w:r>
        <w:rPr>
          <w:rFonts w:ascii="Arial" w:cs="Arial" w:eastAsia="Arial" w:hAnsi="Arial"/>
          <w:sz w:val="14"/>
          <w:szCs w:val="14"/>
          <w:color w:val="auto"/>
        </w:rPr>
        <w:t xml:space="preserve"> with Yan Pan to purchase all of Yan Pan’s shares in CLPS Shanghai. Pursuant to the </w:t>
      </w:r>
      <w:r>
        <w:rPr>
          <w:rFonts w:ascii="Arial" w:cs="Arial" w:eastAsia="Arial" w:hAnsi="Arial"/>
          <w:sz w:val="14"/>
          <w:szCs w:val="14"/>
          <w:i w:val="1"/>
          <w:iCs w:val="1"/>
          <w:color w:val="auto"/>
        </w:rPr>
        <w:t>Share Purchase Agreement</w:t>
      </w:r>
      <w:r>
        <w:rPr>
          <w:rFonts w:ascii="Arial" w:cs="Arial" w:eastAsia="Arial" w:hAnsi="Arial"/>
          <w:sz w:val="14"/>
          <w:szCs w:val="14"/>
          <w:color w:val="auto"/>
        </w:rPr>
        <w:t>, Xiao Feng Yang paid RMB2,500,000 (approximately US$399,993) for 50% shares of CLPS Shanghai. After this share transfer, Xiao Feng Yang and Raymond Ming Hui Lin respectively held 50% shares of CLPS Shanghai.</w:t>
      </w:r>
    </w:p>
    <w:p>
      <w:pPr>
        <w:spacing w:after="0" w:line="142" w:lineRule="exact"/>
        <w:rPr>
          <w:sz w:val="20"/>
          <w:szCs w:val="20"/>
          <w:color w:val="auto"/>
        </w:rPr>
      </w:pPr>
    </w:p>
    <w:p>
      <w:pPr>
        <w:ind w:right="160" w:firstLine="505"/>
        <w:spacing w:after="0" w:line="277" w:lineRule="auto"/>
        <w:rPr>
          <w:sz w:val="20"/>
          <w:szCs w:val="20"/>
          <w:color w:val="auto"/>
        </w:rPr>
      </w:pPr>
      <w:r>
        <w:rPr>
          <w:rFonts w:ascii="Arial" w:cs="Arial" w:eastAsia="Arial" w:hAnsi="Arial"/>
          <w:sz w:val="14"/>
          <w:szCs w:val="14"/>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April 23, 2015, Raymond Ming Hui Lin paid RMB6,163,560 (approximately US$994,523) for the capital contribution that he has made.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May 27, 2015, Raymond Ming Hui Lin paid RMB3,391,883 (approximately US$546,980) for the capital contribution that he has made.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May 29, 2015, Xiao Feng Yang paid RMB4,400,000 (approximately US$709,906), plus with his cash dividends for the capital contribution that he has made.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August 5, 2015, Raymond Ming Hui Lin paid RMB3,894,060 (approximately US$627,103) for the capital contribution that he has made.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August 27, 2015, Raymond Ming Hui Lin paid RMB42,377 (approximately US$6,615) for the capital contribution that he has made.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July 21, 2015, Xiao Feng Yang paid RMB1,100,000 (approximately US$177,147) for the capital contribution that he has made.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August 14, 2015, Xiao Feng Yang paid RMB8,000,000 (approximately US$1,251,799), plus with his cash dividends for the capital contribution that he has made.</w:t>
      </w:r>
    </w:p>
    <w:p>
      <w:pPr>
        <w:spacing w:after="0" w:line="176"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On December 15, 2015, CLPS Shanghai changed its form into a PRC joint stock limited company. The share capital of CLPS Shanghai was RMB30,000,000, which was divided into 30,000,000 shares of RMB1.00 per share.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81"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above-mentioned subscription, the shareholding structure of CLPS Shanghai was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PLACE OF</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INVESTORS</w:t>
            </w: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REGISTRATION</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r>
      <w:tr>
        <w:trPr>
          <w:trHeight w:val="168"/>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Xiao Feng Yang</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PRC</w:t>
            </w: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8600" w:type="dxa"/>
            <w:vAlign w:val="bottom"/>
            <w:gridSpan w:val="2"/>
          </w:tcPr>
          <w:p>
            <w:pPr>
              <w:spacing w:after="0"/>
              <w:rPr>
                <w:sz w:val="20"/>
                <w:szCs w:val="20"/>
                <w:color w:val="auto"/>
              </w:rPr>
            </w:pPr>
            <w:r>
              <w:rPr>
                <w:rFonts w:ascii="Arial" w:cs="Arial" w:eastAsia="Arial" w:hAnsi="Arial"/>
                <w:sz w:val="14"/>
                <w:szCs w:val="14"/>
                <w:color w:val="auto"/>
              </w:rPr>
              <w:t>Raymond Ming Hui Lin</w:t>
            </w:r>
          </w:p>
        </w:tc>
        <w:tc>
          <w:tcPr>
            <w:tcW w:w="162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15,000,000</w:t>
            </w:r>
          </w:p>
        </w:tc>
      </w:tr>
      <w:tr>
        <w:trPr>
          <w:trHeight w:val="168"/>
        </w:trPr>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Qinyao Investment Partnership (LLP)</w:t>
            </w: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1,700,000</w:t>
            </w:r>
          </w:p>
        </w:tc>
      </w:tr>
      <w:tr>
        <w:trPr>
          <w:trHeight w:val="168"/>
        </w:trPr>
        <w:tc>
          <w:tcPr>
            <w:tcW w:w="8600" w:type="dxa"/>
            <w:vAlign w:val="bottom"/>
            <w:gridSpan w:val="2"/>
          </w:tcPr>
          <w:p>
            <w:pPr>
              <w:spacing w:after="0"/>
              <w:rPr>
                <w:sz w:val="20"/>
                <w:szCs w:val="20"/>
                <w:color w:val="auto"/>
              </w:rPr>
            </w:pPr>
            <w:r>
              <w:rPr>
                <w:rFonts w:ascii="Arial" w:cs="Arial" w:eastAsia="Arial" w:hAnsi="Arial"/>
                <w:sz w:val="14"/>
                <w:szCs w:val="14"/>
                <w:color w:val="auto"/>
              </w:rPr>
              <w:t>Shanghai Qinzhi Investment Partnership (LLP)</w:t>
            </w:r>
          </w:p>
        </w:tc>
        <w:tc>
          <w:tcPr>
            <w:tcW w:w="1620" w:type="dxa"/>
            <w:vAlign w:val="bottom"/>
            <w:gridSpan w:val="2"/>
          </w:tcPr>
          <w:p>
            <w:pPr>
              <w:spacing w:after="0"/>
              <w:rPr>
                <w:sz w:val="20"/>
                <w:szCs w:val="20"/>
                <w:color w:val="auto"/>
              </w:rPr>
            </w:pPr>
            <w:r>
              <w:rPr>
                <w:rFonts w:ascii="Arial" w:cs="Arial" w:eastAsia="Arial" w:hAnsi="Arial"/>
                <w:sz w:val="14"/>
                <w:szCs w:val="14"/>
                <w:color w:val="auto"/>
              </w:rPr>
              <w:t>PRC</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1,270,000</w:t>
            </w:r>
          </w:p>
        </w:tc>
      </w:tr>
      <w:tr>
        <w:trPr>
          <w:trHeight w:val="168"/>
        </w:trPr>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Qinshang Software Technology Counsel Partnership (LLP)</w:t>
            </w: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900,000</w:t>
            </w:r>
          </w:p>
        </w:tc>
      </w:tr>
      <w:tr>
        <w:trPr>
          <w:trHeight w:val="179"/>
        </w:trPr>
        <w:tc>
          <w:tcPr>
            <w:tcW w:w="86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33,870,000</w:t>
            </w:r>
          </w:p>
        </w:tc>
      </w:tr>
    </w:tbl>
    <w:p>
      <w:pPr>
        <w:spacing w:after="0" w:line="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70" w:lineRule="exact"/>
        <w:rPr>
          <w:sz w:val="20"/>
          <w:szCs w:val="20"/>
          <w:color w:val="auto"/>
        </w:rPr>
      </w:pPr>
    </w:p>
    <w:p>
      <w:pPr>
        <w:ind w:right="140" w:firstLine="505"/>
        <w:spacing w:after="0" w:line="277" w:lineRule="auto"/>
        <w:rPr>
          <w:sz w:val="20"/>
          <w:szCs w:val="20"/>
          <w:color w:val="auto"/>
        </w:rPr>
      </w:pPr>
      <w:r>
        <w:rPr>
          <w:rFonts w:ascii="Arial" w:cs="Arial" w:eastAsia="Arial" w:hAnsi="Arial"/>
          <w:sz w:val="14"/>
          <w:szCs w:val="14"/>
          <w:color w:val="auto"/>
        </w:rPr>
        <w:t>In July 2017, three abovementioned limited partnerships transferred all of their equity interest in CLPS Shanghai to their individual partners according to the proportion of each partner’s capital contribution. Total 47 individuals became shareholders of CLPS Shanghai.</w:t>
      </w:r>
    </w:p>
    <w:p>
      <w:pPr>
        <w:spacing w:after="0" w:line="70" w:lineRule="exact"/>
        <w:rPr>
          <w:sz w:val="20"/>
          <w:szCs w:val="20"/>
          <w:color w:val="auto"/>
        </w:rPr>
      </w:pPr>
    </w:p>
    <w:p>
      <w:pPr>
        <w:ind w:right="40" w:firstLine="505"/>
        <w:spacing w:after="0" w:line="259" w:lineRule="auto"/>
        <w:rPr>
          <w:sz w:val="20"/>
          <w:szCs w:val="20"/>
          <w:color w:val="auto"/>
        </w:rPr>
      </w:pPr>
      <w:r>
        <w:rPr>
          <w:rFonts w:ascii="Arial" w:cs="Arial" w:eastAsia="Arial" w:hAnsi="Arial"/>
          <w:sz w:val="14"/>
          <w:szCs w:val="14"/>
          <w:color w:val="auto"/>
        </w:rPr>
        <w:t xml:space="preserve">In August 2017, Qiner entered into three </w:t>
      </w:r>
      <w:r>
        <w:rPr>
          <w:rFonts w:ascii="Arial" w:cs="Arial" w:eastAsia="Arial" w:hAnsi="Arial"/>
          <w:sz w:val="14"/>
          <w:szCs w:val="14"/>
          <w:i w:val="1"/>
          <w:iCs w:val="1"/>
          <w:color w:val="auto"/>
        </w:rPr>
        <w:t>Share Purchase Agreement</w:t>
      </w:r>
      <w:r>
        <w:rPr>
          <w:rFonts w:ascii="Arial" w:cs="Arial" w:eastAsia="Arial" w:hAnsi="Arial"/>
          <w:sz w:val="14"/>
          <w:szCs w:val="14"/>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 company, the share purchase price was 0. Qiner was not actually paid share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59690</wp:posOffset>
            </wp:positionV>
            <wp:extent cx="5680075" cy="2793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80075"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On August 4, 2017, CLPS QC (WOFE) got the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7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 xml:space="preserve">On October 31, 2017, CLPS Incorporation entered into a </w:t>
      </w:r>
      <w:r>
        <w:rPr>
          <w:rFonts w:ascii="Arial" w:cs="Arial" w:eastAsia="Arial" w:hAnsi="Arial"/>
          <w:sz w:val="14"/>
          <w:szCs w:val="14"/>
          <w:i w:val="1"/>
          <w:iCs w:val="1"/>
          <w:color w:val="auto"/>
        </w:rPr>
        <w:t>SOLD NOTE</w:t>
      </w:r>
      <w:r>
        <w:rPr>
          <w:rFonts w:ascii="Arial" w:cs="Arial" w:eastAsia="Arial" w:hAnsi="Arial"/>
          <w:sz w:val="14"/>
          <w:szCs w:val="14"/>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70" w:lineRule="exact"/>
        <w:rPr>
          <w:sz w:val="20"/>
          <w:szCs w:val="20"/>
          <w:color w:val="auto"/>
        </w:rPr>
      </w:pPr>
    </w:p>
    <w:p>
      <w:pPr>
        <w:ind w:right="20" w:firstLine="505"/>
        <w:spacing w:after="0" w:line="257" w:lineRule="auto"/>
        <w:rPr>
          <w:sz w:val="20"/>
          <w:szCs w:val="20"/>
          <w:color w:val="auto"/>
        </w:rPr>
      </w:pPr>
      <w:r>
        <w:rPr>
          <w:rFonts w:ascii="Arial" w:cs="Arial" w:eastAsia="Arial" w:hAnsi="Arial"/>
          <w:sz w:val="14"/>
          <w:szCs w:val="14"/>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4"/>
          <w:szCs w:val="14"/>
          <w:i w:val="1"/>
          <w:iCs w:val="1"/>
          <w:color w:val="auto"/>
        </w:rPr>
        <w:t>Circular of the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 Administration of Foreign Exchange on Issues concerning Foreign Exchange Administration over the Overseas Investment and Financing and Round-trip Investment by Domestic Residents via Special Purpose Vehicles </w:t>
      </w:r>
      <w:r>
        <w:rPr>
          <w:rFonts w:ascii="Arial" w:cs="Arial" w:eastAsia="Arial" w:hAnsi="Arial"/>
          <w:sz w:val="14"/>
          <w:szCs w:val="14"/>
          <w:color w:val="auto"/>
        </w:rPr>
        <w:t>(SAFE[2014]No.37). After these registrations, CLPS QC (WOFE) entered into 46</w:t>
      </w:r>
      <w:r>
        <w:rPr>
          <w:rFonts w:ascii="Arial" w:cs="Arial" w:eastAsia="Arial" w:hAnsi="Arial"/>
          <w:sz w:val="14"/>
          <w:szCs w:val="14"/>
          <w:i w:val="1"/>
          <w:iCs w:val="1"/>
          <w:color w:val="auto"/>
        </w:rPr>
        <w:t xml:space="preserve"> Share Purchase Agreement </w:t>
      </w:r>
      <w:r>
        <w:rPr>
          <w:rFonts w:ascii="Arial" w:cs="Arial" w:eastAsia="Arial" w:hAnsi="Arial"/>
          <w:sz w:val="14"/>
          <w:szCs w:val="14"/>
          <w:color w:val="auto"/>
        </w:rPr>
        <w:t>with all 46 Chinese individual shareholders and 46 Chinese</w:t>
      </w:r>
      <w:r>
        <w:rPr>
          <w:rFonts w:ascii="Arial" w:cs="Arial" w:eastAsia="Arial" w:hAnsi="Arial"/>
          <w:sz w:val="14"/>
          <w:szCs w:val="14"/>
          <w:i w:val="1"/>
          <w:iCs w:val="1"/>
          <w:color w:val="auto"/>
        </w:rPr>
        <w:t xml:space="preserve"> </w:t>
      </w:r>
      <w:r>
        <w:rPr>
          <w:rFonts w:ascii="Arial" w:cs="Arial" w:eastAsia="Arial" w:hAnsi="Arial"/>
          <w:sz w:val="14"/>
          <w:szCs w:val="14"/>
          <w:color w:val="auto"/>
        </w:rPr>
        <w:t>individual shareholders totally held 18,731,261 shares of CLPS Shanghai. The aforementioned share transfer was part of reorganization of the group company, the share purchase price was 0. CLPS QC (WOFE) was not actually paid share purchase price.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On November 2, 2017, the transfer between 46 Chinese individual shareholders and CLPS QC (WOFE) has completed the record-filing of changes of Foreign-invested Company and got the record receipt.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prospectus, the shareholding structure of CLPS Shanghai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PLACE OF</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INVESTORS</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REGISTRATION</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r>
      <w:tr>
        <w:trPr>
          <w:trHeight w:val="168"/>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Shanghai Qincheng Information Technology Co., Ltd.</w:t>
            </w: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PRC</w:t>
            </w: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18,731,261</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8600" w:type="dxa"/>
            <w:vAlign w:val="bottom"/>
            <w:gridSpan w:val="2"/>
          </w:tcPr>
          <w:p>
            <w:pPr>
              <w:spacing w:after="0"/>
              <w:rPr>
                <w:sz w:val="20"/>
                <w:szCs w:val="20"/>
                <w:color w:val="auto"/>
              </w:rPr>
            </w:pPr>
            <w:r>
              <w:rPr>
                <w:rFonts w:ascii="Arial" w:cs="Arial" w:eastAsia="Arial" w:hAnsi="Arial"/>
                <w:sz w:val="14"/>
                <w:szCs w:val="14"/>
                <w:color w:val="auto"/>
              </w:rPr>
              <w:t>Qiner Co., Limited</w:t>
            </w:r>
          </w:p>
        </w:tc>
        <w:tc>
          <w:tcPr>
            <w:tcW w:w="1620" w:type="dxa"/>
            <w:vAlign w:val="bottom"/>
            <w:gridSpan w:val="2"/>
          </w:tcPr>
          <w:p>
            <w:pPr>
              <w:ind w:left="120"/>
              <w:spacing w:after="0"/>
              <w:rPr>
                <w:sz w:val="20"/>
                <w:szCs w:val="20"/>
                <w:color w:val="auto"/>
              </w:rPr>
            </w:pPr>
            <w:r>
              <w:rPr>
                <w:rFonts w:ascii="Arial" w:cs="Arial" w:eastAsia="Arial" w:hAnsi="Arial"/>
                <w:sz w:val="14"/>
                <w:szCs w:val="14"/>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15,138,739</w:t>
            </w:r>
          </w:p>
        </w:tc>
      </w:tr>
      <w:tr>
        <w:trPr>
          <w:trHeight w:val="168"/>
        </w:trPr>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33,870,000</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158" w:lineRule="exact"/>
        <w:rPr>
          <w:sz w:val="20"/>
          <w:szCs w:val="20"/>
          <w:color w:val="auto"/>
        </w:rPr>
      </w:pPr>
    </w:p>
    <w:p>
      <w:pPr>
        <w:ind w:right="300" w:firstLine="505"/>
        <w:spacing w:after="0" w:line="277" w:lineRule="auto"/>
        <w:rPr>
          <w:sz w:val="20"/>
          <w:szCs w:val="20"/>
          <w:color w:val="auto"/>
        </w:rPr>
      </w:pPr>
      <w:r>
        <w:rPr>
          <w:rFonts w:ascii="Arial" w:cs="Arial" w:eastAsia="Arial" w:hAnsi="Arial"/>
          <w:sz w:val="14"/>
          <w:szCs w:val="14"/>
          <w:color w:val="auto"/>
        </w:rPr>
        <w:t>As of the date of this prospectus, CLPS Shanghai has four wholly-owned subsidiaries: CLPS Dalian, CLPS RC, CLPS AU and CLPS SG. Besides the four wholly-owned subsidiaries, CLPS Shanghai participated in the following investments:</w:t>
      </w:r>
    </w:p>
    <w:p>
      <w:pPr>
        <w:spacing w:after="0" w:line="129" w:lineRule="exact"/>
        <w:rPr>
          <w:sz w:val="20"/>
          <w:szCs w:val="20"/>
          <w:color w:val="auto"/>
        </w:rPr>
      </w:pPr>
    </w:p>
    <w:p>
      <w:pPr>
        <w:ind w:left="760" w:hanging="251"/>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CLPS Beijing </w:t>
      </w:r>
      <w:r>
        <w:rPr>
          <w:rFonts w:ascii="Arial" w:cs="Arial" w:eastAsia="Arial" w:hAnsi="Arial"/>
          <w:sz w:val="14"/>
          <w:szCs w:val="14"/>
          <w:color w:val="auto"/>
        </w:rPr>
        <w:t>— CLPS Shanghai holds 70% of equity interest in CLPS Beijing, a PRC limited liability company</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Judge China </w:t>
      </w:r>
      <w:r>
        <w:rPr>
          <w:rFonts w:ascii="Arial" w:cs="Arial" w:eastAsia="Arial" w:hAnsi="Arial"/>
          <w:sz w:val="14"/>
          <w:szCs w:val="14"/>
          <w:color w:val="auto"/>
        </w:rPr>
        <w:t>— CLPS Shanghai holds a 60% of equity interest in Judge China, a PRC limited liability company</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CLPS Hong Kong </w:t>
      </w:r>
      <w:r>
        <w:rPr>
          <w:rFonts w:ascii="Arial" w:cs="Arial" w:eastAsia="Arial" w:hAnsi="Arial"/>
          <w:sz w:val="14"/>
          <w:szCs w:val="14"/>
          <w:color w:val="auto"/>
        </w:rPr>
        <w:t>— CLPS Shanghai holds 80% of equity interest in CLPS Hong Kong, a Hong Kong company</w:t>
      </w:r>
    </w:p>
    <w:p>
      <w:pPr>
        <w:spacing w:after="0" w:line="175" w:lineRule="exact"/>
        <w:rPr>
          <w:rFonts w:ascii="Arial" w:cs="Arial" w:eastAsia="Arial" w:hAnsi="Arial"/>
          <w:sz w:val="14"/>
          <w:szCs w:val="14"/>
          <w:color w:val="auto"/>
        </w:rPr>
      </w:pPr>
    </w:p>
    <w:p>
      <w:pPr>
        <w:ind w:left="760" w:hanging="251"/>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CLPS Shenzhen </w:t>
      </w:r>
      <w:r>
        <w:rPr>
          <w:rFonts w:ascii="Arial" w:cs="Arial" w:eastAsia="Arial" w:hAnsi="Arial"/>
          <w:sz w:val="14"/>
          <w:szCs w:val="14"/>
          <w:color w:val="auto"/>
        </w:rPr>
        <w:t>— CLPS Shanghai holds 70% of equity interest in CLPS Shenzhen, a PRC limited liability company.</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Huanyu </w:t>
      </w:r>
      <w:r>
        <w:rPr>
          <w:rFonts w:ascii="Arial" w:cs="Arial" w:eastAsia="Arial" w:hAnsi="Arial"/>
          <w:sz w:val="14"/>
          <w:szCs w:val="14"/>
          <w:color w:val="auto"/>
        </w:rPr>
        <w:t>— CLPS Shanghai holds 30% of equity interest in Huanyu a PRC limited liability company.</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CLPS Guangzhou </w:t>
      </w:r>
      <w:r>
        <w:rPr>
          <w:rFonts w:ascii="Arial" w:cs="Arial" w:eastAsia="Arial" w:hAnsi="Arial"/>
          <w:sz w:val="14"/>
          <w:szCs w:val="14"/>
          <w:color w:val="auto"/>
        </w:rPr>
        <w:t>— CLPS Shanghai holds 51% of equity interest in CLPS Guangzhou, a PRC limited liability company.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IT consulting services primarily includes application development services for banks and institutions in the financial industry and which are billed for on a time-and-expense basis.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Customized IT Solutions Service primarily includes customized solution development and maintenance service for general enterprises and which are billed for on a fixed-price basis.</w:t>
      </w:r>
    </w:p>
    <w:p>
      <w:pPr>
        <w:spacing w:after="0" w:line="187"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The following entities provide either consulting or solution services or both, depending on where our clients are based. The entities are currently servicing one of the services might expand to both services if our clients’ needs arise.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Dalian provides both consulting and solution services. CLPS Dalian services clients in China’s north east region, including Dalian.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RC provides both consulting and solution services. CLPS RC focuses on small and medium domestic financial institutions.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Beijing provides both consulting and solution services. CLPS Beijing services clients in China’s central east region, including Beijing and Tianjin.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AU currently only provides consulting services. CLPS AU services clients in Australia.</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SG currently only provides consulting services CLPS SG services clients in South East Asia region, including Singapore.</w:t>
      </w:r>
    </w:p>
    <w:p>
      <w:pPr>
        <w:spacing w:after="0" w:line="17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Judge China is a joint venture with The Judge Group in the US. Judge China continues to service The Judge Group’s clients in China. Judge China focuses on expanding its client bases with collaboration efforts with The Judge Group.</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Hong Kong currently only provides consulting services. CLPS Hong Kong services clients in East Asia region, including Hong Kong.</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Shenzhen currently only provides consulting services. CLPS Shenzhen services clients in Shenzhen.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CLPS Guangzhou currently only provides consulting services. CLPS Guangzhou services clients in Guangzhou.</w:t>
      </w:r>
    </w:p>
    <w:p>
      <w:pPr>
        <w:spacing w:after="0" w:line="17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CLPS Shanghai holds 30%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and Market Background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China’s Banking Industry</w:t>
      </w:r>
    </w:p>
    <w:p>
      <w:pPr>
        <w:spacing w:after="0" w:line="176" w:lineRule="exact"/>
        <w:rPr>
          <w:sz w:val="20"/>
          <w:szCs w:val="20"/>
          <w:color w:val="auto"/>
        </w:rPr>
      </w:pPr>
    </w:p>
    <w:p>
      <w:pPr>
        <w:ind w:right="180" w:firstLine="505"/>
        <w:spacing w:after="0" w:line="277" w:lineRule="auto"/>
        <w:rPr>
          <w:sz w:val="20"/>
          <w:szCs w:val="20"/>
          <w:color w:val="auto"/>
        </w:rPr>
      </w:pPr>
      <w:r>
        <w:rPr>
          <w:rFonts w:ascii="Arial" w:cs="Arial" w:eastAsia="Arial" w:hAnsi="Arial"/>
          <w:sz w:val="13"/>
          <w:szCs w:val="13"/>
          <w:color w:val="auto"/>
        </w:rPr>
        <w:t>According to the annual report of the China Banking Regulatory Commission (CBRC) in 2016, by the end of 2016, China’s banking financial institutions had total assets of RMB 232.3 trillion (USD$34.3 trillion), an increase of RMB 33.0 trillion (USD$4.9 trillion), or 16.6%, when compared with the end of 2015, total liabilities equaled RMB 214.8 trillion (USD$31.7 trillion), an increase of RMB 30.7 trillion (USD$4.5 trillion), or 16.7% when compared with the end of 2015, total assets of banking financial institutions were RMB 27.6 trillion (USD$4.1 trillion) in 2003. Over the past 10 years, total assets of China’s banking financial institutions grew at a compound annual growth rate of nearly 20%. Notwithstanding the growth rates,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As a result, foreign banks are now present in 69 cities of 27 provinces in China, with headquarters, branches, sub-branches and a complete service network with certain coverage and market depth, with more than 1000 outlets.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Software and Information Technology Service Industry in China</w:t>
      </w:r>
    </w:p>
    <w:p>
      <w:pPr>
        <w:spacing w:after="0" w:line="176"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China’s software industry is a high-tech industry has developed and grown rapidly in recent years. According to PRC’s Ministry of Industry and Information Technology (MIIT) data, the software industry revenues reached RMB 4.9 trillion (USD$723 billion) in 2016 – more than tripling the 2010 revenues of RMB 1.3 trillion (USD$192 billion). During the 12th five-year period, the industry’s compound annual growth rate reached 24.3%. Revenue attributed to the software industry as a percentage of total GDP increased steadily from 2.16% in 2007 to 6.75% in 2016. The revenue of China’s software industry from 2007 to 2016 is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100330</wp:posOffset>
            </wp:positionV>
            <wp:extent cx="4677410" cy="3033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77410" cy="303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Data Source: The Ministry of Industry and Information Technology, National Bureau of Statistics of China.</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development of China’s software and IT service industry is generally characterized by:</w:t>
      </w:r>
    </w:p>
    <w:p>
      <w:pPr>
        <w:spacing w:after="0" w:line="176" w:lineRule="exact"/>
        <w:rPr>
          <w:sz w:val="20"/>
          <w:szCs w:val="20"/>
          <w:color w:val="auto"/>
        </w:rPr>
      </w:pPr>
    </w:p>
    <w:p>
      <w:pPr>
        <w:jc w:val="both"/>
        <w:ind w:firstLine="509"/>
        <w:spacing w:after="0" w:line="316" w:lineRule="auto"/>
        <w:tabs>
          <w:tab w:leader="none" w:pos="905"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The service-oriented focus </w:t>
      </w:r>
      <w:r>
        <w:rPr>
          <w:rFonts w:ascii="Arial" w:cs="Arial" w:eastAsia="Arial" w:hAnsi="Arial"/>
          <w:sz w:val="12"/>
          <w:szCs w:val="12"/>
          <w:color w:val="auto"/>
        </w:rPr>
        <w:t>– Over the past ten years, the software and IT industry in China has gradually become service-, network- and platform-oriented. During this period, the revenues</w:t>
      </w:r>
      <w:r>
        <w:rPr>
          <w:rFonts w:ascii="Arial" w:cs="Arial" w:eastAsia="Arial" w:hAnsi="Arial"/>
          <w:sz w:val="12"/>
          <w:szCs w:val="12"/>
          <w:i w:val="1"/>
          <w:iCs w:val="1"/>
          <w:color w:val="auto"/>
        </w:rPr>
        <w:t xml:space="preserve"> </w:t>
      </w:r>
      <w:r>
        <w:rPr>
          <w:rFonts w:ascii="Arial" w:cs="Arial" w:eastAsia="Arial" w:hAnsi="Arial"/>
          <w:sz w:val="12"/>
          <w:szCs w:val="12"/>
          <w:color w:val="auto"/>
        </w:rPr>
        <w:t>from operation-related services, including online software operation services, platform operation services, infrastructure operation services and other IT services, increased by 16.1%; the revenues from e-commerce platform services, including online trading platform services, online transaction support services and other IT support services, increased by 17.7%; and the revenues from IT services, including IT consulting and design services, system integration, operation and maintenance services, data services, etc., increased by 16%. These growth rates are higher than the industry’s average growth rate.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40" w:firstLine="509"/>
        <w:spacing w:after="0" w:line="257" w:lineRule="auto"/>
        <w:tabs>
          <w:tab w:leader="none" w:pos="905"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 xml:space="preserve">Development on regional level </w:t>
      </w:r>
      <w:r>
        <w:rPr>
          <w:rFonts w:ascii="Arial" w:cs="Arial" w:eastAsia="Arial" w:hAnsi="Arial"/>
          <w:sz w:val="14"/>
          <w:szCs w:val="14"/>
          <w:color w:val="auto"/>
        </w:rPr>
        <w:t>- The software industry has also tended to grow and expand on the regional, rather than national/centralized level. According to the MIIT statistics, in 2016,</w:t>
      </w:r>
      <w:r>
        <w:rPr>
          <w:rFonts w:ascii="Arial" w:cs="Arial" w:eastAsia="Arial" w:hAnsi="Arial"/>
          <w:sz w:val="14"/>
          <w:szCs w:val="14"/>
          <w:i w:val="1"/>
          <w:iCs w:val="1"/>
          <w:color w:val="auto"/>
        </w:rPr>
        <w:t xml:space="preserve"> </w:t>
      </w:r>
      <w:r>
        <w:rPr>
          <w:rFonts w:ascii="Arial" w:cs="Arial" w:eastAsia="Arial" w:hAnsi="Arial"/>
          <w:sz w:val="14"/>
          <w:szCs w:val="14"/>
          <w:color w:val="auto"/>
        </w:rPr>
        <w:t>China’s Eastern region’s software industry revenues were RMB 3.8 trillion (USD$561 billion), or approximately 78.6% of the national software business revenues, while the country’s Central region’s revenues were RMB 230.3 billion (USD$34.0 billion). In 2016, 15 sub-provincial central cities in China realized software business revenues of RMB 2.7 trillion (USD$398 billion), accounting for 55.3% of national software business revenues, with year-on-year growth rate of 15.5%, which was 0.6% higher than the national average level. There are 15 cities with software business revenue of more than RMB 10.0 billion (USD$1.5 billion).</w:t>
      </w:r>
    </w:p>
    <w:p>
      <w:pPr>
        <w:spacing w:after="0" w:line="148" w:lineRule="exact"/>
        <w:rPr>
          <w:sz w:val="20"/>
          <w:szCs w:val="20"/>
          <w:color w:val="auto"/>
        </w:rPr>
      </w:pPr>
    </w:p>
    <w:p>
      <w:pPr>
        <w:ind w:right="260" w:firstLine="505"/>
        <w:spacing w:after="0" w:line="317" w:lineRule="auto"/>
        <w:rPr>
          <w:sz w:val="20"/>
          <w:szCs w:val="20"/>
          <w:color w:val="auto"/>
        </w:rPr>
      </w:pPr>
      <w:r>
        <w:rPr>
          <w:rFonts w:ascii="Arial" w:cs="Arial" w:eastAsia="Arial" w:hAnsi="Arial"/>
          <w:sz w:val="13"/>
          <w:szCs w:val="13"/>
          <w:color w:val="auto"/>
        </w:rPr>
        <w:t>Financial Institutions/Banking IT services refer to the software or IT related services provided by professional IT service providers who use their own experience and technology to meet each bank’s individual needs in business development, strategic development and management efficiency. The market shares of China Banking IT Services Industry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Source: Wind Terminal</w:t>
      </w:r>
    </w:p>
    <w:p>
      <w:pPr>
        <w:spacing w:after="0" w:line="176" w:lineRule="exact"/>
        <w:rPr>
          <w:sz w:val="20"/>
          <w:szCs w:val="20"/>
          <w:color w:val="auto"/>
        </w:rPr>
      </w:pPr>
    </w:p>
    <w:p>
      <w:pPr>
        <w:ind w:firstLine="505"/>
        <w:spacing w:after="0" w:line="278" w:lineRule="auto"/>
        <w:rPr>
          <w:sz w:val="20"/>
          <w:szCs w:val="20"/>
          <w:color w:val="auto"/>
        </w:rPr>
      </w:pPr>
      <w:r>
        <w:rPr>
          <w:rFonts w:ascii="Arial" w:cs="Arial" w:eastAsia="Arial" w:hAnsi="Arial"/>
          <w:sz w:val="13"/>
          <w:szCs w:val="13"/>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compared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80" w:firstLine="505"/>
        <w:spacing w:after="0" w:line="257" w:lineRule="auto"/>
        <w:rPr>
          <w:sz w:val="20"/>
          <w:szCs w:val="20"/>
          <w:color w:val="auto"/>
        </w:rPr>
      </w:pPr>
      <w:r>
        <w:rPr>
          <w:rFonts w:ascii="Arial" w:cs="Arial" w:eastAsia="Arial" w:hAnsi="Arial"/>
          <w:sz w:val="14"/>
          <w:szCs w:val="14"/>
          <w:color w:val="auto"/>
        </w:rPr>
        <w:t>China’s banking IT industry faces various challenges. In accordance with CRBC’s 2014 Guiding Opinions, China’s banking institutions are required to master core knowledge and key technologies of banking informatization by 2019. Beginning in 2015, each year banking financial institutions are required to increase the application rate of safe and controllable information technologies by 15%. The banking financial institutions are also required to set aside no less than 5% of the annual information budget to support their forward-looking, innovative and planning research on safe and controllable information systems, and help the organization to grasp the core IT knowledge and skills. In addition, as traditional banks combine their services with online banking, they require IT support from the front payment to background asset structure matching.</w:t>
      </w:r>
    </w:p>
    <w:p>
      <w:pPr>
        <w:spacing w:after="0" w:line="148" w:lineRule="exact"/>
        <w:rPr>
          <w:sz w:val="20"/>
          <w:szCs w:val="20"/>
          <w:color w:val="auto"/>
        </w:rPr>
      </w:pPr>
    </w:p>
    <w:p>
      <w:pPr>
        <w:ind w:right="20" w:firstLine="505"/>
        <w:spacing w:after="0" w:line="276" w:lineRule="auto"/>
        <w:rPr>
          <w:sz w:val="20"/>
          <w:szCs w:val="20"/>
          <w:color w:val="auto"/>
        </w:rPr>
      </w:pPr>
      <w:r>
        <w:rPr>
          <w:rFonts w:ascii="Arial" w:cs="Arial" w:eastAsia="Arial" w:hAnsi="Arial"/>
          <w:sz w:val="13"/>
          <w:szCs w:val="13"/>
          <w:color w:val="auto"/>
        </w:rPr>
        <w:t>With the participation of private banks, foreign banks, Internet banks and other non-traditional, non-state-owned banks, the competition in the banking industry has intensified and the banking IT service support is an important means for banks to enhance the user experience, differentiate themselves from the competition and save costs. In order to gain market share, new participants in the banking industry invest in what differentiates them from competition. Improved user experience, risk control and risk prevention, information upgrades, network infrastructure, and mobile terminal layout are complex projects, requiring significant capital investment. These factors contribute to the continuous growth of China’s banking IT investment, and promote the rapid development of China’s banking IT industry. IDC statistics suggested that the total IT investment of China’s banking industry reached RMB 83.1 billion (USD$12.3 billion) in 2015, increased by 11.9% when compared with RMB 74.3 billion (USD$11.0 billion) in 2014; in 2015, hardware investment accounted for 54.7% of the total investment; service investment accounted for 36.2%; and software investment accounted for 9.1% (data source: IDC). Large state-owned commercial banks accounted for the largest proportion of IT investment in 2015 (45.2%); the IT investment of city commercial banks and rural commercial banks, rural cooperative banks and other rural financial institutions accounted for 29.5% of the banking industry’s total IT investment; the IT investment of joint-stock commercial banks accounted for 21.1%, and the investment ratio of other banking financial institutions represented by foreign banks was 4.2% (data source: IDC).</w:t>
      </w:r>
    </w:p>
    <w:p>
      <w:pPr>
        <w:spacing w:after="0" w:line="136" w:lineRule="exact"/>
        <w:rPr>
          <w:sz w:val="20"/>
          <w:szCs w:val="20"/>
          <w:color w:val="auto"/>
        </w:rPr>
      </w:pPr>
    </w:p>
    <w:p>
      <w:pPr>
        <w:ind w:right="60" w:firstLine="491"/>
        <w:spacing w:after="0" w:line="277" w:lineRule="auto"/>
        <w:rPr>
          <w:sz w:val="20"/>
          <w:szCs w:val="20"/>
          <w:color w:val="auto"/>
        </w:rPr>
      </w:pPr>
      <w:r>
        <w:rPr>
          <w:rFonts w:ascii="Arial" w:cs="Arial" w:eastAsia="Arial" w:hAnsi="Arial"/>
          <w:sz w:val="14"/>
          <w:szCs w:val="14"/>
          <w:color w:val="auto"/>
        </w:rPr>
        <w:t>The current development of the PRC banking industry is characterized by the re-use of data, Internet and other business innovation, and increasing demands for information security. We perceive the following development trends in the industry:</w:t>
      </w:r>
    </w:p>
    <w:p>
      <w:pPr>
        <w:spacing w:after="0" w:line="129" w:lineRule="exact"/>
        <w:rPr>
          <w:sz w:val="20"/>
          <w:szCs w:val="20"/>
          <w:color w:val="auto"/>
        </w:rPr>
      </w:pPr>
    </w:p>
    <w:p>
      <w:pPr>
        <w:ind w:right="20" w:firstLine="509"/>
        <w:spacing w:after="0" w:line="283" w:lineRule="auto"/>
        <w:tabs>
          <w:tab w:leader="none" w:pos="905"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 xml:space="preserve">Big data services </w:t>
      </w:r>
      <w:r>
        <w:rPr>
          <w:rFonts w:ascii="Arial" w:cs="Arial" w:eastAsia="Arial" w:hAnsi="Arial"/>
          <w:sz w:val="14"/>
          <w:szCs w:val="14"/>
          <w:color w:val="auto"/>
        </w:rPr>
        <w:t>- The banking industry has accumulated a large amount of transaction data in the operations process, representing a significant value for its owners. Big data applications</w:t>
      </w:r>
      <w:r>
        <w:rPr>
          <w:rFonts w:ascii="Arial" w:cs="Arial" w:eastAsia="Arial" w:hAnsi="Arial"/>
          <w:sz w:val="14"/>
          <w:szCs w:val="14"/>
          <w:b w:val="1"/>
          <w:bCs w:val="1"/>
          <w:color w:val="auto"/>
        </w:rPr>
        <w:t xml:space="preserve"> </w:t>
      </w:r>
      <w:r>
        <w:rPr>
          <w:rFonts w:ascii="Arial" w:cs="Arial" w:eastAsia="Arial" w:hAnsi="Arial"/>
          <w:sz w:val="14"/>
          <w:szCs w:val="14"/>
          <w:color w:val="auto"/>
        </w:rPr>
        <w:t>can help banks make strategic decisions integrate resources, and make adjustments when industry changes take place so as to gain competitive advantages.</w:t>
      </w:r>
    </w:p>
    <w:p>
      <w:pPr>
        <w:spacing w:after="0" w:line="125" w:lineRule="exact"/>
        <w:rPr>
          <w:rFonts w:ascii="Arial" w:cs="Arial" w:eastAsia="Arial" w:hAnsi="Arial"/>
          <w:sz w:val="14"/>
          <w:szCs w:val="14"/>
          <w:color w:val="auto"/>
        </w:rPr>
      </w:pPr>
    </w:p>
    <w:p>
      <w:pPr>
        <w:ind w:right="200" w:firstLine="509"/>
        <w:spacing w:after="0" w:line="324" w:lineRule="auto"/>
        <w:tabs>
          <w:tab w:leader="none" w:pos="905"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Innovation in channel solutions </w:t>
      </w:r>
      <w:r>
        <w:rPr>
          <w:rFonts w:ascii="Arial" w:cs="Arial" w:eastAsia="Arial" w:hAnsi="Arial"/>
          <w:sz w:val="13"/>
          <w:szCs w:val="13"/>
          <w:color w:val="auto"/>
        </w:rPr>
        <w:t>- Channel innovation has become the key to innovations for China’s commercial banks, including Internet and mobile banking. IDC research indicates</w:t>
      </w:r>
      <w:r>
        <w:rPr>
          <w:rFonts w:ascii="Arial" w:cs="Arial" w:eastAsia="Arial" w:hAnsi="Arial"/>
          <w:sz w:val="13"/>
          <w:szCs w:val="13"/>
          <w:b w:val="1"/>
          <w:bCs w:val="1"/>
          <w:color w:val="auto"/>
        </w:rPr>
        <w:t xml:space="preserve"> </w:t>
      </w:r>
      <w:r>
        <w:rPr>
          <w:rFonts w:ascii="Arial" w:cs="Arial" w:eastAsia="Arial" w:hAnsi="Arial"/>
          <w:sz w:val="13"/>
          <w:szCs w:val="13"/>
          <w:color w:val="auto"/>
        </w:rPr>
        <w:t>that e-banking construction will be the key target of channel solution investment for China’s banking industry, especially small and medium-sized banks, in the next five years.</w:t>
      </w:r>
    </w:p>
    <w:p>
      <w:pPr>
        <w:spacing w:after="0" w:line="101" w:lineRule="exact"/>
        <w:rPr>
          <w:rFonts w:ascii="Arial" w:cs="Arial" w:eastAsia="Arial" w:hAnsi="Arial"/>
          <w:sz w:val="13"/>
          <w:szCs w:val="13"/>
          <w:color w:val="auto"/>
        </w:rPr>
      </w:pPr>
    </w:p>
    <w:p>
      <w:pPr>
        <w:ind w:firstLine="509"/>
        <w:spacing w:after="0" w:line="324" w:lineRule="auto"/>
        <w:tabs>
          <w:tab w:leader="none" w:pos="905"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Risk prevention - </w:t>
      </w:r>
      <w:r>
        <w:rPr>
          <w:rFonts w:ascii="Arial" w:cs="Arial" w:eastAsia="Arial" w:hAnsi="Arial"/>
          <w:sz w:val="13"/>
          <w:szCs w:val="13"/>
          <w:color w:val="auto"/>
        </w:rPr>
        <w:t>China’s commercial banks are required to establish a comprehensive risk management framework under the new capital supervision, thus making risk management a top</w:t>
      </w:r>
      <w:r>
        <w:rPr>
          <w:rFonts w:ascii="Arial" w:cs="Arial" w:eastAsia="Arial" w:hAnsi="Arial"/>
          <w:sz w:val="13"/>
          <w:szCs w:val="13"/>
          <w:b w:val="1"/>
          <w:bCs w:val="1"/>
          <w:color w:val="auto"/>
        </w:rPr>
        <w:t xml:space="preserve"> </w:t>
      </w:r>
      <w:r>
        <w:rPr>
          <w:rFonts w:ascii="Arial" w:cs="Arial" w:eastAsia="Arial" w:hAnsi="Arial"/>
          <w:sz w:val="13"/>
          <w:szCs w:val="13"/>
          <w:color w:val="auto"/>
        </w:rPr>
        <w:t>priority for the industry. China’s IT service providers will continue to explore in this field to meet the increasingly strict and comprehensive risk management requirements of financial industry.</w:t>
      </w:r>
    </w:p>
    <w:p>
      <w:pPr>
        <w:spacing w:after="0" w:line="101" w:lineRule="exact"/>
        <w:rPr>
          <w:rFonts w:ascii="Arial" w:cs="Arial" w:eastAsia="Arial" w:hAnsi="Arial"/>
          <w:sz w:val="13"/>
          <w:szCs w:val="13"/>
          <w:color w:val="auto"/>
        </w:rPr>
      </w:pPr>
    </w:p>
    <w:p>
      <w:pPr>
        <w:ind w:right="120" w:firstLine="509"/>
        <w:spacing w:after="0" w:line="283" w:lineRule="auto"/>
        <w:tabs>
          <w:tab w:leader="none" w:pos="905"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 xml:space="preserve">Specialized services – </w:t>
      </w:r>
      <w:r>
        <w:rPr>
          <w:rFonts w:ascii="Arial" w:cs="Arial" w:eastAsia="Arial" w:hAnsi="Arial"/>
          <w:sz w:val="14"/>
          <w:szCs w:val="14"/>
          <w:color w:val="auto"/>
        </w:rPr>
        <w:t>Financial service providers strive to deepen their understanding of bank users’ individual needs. As an individual’s needs change, the banks tend to purchase more</w:t>
      </w:r>
      <w:r>
        <w:rPr>
          <w:rFonts w:ascii="Arial" w:cs="Arial" w:eastAsia="Arial" w:hAnsi="Arial"/>
          <w:sz w:val="14"/>
          <w:szCs w:val="14"/>
          <w:b w:val="1"/>
          <w:bCs w:val="1"/>
          <w:color w:val="auto"/>
        </w:rPr>
        <w:t xml:space="preserve"> </w:t>
      </w:r>
      <w:r>
        <w:rPr>
          <w:rFonts w:ascii="Arial" w:cs="Arial" w:eastAsia="Arial" w:hAnsi="Arial"/>
          <w:sz w:val="14"/>
          <w:szCs w:val="14"/>
          <w:color w:val="auto"/>
        </w:rPr>
        <w:t>specialized services and IT services.</w:t>
      </w:r>
    </w:p>
    <w:p>
      <w:pPr>
        <w:spacing w:after="0" w:line="125" w:lineRule="exact"/>
        <w:rPr>
          <w:rFonts w:ascii="Arial" w:cs="Arial" w:eastAsia="Arial" w:hAnsi="Arial"/>
          <w:sz w:val="14"/>
          <w:szCs w:val="14"/>
          <w:color w:val="auto"/>
        </w:rPr>
      </w:pPr>
    </w:p>
    <w:p>
      <w:pPr>
        <w:ind w:right="180" w:firstLine="509"/>
        <w:spacing w:after="0" w:line="297" w:lineRule="auto"/>
        <w:tabs>
          <w:tab w:leader="none" w:pos="905"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Internationalization of business - </w:t>
      </w:r>
      <w:r>
        <w:rPr>
          <w:rFonts w:ascii="Arial" w:cs="Arial" w:eastAsia="Arial" w:hAnsi="Arial"/>
          <w:sz w:val="13"/>
          <w:szCs w:val="13"/>
          <w:color w:val="auto"/>
        </w:rPr>
        <w:t>With the reform and opening up of China’s financial market, more foreign banks and financial institutions have settled in China. Foreign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institutions tend to outsource a large number of non-core IT services. As a result, Chinese IT service providers have the opportunity to pursue the internationally outsourced IT business. Those domestic services providers with experience of servicing international business, with foreign language skills and abundance of IT human capital are likely to succeed in this market.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primary focus is in the following key operational areas: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Consulting Services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Credit Card Services</w:t>
      </w:r>
    </w:p>
    <w:p>
      <w:pPr>
        <w:spacing w:after="0" w:line="176" w:lineRule="exact"/>
        <w:rPr>
          <w:sz w:val="20"/>
          <w:szCs w:val="20"/>
          <w:color w:val="auto"/>
        </w:rPr>
      </w:pPr>
    </w:p>
    <w:p>
      <w:pPr>
        <w:ind w:right="160" w:firstLine="491"/>
        <w:spacing w:after="0" w:line="264" w:lineRule="auto"/>
        <w:rPr>
          <w:sz w:val="20"/>
          <w:szCs w:val="20"/>
          <w:color w:val="auto"/>
        </w:rPr>
      </w:pPr>
      <w:r>
        <w:rPr>
          <w:rFonts w:ascii="Arial" w:cs="Arial" w:eastAsia="Arial" w:hAnsi="Arial"/>
          <w:sz w:val="14"/>
          <w:szCs w:val="14"/>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42" w:lineRule="exact"/>
        <w:rPr>
          <w:sz w:val="20"/>
          <w:szCs w:val="20"/>
          <w:color w:val="auto"/>
        </w:rPr>
      </w:pPr>
    </w:p>
    <w:p>
      <w:pPr>
        <w:ind w:right="120" w:firstLine="491"/>
        <w:spacing w:after="0" w:line="264" w:lineRule="auto"/>
        <w:rPr>
          <w:sz w:val="20"/>
          <w:szCs w:val="20"/>
          <w:color w:val="auto"/>
        </w:rPr>
      </w:pPr>
      <w:r>
        <w:rPr>
          <w:rFonts w:ascii="Arial" w:cs="Arial" w:eastAsia="Arial" w:hAnsi="Arial"/>
          <w:sz w:val="14"/>
          <w:szCs w:val="14"/>
          <w:color w:val="auto"/>
        </w:rPr>
        <w:t>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20" w:firstLine="491"/>
        <w:spacing w:after="0" w:line="264" w:lineRule="auto"/>
        <w:rPr>
          <w:sz w:val="20"/>
          <w:szCs w:val="20"/>
          <w:color w:val="auto"/>
        </w:rPr>
      </w:pPr>
      <w:r>
        <w:rPr>
          <w:rFonts w:ascii="Arial" w:cs="Arial" w:eastAsia="Arial" w:hAnsi="Arial"/>
          <w:sz w:val="14"/>
          <w:szCs w:val="14"/>
          <w:color w:val="auto"/>
        </w:rPr>
        <w:t>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 Indonesia, Latin America. In addition, we have developed a series of credit card solutions in order to meet the needs of our clients better.</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Core Banking Services</w:t>
      </w:r>
    </w:p>
    <w:p>
      <w:pPr>
        <w:spacing w:after="0" w:line="176" w:lineRule="exact"/>
        <w:rPr>
          <w:sz w:val="20"/>
          <w:szCs w:val="20"/>
          <w:color w:val="auto"/>
        </w:rPr>
      </w:pPr>
    </w:p>
    <w:p>
      <w:pPr>
        <w:ind w:right="200" w:firstLine="505"/>
        <w:spacing w:after="0" w:line="304" w:lineRule="auto"/>
        <w:rPr>
          <w:sz w:val="20"/>
          <w:szCs w:val="20"/>
          <w:color w:val="auto"/>
        </w:rPr>
      </w:pPr>
      <w:r>
        <w:rPr>
          <w:rFonts w:ascii="Arial" w:cs="Arial" w:eastAsia="Arial" w:hAnsi="Arial"/>
          <w:sz w:val="12"/>
          <w:szCs w:val="12"/>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23" w:lineRule="exact"/>
        <w:rPr>
          <w:sz w:val="20"/>
          <w:szCs w:val="20"/>
          <w:color w:val="auto"/>
        </w:rPr>
      </w:pPr>
    </w:p>
    <w:p>
      <w:pPr>
        <w:ind w:right="180" w:firstLine="505"/>
        <w:spacing w:after="0" w:line="259" w:lineRule="auto"/>
        <w:rPr>
          <w:sz w:val="20"/>
          <w:szCs w:val="20"/>
          <w:color w:val="auto"/>
        </w:rPr>
      </w:pPr>
      <w:r>
        <w:rPr>
          <w:rFonts w:ascii="Arial" w:cs="Arial" w:eastAsia="Arial" w:hAnsi="Arial"/>
          <w:sz w:val="14"/>
          <w:szCs w:val="14"/>
          <w:color w:val="auto"/>
        </w:rPr>
        <w:t>For the years ended June 30, 2017 and 2016, revenues from our IT consulting services were approximately USD$29.1 million and USD$28.0 million, respectively. Revenues from our IT consulting services accounted for 92.9% and 96.5% of our total revenues in fiscal 2017 and 2016, respectively. For the six months ended December 31, 2017 and 2016, revenues from our IT consulting services were approximately USD$21.6 million and USD$13.3 million, respectively. Revenues from our IT consulting services accounted for 97.4% and 92.7% of our total revenues for the six months ended December 31, 2017 and 2016,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Solution Services</w:t>
      </w:r>
    </w:p>
    <w:p>
      <w:pPr>
        <w:spacing w:after="0" w:line="176" w:lineRule="exact"/>
        <w:rPr>
          <w:sz w:val="20"/>
          <w:szCs w:val="20"/>
          <w:color w:val="auto"/>
        </w:rPr>
      </w:pPr>
    </w:p>
    <w:p>
      <w:pPr>
        <w:ind w:right="440" w:firstLine="505"/>
        <w:spacing w:after="0" w:line="293" w:lineRule="auto"/>
        <w:rPr>
          <w:sz w:val="20"/>
          <w:szCs w:val="20"/>
          <w:color w:val="auto"/>
        </w:rPr>
      </w:pPr>
      <w:r>
        <w:rPr>
          <w:rFonts w:ascii="Arial" w:cs="Arial" w:eastAsia="Arial" w:hAnsi="Arial"/>
          <w:sz w:val="13"/>
          <w:szCs w:val="13"/>
          <w:color w:val="auto"/>
        </w:rPr>
        <w:t>We are also an IT solution services provider in China and globally.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tour ability to offer our clients creative solution design, especially in the areas of new information technology such as blockchain.</w:t>
      </w:r>
    </w:p>
    <w:p>
      <w:pPr>
        <w:spacing w:after="0" w:line="126" w:lineRule="exact"/>
        <w:rPr>
          <w:sz w:val="20"/>
          <w:szCs w:val="20"/>
          <w:color w:val="auto"/>
        </w:rPr>
      </w:pPr>
    </w:p>
    <w:p>
      <w:pPr>
        <w:ind w:right="60" w:firstLine="491"/>
        <w:spacing w:after="0" w:line="259" w:lineRule="auto"/>
        <w:rPr>
          <w:sz w:val="20"/>
          <w:szCs w:val="20"/>
          <w:color w:val="auto"/>
        </w:rPr>
      </w:pPr>
      <w:r>
        <w:rPr>
          <w:rFonts w:ascii="Arial" w:cs="Arial" w:eastAsia="Arial" w:hAnsi="Arial"/>
          <w:sz w:val="14"/>
          <w:szCs w:val="14"/>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47" w:lineRule="exact"/>
        <w:rPr>
          <w:sz w:val="20"/>
          <w:szCs w:val="20"/>
          <w:color w:val="auto"/>
        </w:rPr>
      </w:pPr>
    </w:p>
    <w:p>
      <w:pPr>
        <w:ind w:right="260" w:firstLine="491"/>
        <w:spacing w:after="0" w:line="264" w:lineRule="auto"/>
        <w:rPr>
          <w:sz w:val="20"/>
          <w:szCs w:val="20"/>
          <w:color w:val="auto"/>
        </w:rPr>
      </w:pPr>
      <w:r>
        <w:rPr>
          <w:rFonts w:ascii="Arial" w:cs="Arial" w:eastAsia="Arial" w:hAnsi="Arial"/>
          <w:sz w:val="14"/>
          <w:szCs w:val="14"/>
          <w:color w:val="auto"/>
        </w:rPr>
        <w:t>We have been working with a number of Chinese domestic banks to assist them in leveraging blockchain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142" w:lineRule="exact"/>
        <w:rPr>
          <w:sz w:val="20"/>
          <w:szCs w:val="20"/>
          <w:color w:val="auto"/>
        </w:rPr>
      </w:pPr>
    </w:p>
    <w:p>
      <w:pPr>
        <w:ind w:firstLine="491"/>
        <w:spacing w:after="0" w:line="259" w:lineRule="auto"/>
        <w:rPr>
          <w:sz w:val="20"/>
          <w:szCs w:val="20"/>
          <w:color w:val="auto"/>
        </w:rPr>
      </w:pPr>
      <w:r>
        <w:rPr>
          <w:rFonts w:ascii="Arial" w:cs="Arial" w:eastAsia="Arial" w:hAnsi="Arial"/>
          <w:sz w:val="14"/>
          <w:szCs w:val="14"/>
          <w:color w:val="auto"/>
        </w:rPr>
        <w:t>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There 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We will continue to develop our new IT solutions to meet the evolving needs of our Chinese and global financial institutional clientele drawing upon the forward-looking research of our R&amp;D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center.</w:t>
      </w:r>
    </w:p>
    <w:p>
      <w:pPr>
        <w:spacing w:after="0" w:line="165" w:lineRule="exact"/>
        <w:rPr>
          <w:sz w:val="20"/>
          <w:szCs w:val="20"/>
          <w:color w:val="auto"/>
        </w:rPr>
      </w:pPr>
    </w:p>
    <w:p>
      <w:pPr>
        <w:ind w:right="120" w:firstLine="491"/>
        <w:spacing w:after="0" w:line="259" w:lineRule="auto"/>
        <w:rPr>
          <w:sz w:val="20"/>
          <w:szCs w:val="20"/>
          <w:color w:val="auto"/>
        </w:rPr>
      </w:pPr>
      <w:r>
        <w:rPr>
          <w:rFonts w:ascii="Arial" w:cs="Arial" w:eastAsia="Arial" w:hAnsi="Arial"/>
          <w:sz w:val="14"/>
          <w:szCs w:val="14"/>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 For the six months ended December 31, 2017 and 2016, revenues from our customized IT solution services were approximately USD$0.5 million and USD$0.8 million, respectively. Revenues from our customized IT solution service accounted for 2.4% and 5.3% of our total revenues for the six months ended December 31, 2017 and 2016, respectively.</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Services</w:t>
      </w:r>
    </w:p>
    <w:p>
      <w:pPr>
        <w:spacing w:after="0" w:line="176" w:lineRule="exact"/>
        <w:rPr>
          <w:sz w:val="20"/>
          <w:szCs w:val="20"/>
          <w:color w:val="auto"/>
        </w:rPr>
      </w:pPr>
    </w:p>
    <w:p>
      <w:pPr>
        <w:ind w:right="40" w:firstLine="505"/>
        <w:spacing w:after="0" w:line="286" w:lineRule="auto"/>
        <w:rPr>
          <w:sz w:val="20"/>
          <w:szCs w:val="20"/>
          <w:color w:val="auto"/>
        </w:rPr>
      </w:pPr>
      <w:r>
        <w:rPr>
          <w:rFonts w:ascii="Arial" w:cs="Arial" w:eastAsia="Arial" w:hAnsi="Arial"/>
          <w:sz w:val="13"/>
          <w:szCs w:val="13"/>
          <w:i w:val="1"/>
          <w:iCs w:val="1"/>
          <w:color w:val="auto"/>
        </w:rPr>
        <w:t xml:space="preserve">CLPS Virtual Banking Platform (CLB) – </w:t>
      </w:r>
      <w:r>
        <w:rPr>
          <w:rFonts w:ascii="Arial" w:cs="Arial" w:eastAsia="Arial" w:hAnsi="Arial"/>
          <w:sz w:val="13"/>
          <w:szCs w:val="13"/>
          <w:color w:val="auto"/>
        </w:rPr>
        <w:t>CLB is a unique and successful training platform for IT talents owned by CLPS. For more than ten years, we have been focusing on recruiting, training,</w:t>
      </w:r>
      <w:r>
        <w:rPr>
          <w:rFonts w:ascii="Arial" w:cs="Arial" w:eastAsia="Arial" w:hAnsi="Arial"/>
          <w:sz w:val="13"/>
          <w:szCs w:val="13"/>
          <w:i w:val="1"/>
          <w:iCs w:val="1"/>
          <w:color w:val="auto"/>
        </w:rPr>
        <w:t xml:space="preserve"> </w:t>
      </w:r>
      <w:r>
        <w:rPr>
          <w:rFonts w:ascii="Arial" w:cs="Arial" w:eastAsia="Arial" w:hAnsi="Arial"/>
          <w:sz w:val="13"/>
          <w:szCs w:val="13"/>
          <w:color w:val="auto"/>
        </w:rPr>
        <w:t>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Strategies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developed and intend to implement the following strategies to expand and grow the size of our Company:</w:t>
      </w:r>
    </w:p>
    <w:p>
      <w:pPr>
        <w:spacing w:after="0" w:line="176" w:lineRule="exact"/>
        <w:rPr>
          <w:sz w:val="20"/>
          <w:szCs w:val="20"/>
          <w:color w:val="auto"/>
        </w:rPr>
      </w:pPr>
    </w:p>
    <w:p>
      <w:pPr>
        <w:ind w:right="20" w:firstLine="509"/>
        <w:spacing w:after="0" w:line="257" w:lineRule="auto"/>
        <w:tabs>
          <w:tab w:leader="none" w:pos="87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 xml:space="preserve">Grow revenue with existing and new clients </w:t>
      </w:r>
      <w:r>
        <w:rPr>
          <w:rFonts w:ascii="Arial" w:cs="Arial" w:eastAsia="Arial" w:hAnsi="Arial"/>
          <w:sz w:val="14"/>
          <w:szCs w:val="14"/>
          <w:color w:val="auto"/>
        </w:rPr>
        <w:t>- We intend to pursue additional revenue opportunities from existing Chinese and global clients, which include many of the leading companies</w:t>
      </w:r>
      <w:r>
        <w:rPr>
          <w:rFonts w:ascii="Arial" w:cs="Arial" w:eastAsia="Arial" w:hAnsi="Arial"/>
          <w:sz w:val="14"/>
          <w:szCs w:val="14"/>
          <w:i w:val="1"/>
          <w:iCs w:val="1"/>
          <w:color w:val="auto"/>
        </w:rPr>
        <w:t xml:space="preserve"> </w:t>
      </w:r>
      <w:r>
        <w:rPr>
          <w:rFonts w:ascii="Arial" w:cs="Arial" w:eastAsia="Arial" w:hAnsi="Arial"/>
          <w:sz w:val="14"/>
          <w:szCs w:val="14"/>
          <w:color w:val="auto"/>
        </w:rPr>
        <w:t>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48" w:lineRule="exact"/>
        <w:rPr>
          <w:rFonts w:ascii="Arial" w:cs="Arial" w:eastAsia="Arial" w:hAnsi="Arial"/>
          <w:sz w:val="14"/>
          <w:szCs w:val="14"/>
          <w:color w:val="auto"/>
        </w:rPr>
      </w:pPr>
    </w:p>
    <w:p>
      <w:pPr>
        <w:ind w:right="40" w:firstLine="509"/>
        <w:spacing w:after="0" w:line="259" w:lineRule="auto"/>
        <w:tabs>
          <w:tab w:leader="none" w:pos="87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 xml:space="preserve">Continue to invest in research and development, deepen domain expertise and develop specific solutions for target industry verticals </w:t>
      </w:r>
      <w:r>
        <w:rPr>
          <w:rFonts w:ascii="Arial" w:cs="Arial" w:eastAsia="Arial" w:hAnsi="Arial"/>
          <w:sz w:val="14"/>
          <w:szCs w:val="14"/>
          <w:color w:val="auto"/>
        </w:rPr>
        <w:t>- We will continue to enhance our domain knowledge</w:t>
      </w:r>
      <w:r>
        <w:rPr>
          <w:rFonts w:ascii="Arial" w:cs="Arial" w:eastAsia="Arial" w:hAnsi="Arial"/>
          <w:sz w:val="14"/>
          <w:szCs w:val="14"/>
          <w:i w:val="1"/>
          <w:iCs w:val="1"/>
          <w:color w:val="auto"/>
        </w:rPr>
        <w:t xml:space="preserve"> </w:t>
      </w:r>
      <w:r>
        <w:rPr>
          <w:rFonts w:ascii="Arial" w:cs="Arial" w:eastAsia="Arial" w:hAnsi="Arial"/>
          <w:sz w:val="14"/>
          <w:szCs w:val="14"/>
          <w:color w:val="auto"/>
        </w:rPr>
        <w:t>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46" w:lineRule="exact"/>
        <w:rPr>
          <w:rFonts w:ascii="Arial" w:cs="Arial" w:eastAsia="Arial" w:hAnsi="Arial"/>
          <w:sz w:val="14"/>
          <w:szCs w:val="14"/>
          <w:color w:val="auto"/>
        </w:rPr>
      </w:pPr>
    </w:p>
    <w:p>
      <w:pPr>
        <w:ind w:right="20" w:firstLine="509"/>
        <w:spacing w:after="0" w:line="303" w:lineRule="auto"/>
        <w:tabs>
          <w:tab w:leader="none" w:pos="87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Continue to invest in training and development of our world-class human capital base </w:t>
      </w:r>
      <w:r>
        <w:rPr>
          <w:rFonts w:ascii="Arial" w:cs="Arial" w:eastAsia="Arial" w:hAnsi="Arial"/>
          <w:sz w:val="12"/>
          <w:szCs w:val="12"/>
          <w:color w:val="auto"/>
        </w:rPr>
        <w:t>- We place a high priority on attracting, training, developing and retaining our human capital base to</w:t>
      </w:r>
      <w:r>
        <w:rPr>
          <w:rFonts w:ascii="Arial" w:cs="Arial" w:eastAsia="Arial" w:hAnsi="Arial"/>
          <w:sz w:val="12"/>
          <w:szCs w:val="12"/>
          <w:i w:val="1"/>
          <w:iCs w:val="1"/>
          <w:color w:val="auto"/>
        </w:rPr>
        <w:t xml:space="preserve"> </w:t>
      </w:r>
      <w:r>
        <w:rPr>
          <w:rFonts w:ascii="Arial" w:cs="Arial" w:eastAsia="Arial" w:hAnsi="Arial"/>
          <w:sz w:val="12"/>
          <w:szCs w:val="12"/>
          <w:color w:val="auto"/>
        </w:rPr>
        <w:t>be increasingly competitive.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21" w:lineRule="exact"/>
        <w:rPr>
          <w:rFonts w:ascii="Arial" w:cs="Arial" w:eastAsia="Arial" w:hAnsi="Arial"/>
          <w:sz w:val="12"/>
          <w:szCs w:val="12"/>
          <w:color w:val="auto"/>
        </w:rPr>
      </w:pPr>
    </w:p>
    <w:p>
      <w:pPr>
        <w:ind w:firstLine="509"/>
        <w:spacing w:after="0" w:line="282" w:lineRule="auto"/>
        <w:tabs>
          <w:tab w:leader="none" w:pos="87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Drive efficiencies through ongoing improvements in operational excellence </w:t>
      </w:r>
      <w:r>
        <w:rPr>
          <w:rFonts w:ascii="Arial" w:cs="Arial" w:eastAsia="Arial" w:hAnsi="Arial"/>
          <w:sz w:val="13"/>
          <w:szCs w:val="13"/>
          <w:color w:val="auto"/>
        </w:rPr>
        <w:t>- We strive to gain significant operating efficiencies by leveraging historical and ongoing investments in</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31" w:lineRule="exact"/>
        <w:rPr>
          <w:rFonts w:ascii="Arial" w:cs="Arial" w:eastAsia="Arial" w:hAnsi="Arial"/>
          <w:sz w:val="13"/>
          <w:szCs w:val="13"/>
          <w:color w:val="auto"/>
        </w:rPr>
      </w:pPr>
    </w:p>
    <w:p>
      <w:pPr>
        <w:ind w:right="20" w:firstLine="509"/>
        <w:spacing w:after="0" w:line="259" w:lineRule="auto"/>
        <w:tabs>
          <w:tab w:leader="none" w:pos="87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 xml:space="preserve">Capture new growth opportunities through strategic alliances and acquisitions </w:t>
      </w:r>
      <w:r>
        <w:rPr>
          <w:rFonts w:ascii="Arial" w:cs="Arial" w:eastAsia="Arial" w:hAnsi="Arial"/>
          <w:sz w:val="14"/>
          <w:szCs w:val="14"/>
          <w:color w:val="auto"/>
        </w:rPr>
        <w:t>- We will continue to pursue selective alliances and acquisitions in order to enhance our industry-specific</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213" w:right="29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180" w:lineRule="exact"/>
        <w:rPr>
          <w:sz w:val="20"/>
          <w:szCs w:val="20"/>
          <w:color w:val="auto"/>
        </w:rPr>
      </w:pPr>
    </w:p>
    <w:p>
      <w:pPr>
        <w:ind w:right="520" w:firstLine="505"/>
        <w:spacing w:after="0" w:line="277" w:lineRule="auto"/>
        <w:rPr>
          <w:sz w:val="20"/>
          <w:szCs w:val="20"/>
          <w:color w:val="auto"/>
        </w:rPr>
      </w:pPr>
      <w:r>
        <w:rPr>
          <w:rFonts w:ascii="Arial" w:cs="Arial" w:eastAsia="Arial" w:hAnsi="Arial"/>
          <w:sz w:val="14"/>
          <w:szCs w:val="14"/>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believe that there are several key strengths that differentiate us from our competitors and will continue to contribute to our growth and success.</w:t>
      </w:r>
    </w:p>
    <w:p>
      <w:pPr>
        <w:spacing w:after="0" w:line="176"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136" w:lineRule="exact"/>
        <w:rPr>
          <w:sz w:val="20"/>
          <w:szCs w:val="20"/>
          <w:color w:val="auto"/>
        </w:rPr>
      </w:pPr>
    </w:p>
    <w:p>
      <w:pPr>
        <w:ind w:right="80" w:firstLine="505"/>
        <w:spacing w:after="0" w:line="293" w:lineRule="auto"/>
        <w:rPr>
          <w:sz w:val="20"/>
          <w:szCs w:val="20"/>
          <w:color w:val="auto"/>
        </w:rPr>
      </w:pPr>
      <w:r>
        <w:rPr>
          <w:rFonts w:ascii="Arial" w:cs="Arial" w:eastAsia="Arial" w:hAnsi="Arial"/>
          <w:sz w:val="13"/>
          <w:szCs w:val="13"/>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26" w:lineRule="exact"/>
        <w:rPr>
          <w:sz w:val="20"/>
          <w:szCs w:val="20"/>
          <w:color w:val="auto"/>
        </w:rPr>
      </w:pPr>
    </w:p>
    <w:p>
      <w:pPr>
        <w:ind w:right="200" w:firstLine="505"/>
        <w:spacing w:after="0" w:line="264" w:lineRule="auto"/>
        <w:rPr>
          <w:sz w:val="20"/>
          <w:szCs w:val="20"/>
          <w:color w:val="auto"/>
        </w:rPr>
      </w:pPr>
      <w:r>
        <w:rPr>
          <w:rFonts w:ascii="Arial" w:cs="Arial" w:eastAsia="Arial" w:hAnsi="Arial"/>
          <w:sz w:val="14"/>
          <w:szCs w:val="14"/>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42" w:lineRule="exact"/>
        <w:rPr>
          <w:sz w:val="20"/>
          <w:szCs w:val="20"/>
          <w:color w:val="auto"/>
        </w:rPr>
      </w:pPr>
    </w:p>
    <w:p>
      <w:pPr>
        <w:ind w:left="760" w:hanging="251"/>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core competency particularly in banking and insurance industry;</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deep domain knowledge and solutions in financial industry verticals;</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strategic engagements with financial blue-chip clients most of whom have been with us since our inception;</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comprehensive service offerings including financial IT solutions &amp; consulting as well as other services;</w:t>
      </w:r>
    </w:p>
    <w:p>
      <w:pPr>
        <w:spacing w:after="0" w:line="196" w:lineRule="exact"/>
        <w:rPr>
          <w:rFonts w:ascii="Arial" w:cs="Arial" w:eastAsia="Arial" w:hAnsi="Arial"/>
          <w:sz w:val="14"/>
          <w:szCs w:val="14"/>
          <w:color w:val="auto"/>
        </w:rPr>
      </w:pPr>
    </w:p>
    <w:p>
      <w:pPr>
        <w:ind w:left="760" w:hanging="251"/>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experienced senior management team with proven track record of success.</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213" w:right="27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clients include large corporations headquartered in China and globally which include, among others:</w:t>
      </w:r>
    </w:p>
    <w:p>
      <w:pPr>
        <w:spacing w:after="0" w:line="176" w:lineRule="exact"/>
        <w:rPr>
          <w:sz w:val="20"/>
          <w:szCs w:val="20"/>
          <w:color w:val="auto"/>
        </w:rPr>
      </w:pPr>
    </w:p>
    <w:p>
      <w:pPr>
        <w:ind w:left="900" w:hanging="391"/>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Banking or their China-based IT centers </w:t>
      </w:r>
      <w:r>
        <w:rPr>
          <w:rFonts w:ascii="Arial" w:cs="Arial" w:eastAsia="Arial" w:hAnsi="Arial"/>
          <w:sz w:val="14"/>
          <w:szCs w:val="14"/>
          <w:color w:val="auto"/>
        </w:rPr>
        <w:t>- Citibank, Standard Chartered Bank (China) Ltd., ANZ Bank, Commonwealth Bank of Australia, Bank of Communications.</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Financial Industry </w:t>
      </w:r>
      <w:r>
        <w:rPr>
          <w:rFonts w:ascii="Arial" w:cs="Arial" w:eastAsia="Arial" w:hAnsi="Arial"/>
          <w:sz w:val="14"/>
          <w:szCs w:val="14"/>
          <w:color w:val="auto"/>
        </w:rPr>
        <w:t>- AIA, China Life Insurance, First Data, Haitong Securities, Orient Securities and China Universal Asset Management Company.</w:t>
      </w:r>
    </w:p>
    <w:p>
      <w:pPr>
        <w:spacing w:after="0" w:line="175" w:lineRule="exact"/>
        <w:rPr>
          <w:rFonts w:ascii="Arial" w:cs="Arial" w:eastAsia="Arial" w:hAnsi="Arial"/>
          <w:sz w:val="14"/>
          <w:szCs w:val="14"/>
          <w:color w:val="auto"/>
        </w:rPr>
      </w:pPr>
    </w:p>
    <w:p>
      <w:pPr>
        <w:ind w:left="880" w:hanging="371"/>
        <w:spacing w:after="0"/>
        <w:tabs>
          <w:tab w:leader="none" w:pos="88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Technology Customers </w:t>
      </w:r>
      <w:r>
        <w:rPr>
          <w:rFonts w:ascii="Arial" w:cs="Arial" w:eastAsia="Arial" w:hAnsi="Arial"/>
          <w:sz w:val="14"/>
          <w:szCs w:val="14"/>
          <w:color w:val="auto"/>
        </w:rPr>
        <w:t>- eBay, CRIF Information Technology, Experian, AGFA Healthcare and Neusoft.</w:t>
      </w:r>
    </w:p>
    <w:p>
      <w:pPr>
        <w:spacing w:after="0" w:line="176" w:lineRule="exact"/>
        <w:rPr>
          <w:sz w:val="20"/>
          <w:szCs w:val="20"/>
          <w:color w:val="auto"/>
        </w:rPr>
      </w:pPr>
    </w:p>
    <w:p>
      <w:pPr>
        <w:ind w:right="460" w:firstLine="505"/>
        <w:spacing w:after="0" w:line="277" w:lineRule="auto"/>
        <w:rPr>
          <w:sz w:val="20"/>
          <w:szCs w:val="20"/>
          <w:color w:val="auto"/>
        </w:rPr>
      </w:pPr>
      <w:r>
        <w:rPr>
          <w:rFonts w:ascii="Arial" w:cs="Arial" w:eastAsia="Arial" w:hAnsi="Arial"/>
          <w:sz w:val="14"/>
          <w:szCs w:val="14"/>
          <w:color w:val="auto"/>
        </w:rPr>
        <w:t>By serving both Chinese and global clients on a common platform, we are able to leverage the shared resources, management, industry expertise and technology know-how to attract new business and remain cost competitive.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80" w:lineRule="exact"/>
        <w:rPr>
          <w:sz w:val="20"/>
          <w:szCs w:val="20"/>
          <w:color w:val="auto"/>
        </w:rPr>
      </w:pPr>
    </w:p>
    <w:p>
      <w:pPr>
        <w:ind w:right="220" w:firstLine="505"/>
        <w:spacing w:after="0" w:line="264" w:lineRule="auto"/>
        <w:rPr>
          <w:sz w:val="20"/>
          <w:szCs w:val="20"/>
          <w:color w:val="auto"/>
        </w:rPr>
      </w:pPr>
      <w:r>
        <w:rPr>
          <w:rFonts w:ascii="Arial" w:cs="Arial" w:eastAsia="Arial" w:hAnsi="Arial"/>
          <w:sz w:val="14"/>
          <w:szCs w:val="14"/>
          <w:color w:val="auto"/>
        </w:rPr>
        <w:t>We have invested in building a broad sales force and marketing team. As of December 31, 2017, our business development teams consisted of 24 full-time sales and marketing personnel, including 19 sales managers, each of whom is responsible for a designated sales region or client account. We plan to enhance our sales efforts by recruiting more sales personnel both domestically and overseas.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80" w:lineRule="exact"/>
        <w:rPr>
          <w:sz w:val="20"/>
          <w:szCs w:val="20"/>
          <w:color w:val="auto"/>
        </w:rPr>
      </w:pPr>
    </w:p>
    <w:p>
      <w:pPr>
        <w:ind w:right="20" w:firstLine="505"/>
        <w:spacing w:after="0" w:line="273" w:lineRule="auto"/>
        <w:rPr>
          <w:sz w:val="20"/>
          <w:szCs w:val="20"/>
          <w:color w:val="auto"/>
        </w:rPr>
      </w:pPr>
      <w:r>
        <w:rPr>
          <w:rFonts w:ascii="Arial" w:cs="Arial" w:eastAsia="Arial" w:hAnsi="Arial"/>
          <w:sz w:val="13"/>
          <w:szCs w:val="13"/>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80" w:lineRule="exact"/>
        <w:rPr>
          <w:sz w:val="20"/>
          <w:szCs w:val="20"/>
          <w:color w:val="auto"/>
        </w:rPr>
      </w:pPr>
    </w:p>
    <w:p>
      <w:pPr>
        <w:ind w:right="20" w:firstLine="505"/>
        <w:spacing w:after="0" w:line="277" w:lineRule="auto"/>
        <w:rPr>
          <w:sz w:val="20"/>
          <w:szCs w:val="20"/>
          <w:color w:val="auto"/>
        </w:rPr>
      </w:pPr>
      <w:r>
        <w:rPr>
          <w:rFonts w:ascii="Arial" w:cs="Arial" w:eastAsia="Arial" w:hAnsi="Arial"/>
          <w:sz w:val="14"/>
          <w:szCs w:val="14"/>
          <w:color w:val="212121"/>
        </w:rPr>
        <w:t>R&amp;D is an integral part of our continued growth. In order to serve our Chinese and global client’s needs better, we focus on exploring and researching new and advanced technologies and how to best integrate them into our existing and new solutions.</w:t>
      </w:r>
    </w:p>
    <w:p>
      <w:pPr>
        <w:spacing w:after="0" w:line="133" w:lineRule="exact"/>
        <w:rPr>
          <w:sz w:val="20"/>
          <w:szCs w:val="20"/>
          <w:color w:val="auto"/>
        </w:rPr>
      </w:pPr>
    </w:p>
    <w:p>
      <w:pPr>
        <w:ind w:firstLine="505"/>
        <w:spacing w:after="0" w:line="255" w:lineRule="auto"/>
        <w:rPr>
          <w:sz w:val="20"/>
          <w:szCs w:val="20"/>
          <w:color w:val="auto"/>
        </w:rPr>
      </w:pPr>
      <w:r>
        <w:rPr>
          <w:rFonts w:ascii="Arial" w:cs="Arial" w:eastAsia="Arial" w:hAnsi="Arial"/>
          <w:sz w:val="14"/>
          <w:szCs w:val="14"/>
          <w:color w:val="212121"/>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a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80" w:lineRule="exact"/>
        <w:rPr>
          <w:sz w:val="20"/>
          <w:szCs w:val="20"/>
          <w:color w:val="auto"/>
        </w:rPr>
      </w:pPr>
    </w:p>
    <w:p>
      <w:pPr>
        <w:ind w:right="100" w:firstLine="505"/>
        <w:spacing w:after="0" w:line="259" w:lineRule="auto"/>
        <w:rPr>
          <w:sz w:val="20"/>
          <w:szCs w:val="20"/>
          <w:color w:val="auto"/>
        </w:rPr>
      </w:pPr>
      <w:r>
        <w:rPr>
          <w:rFonts w:ascii="Arial" w:cs="Arial" w:eastAsia="Arial" w:hAnsi="Arial"/>
          <w:sz w:val="14"/>
          <w:szCs w:val="14"/>
          <w:color w:val="auto"/>
        </w:rPr>
        <w:t>We believe resource management and planning is critically important to supporting our growth, and we are committed to effectively recruiting, training, developing and retaining our human capital. Our total number of employees has grown from 1,055 employees in fiscal 2016 to 1,487 employees as of November 30, 2017. Approximately 70.3%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w:t>
      </w:r>
    </w:p>
    <w:p>
      <w:pPr>
        <w:spacing w:after="0" w:line="147" w:lineRule="exact"/>
        <w:rPr>
          <w:sz w:val="20"/>
          <w:szCs w:val="20"/>
          <w:color w:val="auto"/>
        </w:rPr>
      </w:pPr>
    </w:p>
    <w:p>
      <w:pPr>
        <w:ind w:right="180" w:firstLine="505"/>
        <w:spacing w:after="0" w:line="264" w:lineRule="auto"/>
        <w:rPr>
          <w:sz w:val="20"/>
          <w:szCs w:val="20"/>
          <w:color w:val="auto"/>
        </w:rPr>
      </w:pPr>
      <w:r>
        <w:rPr>
          <w:rFonts w:ascii="Arial" w:cs="Arial" w:eastAsia="Arial" w:hAnsi="Arial"/>
          <w:sz w:val="14"/>
          <w:szCs w:val="14"/>
          <w:color w:val="auto"/>
        </w:rPr>
        <w:t>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 Rights</w:t>
      </w:r>
    </w:p>
    <w:p>
      <w:pPr>
        <w:spacing w:after="0" w:line="180" w:lineRule="exact"/>
        <w:rPr>
          <w:sz w:val="20"/>
          <w:szCs w:val="20"/>
          <w:color w:val="auto"/>
        </w:rPr>
      </w:pPr>
    </w:p>
    <w:p>
      <w:pPr>
        <w:ind w:right="380" w:firstLine="505"/>
        <w:spacing w:after="0" w:line="277" w:lineRule="auto"/>
        <w:rPr>
          <w:sz w:val="20"/>
          <w:szCs w:val="20"/>
          <w:color w:val="auto"/>
        </w:rPr>
      </w:pPr>
      <w:r>
        <w:rPr>
          <w:rFonts w:ascii="Arial" w:cs="Arial" w:eastAsia="Arial" w:hAnsi="Arial"/>
          <w:sz w:val="14"/>
          <w:szCs w:val="14"/>
          <w:color w:val="auto"/>
        </w:rPr>
        <w:t>The PRC has domestic laws for the protection of rights in copyrights, trademarks and trade secrets. The PRC is also a signatory to all of the world’s major intellectual property conventions, including:</w:t>
      </w:r>
    </w:p>
    <w:p>
      <w:pPr>
        <w:spacing w:after="0" w:line="133" w:lineRule="exact"/>
        <w:rPr>
          <w:sz w:val="20"/>
          <w:szCs w:val="20"/>
          <w:color w:val="auto"/>
        </w:rPr>
      </w:pPr>
    </w:p>
    <w:p>
      <w:pPr>
        <w:ind w:left="760" w:hanging="251"/>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Convention establishing the World Intellectual Property Organization (June 3, 1980);</w:t>
      </w:r>
    </w:p>
    <w:p>
      <w:pPr>
        <w:spacing w:after="0" w:line="175" w:lineRule="exact"/>
        <w:rPr>
          <w:rFonts w:ascii="Arial" w:cs="Arial" w:eastAsia="Arial" w:hAnsi="Arial"/>
          <w:sz w:val="14"/>
          <w:szCs w:val="14"/>
          <w:color w:val="auto"/>
        </w:rPr>
      </w:pPr>
    </w:p>
    <w:p>
      <w:pPr>
        <w:ind w:left="760" w:hanging="251"/>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Paris Convention for the Protection of Industrial Property (March 19, 1985);</w:t>
      </w:r>
    </w:p>
    <w:p>
      <w:pPr>
        <w:spacing w:after="0" w:line="175" w:lineRule="exact"/>
        <w:rPr>
          <w:rFonts w:ascii="Arial" w:cs="Arial" w:eastAsia="Arial" w:hAnsi="Arial"/>
          <w:sz w:val="14"/>
          <w:szCs w:val="14"/>
          <w:color w:val="auto"/>
        </w:rPr>
      </w:pPr>
    </w:p>
    <w:p>
      <w:pPr>
        <w:ind w:left="760" w:hanging="251"/>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Patent Cooperation Treaty (January 1, 1994); and</w:t>
      </w:r>
    </w:p>
    <w:p>
      <w:pPr>
        <w:spacing w:after="0" w:line="175" w:lineRule="exact"/>
        <w:rPr>
          <w:rFonts w:ascii="Arial" w:cs="Arial" w:eastAsia="Arial" w:hAnsi="Arial"/>
          <w:sz w:val="14"/>
          <w:szCs w:val="14"/>
          <w:color w:val="auto"/>
        </w:rPr>
      </w:pPr>
    </w:p>
    <w:p>
      <w:pPr>
        <w:ind w:left="760" w:hanging="251"/>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Agreement on Trade-Related Aspects of Intellectual Property Rights (November 11, 2001).</w:t>
      </w:r>
    </w:p>
    <w:p>
      <w:pPr>
        <w:spacing w:after="0" w:line="176" w:lineRule="exact"/>
        <w:rPr>
          <w:sz w:val="20"/>
          <w:szCs w:val="20"/>
          <w:color w:val="auto"/>
        </w:rPr>
      </w:pPr>
    </w:p>
    <w:p>
      <w:pPr>
        <w:ind w:right="120" w:firstLine="505"/>
        <w:spacing w:after="0" w:line="277" w:lineRule="auto"/>
        <w:rPr>
          <w:sz w:val="20"/>
          <w:szCs w:val="20"/>
          <w:color w:val="auto"/>
        </w:rPr>
      </w:pPr>
      <w:r>
        <w:rPr>
          <w:rFonts w:ascii="Arial" w:cs="Arial" w:eastAsia="Arial" w:hAnsi="Arial"/>
          <w:sz w:val="14"/>
          <w:szCs w:val="14"/>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33"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80" w:firstLine="505"/>
        <w:spacing w:after="0" w:line="259" w:lineRule="auto"/>
        <w:rPr>
          <w:sz w:val="20"/>
          <w:szCs w:val="20"/>
          <w:color w:val="auto"/>
        </w:rPr>
      </w:pPr>
      <w:r>
        <w:rPr>
          <w:rFonts w:ascii="Arial" w:cs="Arial" w:eastAsia="Arial" w:hAnsi="Arial"/>
          <w:sz w:val="14"/>
          <w:szCs w:val="14"/>
          <w:color w:val="auto"/>
        </w:rPr>
        <w:t>Our primary trademark portfolio consists of 9 registered trademarks (with 5 trademarks currently under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clpsglobal.com.cn, and clpsgroup.com.cn.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registered for the following trademarks: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Country of</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Application</w:t>
            </w: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4"/>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Mark</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Registration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360" w:type="dxa"/>
            <w:vAlign w:val="bottom"/>
            <w:gridSpan w:val="2"/>
          </w:tcPr>
          <w:p>
            <w:pPr>
              <w:ind w:left="1600"/>
              <w:spacing w:after="0"/>
              <w:rPr>
                <w:sz w:val="20"/>
                <w:szCs w:val="20"/>
                <w:color w:val="auto"/>
              </w:rPr>
            </w:pPr>
            <w:r>
              <w:rPr>
                <w:rFonts w:ascii="Arial" w:cs="Arial" w:eastAsia="Arial" w:hAnsi="Arial"/>
                <w:sz w:val="14"/>
                <w:szCs w:val="14"/>
                <w:b w:val="1"/>
                <w:bCs w:val="1"/>
                <w:color w:val="auto"/>
              </w:rPr>
              <w:t>Class/Description</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158"/>
        </w:trPr>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19288958</w:t>
            </w:r>
          </w:p>
        </w:tc>
        <w:tc>
          <w:tcPr>
            <w:tcW w:w="120" w:type="dxa"/>
            <w:vAlign w:val="bottom"/>
            <w:tcBorders>
              <w:top w:val="single" w:sz="8" w:color="CCEEFF"/>
            </w:tcBorders>
            <w:shd w:val="clear" w:color="auto" w:fill="CCEEFF"/>
          </w:tcPr>
          <w:p>
            <w:pPr>
              <w:spacing w:after="0"/>
              <w:rPr>
                <w:sz w:val="13"/>
                <w:szCs w:val="13"/>
                <w:color w:val="auto"/>
              </w:rPr>
            </w:pPr>
          </w:p>
        </w:tc>
        <w:tc>
          <w:tcPr>
            <w:tcW w:w="424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w w:val="95"/>
              </w:rPr>
              <w:t>Class 9: Recorded computer programs (programs); Recorded computer</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ChinaLink Professional</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operating programs Computer peripherals; Computer software (recorded);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shd w:val="clear" w:color="auto" w:fill="CCEEFF"/>
          </w:tcPr>
          <w:p>
            <w:pPr>
              <w:spacing w:after="0"/>
              <w:rPr>
                <w:sz w:val="14"/>
                <w:szCs w:val="14"/>
                <w:color w:val="auto"/>
              </w:rPr>
            </w:pP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Connector (data processing equipment); Monitor program (computer</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program); Electronic publications (downloadable); Computer program</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(downloadable software); Downloadable computer application software;</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9"/>
        </w:trPr>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 hardware</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8"/>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2"/>
              </w:rPr>
              <w:t>China</w:t>
            </w:r>
          </w:p>
        </w:tc>
        <w:tc>
          <w:tcPr>
            <w:tcW w:w="1140" w:type="dxa"/>
            <w:vAlign w:val="bottom"/>
          </w:tcPr>
          <w:p>
            <w:pPr>
              <w:jc w:val="center"/>
              <w:spacing w:after="0" w:line="158" w:lineRule="exact"/>
              <w:rPr>
                <w:sz w:val="20"/>
                <w:szCs w:val="20"/>
                <w:color w:val="auto"/>
              </w:rPr>
            </w:pPr>
            <w:r>
              <w:rPr>
                <w:rFonts w:ascii="Arial" w:cs="Arial" w:eastAsia="Arial" w:hAnsi="Arial"/>
                <w:sz w:val="14"/>
                <w:szCs w:val="14"/>
                <w:color w:val="auto"/>
                <w:w w:val="89"/>
              </w:rPr>
              <w:t>19289112</w:t>
            </w:r>
          </w:p>
        </w:tc>
        <w:tc>
          <w:tcPr>
            <w:tcW w:w="120" w:type="dxa"/>
            <w:vAlign w:val="bottom"/>
          </w:tcPr>
          <w:p>
            <w:pPr>
              <w:spacing w:after="0"/>
              <w:rPr>
                <w:sz w:val="13"/>
                <w:szCs w:val="13"/>
                <w:color w:val="auto"/>
              </w:rPr>
            </w:pPr>
          </w:p>
        </w:tc>
        <w:tc>
          <w:tcPr>
            <w:tcW w:w="4360" w:type="dxa"/>
            <w:vAlign w:val="bottom"/>
            <w:gridSpan w:val="2"/>
          </w:tcPr>
          <w:p>
            <w:pPr>
              <w:spacing w:after="0" w:line="158" w:lineRule="exact"/>
              <w:rPr>
                <w:sz w:val="20"/>
                <w:szCs w:val="20"/>
                <w:color w:val="auto"/>
              </w:rPr>
            </w:pPr>
            <w:r>
              <w:rPr>
                <w:rFonts w:ascii="Arial" w:cs="Arial" w:eastAsia="Arial" w:hAnsi="Arial"/>
                <w:sz w:val="14"/>
                <w:szCs w:val="14"/>
                <w:color w:val="auto"/>
                <w:w w:val="98"/>
              </w:rPr>
              <w:t>Class 38: Information transmission; Computer terminal communication;</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2"/>
              </w:rPr>
              <w:t>ChinaLink Professional</w:t>
            </w:r>
          </w:p>
        </w:tc>
        <w:tc>
          <w:tcPr>
            <w:tcW w:w="114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rPr>
              <w:t>Computer-aided information and image transmission; Information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6"/>
              </w:rPr>
              <w:t>transmission equipment rental; Provide telecommunications link services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5"/>
              </w:rPr>
              <w:t>to connect with the global computer network; Telecommunications routing</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4"/>
              </w:rPr>
              <w:t>and junction services; Provide access service for global computer network</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2"/>
              </w:rPr>
              <w:t>users; Provide database access service; Digital file transfer Teleconference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9"/>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rPr>
              <w:t>call service</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8"/>
        </w:trPr>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19289503</w:t>
            </w:r>
          </w:p>
        </w:tc>
        <w:tc>
          <w:tcPr>
            <w:tcW w:w="1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w w:val="97"/>
              </w:rPr>
              <w:t>Class 9: Recorded computer programs (programs); Recorded computer</w:t>
            </w:r>
          </w:p>
        </w:tc>
        <w:tc>
          <w:tcPr>
            <w:tcW w:w="170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ChinaLink Professional</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operating programs; Computer peripherals; Computer software (recorded);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shd w:val="clear" w:color="auto" w:fill="CCEEFF"/>
          </w:tcPr>
          <w:p>
            <w:pPr>
              <w:spacing w:after="0"/>
              <w:rPr>
                <w:sz w:val="14"/>
                <w:szCs w:val="14"/>
                <w:color w:val="auto"/>
              </w:rPr>
            </w:pP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Connector (data processing equipment); Monitor program (computer</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program); Electronic publications (downloadable); Computer program</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(downloadable software); Downloadable computer application software;</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9"/>
        </w:trPr>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 hardware</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8"/>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2"/>
              </w:rPr>
              <w:t>China</w:t>
            </w:r>
          </w:p>
        </w:tc>
        <w:tc>
          <w:tcPr>
            <w:tcW w:w="1140" w:type="dxa"/>
            <w:vAlign w:val="bottom"/>
          </w:tcPr>
          <w:p>
            <w:pPr>
              <w:jc w:val="center"/>
              <w:spacing w:after="0" w:line="158" w:lineRule="exact"/>
              <w:rPr>
                <w:sz w:val="20"/>
                <w:szCs w:val="20"/>
                <w:color w:val="auto"/>
              </w:rPr>
            </w:pPr>
            <w:r>
              <w:rPr>
                <w:rFonts w:ascii="Arial" w:cs="Arial" w:eastAsia="Arial" w:hAnsi="Arial"/>
                <w:sz w:val="14"/>
                <w:szCs w:val="14"/>
                <w:color w:val="auto"/>
                <w:w w:val="89"/>
              </w:rPr>
              <w:t>19289341</w:t>
            </w:r>
          </w:p>
        </w:tc>
        <w:tc>
          <w:tcPr>
            <w:tcW w:w="120" w:type="dxa"/>
            <w:vAlign w:val="bottom"/>
          </w:tcPr>
          <w:p>
            <w:pPr>
              <w:spacing w:after="0"/>
              <w:rPr>
                <w:sz w:val="13"/>
                <w:szCs w:val="13"/>
                <w:color w:val="auto"/>
              </w:rPr>
            </w:pPr>
          </w:p>
        </w:tc>
        <w:tc>
          <w:tcPr>
            <w:tcW w:w="4360" w:type="dxa"/>
            <w:vAlign w:val="bottom"/>
            <w:gridSpan w:val="2"/>
          </w:tcPr>
          <w:p>
            <w:pPr>
              <w:spacing w:after="0" w:line="158" w:lineRule="exact"/>
              <w:rPr>
                <w:sz w:val="20"/>
                <w:szCs w:val="20"/>
                <w:color w:val="auto"/>
              </w:rPr>
            </w:pPr>
            <w:r>
              <w:rPr>
                <w:rFonts w:ascii="Arial" w:cs="Arial" w:eastAsia="Arial" w:hAnsi="Arial"/>
                <w:sz w:val="14"/>
                <w:szCs w:val="14"/>
                <w:color w:val="auto"/>
                <w:w w:val="92"/>
              </w:rPr>
              <w:t>Class 42: Technical research; Research or develop new products for others;</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2"/>
              </w:rPr>
              <w:t>ChinaLink Professional</w:t>
            </w:r>
          </w:p>
        </w:tc>
        <w:tc>
          <w:tcPr>
            <w:tcW w:w="114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6"/>
              </w:rPr>
              <w:t>Computer programming; Computer software design; Computer hardware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5"/>
              </w:rPr>
              <w:t>design and development consulting; Computer software rental; Computer</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9"/>
              </w:rPr>
              <w:t>software maintenance; Computer system analysis; Computer software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9"/>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rPr>
              <w:t>installation; Computer software consulting</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06"/>
        </w:trPr>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ind w:left="1400"/>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-2899410</wp:posOffset>
            </wp:positionV>
            <wp:extent cx="494665" cy="200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4665" cy="2006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-2258060</wp:posOffset>
            </wp:positionV>
            <wp:extent cx="494665" cy="2006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4665" cy="2006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-1509395</wp:posOffset>
            </wp:positionV>
            <wp:extent cx="527685" cy="2139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7685" cy="21399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-868045</wp:posOffset>
            </wp:positionV>
            <wp:extent cx="527685" cy="2139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7685" cy="21399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3000" w:type="dxa"/>
            <w:vAlign w:val="bottom"/>
            <w:gridSpan w:val="6"/>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17"/>
        </w:trPr>
        <w:tc>
          <w:tcPr>
            <w:tcW w:w="420" w:type="dxa"/>
            <w:vAlign w:val="bottom"/>
          </w:tcPr>
          <w:p>
            <w:pPr>
              <w:spacing w:after="0"/>
              <w:rPr>
                <w:sz w:val="24"/>
                <w:szCs w:val="24"/>
                <w:color w:val="auto"/>
              </w:rPr>
            </w:pPr>
          </w:p>
        </w:tc>
        <w:tc>
          <w:tcPr>
            <w:tcW w:w="3840" w:type="dxa"/>
            <w:vAlign w:val="bottom"/>
            <w:gridSpan w:val="7"/>
          </w:tcPr>
          <w:p>
            <w:pPr>
              <w:ind w:left="80"/>
              <w:spacing w:after="0"/>
              <w:rPr>
                <w:sz w:val="20"/>
                <w:szCs w:val="20"/>
                <w:color w:val="auto"/>
              </w:rPr>
            </w:pPr>
            <w:r>
              <w:rPr>
                <w:rFonts w:ascii="Arial" w:cs="Arial" w:eastAsia="Arial" w:hAnsi="Arial"/>
                <w:sz w:val="14"/>
                <w:szCs w:val="14"/>
                <w:color w:val="auto"/>
              </w:rPr>
              <w:t>We have applied to register the following trademarks:</w:t>
            </w: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2"/>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Country of</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Application</w:t>
            </w: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4"/>
        </w:trPr>
        <w:tc>
          <w:tcPr>
            <w:tcW w:w="420" w:type="dxa"/>
            <w:vAlign w:val="bottom"/>
          </w:tcPr>
          <w:p>
            <w:pPr>
              <w:spacing w:after="0"/>
              <w:rPr>
                <w:sz w:val="20"/>
                <w:szCs w:val="20"/>
                <w:color w:val="auto"/>
              </w:rPr>
            </w:pPr>
            <w:r>
              <w:rPr>
                <w:rFonts w:ascii="Arial" w:cs="Arial" w:eastAsia="Arial" w:hAnsi="Arial"/>
                <w:sz w:val="14"/>
                <w:szCs w:val="14"/>
                <w:b w:val="1"/>
                <w:bCs w:val="1"/>
                <w:color w:val="auto"/>
              </w:rPr>
              <w:t>Mark</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Registration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360" w:type="dxa"/>
            <w:vAlign w:val="bottom"/>
            <w:gridSpan w:val="2"/>
          </w:tcPr>
          <w:p>
            <w:pPr>
              <w:ind w:left="1600"/>
              <w:spacing w:after="0"/>
              <w:rPr>
                <w:sz w:val="20"/>
                <w:szCs w:val="20"/>
                <w:color w:val="auto"/>
              </w:rPr>
            </w:pPr>
            <w:r>
              <w:rPr>
                <w:rFonts w:ascii="Arial" w:cs="Arial" w:eastAsia="Arial" w:hAnsi="Arial"/>
                <w:sz w:val="14"/>
                <w:szCs w:val="14"/>
                <w:b w:val="1"/>
                <w:bCs w:val="1"/>
                <w:color w:val="auto"/>
              </w:rPr>
              <w:t>Class/Description</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158"/>
        </w:trPr>
        <w:tc>
          <w:tcPr>
            <w:tcW w:w="4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19289066</w:t>
            </w:r>
          </w:p>
        </w:tc>
        <w:tc>
          <w:tcPr>
            <w:tcW w:w="120" w:type="dxa"/>
            <w:vAlign w:val="bottom"/>
            <w:tcBorders>
              <w:top w:val="single" w:sz="8" w:color="CCEEFF"/>
            </w:tcBorders>
            <w:shd w:val="clear" w:color="auto" w:fill="CCEEFF"/>
          </w:tcPr>
          <w:p>
            <w:pPr>
              <w:spacing w:after="0"/>
              <w:rPr>
                <w:sz w:val="13"/>
                <w:szCs w:val="13"/>
                <w:color w:val="auto"/>
              </w:rPr>
            </w:pPr>
          </w:p>
        </w:tc>
        <w:tc>
          <w:tcPr>
            <w:tcW w:w="424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w w:val="91"/>
              </w:rPr>
              <w:t>Class 35: Advertising; Advertising agency Advertising space rental; Online</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ChinaLink Professional</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Pending</w:t>
            </w: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advertising on the computer network; Advertisement layout design;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Business management assistance; Business inquiry; Business information</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agency; Business management and organization consulting; Business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9"/>
        </w:trPr>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management consulting</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8"/>
        </w:trPr>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19289214</w:t>
            </w:r>
          </w:p>
        </w:tc>
        <w:tc>
          <w:tcPr>
            <w:tcW w:w="1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Class 41: Teaching; Education; Training; Practical training</w:t>
            </w:r>
          </w:p>
        </w:tc>
        <w:tc>
          <w:tcPr>
            <w:tcW w:w="170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ChinaLink Professional</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Pending</w:t>
            </w: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(demonstration); Employment guidance (education or training consultants);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Arrange and organize academic seminars; Arrange and organize meetings;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Arrange and organize general meeting; Arrange and organize symposium;</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9"/>
        </w:trPr>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Arrange and organize training classes</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8"/>
        </w:trPr>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19289175</w:t>
            </w:r>
          </w:p>
        </w:tc>
        <w:tc>
          <w:tcPr>
            <w:tcW w:w="1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w w:val="92"/>
              </w:rPr>
              <w:t>Class 42: Technical research; Research or develop new products for others;</w:t>
            </w:r>
          </w:p>
        </w:tc>
        <w:tc>
          <w:tcPr>
            <w:tcW w:w="170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ChinaLink Professional</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Pending</w:t>
            </w: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Computer programming; Computer software design; Computer hardware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design and development consulting; Computer software rental; Computer</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software maintenance; Computer system analysis; Computer software</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9"/>
        </w:trPr>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installation; Computer software consulting</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8"/>
        </w:trPr>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19289492</w:t>
            </w:r>
          </w:p>
        </w:tc>
        <w:tc>
          <w:tcPr>
            <w:tcW w:w="1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w w:val="98"/>
              </w:rPr>
              <w:t>Class 38: Information transmission; Computer terminal communication;</w:t>
            </w:r>
          </w:p>
        </w:tc>
        <w:tc>
          <w:tcPr>
            <w:tcW w:w="170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ChinaLink Professional</w:t>
            </w:r>
          </w:p>
        </w:tc>
        <w:tc>
          <w:tcPr>
            <w:tcW w:w="11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Pending</w:t>
            </w: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Computer-aided information and image transmission; Information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transmission equipment rental; Provide telecommunications link services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to connect with the global computer network; Telecommunications routing</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and junction services; Provide access service for global computer network</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2"/>
              </w:rPr>
              <w:t>users; Provide database access service; Digital file transfer; Teleconference</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9"/>
        </w:trPr>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call service</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8"/>
        </w:trPr>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2"/>
              </w:rPr>
              <w:t>China</w:t>
            </w:r>
          </w:p>
        </w:tc>
        <w:tc>
          <w:tcPr>
            <w:tcW w:w="1140" w:type="dxa"/>
            <w:vAlign w:val="bottom"/>
          </w:tcPr>
          <w:p>
            <w:pPr>
              <w:jc w:val="center"/>
              <w:spacing w:after="0" w:line="158" w:lineRule="exact"/>
              <w:rPr>
                <w:sz w:val="20"/>
                <w:szCs w:val="20"/>
                <w:color w:val="auto"/>
              </w:rPr>
            </w:pPr>
            <w:r>
              <w:rPr>
                <w:rFonts w:ascii="Arial" w:cs="Arial" w:eastAsia="Arial" w:hAnsi="Arial"/>
                <w:sz w:val="14"/>
                <w:szCs w:val="14"/>
                <w:color w:val="auto"/>
                <w:w w:val="89"/>
              </w:rPr>
              <w:t>19289420</w:t>
            </w:r>
          </w:p>
        </w:tc>
        <w:tc>
          <w:tcPr>
            <w:tcW w:w="120" w:type="dxa"/>
            <w:vAlign w:val="bottom"/>
          </w:tcPr>
          <w:p>
            <w:pPr>
              <w:spacing w:after="0"/>
              <w:rPr>
                <w:sz w:val="13"/>
                <w:szCs w:val="13"/>
                <w:color w:val="auto"/>
              </w:rPr>
            </w:pPr>
          </w:p>
        </w:tc>
        <w:tc>
          <w:tcPr>
            <w:tcW w:w="4360" w:type="dxa"/>
            <w:vAlign w:val="bottom"/>
            <w:gridSpan w:val="2"/>
          </w:tcPr>
          <w:p>
            <w:pPr>
              <w:spacing w:after="0" w:line="158" w:lineRule="exact"/>
              <w:rPr>
                <w:sz w:val="20"/>
                <w:szCs w:val="20"/>
                <w:color w:val="auto"/>
              </w:rPr>
            </w:pPr>
            <w:r>
              <w:rPr>
                <w:rFonts w:ascii="Arial" w:cs="Arial" w:eastAsia="Arial" w:hAnsi="Arial"/>
                <w:sz w:val="14"/>
                <w:szCs w:val="14"/>
                <w:color w:val="auto"/>
              </w:rPr>
              <w:t>Class 41: Teaching; Education; Training; Practical training</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2"/>
              </w:rPr>
              <w:t>ChinaLink Professional</w:t>
            </w:r>
          </w:p>
        </w:tc>
        <w:tc>
          <w:tcPr>
            <w:tcW w:w="1140" w:type="dxa"/>
            <w:vAlign w:val="bottom"/>
          </w:tcPr>
          <w:p>
            <w:pPr>
              <w:jc w:val="center"/>
              <w:spacing w:after="0" w:line="158" w:lineRule="exact"/>
              <w:rPr>
                <w:sz w:val="20"/>
                <w:szCs w:val="20"/>
                <w:color w:val="auto"/>
              </w:rPr>
            </w:pPr>
            <w:r>
              <w:rPr>
                <w:rFonts w:ascii="Arial" w:cs="Arial" w:eastAsia="Arial" w:hAnsi="Arial"/>
                <w:sz w:val="14"/>
                <w:szCs w:val="14"/>
                <w:color w:val="auto"/>
                <w:w w:val="89"/>
              </w:rPr>
              <w:t>Pending</w:t>
            </w:r>
          </w:p>
        </w:tc>
      </w:tr>
      <w:tr>
        <w:trPr>
          <w:trHeight w:val="168"/>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3"/>
              </w:rPr>
              <w:t>(demonstration); Employment guidance (education or training consultants);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Services Co., Ltd</w:t>
            </w:r>
          </w:p>
        </w:tc>
        <w:tc>
          <w:tcPr>
            <w:tcW w:w="1140" w:type="dxa"/>
            <w:vAlign w:val="bottom"/>
          </w:tcPr>
          <w:p>
            <w:pPr>
              <w:spacing w:after="0"/>
              <w:rPr>
                <w:sz w:val="14"/>
                <w:szCs w:val="14"/>
                <w:color w:val="auto"/>
              </w:rPr>
            </w:pPr>
          </w:p>
        </w:tc>
      </w:tr>
      <w:tr>
        <w:trPr>
          <w:trHeight w:val="168"/>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3"/>
              </w:rPr>
              <w:t>Arrange and organize academic seminars; Arrange and organize meetings;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w w:val="94"/>
              </w:rPr>
              <w:t>Arrange and organize general meeting; Arrange and organize symposium;</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9"/>
        </w:trPr>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rPr>
              <w:t>Arrange and organize training classes</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06"/>
        </w:trPr>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ind w:left="1400"/>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-3540760</wp:posOffset>
            </wp:positionV>
            <wp:extent cx="494665" cy="200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4665" cy="20066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-2899410</wp:posOffset>
            </wp:positionV>
            <wp:extent cx="494665" cy="200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4665" cy="2006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-2258060</wp:posOffset>
            </wp:positionV>
            <wp:extent cx="494665" cy="2006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4665" cy="2006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-1616710</wp:posOffset>
            </wp:positionV>
            <wp:extent cx="527685" cy="2139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7685" cy="21399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-868045</wp:posOffset>
            </wp:positionV>
            <wp:extent cx="527685" cy="2139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7685" cy="213995"/>
                    </a:xfrm>
                    <a:prstGeom prst="rect">
                      <a:avLst/>
                    </a:prstGeom>
                    <a:noFill/>
                  </pic:spPr>
                </pic:pic>
              </a:graphicData>
            </a:graphic>
          </wp:anchor>
        </w:drawing>
      </w:r>
    </w:p>
    <w:p>
      <w:pPr>
        <w:sectPr>
          <w:pgSz w:w="11900" w:h="16838" w:orient="portrait"/>
          <w:cols w:equalWidth="0" w:num="1">
            <w:col w:w="11460"/>
          </w:cols>
          <w:pgMar w:left="220" w:top="200"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3540" w:type="dxa"/>
            <w:vAlign w:val="bottom"/>
            <w:gridSpan w:val="4"/>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42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17"/>
        </w:trPr>
        <w:tc>
          <w:tcPr>
            <w:tcW w:w="3540" w:type="dxa"/>
            <w:vAlign w:val="bottom"/>
            <w:gridSpan w:val="4"/>
          </w:tcPr>
          <w:p>
            <w:pPr>
              <w:ind w:left="500"/>
              <w:spacing w:after="0"/>
              <w:rPr>
                <w:sz w:val="20"/>
                <w:szCs w:val="20"/>
                <w:color w:val="auto"/>
              </w:rPr>
            </w:pPr>
            <w:r>
              <w:rPr>
                <w:rFonts w:ascii="Arial" w:cs="Arial" w:eastAsia="Arial" w:hAnsi="Arial"/>
                <w:sz w:val="14"/>
                <w:szCs w:val="14"/>
                <w:color w:val="auto"/>
                <w:w w:val="96"/>
              </w:rPr>
              <w:t>The following is a list of the Company’s copyrights: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Country of</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Registration</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5"/>
        </w:trPr>
        <w:tc>
          <w:tcPr>
            <w:tcW w:w="3540" w:type="dxa"/>
            <w:vAlign w:val="bottom"/>
            <w:gridSpan w:val="4"/>
          </w:tcPr>
          <w:p>
            <w:pPr>
              <w:spacing w:after="0"/>
              <w:rPr>
                <w:sz w:val="20"/>
                <w:szCs w:val="20"/>
                <w:color w:val="auto"/>
              </w:rPr>
            </w:pPr>
            <w:r>
              <w:rPr>
                <w:rFonts w:ascii="Arial" w:cs="Arial" w:eastAsia="Arial" w:hAnsi="Arial"/>
                <w:sz w:val="14"/>
                <w:szCs w:val="14"/>
                <w:b w:val="1"/>
                <w:bCs w:val="1"/>
                <w:color w:val="auto"/>
              </w:rPr>
              <w:t>Software Name</w:t>
            </w: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Registration</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Current Owner</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Approval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158"/>
        </w:trPr>
        <w:tc>
          <w:tcPr>
            <w:tcW w:w="3100" w:type="dxa"/>
            <w:vAlign w:val="bottom"/>
            <w:tcBorders>
              <w:top w:val="single" w:sz="8" w:color="auto"/>
            </w:tcBorders>
            <w:gridSpan w:val="2"/>
            <w:shd w:val="clear" w:color="auto" w:fill="CCEEFF"/>
          </w:tcPr>
          <w:p>
            <w:pPr>
              <w:spacing w:after="0" w:line="158" w:lineRule="exact"/>
              <w:rPr>
                <w:sz w:val="20"/>
                <w:szCs w:val="20"/>
                <w:color w:val="auto"/>
              </w:rPr>
            </w:pPr>
            <w:r>
              <w:rPr>
                <w:rFonts w:ascii="Arial" w:cs="Arial" w:eastAsia="Arial" w:hAnsi="Arial"/>
                <w:sz w:val="14"/>
                <w:szCs w:val="14"/>
                <w:color w:val="auto"/>
              </w:rPr>
              <w:t>CLPS HR Management Platform Software V1.0</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center"/>
              <w:ind w:right="250"/>
              <w:spacing w:after="0" w:line="158" w:lineRule="exact"/>
              <w:rPr>
                <w:sz w:val="20"/>
                <w:szCs w:val="20"/>
                <w:color w:val="auto"/>
              </w:rPr>
            </w:pPr>
            <w:r>
              <w:rPr>
                <w:rFonts w:ascii="Arial" w:cs="Arial" w:eastAsia="Arial" w:hAnsi="Arial"/>
                <w:sz w:val="14"/>
                <w:szCs w:val="14"/>
                <w:color w:val="auto"/>
                <w:w w:val="92"/>
              </w:rPr>
              <w:t>China</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2009SR015975</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ChinaLink Professional</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29th April 2009</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540" w:type="dxa"/>
            <w:vAlign w:val="bottom"/>
            <w:gridSpan w:val="4"/>
          </w:tcPr>
          <w:p>
            <w:pPr>
              <w:spacing w:after="0" w:line="158" w:lineRule="exact"/>
              <w:rPr>
                <w:sz w:val="20"/>
                <w:szCs w:val="20"/>
                <w:color w:val="auto"/>
              </w:rPr>
            </w:pPr>
            <w:r>
              <w:rPr>
                <w:rFonts w:ascii="Arial" w:cs="Arial" w:eastAsia="Arial" w:hAnsi="Arial"/>
                <w:sz w:val="14"/>
                <w:szCs w:val="14"/>
                <w:color w:val="auto"/>
              </w:rPr>
              <w:t>CLPS Food and Beverage Report Analysis and</w:t>
            </w:r>
          </w:p>
        </w:tc>
        <w:tc>
          <w:tcPr>
            <w:tcW w:w="1420" w:type="dxa"/>
            <w:vAlign w:val="bottom"/>
            <w:gridSpan w:val="2"/>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88"/>
              </w:rPr>
              <w:t>2009SR060110</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28th December 2009</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tcPr>
          <w:p>
            <w:pPr>
              <w:spacing w:after="0"/>
              <w:rPr>
                <w:sz w:val="20"/>
                <w:szCs w:val="20"/>
                <w:color w:val="auto"/>
              </w:rPr>
            </w:pPr>
            <w:r>
              <w:rPr>
                <w:rFonts w:ascii="Arial" w:cs="Arial" w:eastAsia="Arial" w:hAnsi="Arial"/>
                <w:sz w:val="14"/>
                <w:szCs w:val="14"/>
                <w:color w:val="auto"/>
              </w:rPr>
              <w:t>Management Platform Software V1.0</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540" w:type="dxa"/>
            <w:vAlign w:val="bottom"/>
            <w:gridSpan w:val="4"/>
            <w:shd w:val="clear" w:color="auto" w:fill="CCEEFF"/>
          </w:tcPr>
          <w:p>
            <w:pPr>
              <w:spacing w:after="0" w:line="158" w:lineRule="exact"/>
              <w:rPr>
                <w:sz w:val="20"/>
                <w:szCs w:val="20"/>
                <w:color w:val="auto"/>
              </w:rPr>
            </w:pPr>
            <w:r>
              <w:rPr>
                <w:rFonts w:ascii="Arial" w:cs="Arial" w:eastAsia="Arial" w:hAnsi="Arial"/>
                <w:sz w:val="14"/>
                <w:szCs w:val="14"/>
                <w:color w:val="auto"/>
              </w:rPr>
              <w:t>CLPS Apparel Industry POS Management Platform</w:t>
            </w:r>
          </w:p>
        </w:tc>
        <w:tc>
          <w:tcPr>
            <w:tcW w:w="1420" w:type="dxa"/>
            <w:vAlign w:val="bottom"/>
            <w:gridSpan w:val="2"/>
            <w:shd w:val="clear" w:color="auto" w:fill="CCEEFF"/>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2009SR060102</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28th December 2009</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Software V1.0</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540" w:type="dxa"/>
            <w:vAlign w:val="bottom"/>
            <w:gridSpan w:val="4"/>
          </w:tcPr>
          <w:p>
            <w:pPr>
              <w:spacing w:after="0" w:line="158" w:lineRule="exact"/>
              <w:rPr>
                <w:sz w:val="20"/>
                <w:szCs w:val="20"/>
                <w:color w:val="auto"/>
              </w:rPr>
            </w:pPr>
            <w:r>
              <w:rPr>
                <w:rFonts w:ascii="Arial" w:cs="Arial" w:eastAsia="Arial" w:hAnsi="Arial"/>
                <w:sz w:val="14"/>
                <w:szCs w:val="14"/>
                <w:color w:val="auto"/>
              </w:rPr>
              <w:t>CLPS Express Information Interactive Platform</w:t>
            </w:r>
          </w:p>
        </w:tc>
        <w:tc>
          <w:tcPr>
            <w:tcW w:w="1420" w:type="dxa"/>
            <w:vAlign w:val="bottom"/>
            <w:gridSpan w:val="2"/>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88"/>
              </w:rPr>
              <w:t>2009SR060112</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28th December 2009</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tcPr>
          <w:p>
            <w:pPr>
              <w:spacing w:after="0"/>
              <w:rPr>
                <w:sz w:val="20"/>
                <w:szCs w:val="20"/>
                <w:color w:val="auto"/>
              </w:rPr>
            </w:pPr>
            <w:r>
              <w:rPr>
                <w:rFonts w:ascii="Arial" w:cs="Arial" w:eastAsia="Arial" w:hAnsi="Arial"/>
                <w:sz w:val="14"/>
                <w:szCs w:val="14"/>
                <w:color w:val="auto"/>
              </w:rPr>
              <w:t>Software V1.0</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540" w:type="dxa"/>
            <w:vAlign w:val="bottom"/>
            <w:gridSpan w:val="4"/>
            <w:shd w:val="clear" w:color="auto" w:fill="CCEEFF"/>
          </w:tcPr>
          <w:p>
            <w:pPr>
              <w:spacing w:after="0" w:line="158" w:lineRule="exact"/>
              <w:rPr>
                <w:sz w:val="20"/>
                <w:szCs w:val="20"/>
                <w:color w:val="auto"/>
              </w:rPr>
            </w:pPr>
            <w:r>
              <w:rPr>
                <w:rFonts w:ascii="Arial" w:cs="Arial" w:eastAsia="Arial" w:hAnsi="Arial"/>
                <w:sz w:val="14"/>
                <w:szCs w:val="14"/>
                <w:color w:val="auto"/>
              </w:rPr>
              <w:t>CLPS Chain Store Information Interactive Platform</w:t>
            </w:r>
          </w:p>
        </w:tc>
        <w:tc>
          <w:tcPr>
            <w:tcW w:w="1420" w:type="dxa"/>
            <w:vAlign w:val="bottom"/>
            <w:gridSpan w:val="2"/>
            <w:shd w:val="clear" w:color="auto" w:fill="CCEEFF"/>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2009SR060108</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28th December 2009</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Software V1.0</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540" w:type="dxa"/>
            <w:vAlign w:val="bottom"/>
            <w:gridSpan w:val="4"/>
          </w:tcPr>
          <w:p>
            <w:pPr>
              <w:spacing w:after="0" w:line="158" w:lineRule="exact"/>
              <w:rPr>
                <w:sz w:val="20"/>
                <w:szCs w:val="20"/>
                <w:color w:val="auto"/>
              </w:rPr>
            </w:pPr>
            <w:r>
              <w:rPr>
                <w:rFonts w:ascii="Arial" w:cs="Arial" w:eastAsia="Arial" w:hAnsi="Arial"/>
                <w:sz w:val="14"/>
                <w:szCs w:val="14"/>
                <w:color w:val="auto"/>
              </w:rPr>
              <w:t>CLPS Project Analysis and Management Platform</w:t>
            </w:r>
          </w:p>
        </w:tc>
        <w:tc>
          <w:tcPr>
            <w:tcW w:w="1420" w:type="dxa"/>
            <w:vAlign w:val="bottom"/>
            <w:gridSpan w:val="2"/>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2009SR060169</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28th December 2009</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tcPr>
          <w:p>
            <w:pPr>
              <w:spacing w:after="0"/>
              <w:rPr>
                <w:sz w:val="20"/>
                <w:szCs w:val="20"/>
                <w:color w:val="auto"/>
              </w:rPr>
            </w:pPr>
            <w:r>
              <w:rPr>
                <w:rFonts w:ascii="Arial" w:cs="Arial" w:eastAsia="Arial" w:hAnsi="Arial"/>
                <w:sz w:val="14"/>
                <w:szCs w:val="14"/>
                <w:color w:val="auto"/>
              </w:rPr>
              <w:t>Software V1.0</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540" w:type="dxa"/>
            <w:vAlign w:val="bottom"/>
            <w:gridSpan w:val="4"/>
            <w:shd w:val="clear" w:color="auto" w:fill="CCEEFF"/>
          </w:tcPr>
          <w:p>
            <w:pPr>
              <w:spacing w:after="0" w:line="158" w:lineRule="exact"/>
              <w:rPr>
                <w:sz w:val="20"/>
                <w:szCs w:val="20"/>
                <w:color w:val="auto"/>
              </w:rPr>
            </w:pPr>
            <w:r>
              <w:rPr>
                <w:rFonts w:ascii="Arial" w:cs="Arial" w:eastAsia="Arial" w:hAnsi="Arial"/>
                <w:sz w:val="14"/>
                <w:szCs w:val="14"/>
                <w:color w:val="auto"/>
              </w:rPr>
              <w:t>CLPS Payroll Accounting System Platform Software</w:t>
            </w:r>
          </w:p>
        </w:tc>
        <w:tc>
          <w:tcPr>
            <w:tcW w:w="1420" w:type="dxa"/>
            <w:vAlign w:val="bottom"/>
            <w:gridSpan w:val="2"/>
            <w:shd w:val="clear" w:color="auto" w:fill="CCEEFF"/>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2010SR043564</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25th August 2010</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V1.0</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540" w:type="dxa"/>
            <w:vAlign w:val="bottom"/>
            <w:gridSpan w:val="4"/>
          </w:tcPr>
          <w:p>
            <w:pPr>
              <w:spacing w:after="0" w:line="158" w:lineRule="exact"/>
              <w:rPr>
                <w:sz w:val="20"/>
                <w:szCs w:val="20"/>
                <w:color w:val="auto"/>
              </w:rPr>
            </w:pPr>
            <w:r>
              <w:rPr>
                <w:rFonts w:ascii="Arial" w:cs="Arial" w:eastAsia="Arial" w:hAnsi="Arial"/>
                <w:sz w:val="14"/>
                <w:szCs w:val="14"/>
                <w:color w:val="auto"/>
              </w:rPr>
              <w:t>CLPS Fast Moving Consumer Goods Frontline Staff</w:t>
            </w:r>
          </w:p>
        </w:tc>
        <w:tc>
          <w:tcPr>
            <w:tcW w:w="1420" w:type="dxa"/>
            <w:vAlign w:val="bottom"/>
            <w:gridSpan w:val="2"/>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2010SR043561</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25th August 2010</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tcPr>
          <w:p>
            <w:pPr>
              <w:spacing w:after="0"/>
              <w:rPr>
                <w:sz w:val="20"/>
                <w:szCs w:val="20"/>
                <w:color w:val="auto"/>
              </w:rPr>
            </w:pPr>
            <w:r>
              <w:rPr>
                <w:rFonts w:ascii="Arial" w:cs="Arial" w:eastAsia="Arial" w:hAnsi="Arial"/>
                <w:sz w:val="14"/>
                <w:szCs w:val="14"/>
                <w:color w:val="auto"/>
              </w:rPr>
              <w:t>Management Platform Software V1.0</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540" w:type="dxa"/>
            <w:vAlign w:val="bottom"/>
            <w:gridSpan w:val="4"/>
            <w:shd w:val="clear" w:color="auto" w:fill="CCEEFF"/>
          </w:tcPr>
          <w:p>
            <w:pPr>
              <w:spacing w:after="0" w:line="158" w:lineRule="exact"/>
              <w:rPr>
                <w:sz w:val="20"/>
                <w:szCs w:val="20"/>
                <w:color w:val="auto"/>
              </w:rPr>
            </w:pPr>
            <w:r>
              <w:rPr>
                <w:rFonts w:ascii="Arial" w:cs="Arial" w:eastAsia="Arial" w:hAnsi="Arial"/>
                <w:sz w:val="14"/>
                <w:szCs w:val="14"/>
                <w:color w:val="auto"/>
              </w:rPr>
              <w:t>CLPS Staff Management Platform Software V1.0</w:t>
            </w:r>
          </w:p>
        </w:tc>
        <w:tc>
          <w:tcPr>
            <w:tcW w:w="1420" w:type="dxa"/>
            <w:vAlign w:val="bottom"/>
            <w:gridSpan w:val="2"/>
            <w:shd w:val="clear" w:color="auto" w:fill="CCEEFF"/>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2010SR043562</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25th August 2010</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540" w:type="dxa"/>
            <w:vAlign w:val="bottom"/>
            <w:gridSpan w:val="4"/>
          </w:tcPr>
          <w:p>
            <w:pPr>
              <w:spacing w:after="0" w:line="158" w:lineRule="exact"/>
              <w:rPr>
                <w:sz w:val="20"/>
                <w:szCs w:val="20"/>
                <w:color w:val="auto"/>
              </w:rPr>
            </w:pPr>
            <w:r>
              <w:rPr>
                <w:rFonts w:ascii="Arial" w:cs="Arial" w:eastAsia="Arial" w:hAnsi="Arial"/>
                <w:sz w:val="14"/>
                <w:szCs w:val="14"/>
                <w:color w:val="auto"/>
              </w:rPr>
              <w:t>CLPS Coal Mining Enterprise Information System</w:t>
            </w:r>
          </w:p>
        </w:tc>
        <w:tc>
          <w:tcPr>
            <w:tcW w:w="1420" w:type="dxa"/>
            <w:vAlign w:val="bottom"/>
            <w:gridSpan w:val="2"/>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2010SR045449</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87"/>
              </w:rPr>
              <w:t>1st September 2010</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tcPr>
          <w:p>
            <w:pPr>
              <w:spacing w:after="0"/>
              <w:rPr>
                <w:sz w:val="20"/>
                <w:szCs w:val="20"/>
                <w:color w:val="auto"/>
              </w:rPr>
            </w:pPr>
            <w:r>
              <w:rPr>
                <w:rFonts w:ascii="Arial" w:cs="Arial" w:eastAsia="Arial" w:hAnsi="Arial"/>
                <w:sz w:val="14"/>
                <w:szCs w:val="14"/>
                <w:color w:val="auto"/>
              </w:rPr>
              <w:t>Management Platform Software V1.0</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540" w:type="dxa"/>
            <w:vAlign w:val="bottom"/>
            <w:gridSpan w:val="4"/>
            <w:shd w:val="clear" w:color="auto" w:fill="CCEEFF"/>
          </w:tcPr>
          <w:p>
            <w:pPr>
              <w:spacing w:after="0" w:line="158" w:lineRule="exact"/>
              <w:rPr>
                <w:sz w:val="20"/>
                <w:szCs w:val="20"/>
                <w:color w:val="auto"/>
              </w:rPr>
            </w:pPr>
            <w:r>
              <w:rPr>
                <w:rFonts w:ascii="Arial" w:cs="Arial" w:eastAsia="Arial" w:hAnsi="Arial"/>
                <w:sz w:val="14"/>
                <w:szCs w:val="14"/>
                <w:color w:val="auto"/>
              </w:rPr>
              <w:t>CLPS Campus Expense Card Web Service System</w:t>
            </w:r>
          </w:p>
        </w:tc>
        <w:tc>
          <w:tcPr>
            <w:tcW w:w="1420" w:type="dxa"/>
            <w:vAlign w:val="bottom"/>
            <w:gridSpan w:val="2"/>
            <w:shd w:val="clear" w:color="auto" w:fill="CCEEFF"/>
          </w:tcPr>
          <w:p>
            <w:pPr>
              <w:jc w:val="center"/>
              <w:ind w:right="44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2010SR045441</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87"/>
              </w:rPr>
              <w:t>1st September 2010</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Platform Software V1.0</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506"/>
        </w:trPr>
        <w:tc>
          <w:tcPr>
            <w:tcW w:w="1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74</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99" w:right="21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Country of</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Registration</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5"/>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Registration</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Current Owner</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Approval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158"/>
        </w:trPr>
        <w:tc>
          <w:tcPr>
            <w:tcW w:w="3100" w:type="dxa"/>
            <w:vAlign w:val="bottom"/>
            <w:tcBorders>
              <w:top w:val="single" w:sz="8" w:color="auto"/>
            </w:tcBorders>
            <w:gridSpan w:val="2"/>
            <w:shd w:val="clear" w:color="auto" w:fill="CCEEFF"/>
          </w:tcPr>
          <w:p>
            <w:pPr>
              <w:spacing w:after="0" w:line="158" w:lineRule="exact"/>
              <w:rPr>
                <w:sz w:val="20"/>
                <w:szCs w:val="20"/>
                <w:color w:val="auto"/>
              </w:rPr>
            </w:pPr>
            <w:r>
              <w:rPr>
                <w:rFonts w:ascii="Arial" w:cs="Arial" w:eastAsia="Arial" w:hAnsi="Arial"/>
                <w:sz w:val="14"/>
                <w:szCs w:val="14"/>
                <w:color w:val="auto"/>
                <w:w w:val="91"/>
              </w:rPr>
              <w:t>CLPS Campus Expense Card Bathroom Management</w:t>
            </w:r>
          </w:p>
        </w:tc>
        <w:tc>
          <w:tcPr>
            <w:tcW w:w="1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2010SR045444</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ChinaLink Professional</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7"/>
              </w:rPr>
              <w:t>1st September 2010</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Software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6"/>
              </w:rPr>
              <w:t>CLPS Machinery Industry ERP Management Platform</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2010SR045802</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88"/>
              </w:rPr>
              <w:t>2nd September 2010</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Assignment and Task Management Platform</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40"/>
              <w:spacing w:after="0" w:line="158" w:lineRule="exact"/>
              <w:rPr>
                <w:sz w:val="20"/>
                <w:szCs w:val="20"/>
                <w:color w:val="auto"/>
              </w:rPr>
            </w:pPr>
            <w:r>
              <w:rPr>
                <w:rFonts w:ascii="Arial" w:cs="Arial" w:eastAsia="Arial" w:hAnsi="Arial"/>
                <w:sz w:val="14"/>
                <w:szCs w:val="14"/>
                <w:color w:val="auto"/>
                <w:w w:val="88"/>
              </w:rPr>
              <w:t>2011SR076863</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25th October 2011</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68"/>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Software(short name: Assignment and Task</w:t>
            </w: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Management System)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7"/>
              </w:rPr>
              <w:t>CLPS Marketing Assistant System Platform Software</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2012SR096727</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15th October 2012</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w w:val="95"/>
              </w:rPr>
              <w:t>CLPS Outsourcing Service Staff Management System</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2012SR096666</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15th October 2012</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Platform Software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7"/>
              </w:rPr>
              <w:t>CLPS Outsourcing Service Staff System Background</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2012SR096731</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15th October 2012</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Management 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Logistics Terminal Distribution Platform</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2012SR096668</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15th October 2012</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Software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7"/>
              </w:rPr>
              <w:t>CLPS HR Background Support Management System</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2012SR098440</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19th October 2012</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HR Management System Platform</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2012SR098429</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19th October 2012</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7"/>
              </w:rPr>
              <w:t>Software(short name: HR management system)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Outsourcing Service Staff Resume Entry</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2012SR098687</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19th October 2012</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System Platform 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Bank Document Business Management</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2013SR054800</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87"/>
              </w:rPr>
              <w:t>5th June 2013</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9"/>
              </w:rPr>
              <w:t>Software(short name: Document Management)V1.0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527"/>
        </w:trPr>
        <w:tc>
          <w:tcPr>
            <w:tcW w:w="1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75</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00" w:right="21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23"/>
        </w:trPr>
        <w:tc>
          <w:tcPr>
            <w:tcW w:w="14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Country of</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Registration</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5"/>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Registration</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Current Owner</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Approval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158"/>
        </w:trPr>
        <w:tc>
          <w:tcPr>
            <w:tcW w:w="3100" w:type="dxa"/>
            <w:vAlign w:val="bottom"/>
            <w:tcBorders>
              <w:top w:val="single" w:sz="8" w:color="auto"/>
            </w:tcBorders>
            <w:gridSpan w:val="2"/>
            <w:shd w:val="clear" w:color="auto" w:fill="CCEEFF"/>
          </w:tcPr>
          <w:p>
            <w:pPr>
              <w:spacing w:after="0" w:line="158" w:lineRule="exact"/>
              <w:rPr>
                <w:sz w:val="20"/>
                <w:szCs w:val="20"/>
                <w:color w:val="auto"/>
              </w:rPr>
            </w:pPr>
            <w:r>
              <w:rPr>
                <w:rFonts w:ascii="Arial" w:cs="Arial" w:eastAsia="Arial" w:hAnsi="Arial"/>
                <w:sz w:val="14"/>
                <w:szCs w:val="14"/>
                <w:color w:val="auto"/>
              </w:rPr>
              <w:t>CLPS Bank Monetary Transaction Management</w:t>
            </w:r>
          </w:p>
        </w:tc>
        <w:tc>
          <w:tcPr>
            <w:tcW w:w="1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2013SR054796</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ChinaLink Professional</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7"/>
              </w:rPr>
              <w:t>5th June 2013</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68"/>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Software (short name: Monetary Transaction</w:t>
            </w: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Management)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Bank Expense Management Software V1.0</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2014SR168125</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1"/>
              </w:rPr>
              <w:t>4th November 2014</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Bank Repayment Process Software V1.0</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2014SR168130</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1"/>
              </w:rPr>
              <w:t>4th November 2014</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Bank Point Accumulative Management</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2014SR168132</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1"/>
              </w:rPr>
              <w:t>4th November 2014</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Bank Interest Process Software V1.0</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2014SR168136</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1"/>
              </w:rPr>
              <w:t>4th November 2014</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Bank Credit Application Software V1.0</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2014SR168138</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1"/>
              </w:rPr>
              <w:t>4th November 2014</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w w:val="99"/>
              </w:rPr>
              <w:t>CLPS Credit Card Risk Management Software V1.0</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2015SR028695</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89"/>
              </w:rPr>
              <w:t>10th February 2015</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Credit Card Account Establishment and Card</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2015SR029015</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89"/>
              </w:rPr>
              <w:t>10th February 2015</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Making 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Credit Card Customer Service Management</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2015SR029012</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89"/>
              </w:rPr>
              <w:t>10th February 2015</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Software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Credit Card Cleaning Management Software</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2015SR028884</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89"/>
              </w:rPr>
              <w:t>10th February 2015</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Credit Card Authorization Management</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2015SR028914</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89"/>
              </w:rPr>
              <w:t>10th February 2015</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Software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4"/>
              </w:rPr>
              <w:t>CLPS Mortgage Loan Plan Spreadsheet Tool Software</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2015SR198772</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16th October 2015</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(short name: loan spreadsheet)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Bank Product Management Software V1.0</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2015SR198610</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16th October 2015</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Bank Deposit and Withdrawal Services</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2015SR198176</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16th October 2015</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Management 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w w:val="98"/>
              </w:rPr>
              <w:t>CLPS Bank Loan Application Management Software</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2015SR198654</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16th October 2015</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506"/>
        </w:trPr>
        <w:tc>
          <w:tcPr>
            <w:tcW w:w="1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76</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99" w:right="2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Country of</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Registration</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5"/>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Registration</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Current Owner</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Approval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158"/>
        </w:trPr>
        <w:tc>
          <w:tcPr>
            <w:tcW w:w="3100" w:type="dxa"/>
            <w:vAlign w:val="bottom"/>
            <w:tcBorders>
              <w:top w:val="single" w:sz="8" w:color="auto"/>
            </w:tcBorders>
            <w:gridSpan w:val="2"/>
            <w:shd w:val="clear" w:color="auto" w:fill="CCEEFF"/>
          </w:tcPr>
          <w:p>
            <w:pPr>
              <w:spacing w:after="0" w:line="158" w:lineRule="exact"/>
              <w:rPr>
                <w:sz w:val="20"/>
                <w:szCs w:val="20"/>
                <w:color w:val="auto"/>
              </w:rPr>
            </w:pPr>
            <w:r>
              <w:rPr>
                <w:rFonts w:ascii="Arial" w:cs="Arial" w:eastAsia="Arial" w:hAnsi="Arial"/>
                <w:sz w:val="14"/>
                <w:szCs w:val="14"/>
                <w:color w:val="auto"/>
                <w:w w:val="94"/>
              </w:rPr>
              <w:t>CLPS Bank Repayment Management Software V1.0</w:t>
            </w:r>
          </w:p>
        </w:tc>
        <w:tc>
          <w:tcPr>
            <w:tcW w:w="1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2015SR198649</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ChinaLink Professional</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1"/>
              </w:rPr>
              <w:t>16th October 2015</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Bank Exchange Rate Management Software</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2015SR198774</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16th October 2015</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Bank Interest Settlement Software V1.0</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2015SR198246</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16th October 2015</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8"/>
              </w:rPr>
              <w:t>CLPS Bank Foreign Exchange Transaction Software</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2015SR198240</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16th October 2015</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Bank Investment Management Securities</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2016SR376924</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16th December 2016</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Business Software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Bank Big Data Decision-making Platform</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2016SR382920</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20th December 2016</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Customer Portrayal 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Services Ca,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Internet Financial Cloud Mobile Banking</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2016SR398821</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27th December 2016</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Software V2.0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Wantong Calculas Mall Software V2.0</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88"/>
              </w:rPr>
              <w:t>2017SR118507</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CLPS Beijing Hengtong</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17th April 2017</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8"/>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CLPS RcRules Engine Software</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2017SR169307</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CLPS Ruicheng Co., Ltd</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9th May 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Registered</w:t>
            </w: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Internet Financing Collection Management</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88"/>
              </w:rPr>
              <w:t>2017SR119266</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CLPS Ruicheng Co., Ltd</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17th April 2017</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Software V2.0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8"/>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CLPS Points Management Platform Software</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8"/>
              </w:rPr>
              <w:t>2017SR119078</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CLPS Ruicheng Co., Ltd</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17th April 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Registered</w:t>
            </w: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Full-web Order Receiving Unified Platform</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2017SR202535</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CLPS Ruicheng Co., Ltd</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24th May 2017</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Management Software V2.0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06"/>
        </w:trPr>
        <w:tc>
          <w:tcPr>
            <w:tcW w:w="1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77</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00" w:right="21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Country of</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Registration</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4"/>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Registration</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Current Owner</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Approval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158"/>
        </w:trPr>
        <w:tc>
          <w:tcPr>
            <w:tcW w:w="3100" w:type="dxa"/>
            <w:vAlign w:val="bottom"/>
            <w:tcBorders>
              <w:top w:val="single" w:sz="8" w:color="auto"/>
            </w:tcBorders>
            <w:gridSpan w:val="2"/>
            <w:shd w:val="clear" w:color="auto" w:fill="CCEEFF"/>
          </w:tcPr>
          <w:p>
            <w:pPr>
              <w:spacing w:after="0" w:line="158" w:lineRule="exact"/>
              <w:rPr>
                <w:sz w:val="20"/>
                <w:szCs w:val="20"/>
                <w:color w:val="auto"/>
              </w:rPr>
            </w:pPr>
            <w:r>
              <w:rPr>
                <w:rFonts w:ascii="Arial" w:cs="Arial" w:eastAsia="Arial" w:hAnsi="Arial"/>
                <w:sz w:val="14"/>
                <w:szCs w:val="14"/>
                <w:color w:val="auto"/>
                <w:w w:val="97"/>
              </w:rPr>
              <w:t>CLPS Quanxi Intelligent Marketing Platform Clients</w:t>
            </w:r>
          </w:p>
        </w:tc>
        <w:tc>
          <w:tcPr>
            <w:tcW w:w="1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2017SR565576</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2"/>
              </w:rPr>
              <w:t>ChinaLink Professional</w:t>
            </w:r>
          </w:p>
        </w:tc>
        <w:tc>
          <w:tcPr>
            <w:tcW w:w="1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1"/>
              </w:rPr>
              <w:t>13th October 2017</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Growth Center Software V2.0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7"/>
              </w:rPr>
              <w:t>CLPS Enterprise Recruitment Intelligent Cooperation</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2017SR646712</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24th November 2017</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Platform Software V2.0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CLPS Intelligent Online Training Test Instructional</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2017SR646507</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24th November 2017</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Management Software V1.0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Enterprise Internet Qinqin Loan Background</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2017SR647634</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24th November 2017</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Management Software V1.0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w w:val="99"/>
              </w:rPr>
              <w:t>CLPS Blockchain Based Virtual Credits Background</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2017SR645676</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24th November 2017</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Management Software V2.0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rPr>
              <w:t>CLPS Enterprise Talent Information</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2017SR645650</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24th November 2017</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Intelligent Mangement Software V2.0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322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w w:val="99"/>
              </w:rPr>
              <w:t>CLPS Credit Card Big Data Integrated Management</w:t>
            </w:r>
          </w:p>
        </w:tc>
        <w:tc>
          <w:tcPr>
            <w:tcW w:w="174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2017SR645763</w:t>
            </w:r>
          </w:p>
        </w:tc>
        <w:tc>
          <w:tcPr>
            <w:tcW w:w="17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24th November 2017</w:t>
            </w:r>
          </w:p>
        </w:tc>
        <w:tc>
          <w:tcPr>
            <w:tcW w:w="1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Background Software V2.0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8"/>
        </w:trPr>
        <w:tc>
          <w:tcPr>
            <w:tcW w:w="3220" w:type="dxa"/>
            <w:vAlign w:val="bottom"/>
            <w:gridSpan w:val="3"/>
          </w:tcPr>
          <w:p>
            <w:pPr>
              <w:spacing w:after="0" w:line="158" w:lineRule="exact"/>
              <w:rPr>
                <w:sz w:val="20"/>
                <w:szCs w:val="20"/>
                <w:color w:val="auto"/>
              </w:rPr>
            </w:pPr>
            <w:r>
              <w:rPr>
                <w:rFonts w:ascii="Arial" w:cs="Arial" w:eastAsia="Arial" w:hAnsi="Arial"/>
                <w:sz w:val="14"/>
                <w:szCs w:val="14"/>
                <w:color w:val="auto"/>
                <w:w w:val="97"/>
              </w:rPr>
              <w:t>CLPS Enterprise Recruitment Intelligent Cooperation</w:t>
            </w:r>
          </w:p>
        </w:tc>
        <w:tc>
          <w:tcPr>
            <w:tcW w:w="174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2017SR647190</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ChinaLink Professional</w:t>
            </w: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24th November 2017</w:t>
            </w:r>
          </w:p>
        </w:tc>
        <w:tc>
          <w:tcPr>
            <w:tcW w:w="1360" w:type="dxa"/>
            <w:vAlign w:val="bottom"/>
          </w:tcPr>
          <w:p>
            <w:pPr>
              <w:jc w:val="center"/>
              <w:spacing w:after="0" w:line="158" w:lineRule="exact"/>
              <w:rPr>
                <w:sz w:val="20"/>
                <w:szCs w:val="20"/>
                <w:color w:val="auto"/>
              </w:rPr>
            </w:pPr>
            <w:r>
              <w:rPr>
                <w:rFonts w:ascii="Arial" w:cs="Arial" w:eastAsia="Arial" w:hAnsi="Arial"/>
                <w:sz w:val="14"/>
                <w:szCs w:val="14"/>
                <w:color w:val="auto"/>
                <w:w w:val="88"/>
              </w:rPr>
              <w:t>Registered</w:t>
            </w:r>
          </w:p>
        </w:tc>
      </w:tr>
      <w:tr>
        <w:trPr>
          <w:trHeight w:val="179"/>
        </w:trPr>
        <w:tc>
          <w:tcPr>
            <w:tcW w:w="3220" w:type="dxa"/>
            <w:vAlign w:val="bottom"/>
            <w:gridSpan w:val="3"/>
          </w:tcPr>
          <w:p>
            <w:pPr>
              <w:spacing w:after="0"/>
              <w:rPr>
                <w:sz w:val="20"/>
                <w:szCs w:val="20"/>
                <w:color w:val="auto"/>
              </w:rPr>
            </w:pPr>
            <w:r>
              <w:rPr>
                <w:rFonts w:ascii="Arial" w:cs="Arial" w:eastAsia="Arial" w:hAnsi="Arial"/>
                <w:sz w:val="14"/>
                <w:szCs w:val="14"/>
                <w:color w:val="auto"/>
              </w:rPr>
              <w:t>Platform Software V2.0</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Services Co., Ltd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Properties</w:t>
      </w:r>
    </w:p>
    <w:p>
      <w:pPr>
        <w:spacing w:after="0" w:line="180" w:lineRule="exact"/>
        <w:rPr>
          <w:sz w:val="20"/>
          <w:szCs w:val="20"/>
          <w:color w:val="auto"/>
        </w:rPr>
      </w:pPr>
    </w:p>
    <w:p>
      <w:pPr>
        <w:ind w:right="140" w:firstLine="505"/>
        <w:spacing w:after="0" w:line="284" w:lineRule="auto"/>
        <w:rPr>
          <w:sz w:val="20"/>
          <w:szCs w:val="20"/>
          <w:color w:val="auto"/>
        </w:rPr>
      </w:pPr>
      <w:r>
        <w:rPr>
          <w:rFonts w:ascii="Arial" w:cs="Arial" w:eastAsia="Arial" w:hAnsi="Arial"/>
          <w:sz w:val="14"/>
          <w:szCs w:val="14"/>
          <w:color w:val="auto"/>
        </w:rPr>
        <w:t>Our principal executive office is located on the 2nd Floor, Building 18, Shanghai Pudong Software Park 498 Guoshoujing Road, Pudong, Shanghai 201203, PRC. We lease the premises and the lease term expires on 30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June, 2019.</w:t>
      </w:r>
    </w:p>
    <w:p>
      <w:pPr>
        <w:spacing w:after="0" w:line="33"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In addition, the Company manages and operates several other facilities. We rent an office space in Tianjin, Shenzhen, Guangzhou, Dalian, Chengdu, Beijing, Australia and Singapore. Rent expenses amounted to $565,328 and $431,043 for the years ended June 30, 2017 and 2016, respectively. Rent expenses amounted to $310,505 and $244,458 for the six months ended December 31, 2017 and 2016, respectively. We believe our facilities are adequate for our current needs.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28"/>
        </w:trPr>
        <w:tc>
          <w:tcPr>
            <w:tcW w:w="1420" w:type="dxa"/>
            <w:vAlign w:val="bottom"/>
            <w:tcBorders>
              <w:top w:val="single" w:sz="8" w:color="0000EE"/>
            </w:tcBorders>
          </w:tcPr>
          <w:p>
            <w:pPr>
              <w:ind w:left="700"/>
              <w:spacing w:after="0"/>
              <w:rPr>
                <w:sz w:val="20"/>
                <w:szCs w:val="20"/>
                <w:color w:val="auto"/>
              </w:rPr>
            </w:pPr>
            <w:r>
              <w:rPr>
                <w:rFonts w:ascii="Arial" w:cs="Arial" w:eastAsia="Arial" w:hAnsi="Arial"/>
                <w:sz w:val="14"/>
                <w:szCs w:val="14"/>
                <w:b w:val="1"/>
                <w:bCs w:val="1"/>
                <w:color w:val="auto"/>
              </w:rPr>
              <w:t>Facility</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ind w:left="3820"/>
              <w:spacing w:after="0"/>
              <w:rPr>
                <w:sz w:val="20"/>
                <w:szCs w:val="20"/>
                <w:color w:val="auto"/>
              </w:rPr>
            </w:pPr>
            <w:r>
              <w:rPr>
                <w:rFonts w:ascii="Arial" w:cs="Arial" w:eastAsia="Arial" w:hAnsi="Arial"/>
                <w:sz w:val="14"/>
                <w:szCs w:val="14"/>
                <w:b w:val="1"/>
                <w:bCs w:val="1"/>
                <w:color w:val="auto"/>
              </w:rPr>
              <w:t>Address</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Space ( )</w:t>
            </w:r>
          </w:p>
        </w:tc>
      </w:tr>
      <w:tr>
        <w:trPr>
          <w:trHeight w:val="168"/>
        </w:trPr>
        <w:tc>
          <w:tcPr>
            <w:tcW w:w="14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2nd Floor, Building 18, Shanghai Pudong Software Park, 498 Guoshoujing Road, Pudong District, Shanghai,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1,259.94</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Tianjin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W5-C1-403-1, 51 West Area of Financial Street, the 3rd Street, Economic Development District, Tianjian,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61.52</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Shenzhen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Room 2008, Anhui Building, Shennan Avenue, Futian District, Shenzhen,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234.16</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Guangzhou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6C03, 377 Tianhe Road, Tianhe District, Guangzhou,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Dalian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Room#01-04, 1/F, 1 Huixian Garden, New &amp; High-tech Industrial Park, Dalian, Liaoning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2,344.04</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Chengdu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 10, 25/Floor, Tower 2, 88 Jitai 5th Road, Gaoxin District, Chengdu, Sichuan District,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59.74</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Beijing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1/F, Shangke Chuangye Area, Guotou Shangke Building, 111 Huihe South Street, Gaobeidian, Chaoyang District, Beijing,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Australia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Part Tenancy 5, Part Level 9, 276 Flinders Street, Melbourne, VIC, Australia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83.5</w:t>
            </w:r>
          </w:p>
        </w:tc>
      </w:tr>
      <w:tr>
        <w:trPr>
          <w:trHeight w:val="168"/>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Singapore Office</w:t>
            </w:r>
          </w:p>
        </w:tc>
        <w:tc>
          <w:tcPr>
            <w:tcW w:w="8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No. 456 Office, Singapore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r>
      <w:tr>
        <w:trPr>
          <w:trHeight w:val="337"/>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Legal Proceedings</w:t>
            </w:r>
          </w:p>
        </w:tc>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are currently not involved in any legal proceedings; nor are we aware of any claims that could have a material adverse effect on our business, financial condition, results of operations or cash</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flows.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Relating to PRC Information Technology Service Industry</w:t>
      </w:r>
    </w:p>
    <w:p>
      <w:pPr>
        <w:spacing w:after="0" w:line="176"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42" w:lineRule="exact"/>
        <w:rPr>
          <w:sz w:val="20"/>
          <w:szCs w:val="20"/>
          <w:color w:val="auto"/>
        </w:rPr>
      </w:pPr>
    </w:p>
    <w:p>
      <w:pPr>
        <w:ind w:right="60" w:firstLine="505"/>
        <w:spacing w:after="0" w:line="257" w:lineRule="auto"/>
        <w:rPr>
          <w:sz w:val="20"/>
          <w:szCs w:val="20"/>
          <w:color w:val="auto"/>
        </w:rPr>
      </w:pPr>
      <w:r>
        <w:rPr>
          <w:rFonts w:ascii="Arial" w:cs="Arial" w:eastAsia="Arial" w:hAnsi="Arial"/>
          <w:sz w:val="14"/>
          <w:szCs w:val="14"/>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0" w:firstLine="505"/>
        <w:spacing w:after="0" w:line="277" w:lineRule="auto"/>
        <w:rPr>
          <w:sz w:val="20"/>
          <w:szCs w:val="20"/>
          <w:color w:val="auto"/>
        </w:rPr>
      </w:pPr>
      <w:r>
        <w:rPr>
          <w:rFonts w:ascii="Arial" w:cs="Arial" w:eastAsia="Arial" w:hAnsi="Arial"/>
          <w:sz w:val="13"/>
          <w:szCs w:val="13"/>
          <w:color w:val="auto"/>
        </w:rPr>
        <w:t>Companies in China engaging in information systems integration are required to obtain qualification certificates from the Ministry of Industry and Information Technology. “Information systems integration” means plan, design, development, implementation, service and safeguard of computer system and network system. Currently the Company does not engage in information system integration business, therefore the Company is not required to have such qualification certificates.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135" w:lineRule="exact"/>
        <w:rPr>
          <w:sz w:val="20"/>
          <w:szCs w:val="20"/>
          <w:color w:val="auto"/>
        </w:rPr>
      </w:pPr>
    </w:p>
    <w:p>
      <w:pPr>
        <w:ind w:right="60" w:firstLine="505"/>
        <w:spacing w:after="0" w:line="257" w:lineRule="auto"/>
        <w:rPr>
          <w:sz w:val="20"/>
          <w:szCs w:val="20"/>
          <w:color w:val="auto"/>
        </w:rPr>
      </w:pPr>
      <w:r>
        <w:rPr>
          <w:rFonts w:ascii="Arial" w:cs="Arial" w:eastAsia="Arial" w:hAnsi="Arial"/>
          <w:sz w:val="14"/>
          <w:szCs w:val="14"/>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on Intellectual Property Rights</w:t>
      </w:r>
    </w:p>
    <w:p>
      <w:pPr>
        <w:spacing w:after="0" w:line="176" w:lineRule="exact"/>
        <w:rPr>
          <w:sz w:val="20"/>
          <w:szCs w:val="20"/>
          <w:color w:val="auto"/>
        </w:rPr>
      </w:pPr>
    </w:p>
    <w:p>
      <w:pPr>
        <w:ind w:right="140" w:firstLine="505"/>
        <w:spacing w:after="0" w:line="282" w:lineRule="auto"/>
        <w:rPr>
          <w:sz w:val="20"/>
          <w:szCs w:val="20"/>
          <w:color w:val="auto"/>
        </w:rPr>
      </w:pPr>
      <w:r>
        <w:rPr>
          <w:rFonts w:ascii="Arial" w:cs="Arial" w:eastAsia="Arial" w:hAnsi="Arial"/>
          <w:sz w:val="13"/>
          <w:szCs w:val="13"/>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 of Foreign Currency Exchange and Dividend Distribution</w:t>
      </w:r>
    </w:p>
    <w:p>
      <w:pPr>
        <w:spacing w:after="0" w:line="176" w:lineRule="exact"/>
        <w:rPr>
          <w:sz w:val="20"/>
          <w:szCs w:val="20"/>
          <w:color w:val="auto"/>
        </w:rPr>
      </w:pPr>
    </w:p>
    <w:p>
      <w:pPr>
        <w:ind w:firstLine="505"/>
        <w:spacing w:after="0" w:line="254" w:lineRule="auto"/>
        <w:rPr>
          <w:sz w:val="20"/>
          <w:szCs w:val="20"/>
          <w:color w:val="auto"/>
        </w:rPr>
      </w:pPr>
      <w:r>
        <w:rPr>
          <w:rFonts w:ascii="Arial" w:cs="Arial" w:eastAsia="Arial" w:hAnsi="Arial"/>
          <w:sz w:val="14"/>
          <w:szCs w:val="14"/>
          <w:u w:val="single" w:color="auto"/>
          <w:color w:val="auto"/>
        </w:rPr>
        <w:t>Foreign Currency Exchange.</w:t>
      </w:r>
      <w:r>
        <w:rPr>
          <w:rFonts w:ascii="Arial" w:cs="Arial" w:eastAsia="Arial" w:hAnsi="Arial"/>
          <w:sz w:val="14"/>
          <w:szCs w:val="14"/>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52" w:lineRule="exact"/>
        <w:rPr>
          <w:sz w:val="20"/>
          <w:szCs w:val="20"/>
          <w:color w:val="auto"/>
        </w:rPr>
      </w:pPr>
    </w:p>
    <w:p>
      <w:pPr>
        <w:jc w:val="both"/>
        <w:ind w:right="220" w:firstLine="505"/>
        <w:spacing w:after="0" w:line="259" w:lineRule="auto"/>
        <w:rPr>
          <w:sz w:val="20"/>
          <w:szCs w:val="20"/>
          <w:color w:val="auto"/>
        </w:rPr>
      </w:pPr>
      <w:r>
        <w:rPr>
          <w:rFonts w:ascii="Arial" w:cs="Arial" w:eastAsia="Arial" w:hAnsi="Arial"/>
          <w:sz w:val="14"/>
          <w:szCs w:val="14"/>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60" w:firstLine="505"/>
        <w:spacing w:after="0" w:line="317" w:lineRule="auto"/>
        <w:rPr>
          <w:sz w:val="20"/>
          <w:szCs w:val="20"/>
          <w:color w:val="auto"/>
        </w:rPr>
      </w:pPr>
      <w:r>
        <w:rPr>
          <w:rFonts w:ascii="Arial" w:cs="Arial" w:eastAsia="Arial" w:hAnsi="Arial"/>
          <w:sz w:val="13"/>
          <w:szCs w:val="13"/>
          <w:u w:val="single" w:color="auto"/>
          <w:color w:val="auto"/>
        </w:rPr>
        <w:t>Dividend Distribution.</w:t>
      </w:r>
      <w:r>
        <w:rPr>
          <w:rFonts w:ascii="Arial" w:cs="Arial" w:eastAsia="Arial" w:hAnsi="Arial"/>
          <w:sz w:val="13"/>
          <w:szCs w:val="13"/>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10" w:lineRule="exact"/>
        <w:rPr>
          <w:sz w:val="20"/>
          <w:szCs w:val="20"/>
          <w:color w:val="auto"/>
        </w:rPr>
      </w:pPr>
    </w:p>
    <w:p>
      <w:pPr>
        <w:jc w:val="both"/>
        <w:ind w:right="380" w:firstLine="505"/>
        <w:spacing w:after="0" w:line="259" w:lineRule="auto"/>
        <w:rPr>
          <w:sz w:val="20"/>
          <w:szCs w:val="20"/>
          <w:color w:val="auto"/>
        </w:rPr>
      </w:pPr>
      <w:r>
        <w:rPr>
          <w:rFonts w:ascii="Arial" w:cs="Arial" w:eastAsia="Arial" w:hAnsi="Arial"/>
          <w:sz w:val="14"/>
          <w:szCs w:val="14"/>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47" w:lineRule="exact"/>
        <w:rPr>
          <w:sz w:val="20"/>
          <w:szCs w:val="20"/>
          <w:color w:val="auto"/>
        </w:rPr>
      </w:pPr>
    </w:p>
    <w:p>
      <w:pPr>
        <w:ind w:right="20" w:firstLine="505"/>
        <w:spacing w:after="0" w:line="310" w:lineRule="auto"/>
        <w:rPr>
          <w:sz w:val="20"/>
          <w:szCs w:val="20"/>
          <w:color w:val="auto"/>
        </w:rPr>
      </w:pPr>
      <w:r>
        <w:rPr>
          <w:rFonts w:ascii="Arial" w:cs="Arial" w:eastAsia="Arial" w:hAnsi="Arial"/>
          <w:sz w:val="12"/>
          <w:szCs w:val="12"/>
          <w:u w:val="single" w:color="auto"/>
          <w:color w:val="auto"/>
        </w:rPr>
        <w:t>Circular 37</w:t>
      </w:r>
      <w:r>
        <w:rPr>
          <w:rFonts w:ascii="Arial" w:cs="Arial" w:eastAsia="Arial" w:hAnsi="Arial"/>
          <w:sz w:val="12"/>
          <w:szCs w:val="12"/>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w:t>
      </w:r>
    </w:p>
    <w:p>
      <w:pPr>
        <w:spacing w:after="0" w:line="119" w:lineRule="exact"/>
        <w:rPr>
          <w:sz w:val="20"/>
          <w:szCs w:val="20"/>
          <w:color w:val="auto"/>
        </w:rPr>
      </w:pPr>
    </w:p>
    <w:p>
      <w:pPr>
        <w:ind w:firstLine="505"/>
        <w:spacing w:after="0" w:line="256" w:lineRule="auto"/>
        <w:rPr>
          <w:sz w:val="20"/>
          <w:szCs w:val="20"/>
          <w:color w:val="auto"/>
        </w:rPr>
      </w:pPr>
      <w:r>
        <w:rPr>
          <w:rFonts w:ascii="Arial" w:cs="Arial" w:eastAsia="Arial" w:hAnsi="Arial"/>
          <w:sz w:val="14"/>
          <w:szCs w:val="14"/>
          <w:color w:val="auto"/>
        </w:rPr>
        <w:t>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M&amp;A Regulations and Overseas Listings</w:t>
      </w:r>
    </w:p>
    <w:p>
      <w:pPr>
        <w:spacing w:after="0" w:line="176" w:lineRule="exact"/>
        <w:rPr>
          <w:sz w:val="20"/>
          <w:szCs w:val="20"/>
          <w:color w:val="auto"/>
        </w:rPr>
      </w:pPr>
    </w:p>
    <w:p>
      <w:pPr>
        <w:ind w:right="20" w:firstLine="505"/>
        <w:spacing w:after="0" w:line="257" w:lineRule="auto"/>
        <w:rPr>
          <w:sz w:val="20"/>
          <w:szCs w:val="20"/>
          <w:color w:val="auto"/>
        </w:rPr>
      </w:pPr>
      <w:r>
        <w:rPr>
          <w:rFonts w:ascii="Arial" w:cs="Arial" w:eastAsia="Arial" w:hAnsi="Arial"/>
          <w:sz w:val="14"/>
          <w:szCs w:val="14"/>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48" w:lineRule="exact"/>
        <w:rPr>
          <w:sz w:val="20"/>
          <w:szCs w:val="20"/>
          <w:color w:val="auto"/>
        </w:rPr>
      </w:pPr>
    </w:p>
    <w:p>
      <w:pPr>
        <w:ind w:right="240" w:firstLine="505"/>
        <w:spacing w:after="0" w:line="264" w:lineRule="auto"/>
        <w:rPr>
          <w:sz w:val="20"/>
          <w:szCs w:val="20"/>
          <w:color w:val="auto"/>
        </w:rPr>
      </w:pPr>
      <w:r>
        <w:rPr>
          <w:rFonts w:ascii="Arial" w:cs="Arial" w:eastAsia="Arial" w:hAnsi="Arial"/>
          <w:sz w:val="14"/>
          <w:szCs w:val="14"/>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42"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on Offshore Parent Holding Companies’ Direct Investment in and Loans to Their PRC Subsidiaries</w:t>
      </w:r>
    </w:p>
    <w:p>
      <w:pPr>
        <w:spacing w:after="0" w:line="176"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sets forth our executive officers and directors, their ages and the positions held by them: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9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8"/>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Xiao Feng Yang</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54</w:t>
            </w:r>
          </w:p>
        </w:tc>
        <w:tc>
          <w:tcPr>
            <w:tcW w:w="120" w:type="dxa"/>
            <w:vAlign w:val="bottom"/>
            <w:tcBorders>
              <w:top w:val="single" w:sz="8" w:color="CCEEFF"/>
            </w:tcBorders>
            <w:shd w:val="clear" w:color="auto" w:fill="CCEEFF"/>
          </w:tcPr>
          <w:p>
            <w:pPr>
              <w:spacing w:after="0"/>
              <w:rPr>
                <w:sz w:val="14"/>
                <w:szCs w:val="14"/>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Chairman, President and Director</w:t>
            </w:r>
          </w:p>
        </w:tc>
      </w:tr>
      <w:tr>
        <w:trPr>
          <w:trHeight w:val="168"/>
        </w:trPr>
        <w:tc>
          <w:tcPr>
            <w:tcW w:w="3300" w:type="dxa"/>
            <w:vAlign w:val="bottom"/>
            <w:gridSpan w:val="2"/>
          </w:tcPr>
          <w:p>
            <w:pPr>
              <w:spacing w:after="0"/>
              <w:rPr>
                <w:sz w:val="20"/>
                <w:szCs w:val="20"/>
                <w:color w:val="auto"/>
              </w:rPr>
            </w:pPr>
            <w:r>
              <w:rPr>
                <w:rFonts w:ascii="Arial" w:cs="Arial" w:eastAsia="Arial" w:hAnsi="Arial"/>
                <w:sz w:val="14"/>
                <w:szCs w:val="14"/>
                <w:color w:val="auto"/>
              </w:rPr>
              <w:t>Raymond Ming Hui Lin</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20" w:type="dxa"/>
            <w:vAlign w:val="bottom"/>
          </w:tcPr>
          <w:p>
            <w:pPr>
              <w:spacing w:after="0"/>
              <w:rPr>
                <w:sz w:val="14"/>
                <w:szCs w:val="1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Chief Executive Officer and Director</w:t>
            </w:r>
          </w:p>
        </w:tc>
      </w:tr>
      <w:tr>
        <w:trPr>
          <w:trHeight w:val="168"/>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Tian van Acken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20" w:type="dxa"/>
            <w:vAlign w:val="bottom"/>
            <w:shd w:val="clear" w:color="auto" w:fill="CCEEFF"/>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Chief Financial Officer</w:t>
            </w:r>
          </w:p>
        </w:tc>
      </w:tr>
      <w:tr>
        <w:trPr>
          <w:trHeight w:val="168"/>
        </w:trPr>
        <w:tc>
          <w:tcPr>
            <w:tcW w:w="3300" w:type="dxa"/>
            <w:vAlign w:val="bottom"/>
            <w:gridSpan w:val="2"/>
          </w:tcPr>
          <w:p>
            <w:pPr>
              <w:spacing w:after="0"/>
              <w:rPr>
                <w:sz w:val="20"/>
                <w:szCs w:val="20"/>
                <w:color w:val="auto"/>
              </w:rPr>
            </w:pPr>
            <w:r>
              <w:rPr>
                <w:rFonts w:ascii="Arial" w:cs="Arial" w:eastAsia="Arial" w:hAnsi="Arial"/>
                <w:sz w:val="14"/>
                <w:szCs w:val="14"/>
                <w:color w:val="auto"/>
              </w:rPr>
              <w:t>Jian Xu</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tcPr>
          <w:p>
            <w:pPr>
              <w:spacing w:after="0"/>
              <w:rPr>
                <w:sz w:val="14"/>
                <w:szCs w:val="1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Senior Vice President of Operations</w:t>
            </w:r>
          </w:p>
        </w:tc>
      </w:tr>
      <w:tr>
        <w:trPr>
          <w:trHeight w:val="168"/>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Jin He Shao (1)(4)*</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20" w:type="dxa"/>
            <w:vAlign w:val="bottom"/>
            <w:shd w:val="clear" w:color="auto" w:fill="CCEEFF"/>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Independent director</w:t>
            </w:r>
          </w:p>
        </w:tc>
      </w:tr>
      <w:tr>
        <w:trPr>
          <w:trHeight w:val="168"/>
        </w:trPr>
        <w:tc>
          <w:tcPr>
            <w:tcW w:w="3300" w:type="dxa"/>
            <w:vAlign w:val="bottom"/>
            <w:gridSpan w:val="2"/>
          </w:tcPr>
          <w:p>
            <w:pPr>
              <w:spacing w:after="0"/>
              <w:rPr>
                <w:sz w:val="20"/>
                <w:szCs w:val="20"/>
                <w:color w:val="auto"/>
              </w:rPr>
            </w:pPr>
            <w:r>
              <w:rPr>
                <w:rFonts w:ascii="Arial" w:cs="Arial" w:eastAsia="Arial" w:hAnsi="Arial"/>
                <w:sz w:val="14"/>
                <w:szCs w:val="14"/>
                <w:color w:val="auto"/>
              </w:rPr>
              <w:t>Kewei Huang (2)*</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20" w:type="dxa"/>
            <w:vAlign w:val="bottom"/>
          </w:tcPr>
          <w:p>
            <w:pPr>
              <w:spacing w:after="0"/>
              <w:rPr>
                <w:sz w:val="14"/>
                <w:szCs w:val="1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Independent director</w:t>
            </w:r>
          </w:p>
        </w:tc>
      </w:tr>
      <w:tr>
        <w:trPr>
          <w:trHeight w:val="168"/>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Kathryn Amooi (3)*</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20" w:type="dxa"/>
            <w:vAlign w:val="bottom"/>
            <w:shd w:val="clear" w:color="auto" w:fill="CCEEFF"/>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Independent director</w:t>
            </w:r>
          </w:p>
        </w:tc>
      </w:tr>
    </w:tbl>
    <w:p>
      <w:pPr>
        <w:spacing w:after="0" w:line="158" w:lineRule="exact"/>
        <w:rPr>
          <w:sz w:val="20"/>
          <w:szCs w:val="20"/>
          <w:color w:val="auto"/>
        </w:rPr>
      </w:pPr>
    </w:p>
    <w:p>
      <w:pPr>
        <w:ind w:right="120" w:firstLine="4"/>
        <w:spacing w:after="0" w:line="277" w:lineRule="auto"/>
        <w:tabs>
          <w:tab w:leader="none" w:pos="105" w:val="left"/>
        </w:tabs>
        <w:numPr>
          <w:ilvl w:val="0"/>
          <w:numId w:val="33"/>
        </w:numPr>
        <w:rPr>
          <w:rFonts w:ascii="Arial" w:cs="Arial" w:eastAsia="Arial" w:hAnsi="Arial"/>
          <w:sz w:val="14"/>
          <w:szCs w:val="14"/>
          <w:color w:val="auto"/>
        </w:rPr>
      </w:pPr>
      <w:r>
        <w:rPr>
          <w:rFonts w:ascii="Arial" w:cs="Arial" w:eastAsia="Arial" w:hAnsi="Arial"/>
          <w:sz w:val="14"/>
          <w:szCs w:val="14"/>
          <w:color w:val="auto"/>
        </w:rPr>
        <w:t>Each of independent director appointees has accepted appointment as our independent director, effective upon the SEC’s declaration of effectiveness of the registration statement on Form F-1 of which this prospectus is a part.</w:t>
      </w:r>
    </w:p>
    <w:p>
      <w:pPr>
        <w:spacing w:after="0" w:line="133" w:lineRule="exact"/>
        <w:rPr>
          <w:sz w:val="20"/>
          <w:szCs w:val="20"/>
          <w:color w:val="auto"/>
        </w:rPr>
      </w:pPr>
    </w:p>
    <w:p>
      <w:pPr>
        <w:ind w:left="260" w:hanging="256"/>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Chair of the Audit Committee.</w:t>
      </w:r>
    </w:p>
    <w:p>
      <w:pPr>
        <w:spacing w:after="0" w:line="17" w:lineRule="exact"/>
        <w:rPr>
          <w:rFonts w:ascii="Arial" w:cs="Arial" w:eastAsia="Arial" w:hAnsi="Arial"/>
          <w:sz w:val="14"/>
          <w:szCs w:val="14"/>
          <w:color w:val="auto"/>
        </w:rPr>
      </w:pPr>
    </w:p>
    <w:p>
      <w:pPr>
        <w:ind w:left="260" w:hanging="256"/>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Chair of the Nominating Committee.</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Audit Committee financial expert.</w:t>
      </w:r>
    </w:p>
    <w:p>
      <w:pPr>
        <w:spacing w:after="0" w:line="161" w:lineRule="exact"/>
        <w:rPr>
          <w:sz w:val="20"/>
          <w:szCs w:val="20"/>
          <w:color w:val="auto"/>
        </w:rPr>
      </w:pPr>
    </w:p>
    <w:p>
      <w:pPr>
        <w:ind w:right="240" w:firstLine="505"/>
        <w:spacing w:after="0" w:line="288" w:lineRule="auto"/>
        <w:rPr>
          <w:sz w:val="20"/>
          <w:szCs w:val="20"/>
          <w:color w:val="auto"/>
        </w:rPr>
      </w:pPr>
      <w:r>
        <w:rPr>
          <w:rFonts w:ascii="Arial" w:cs="Arial" w:eastAsia="Arial" w:hAnsi="Arial"/>
          <w:sz w:val="13"/>
          <w:szCs w:val="13"/>
          <w:b w:val="1"/>
          <w:bCs w:val="1"/>
          <w:color w:val="auto"/>
        </w:rPr>
        <w:t xml:space="preserve">Xiao Feng Yang </w:t>
      </w:r>
      <w:r>
        <w:rPr>
          <w:rFonts w:ascii="Arial" w:cs="Arial" w:eastAsia="Arial" w:hAnsi="Arial"/>
          <w:sz w:val="13"/>
          <w:szCs w:val="13"/>
          <w:color w:val="auto"/>
        </w:rPr>
        <w:t>is the chairman, president and director of the Company. Mr. Yang has over 20 years of executive management and operational experience in the IT services business. From</w:t>
      </w:r>
      <w:r>
        <w:rPr>
          <w:rFonts w:ascii="Arial" w:cs="Arial" w:eastAsia="Arial" w:hAnsi="Arial"/>
          <w:sz w:val="13"/>
          <w:szCs w:val="13"/>
          <w:b w:val="1"/>
          <w:bCs w:val="1"/>
          <w:color w:val="auto"/>
        </w:rPr>
        <w:t xml:space="preserve"> </w:t>
      </w:r>
      <w:r>
        <w:rPr>
          <w:rFonts w:ascii="Arial" w:cs="Arial" w:eastAsia="Arial" w:hAnsi="Arial"/>
          <w:sz w:val="13"/>
          <w:szCs w:val="13"/>
          <w:color w:val="auto"/>
        </w:rPr>
        <w:t>October 2012 to present, Mr. Yang served as chairman and president of ChinaLink. From April 2009 to October 2012, Mr. Yang served as deputy general manager of ADP China to manage the service operation of HR BPO service in China. From June 2002 to April 2009,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24" w:lineRule="exact"/>
        <w:rPr>
          <w:sz w:val="20"/>
          <w:szCs w:val="20"/>
          <w:color w:val="auto"/>
        </w:rPr>
      </w:pPr>
    </w:p>
    <w:p>
      <w:pPr>
        <w:ind w:right="40" w:firstLine="505"/>
        <w:spacing w:after="0" w:line="259" w:lineRule="auto"/>
        <w:rPr>
          <w:sz w:val="20"/>
          <w:szCs w:val="20"/>
          <w:color w:val="auto"/>
        </w:rPr>
      </w:pPr>
      <w:r>
        <w:rPr>
          <w:rFonts w:ascii="Arial" w:cs="Arial" w:eastAsia="Arial" w:hAnsi="Arial"/>
          <w:sz w:val="14"/>
          <w:szCs w:val="14"/>
          <w:b w:val="1"/>
          <w:bCs w:val="1"/>
          <w:color w:val="auto"/>
        </w:rPr>
        <w:t>Raymond Ming Hui Lin</w:t>
      </w:r>
      <w:r>
        <w:rPr>
          <w:rFonts w:ascii="Arial" w:cs="Arial" w:eastAsia="Arial" w:hAnsi="Arial"/>
          <w:sz w:val="14"/>
          <w:szCs w:val="14"/>
          <w:color w:val="auto"/>
        </w:rPr>
        <w:t>, is the chief executive officer and director of the Company. Mr. Lin joined CLPS in February 2009 as chief executive officer. From January 2008 to January 2009, Mr.</w:t>
      </w:r>
      <w:r>
        <w:rPr>
          <w:rFonts w:ascii="Arial" w:cs="Arial" w:eastAsia="Arial" w:hAnsi="Arial"/>
          <w:sz w:val="14"/>
          <w:szCs w:val="14"/>
          <w:b w:val="1"/>
          <w:bCs w:val="1"/>
          <w:color w:val="auto"/>
        </w:rPr>
        <w:t xml:space="preserve"> </w:t>
      </w:r>
      <w:r>
        <w:rPr>
          <w:rFonts w:ascii="Arial" w:cs="Arial" w:eastAsia="Arial" w:hAnsi="Arial"/>
          <w:sz w:val="14"/>
          <w:szCs w:val="14"/>
          <w:color w:val="auto"/>
        </w:rPr>
        <w:t>Lin was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right="20" w:firstLine="505"/>
        <w:spacing w:after="0" w:line="283" w:lineRule="auto"/>
        <w:rPr>
          <w:sz w:val="20"/>
          <w:szCs w:val="20"/>
          <w:color w:val="auto"/>
        </w:rPr>
      </w:pPr>
      <w:r>
        <w:rPr>
          <w:rFonts w:ascii="Arial" w:cs="Arial" w:eastAsia="Arial" w:hAnsi="Arial"/>
          <w:sz w:val="13"/>
          <w:szCs w:val="13"/>
          <w:b w:val="1"/>
          <w:bCs w:val="1"/>
          <w:color w:val="auto"/>
        </w:rPr>
        <w:t xml:space="preserve">Tian van Acken </w:t>
      </w:r>
      <w:r>
        <w:rPr>
          <w:rFonts w:ascii="Arial" w:cs="Arial" w:eastAsia="Arial" w:hAnsi="Arial"/>
          <w:sz w:val="13"/>
          <w:szCs w:val="13"/>
          <w:color w:val="auto"/>
        </w:rPr>
        <w:t>Ms. Tian van Acken is the chief financial officer of the company. From December 2015 to September 2017, Ms. van Acken served as chief financial officer at ec+</w:t>
      </w:r>
      <w:r>
        <w:rPr>
          <w:rFonts w:ascii="Arial" w:cs="Arial" w:eastAsia="Arial" w:hAnsi="Arial"/>
          <w:sz w:val="13"/>
          <w:szCs w:val="13"/>
          <w:b w:val="1"/>
          <w:bCs w:val="1"/>
          <w:color w:val="auto"/>
        </w:rPr>
        <w:t xml:space="preserve"> </w:t>
      </w:r>
      <w:r>
        <w:rPr>
          <w:rFonts w:ascii="Arial" w:cs="Arial" w:eastAsia="Arial" w:hAnsi="Arial"/>
          <w:sz w:val="13"/>
          <w:szCs w:val="13"/>
          <w:color w:val="auto"/>
        </w:rPr>
        <w:t>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a certified public account licensed in the State of Massachusetts.</w:t>
      </w:r>
    </w:p>
    <w:p>
      <w:pPr>
        <w:spacing w:after="0" w:line="129" w:lineRule="exact"/>
        <w:rPr>
          <w:sz w:val="20"/>
          <w:szCs w:val="20"/>
          <w:color w:val="auto"/>
        </w:rPr>
      </w:pPr>
    </w:p>
    <w:p>
      <w:pPr>
        <w:ind w:right="360" w:firstLine="505"/>
        <w:spacing w:after="0" w:line="297" w:lineRule="auto"/>
        <w:rPr>
          <w:sz w:val="20"/>
          <w:szCs w:val="20"/>
          <w:color w:val="auto"/>
        </w:rPr>
      </w:pPr>
      <w:r>
        <w:rPr>
          <w:rFonts w:ascii="Arial" w:cs="Arial" w:eastAsia="Arial" w:hAnsi="Arial"/>
          <w:sz w:val="13"/>
          <w:szCs w:val="13"/>
          <w:b w:val="1"/>
          <w:bCs w:val="1"/>
          <w:color w:val="auto"/>
        </w:rPr>
        <w:t xml:space="preserve">Jian Xu </w:t>
      </w:r>
      <w:r>
        <w:rPr>
          <w:rFonts w:ascii="Arial" w:cs="Arial" w:eastAsia="Arial" w:hAnsi="Arial"/>
          <w:sz w:val="13"/>
          <w:szCs w:val="13"/>
          <w:color w:val="auto"/>
        </w:rPr>
        <w:t>is our senior vice president of operations. He has been the SVP of Opertions since July 2008. From December 2003 to June 2008, Mr. Xu acted as IT consultant and trainer at A-IT</w:t>
      </w:r>
      <w:r>
        <w:rPr>
          <w:rFonts w:ascii="Arial" w:cs="Arial" w:eastAsia="Arial" w:hAnsi="Arial"/>
          <w:sz w:val="13"/>
          <w:szCs w:val="13"/>
          <w:b w:val="1"/>
          <w:bCs w:val="1"/>
          <w:color w:val="auto"/>
        </w:rPr>
        <w:t xml:space="preserve"> </w:t>
      </w:r>
      <w:r>
        <w:rPr>
          <w:rFonts w:ascii="Arial" w:cs="Arial" w:eastAsia="Arial" w:hAnsi="Arial"/>
          <w:sz w:val="13"/>
          <w:szCs w:val="13"/>
          <w:color w:val="auto"/>
        </w:rPr>
        <w:t>Software Co., Ltd. From January 2003 to December 2003, Mr. Xu served as senior software developer at Neusoft Group Co., Ltd. From July 2000 to December 2003, he held the position of senior software developer at two software companies. Mr. Xu holds a Bachelor’s degree in Mechanical and Electronic Engineering from Shenyang University of Technology.</w:t>
      </w:r>
    </w:p>
    <w:p>
      <w:pPr>
        <w:spacing w:after="0" w:line="118" w:lineRule="exact"/>
        <w:rPr>
          <w:sz w:val="20"/>
          <w:szCs w:val="20"/>
          <w:color w:val="auto"/>
        </w:rPr>
      </w:pPr>
    </w:p>
    <w:p>
      <w:pPr>
        <w:jc w:val="both"/>
        <w:ind w:right="100" w:firstLine="505"/>
        <w:spacing w:after="0" w:line="261" w:lineRule="auto"/>
        <w:rPr>
          <w:sz w:val="20"/>
          <w:szCs w:val="20"/>
          <w:color w:val="auto"/>
        </w:rPr>
      </w:pPr>
      <w:r>
        <w:rPr>
          <w:rFonts w:ascii="Arial" w:cs="Arial" w:eastAsia="Arial" w:hAnsi="Arial"/>
          <w:sz w:val="14"/>
          <w:szCs w:val="14"/>
          <w:b w:val="1"/>
          <w:bCs w:val="1"/>
          <w:color w:val="auto"/>
        </w:rPr>
        <w:t xml:space="preserve">Jin He Shao </w:t>
      </w:r>
      <w:r>
        <w:rPr>
          <w:rFonts w:ascii="Arial" w:cs="Arial" w:eastAsia="Arial" w:hAnsi="Arial"/>
          <w:sz w:val="14"/>
          <w:szCs w:val="14"/>
          <w:color w:val="auto"/>
        </w:rPr>
        <w:t>is an independent director of the Company. From January 2002 to present, Mr. Shao has been a partner at Shanghai Huajin Accounting &amp; Consulting Professional Services. From</w:t>
      </w:r>
      <w:r>
        <w:rPr>
          <w:rFonts w:ascii="Arial" w:cs="Arial" w:eastAsia="Arial" w:hAnsi="Arial"/>
          <w:sz w:val="14"/>
          <w:szCs w:val="14"/>
          <w:b w:val="1"/>
          <w:bCs w:val="1"/>
          <w:color w:val="auto"/>
        </w:rPr>
        <w:t xml:space="preserve"> </w:t>
      </w:r>
      <w:r>
        <w:rPr>
          <w:rFonts w:ascii="Arial" w:cs="Arial" w:eastAsia="Arial" w:hAnsi="Arial"/>
          <w:sz w:val="14"/>
          <w:szCs w:val="14"/>
          <w:color w:val="auto"/>
        </w:rPr>
        <w:t>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42" w:lineRule="exact"/>
        <w:rPr>
          <w:sz w:val="20"/>
          <w:szCs w:val="20"/>
          <w:color w:val="auto"/>
        </w:rPr>
      </w:pPr>
    </w:p>
    <w:p>
      <w:pPr>
        <w:ind w:right="80" w:firstLine="505"/>
        <w:spacing w:after="0" w:line="267" w:lineRule="auto"/>
        <w:rPr>
          <w:sz w:val="20"/>
          <w:szCs w:val="20"/>
          <w:color w:val="auto"/>
        </w:rPr>
      </w:pPr>
      <w:r>
        <w:rPr>
          <w:rFonts w:ascii="Arial" w:cs="Arial" w:eastAsia="Arial" w:hAnsi="Arial"/>
          <w:sz w:val="14"/>
          <w:szCs w:val="14"/>
          <w:b w:val="1"/>
          <w:bCs w:val="1"/>
          <w:color w:val="auto"/>
        </w:rPr>
        <w:t xml:space="preserve">Kewei Huang </w:t>
      </w:r>
      <w:r>
        <w:rPr>
          <w:rFonts w:ascii="Arial" w:cs="Arial" w:eastAsia="Arial" w:hAnsi="Arial"/>
          <w:sz w:val="14"/>
          <w:szCs w:val="14"/>
          <w:color w:val="auto"/>
        </w:rPr>
        <w:t>is an independent director of the Company. From September 2014 to present, Mr. Huang has held the office of the chief technology officer at Moxian, Inc. (MOXC), a Nasdaq</w:t>
      </w:r>
      <w:r>
        <w:rPr>
          <w:rFonts w:ascii="Arial" w:cs="Arial" w:eastAsia="Arial" w:hAnsi="Arial"/>
          <w:sz w:val="14"/>
          <w:szCs w:val="14"/>
          <w:b w:val="1"/>
          <w:bCs w:val="1"/>
          <w:color w:val="auto"/>
        </w:rPr>
        <w:t xml:space="preserve"> </w:t>
      </w:r>
      <w:r>
        <w:rPr>
          <w:rFonts w:ascii="Arial" w:cs="Arial" w:eastAsia="Arial" w:hAnsi="Arial"/>
          <w:sz w:val="14"/>
          <w:szCs w:val="14"/>
          <w:color w:val="auto"/>
        </w:rPr>
        <w:t>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36" w:lineRule="exact"/>
        <w:rPr>
          <w:sz w:val="20"/>
          <w:szCs w:val="20"/>
          <w:color w:val="auto"/>
        </w:rPr>
      </w:pPr>
    </w:p>
    <w:p>
      <w:pPr>
        <w:ind w:right="60" w:firstLine="505"/>
        <w:spacing w:after="0" w:line="267" w:lineRule="auto"/>
        <w:rPr>
          <w:sz w:val="20"/>
          <w:szCs w:val="20"/>
          <w:color w:val="auto"/>
        </w:rPr>
      </w:pPr>
      <w:r>
        <w:rPr>
          <w:rFonts w:ascii="Arial" w:cs="Arial" w:eastAsia="Arial" w:hAnsi="Arial"/>
          <w:sz w:val="14"/>
          <w:szCs w:val="14"/>
          <w:b w:val="1"/>
          <w:bCs w:val="1"/>
          <w:color w:val="auto"/>
        </w:rPr>
        <w:t xml:space="preserve">Kathryn Amooi </w:t>
      </w:r>
      <w:r>
        <w:rPr>
          <w:rFonts w:ascii="Arial" w:cs="Arial" w:eastAsia="Arial" w:hAnsi="Arial"/>
          <w:sz w:val="14"/>
          <w:szCs w:val="14"/>
          <w:color w:val="auto"/>
        </w:rPr>
        <w:t>is an independent director of the Company. Ms. Amooi has held various positions at Automatic Data Processing (ADP), LLC, a human capital management company,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40" w:lineRule="exact"/>
        <w:rPr>
          <w:sz w:val="20"/>
          <w:szCs w:val="20"/>
          <w:color w:val="auto"/>
        </w:rPr>
      </w:pPr>
    </w:p>
    <w:p>
      <w:pPr>
        <w:ind w:right="440" w:firstLine="505"/>
        <w:spacing w:after="0" w:line="277" w:lineRule="auto"/>
        <w:rPr>
          <w:sz w:val="20"/>
          <w:szCs w:val="20"/>
          <w:color w:val="auto"/>
        </w:rPr>
      </w:pPr>
      <w:r>
        <w:rPr>
          <w:rFonts w:ascii="Arial" w:cs="Arial" w:eastAsia="Arial" w:hAnsi="Arial"/>
          <w:sz w:val="14"/>
          <w:szCs w:val="14"/>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Board of Directors and Board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Composition of Board; Risk Oversight</w:t>
      </w:r>
    </w:p>
    <w:p>
      <w:pPr>
        <w:spacing w:after="0" w:line="176"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48" w:lineRule="exact"/>
        <w:rPr>
          <w:sz w:val="20"/>
          <w:szCs w:val="20"/>
          <w:color w:val="auto"/>
        </w:rPr>
      </w:pPr>
    </w:p>
    <w:p>
      <w:pPr>
        <w:ind w:right="160" w:firstLine="505"/>
        <w:spacing w:after="0" w:line="259" w:lineRule="auto"/>
        <w:rPr>
          <w:sz w:val="20"/>
          <w:szCs w:val="20"/>
          <w:color w:val="auto"/>
        </w:rPr>
      </w:pPr>
      <w:r>
        <w:rPr>
          <w:rFonts w:ascii="Arial" w:cs="Arial" w:eastAsia="Arial" w:hAnsi="Arial"/>
          <w:sz w:val="14"/>
          <w:szCs w:val="14"/>
          <w:color w:val="auto"/>
        </w:rPr>
        <w:t>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47" w:lineRule="exact"/>
        <w:rPr>
          <w:sz w:val="20"/>
          <w:szCs w:val="20"/>
          <w:color w:val="auto"/>
        </w:rPr>
      </w:pPr>
    </w:p>
    <w:p>
      <w:pPr>
        <w:ind w:right="340" w:firstLine="505"/>
        <w:spacing w:after="0" w:line="277" w:lineRule="auto"/>
        <w:rPr>
          <w:sz w:val="20"/>
          <w:szCs w:val="20"/>
          <w:color w:val="auto"/>
        </w:rPr>
      </w:pPr>
      <w:r>
        <w:rPr>
          <w:rFonts w:ascii="Arial" w:cs="Arial" w:eastAsia="Arial" w:hAnsi="Arial"/>
          <w:sz w:val="14"/>
          <w:szCs w:val="14"/>
          <w:color w:val="auto"/>
        </w:rPr>
        <w:t>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w:t>
      </w:r>
    </w:p>
    <w:p>
      <w:pPr>
        <w:spacing w:after="0" w:line="133" w:lineRule="exact"/>
        <w:rPr>
          <w:sz w:val="20"/>
          <w:szCs w:val="20"/>
          <w:color w:val="auto"/>
        </w:rPr>
      </w:pPr>
    </w:p>
    <w:p>
      <w:pPr>
        <w:ind w:right="180" w:firstLine="505"/>
        <w:spacing w:after="0" w:line="264" w:lineRule="auto"/>
        <w:rPr>
          <w:sz w:val="20"/>
          <w:szCs w:val="20"/>
          <w:color w:val="auto"/>
        </w:rPr>
      </w:pPr>
      <w:r>
        <w:rPr>
          <w:rFonts w:ascii="Arial" w:cs="Arial" w:eastAsia="Arial" w:hAnsi="Arial"/>
          <w:sz w:val="14"/>
          <w:szCs w:val="14"/>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issues” status.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40" w:firstLine="505"/>
        <w:spacing w:after="0" w:line="264" w:lineRule="auto"/>
        <w:rPr>
          <w:sz w:val="20"/>
          <w:szCs w:val="20"/>
          <w:color w:val="auto"/>
        </w:rPr>
      </w:pPr>
      <w:r>
        <w:rPr>
          <w:rFonts w:ascii="Arial" w:cs="Arial" w:eastAsia="Arial" w:hAnsi="Arial"/>
          <w:sz w:val="14"/>
          <w:szCs w:val="14"/>
          <w:color w:val="auto"/>
        </w:rPr>
        <w:t>Our board plays a significant role in our risk oversight. The board makes all relevant Company decisions. As such, it is important for us to have our Chief Executive Officer serve on the board as he plays key roles in the risk oversight or the Company. As a smaller reporting company with a small board of directors, we believe it is appropriate to have the involvement and input of all of our directors in risk oversight matters.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 Independence</w:t>
      </w:r>
    </w:p>
    <w:p>
      <w:pPr>
        <w:spacing w:after="0" w:line="176" w:lineRule="exact"/>
        <w:rPr>
          <w:sz w:val="20"/>
          <w:szCs w:val="20"/>
          <w:color w:val="auto"/>
        </w:rPr>
      </w:pPr>
    </w:p>
    <w:p>
      <w:pPr>
        <w:ind w:right="40" w:firstLine="505"/>
        <w:spacing w:after="0" w:line="316" w:lineRule="auto"/>
        <w:rPr>
          <w:sz w:val="20"/>
          <w:szCs w:val="20"/>
          <w:color w:val="auto"/>
        </w:rPr>
      </w:pPr>
      <w:r>
        <w:rPr>
          <w:rFonts w:ascii="Arial" w:cs="Arial" w:eastAsia="Arial" w:hAnsi="Arial"/>
          <w:sz w:val="12"/>
          <w:szCs w:val="12"/>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Duties of Directors</w:t>
      </w:r>
    </w:p>
    <w:p>
      <w:pPr>
        <w:spacing w:after="0" w:line="176" w:lineRule="exact"/>
        <w:rPr>
          <w:sz w:val="20"/>
          <w:szCs w:val="20"/>
          <w:color w:val="auto"/>
        </w:rPr>
      </w:pPr>
    </w:p>
    <w:p>
      <w:pPr>
        <w:jc w:val="both"/>
        <w:ind w:right="320" w:firstLine="505"/>
        <w:spacing w:after="0" w:line="293" w:lineRule="auto"/>
        <w:rPr>
          <w:sz w:val="20"/>
          <w:szCs w:val="20"/>
          <w:color w:val="auto"/>
        </w:rPr>
      </w:pPr>
      <w:r>
        <w:rPr>
          <w:rFonts w:ascii="Arial" w:cs="Arial" w:eastAsia="Arial" w:hAnsi="Arial"/>
          <w:sz w:val="13"/>
          <w:szCs w:val="13"/>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Board Committees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Currently, three committees have been established under the board: the Audit Committee, the Compensation Committee and the Nominating Committee.</w:t>
      </w:r>
    </w:p>
    <w:p>
      <w:pPr>
        <w:spacing w:after="0" w:line="176" w:lineRule="exact"/>
        <w:rPr>
          <w:sz w:val="20"/>
          <w:szCs w:val="20"/>
          <w:color w:val="auto"/>
        </w:rPr>
      </w:pPr>
    </w:p>
    <w:p>
      <w:pPr>
        <w:ind w:right="20" w:firstLine="505"/>
        <w:spacing w:after="0" w:line="282" w:lineRule="auto"/>
        <w:rPr>
          <w:sz w:val="20"/>
          <w:szCs w:val="20"/>
          <w:color w:val="auto"/>
        </w:rPr>
      </w:pPr>
      <w:r>
        <w:rPr>
          <w:rFonts w:ascii="Arial" w:cs="Arial" w:eastAsia="Arial" w:hAnsi="Arial"/>
          <w:sz w:val="13"/>
          <w:szCs w:val="13"/>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Audit Committee will be responsible for, among other matters:</w:t>
      </w:r>
    </w:p>
    <w:p>
      <w:pPr>
        <w:spacing w:after="0" w:line="176" w:lineRule="exact"/>
        <w:rPr>
          <w:sz w:val="20"/>
          <w:szCs w:val="20"/>
          <w:color w:val="auto"/>
        </w:rPr>
      </w:pPr>
    </w:p>
    <w:p>
      <w:pPr>
        <w:ind w:left="500" w:hanging="243"/>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appointing, compensating, retaining, evaluating, terminating, and overseeing our independent registered public accounting firm;</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discussing with our independent registered public accounting firm the independence of its members from its management;</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reviewing with our independent registered public accounting firm the scope and results of their audit;</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approving all audit and permissible non-audit services to be performed by our independent registered public accounting firm;</w:t>
      </w:r>
    </w:p>
    <w:p>
      <w:pPr>
        <w:spacing w:after="0" w:line="175" w:lineRule="exact"/>
        <w:rPr>
          <w:rFonts w:ascii="Arial" w:cs="Arial" w:eastAsia="Arial" w:hAnsi="Arial"/>
          <w:sz w:val="14"/>
          <w:szCs w:val="14"/>
          <w:color w:val="auto"/>
        </w:rPr>
      </w:pPr>
    </w:p>
    <w:p>
      <w:pPr>
        <w:ind w:left="500" w:hanging="243"/>
        <w:spacing w:after="0" w:line="277"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overseeing the financial reporting process and discussing with management and our independent registered public accounting firm the interim and annual financial statements that we file with the SEC;</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reviewing and monitoring our accounting principles, accounting policies, financial and accounting controls, and compliance with legal and regulatory requirements;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65" w:lineRule="exact"/>
        <w:rPr>
          <w:sz w:val="20"/>
          <w:szCs w:val="20"/>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coordinating the oversight by our board of directors of our code of business conduct and our disclosure controls and procedures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establishing procedures for the confidential and or anonymous submission of concerns regarding accounting, internal controls or auditing matters;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reviewing and approving related-party transactions.</w:t>
      </w:r>
    </w:p>
    <w:p>
      <w:pPr>
        <w:spacing w:after="0" w:line="176"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Compensation Committee will be responsible for, among other matters:</w:t>
      </w:r>
    </w:p>
    <w:p>
      <w:pPr>
        <w:spacing w:after="0" w:line="176" w:lineRule="exact"/>
        <w:rPr>
          <w:sz w:val="20"/>
          <w:szCs w:val="20"/>
          <w:color w:val="auto"/>
        </w:rPr>
      </w:pPr>
    </w:p>
    <w:p>
      <w:pPr>
        <w:ind w:left="500" w:hanging="243"/>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reviewing and approving, or recommending to the board of directors to approve the compensation of our CEO and other executive officers and directors;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reviewing key employee compensation goals, policies, plans and programs;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administering incentive and equity-based compensation;</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reviewing and approving employment agreements and other similar arrangements between us and our executive officers;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appointing and overseeing any compensation consultants or advisors.</w:t>
      </w:r>
    </w:p>
    <w:p>
      <w:pPr>
        <w:spacing w:after="0" w:line="176" w:lineRule="exact"/>
        <w:rPr>
          <w:sz w:val="20"/>
          <w:szCs w:val="20"/>
          <w:color w:val="auto"/>
        </w:rPr>
      </w:pPr>
    </w:p>
    <w:p>
      <w:pPr>
        <w:ind w:right="480" w:firstLine="505"/>
        <w:spacing w:after="0" w:line="364" w:lineRule="auto"/>
        <w:rPr>
          <w:sz w:val="20"/>
          <w:szCs w:val="20"/>
          <w:color w:val="auto"/>
        </w:rPr>
      </w:pPr>
      <w:r>
        <w:rPr>
          <w:rFonts w:ascii="Arial" w:cs="Arial" w:eastAsia="Arial" w:hAnsi="Arial"/>
          <w:sz w:val="12"/>
          <w:szCs w:val="12"/>
          <w:color w:val="auto"/>
        </w:rPr>
        <w:t>Our Compensation Committee consists of Kathryn Amooi, Kewei Huang and Jin He Shao, with Mr. Huang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Committee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Nominating Committee will be responsible for, among other matters:</w:t>
      </w:r>
    </w:p>
    <w:p>
      <w:pPr>
        <w:spacing w:after="0" w:line="176" w:lineRule="exact"/>
        <w:rPr>
          <w:sz w:val="20"/>
          <w:szCs w:val="20"/>
          <w:color w:val="auto"/>
        </w:rPr>
      </w:pPr>
    </w:p>
    <w:p>
      <w:pPr>
        <w:ind w:left="500" w:hanging="243"/>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selecting or recommending for selection candidates for directorships;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evaluating the independence of directors and director nominees;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reviewing and making recommendations regarding the structure and composition of our board and the board committees;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developing and recommending to the board corporate governance principles and practices;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reviewing and monitoring the Company’s Code of Business Conduct and Ethics;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overseeing the evaluation of the Company’s management</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20" w:firstLine="505"/>
        <w:spacing w:after="0" w:line="364" w:lineRule="auto"/>
        <w:rPr>
          <w:sz w:val="20"/>
          <w:szCs w:val="20"/>
          <w:color w:val="auto"/>
        </w:rPr>
      </w:pPr>
      <w:r>
        <w:rPr>
          <w:rFonts w:ascii="Arial" w:cs="Arial" w:eastAsia="Arial" w:hAnsi="Arial"/>
          <w:sz w:val="12"/>
          <w:szCs w:val="12"/>
          <w:color w:val="auto"/>
        </w:rPr>
        <w:t>Our Nominating Committee consists of consists of Kathryn Amooi, Kewei Huang and Jin He Shao,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Code of Business Conduct and Ethics</w:t>
      </w:r>
    </w:p>
    <w:p>
      <w:pPr>
        <w:spacing w:after="0" w:line="176" w:lineRule="exact"/>
        <w:rPr>
          <w:sz w:val="20"/>
          <w:szCs w:val="20"/>
          <w:color w:val="auto"/>
        </w:rPr>
      </w:pPr>
    </w:p>
    <w:p>
      <w:pPr>
        <w:ind w:right="80" w:firstLine="505"/>
        <w:spacing w:after="0" w:line="264" w:lineRule="auto"/>
        <w:rPr>
          <w:sz w:val="20"/>
          <w:szCs w:val="20"/>
          <w:color w:val="auto"/>
        </w:rPr>
      </w:pPr>
      <w:r>
        <w:rPr>
          <w:rFonts w:ascii="Arial" w:cs="Arial" w:eastAsia="Arial" w:hAnsi="Arial"/>
          <w:sz w:val="14"/>
          <w:szCs w:val="14"/>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Duties of Directors</w:t>
      </w:r>
    </w:p>
    <w:p>
      <w:pPr>
        <w:spacing w:after="0" w:line="176"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Capital—Differences in Corporate Law” for additional information on our directors’ fiduciary duties under Cayman Islands law. In fulfilling their duty of care to us, our directors must ensure compliance with our memorandum and articles of association. We have the right to seek damages if a duty owed by our directors is breached.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functions and powers of our board of directors include, among others:</w:t>
      </w:r>
    </w:p>
    <w:p>
      <w:pPr>
        <w:spacing w:after="0" w:line="176" w:lineRule="exact"/>
        <w:rPr>
          <w:sz w:val="20"/>
          <w:szCs w:val="20"/>
          <w:color w:val="auto"/>
        </w:rPr>
      </w:pPr>
    </w:p>
    <w:p>
      <w:pPr>
        <w:ind w:left="540" w:hanging="25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appointing officers and determining the term of office of the officers;</w:t>
      </w:r>
    </w:p>
    <w:p>
      <w:pPr>
        <w:spacing w:after="0" w:line="175" w:lineRule="exact"/>
        <w:rPr>
          <w:rFonts w:ascii="Arial" w:cs="Arial" w:eastAsia="Arial" w:hAnsi="Arial"/>
          <w:sz w:val="14"/>
          <w:szCs w:val="14"/>
          <w:color w:val="auto"/>
        </w:rPr>
      </w:pPr>
    </w:p>
    <w:p>
      <w:pPr>
        <w:ind w:left="540" w:hanging="25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authorizing the payment of donations to religious, charitable, public or other bodies, clubs, funds or associations as deemed advisable;</w:t>
      </w:r>
    </w:p>
    <w:p>
      <w:pPr>
        <w:spacing w:after="0" w:line="175" w:lineRule="exact"/>
        <w:rPr>
          <w:rFonts w:ascii="Arial" w:cs="Arial" w:eastAsia="Arial" w:hAnsi="Arial"/>
          <w:sz w:val="14"/>
          <w:szCs w:val="14"/>
          <w:color w:val="auto"/>
        </w:rPr>
      </w:pPr>
    </w:p>
    <w:p>
      <w:pPr>
        <w:ind w:left="540" w:hanging="25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exercising the borrowing powers of the company and mortgaging the property of the company;</w:t>
      </w:r>
    </w:p>
    <w:p>
      <w:pPr>
        <w:spacing w:after="0" w:line="175" w:lineRule="exact"/>
        <w:rPr>
          <w:rFonts w:ascii="Arial" w:cs="Arial" w:eastAsia="Arial" w:hAnsi="Arial"/>
          <w:sz w:val="14"/>
          <w:szCs w:val="14"/>
          <w:color w:val="auto"/>
        </w:rPr>
      </w:pPr>
    </w:p>
    <w:p>
      <w:pPr>
        <w:ind w:left="540" w:hanging="25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executing checks, promissory notes and other negotiable instruments on behalf of the company; and</w:t>
      </w:r>
    </w:p>
    <w:p>
      <w:pPr>
        <w:spacing w:after="0" w:line="175" w:lineRule="exact"/>
        <w:rPr>
          <w:rFonts w:ascii="Arial" w:cs="Arial" w:eastAsia="Arial" w:hAnsi="Arial"/>
          <w:sz w:val="14"/>
          <w:szCs w:val="14"/>
          <w:color w:val="auto"/>
        </w:rPr>
      </w:pPr>
    </w:p>
    <w:p>
      <w:pPr>
        <w:ind w:left="540" w:hanging="25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maintaining or registering a register of mortgages, charges or other encumbrances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Interested Transactions</w:t>
      </w:r>
    </w:p>
    <w:p>
      <w:pPr>
        <w:spacing w:after="0" w:line="176"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Remuneration and Borrowing</w:t>
      </w:r>
    </w:p>
    <w:p>
      <w:pPr>
        <w:spacing w:after="0" w:line="176"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Qualification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director is not required to hold shares as a qualification to office.</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shows the annual compensation paid by us for the years ended June 30, 2017 and June 30,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4600" w:type="dxa"/>
            <w:vAlign w:val="bottom"/>
          </w:tcPr>
          <w:p>
            <w:pPr>
              <w:spacing w:after="0"/>
              <w:rPr>
                <w:sz w:val="20"/>
                <w:szCs w:val="20"/>
                <w:color w:val="auto"/>
              </w:rPr>
            </w:pPr>
            <w:r>
              <w:rPr>
                <w:rFonts w:ascii="Arial" w:cs="Arial" w:eastAsia="Arial" w:hAnsi="Arial"/>
                <w:sz w:val="14"/>
                <w:szCs w:val="14"/>
                <w:b w:val="1"/>
                <w:bCs w:val="1"/>
                <w:color w:val="auto"/>
              </w:rPr>
              <w:t>Name/principal position</w:t>
            </w:r>
          </w:p>
        </w:tc>
        <w:tc>
          <w:tcPr>
            <w:tcW w:w="100" w:type="dxa"/>
            <w:vAlign w:val="bottom"/>
          </w:tcPr>
          <w:p>
            <w:pPr>
              <w:spacing w:after="0"/>
              <w:rPr>
                <w:sz w:val="16"/>
                <w:szCs w:val="16"/>
                <w:color w:val="auto"/>
              </w:rPr>
            </w:pP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6"/>
                <w:szCs w:val="16"/>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Salary</w:t>
            </w:r>
          </w:p>
        </w:tc>
        <w:tc>
          <w:tcPr>
            <w:tcW w:w="1060" w:type="dxa"/>
            <w:vAlign w:val="bottom"/>
          </w:tcPr>
          <w:p>
            <w:pPr>
              <w:jc w:val="right"/>
              <w:ind w:right="5"/>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Paid</w:t>
            </w:r>
          </w:p>
        </w:tc>
      </w:tr>
      <w:tr>
        <w:trPr>
          <w:trHeight w:val="168"/>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Xiao Feng Yang, Chairman and President (1)</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2017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51,470</w:t>
            </w:r>
          </w:p>
        </w:tc>
        <w:tc>
          <w:tcPr>
            <w:tcW w:w="2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585,402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636,872</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46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47,396</w:t>
            </w: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3,260,616</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3,308,012</w:t>
            </w:r>
          </w:p>
        </w:tc>
      </w:tr>
      <w:tr>
        <w:trPr>
          <w:trHeight w:val="168"/>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Raymond Ming Hui Lin, CEO and Director (2)</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37,379</w:t>
            </w: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585,402</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622,781</w:t>
            </w:r>
          </w:p>
        </w:tc>
      </w:tr>
      <w:tr>
        <w:trPr>
          <w:trHeight w:val="168"/>
        </w:trPr>
        <w:tc>
          <w:tcPr>
            <w:tcW w:w="46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39,127</w:t>
            </w: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3,260,617</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3,299,744</w:t>
            </w:r>
          </w:p>
        </w:tc>
      </w:tr>
      <w:tr>
        <w:trPr>
          <w:trHeight w:val="168"/>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Tian van Acken, CFO (3)</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46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58" w:lineRule="exact"/>
        <w:rPr>
          <w:sz w:val="20"/>
          <w:szCs w:val="20"/>
          <w:color w:val="auto"/>
        </w:rPr>
      </w:pPr>
    </w:p>
    <w:p>
      <w:pPr>
        <w:ind w:left="200" w:hanging="196"/>
        <w:spacing w:after="0"/>
        <w:tabs>
          <w:tab w:leader="none" w:pos="2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Appointed Chairman and President effective as of December 9, 2017. All other compensation amounts represent cash dividend payments in 2016 and 2017.</w:t>
      </w:r>
    </w:p>
    <w:p>
      <w:pPr>
        <w:spacing w:after="0" w:line="17" w:lineRule="exact"/>
        <w:rPr>
          <w:rFonts w:ascii="Arial" w:cs="Arial" w:eastAsia="Arial" w:hAnsi="Arial"/>
          <w:sz w:val="14"/>
          <w:szCs w:val="14"/>
          <w:color w:val="auto"/>
        </w:rPr>
      </w:pPr>
    </w:p>
    <w:p>
      <w:pPr>
        <w:ind w:left="200" w:hanging="196"/>
        <w:spacing w:after="0"/>
        <w:tabs>
          <w:tab w:leader="none" w:pos="2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Appointed Chief Executive Officer effective as of December 9, 2017. All other compensation amounts represent cash dividend payments in 2016 and 2017.</w:t>
      </w:r>
    </w:p>
    <w:p>
      <w:pPr>
        <w:spacing w:after="0" w:line="7" w:lineRule="exact"/>
        <w:rPr>
          <w:rFonts w:ascii="Arial" w:cs="Arial" w:eastAsia="Arial" w:hAnsi="Arial"/>
          <w:sz w:val="14"/>
          <w:szCs w:val="14"/>
          <w:color w:val="auto"/>
        </w:rPr>
      </w:pPr>
    </w:p>
    <w:p>
      <w:pPr>
        <w:ind w:left="200" w:hanging="196"/>
        <w:spacing w:after="0"/>
        <w:tabs>
          <w:tab w:leader="none" w:pos="2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Appointed Chief Financial Officer effective as of December 9, 2017.</w:t>
      </w:r>
    </w:p>
    <w:p>
      <w:pPr>
        <w:spacing w:after="0" w:line="165" w:lineRule="exact"/>
        <w:rPr>
          <w:sz w:val="20"/>
          <w:szCs w:val="20"/>
          <w:color w:val="auto"/>
        </w:rPr>
      </w:pPr>
    </w:p>
    <w:p>
      <w:pPr>
        <w:ind w:right="80" w:firstLine="505"/>
        <w:spacing w:after="0" w:line="259" w:lineRule="auto"/>
        <w:rPr>
          <w:sz w:val="20"/>
          <w:szCs w:val="20"/>
          <w:color w:val="auto"/>
        </w:rPr>
      </w:pPr>
      <w:r>
        <w:rPr>
          <w:rFonts w:ascii="Arial" w:cs="Arial" w:eastAsia="Arial" w:hAnsi="Arial"/>
          <w:sz w:val="14"/>
          <w:szCs w:val="14"/>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Xian Feng Yang Employment Agreement</w:t>
      </w:r>
    </w:p>
    <w:p>
      <w:pPr>
        <w:spacing w:after="0" w:line="176" w:lineRule="exact"/>
        <w:rPr>
          <w:sz w:val="20"/>
          <w:szCs w:val="20"/>
          <w:color w:val="auto"/>
        </w:rPr>
      </w:pPr>
    </w:p>
    <w:p>
      <w:pPr>
        <w:ind w:right="60" w:firstLine="505"/>
        <w:spacing w:after="0" w:line="275" w:lineRule="auto"/>
        <w:rPr>
          <w:sz w:val="20"/>
          <w:szCs w:val="20"/>
          <w:color w:val="auto"/>
        </w:rPr>
      </w:pPr>
      <w:r>
        <w:rPr>
          <w:rFonts w:ascii="Arial" w:cs="Arial" w:eastAsia="Arial" w:hAnsi="Arial"/>
          <w:sz w:val="13"/>
          <w:szCs w:val="13"/>
          <w:color w:val="auto"/>
        </w:rPr>
        <w:t>On December 9, 2017, we entered into an employment agreement with Xian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Raymond Ming Hui Lin Employment Agreement</w:t>
      </w:r>
    </w:p>
    <w:p>
      <w:pPr>
        <w:spacing w:after="0" w:line="176" w:lineRule="exact"/>
        <w:rPr>
          <w:sz w:val="20"/>
          <w:szCs w:val="20"/>
          <w:color w:val="auto"/>
        </w:rPr>
      </w:pPr>
    </w:p>
    <w:p>
      <w:pPr>
        <w:ind w:right="40" w:firstLine="505"/>
        <w:spacing w:after="0" w:line="275" w:lineRule="auto"/>
        <w:rPr>
          <w:sz w:val="20"/>
          <w:szCs w:val="20"/>
          <w:color w:val="auto"/>
        </w:rPr>
      </w:pPr>
      <w:r>
        <w:rPr>
          <w:rFonts w:ascii="Arial" w:cs="Arial" w:eastAsia="Arial" w:hAnsi="Arial"/>
          <w:sz w:val="13"/>
          <w:szCs w:val="13"/>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Tian van Acken Employment Agreement</w:t>
      </w:r>
    </w:p>
    <w:p>
      <w:pPr>
        <w:spacing w:after="0" w:line="176"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On December 9, 2017, we entered into an employment agreement with Tian van Acken pursuant to which she agreed to serve as our Chief Financial Officer. The agreement provides for an annual base salary of RMB144,000 and HK$558,000 (a total of approximately USD$93,010)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his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 Equity Incentive Plan</w:t>
      </w:r>
    </w:p>
    <w:p>
      <w:pPr>
        <w:spacing w:after="0" w:line="180" w:lineRule="exact"/>
        <w:rPr>
          <w:sz w:val="20"/>
          <w:szCs w:val="20"/>
          <w:color w:val="auto"/>
        </w:rPr>
      </w:pPr>
    </w:p>
    <w:p>
      <w:pPr>
        <w:jc w:val="both"/>
        <w:ind w:right="40" w:firstLine="505"/>
        <w:spacing w:after="0" w:line="259" w:lineRule="auto"/>
        <w:rPr>
          <w:sz w:val="20"/>
          <w:szCs w:val="20"/>
          <w:color w:val="auto"/>
        </w:rPr>
      </w:pPr>
      <w:r>
        <w:rPr>
          <w:rFonts w:ascii="Arial" w:cs="Arial" w:eastAsia="Arial" w:hAnsi="Arial"/>
          <w:sz w:val="14"/>
          <w:szCs w:val="14"/>
          <w:color w:val="auto"/>
        </w:rPr>
        <w:t>We have adopted a 2017 Equity Incentive Plan (the “Plan”).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No grants have been made under the plan as of the date hereof. The following is a summary of the Plan and is qualified by the full text of the Plan.</w:t>
      </w:r>
    </w:p>
    <w:p>
      <w:pPr>
        <w:spacing w:after="0" w:line="147" w:lineRule="exact"/>
        <w:rPr>
          <w:sz w:val="20"/>
          <w:szCs w:val="20"/>
          <w:color w:val="auto"/>
        </w:rPr>
      </w:pPr>
    </w:p>
    <w:p>
      <w:pPr>
        <w:ind w:right="140" w:firstLine="505"/>
        <w:spacing w:after="0" w:line="277"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The Plan will be administered by our board of directors, or, once constituted, the Compensation Committee of the board of directors (we refer to body administering the Plan as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“Committee”).</w:t>
      </w:r>
    </w:p>
    <w:p>
      <w:pPr>
        <w:spacing w:after="0" w:line="133" w:lineRule="exact"/>
        <w:rPr>
          <w:sz w:val="20"/>
          <w:szCs w:val="20"/>
          <w:color w:val="auto"/>
        </w:rPr>
      </w:pPr>
    </w:p>
    <w:p>
      <w:pPr>
        <w:ind w:firstLine="505"/>
        <w:spacing w:after="0" w:line="278" w:lineRule="auto"/>
        <w:rPr>
          <w:sz w:val="20"/>
          <w:szCs w:val="20"/>
          <w:color w:val="auto"/>
        </w:rPr>
      </w:pPr>
      <w:r>
        <w:rPr>
          <w:rFonts w:ascii="Arial" w:cs="Arial" w:eastAsia="Arial" w:hAnsi="Arial"/>
          <w:sz w:val="13"/>
          <w:szCs w:val="13"/>
          <w:i w:val="1"/>
          <w:iCs w:val="1"/>
          <w:color w:val="auto"/>
        </w:rPr>
        <w:t>Number of Shares of Common Shares</w:t>
      </w:r>
      <w:r>
        <w:rPr>
          <w:rFonts w:ascii="Arial" w:cs="Arial" w:eastAsia="Arial" w:hAnsi="Arial"/>
          <w:sz w:val="13"/>
          <w:szCs w:val="13"/>
          <w:color w:val="auto"/>
        </w:rPr>
        <w:t>. The number of common shares that may be issued under the Plan is 2,210,000. Shares issuable under the Plan may be authorized but unissued shares or</w:t>
      </w:r>
      <w:r>
        <w:rPr>
          <w:rFonts w:ascii="Arial" w:cs="Arial" w:eastAsia="Arial" w:hAnsi="Arial"/>
          <w:sz w:val="13"/>
          <w:szCs w:val="13"/>
          <w:i w:val="1"/>
          <w:iCs w:val="1"/>
          <w:color w:val="auto"/>
        </w:rPr>
        <w:t xml:space="preserve"> </w:t>
      </w:r>
      <w:r>
        <w:rPr>
          <w:rFonts w:ascii="Arial" w:cs="Arial" w:eastAsia="Arial" w:hAnsi="Arial"/>
          <w:sz w:val="13"/>
          <w:szCs w:val="13"/>
          <w:color w:val="auto"/>
        </w:rPr>
        <w:t>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All key employees and directors of the Company are eligible to receive awards under the Plan.</w:t>
      </w:r>
    </w:p>
    <w:p>
      <w:pPr>
        <w:spacing w:after="0" w:line="176" w:lineRule="exact"/>
        <w:rPr>
          <w:sz w:val="20"/>
          <w:szCs w:val="20"/>
          <w:color w:val="auto"/>
        </w:rPr>
      </w:pPr>
    </w:p>
    <w:p>
      <w:pPr>
        <w:ind w:right="120" w:firstLine="505"/>
        <w:spacing w:after="0" w:line="317" w:lineRule="auto"/>
        <w:rPr>
          <w:sz w:val="20"/>
          <w:szCs w:val="20"/>
          <w:color w:val="auto"/>
        </w:rPr>
      </w:pPr>
      <w:r>
        <w:rPr>
          <w:rFonts w:ascii="Arial" w:cs="Arial" w:eastAsia="Arial" w:hAnsi="Arial"/>
          <w:sz w:val="13"/>
          <w:szCs w:val="13"/>
          <w:i w:val="1"/>
          <w:iCs w:val="1"/>
          <w:color w:val="auto"/>
        </w:rPr>
        <w:t>Awards to Participants</w:t>
      </w:r>
      <w:r>
        <w:rPr>
          <w:rFonts w:ascii="Arial" w:cs="Arial" w:eastAsia="Arial" w:hAnsi="Arial"/>
          <w:sz w:val="13"/>
          <w:szCs w:val="13"/>
          <w:color w:val="auto"/>
        </w:rPr>
        <w:t>. The Plan provides for discretionary awards of, among others, stock options, stock awards and stock unit awards to participants. Each award made under the Plan will be</w:t>
      </w:r>
      <w:r>
        <w:rPr>
          <w:rFonts w:ascii="Arial" w:cs="Arial" w:eastAsia="Arial" w:hAnsi="Arial"/>
          <w:sz w:val="13"/>
          <w:szCs w:val="13"/>
          <w:i w:val="1"/>
          <w:iCs w:val="1"/>
          <w:color w:val="auto"/>
        </w:rPr>
        <w:t xml:space="preserve"> </w:t>
      </w:r>
      <w:r>
        <w:rPr>
          <w:rFonts w:ascii="Arial" w:cs="Arial" w:eastAsia="Arial" w:hAnsi="Arial"/>
          <w:sz w:val="13"/>
          <w:szCs w:val="13"/>
          <w:color w:val="auto"/>
        </w:rPr>
        <w:t>evidenced by a written award agreement specifying the terms and conditions of the award as determined by the Committee in its sole discretion, consistent with the terms of the Plan.</w:t>
      </w:r>
    </w:p>
    <w:p>
      <w:pPr>
        <w:spacing w:after="0" w:line="110"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The Committee has the discretion to grant non-qualified stock options or incentive stock options to participants and to set the terms and conditions applicable to the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48" w:lineRule="exact"/>
        <w:rPr>
          <w:sz w:val="20"/>
          <w:szCs w:val="20"/>
          <w:color w:val="auto"/>
        </w:rPr>
      </w:pPr>
    </w:p>
    <w:p>
      <w:pPr>
        <w:ind w:right="60" w:firstLine="505"/>
        <w:spacing w:after="0" w:line="276" w:lineRule="auto"/>
        <w:rPr>
          <w:sz w:val="20"/>
          <w:szCs w:val="20"/>
          <w:color w:val="auto"/>
        </w:rPr>
      </w:pPr>
      <w:r>
        <w:rPr>
          <w:rFonts w:ascii="Arial" w:cs="Arial" w:eastAsia="Arial" w:hAnsi="Arial"/>
          <w:sz w:val="13"/>
          <w:szCs w:val="13"/>
          <w:i w:val="1"/>
          <w:iCs w:val="1"/>
          <w:color w:val="auto"/>
        </w:rPr>
        <w:t>Stock Awards</w:t>
      </w:r>
      <w:r>
        <w:rPr>
          <w:rFonts w:ascii="Arial" w:cs="Arial" w:eastAsia="Arial" w:hAnsi="Arial"/>
          <w:sz w:val="13"/>
          <w:szCs w:val="13"/>
          <w:color w:val="auto"/>
        </w:rPr>
        <w:t>. The Committee has the discretion to grant stock awards to participants. Shares granted under the Plan will be effective and exercisable as of the Company’s completion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56" w:lineRule="auto"/>
        <w:rPr>
          <w:sz w:val="20"/>
          <w:szCs w:val="20"/>
          <w:color w:val="auto"/>
        </w:rPr>
      </w:pPr>
      <w:r>
        <w:rPr>
          <w:rFonts w:ascii="Arial" w:cs="Arial" w:eastAsia="Arial" w:hAnsi="Arial"/>
          <w:sz w:val="14"/>
          <w:szCs w:val="14"/>
          <w:i w:val="1"/>
          <w:iCs w:val="1"/>
          <w:color w:val="auto"/>
        </w:rPr>
        <w:t>Payment for Stock Options and Withholding Taxes</w:t>
      </w:r>
      <w:r>
        <w:rPr>
          <w:rFonts w:ascii="Arial" w:cs="Arial" w:eastAsia="Arial" w:hAnsi="Arial"/>
          <w:sz w:val="14"/>
          <w:szCs w:val="14"/>
          <w:color w:val="auto"/>
        </w:rPr>
        <w:t>. The Committee may make one or more of the following methods available for payment of any award, including the exercise price of a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48" w:lineRule="exact"/>
        <w:rPr>
          <w:sz w:val="20"/>
          <w:szCs w:val="20"/>
          <w:color w:val="auto"/>
        </w:rPr>
      </w:pPr>
    </w:p>
    <w:p>
      <w:pPr>
        <w:ind w:right="100" w:firstLine="505"/>
        <w:spacing w:after="0" w:line="282" w:lineRule="auto"/>
        <w:rPr>
          <w:sz w:val="20"/>
          <w:szCs w:val="20"/>
          <w:color w:val="auto"/>
        </w:rPr>
      </w:pPr>
      <w:r>
        <w:rPr>
          <w:rFonts w:ascii="Arial" w:cs="Arial" w:eastAsia="Arial" w:hAnsi="Arial"/>
          <w:sz w:val="13"/>
          <w:szCs w:val="13"/>
          <w:i w:val="1"/>
          <w:iCs w:val="1"/>
          <w:color w:val="auto"/>
        </w:rPr>
        <w:t>Amendment of Award Agreements; Amendment and Termination of the Plan; Term of the Plan</w:t>
      </w:r>
      <w:r>
        <w:rPr>
          <w:rFonts w:ascii="Arial" w:cs="Arial" w:eastAsia="Arial" w:hAnsi="Arial"/>
          <w:sz w:val="13"/>
          <w:szCs w:val="13"/>
          <w:color w:val="auto"/>
        </w:rPr>
        <w:t>. The Committee may amend any award agreement at any time, provided that no amendment may</w:t>
      </w:r>
      <w:r>
        <w:rPr>
          <w:rFonts w:ascii="Arial" w:cs="Arial" w:eastAsia="Arial" w:hAnsi="Arial"/>
          <w:sz w:val="13"/>
          <w:szCs w:val="13"/>
          <w:i w:val="1"/>
          <w:iCs w:val="1"/>
          <w:color w:val="auto"/>
        </w:rPr>
        <w:t xml:space="preserve"> </w:t>
      </w:r>
      <w:r>
        <w:rPr>
          <w:rFonts w:ascii="Arial" w:cs="Arial" w:eastAsia="Arial" w:hAnsi="Arial"/>
          <w:sz w:val="13"/>
          <w:szCs w:val="13"/>
          <w:color w:val="auto"/>
        </w:rPr>
        <w:t>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w:t>
      </w:r>
    </w:p>
    <w:p>
      <w:pPr>
        <w:spacing w:after="0" w:line="132" w:lineRule="exact"/>
        <w:rPr>
          <w:sz w:val="20"/>
          <w:szCs w:val="20"/>
          <w:color w:val="auto"/>
        </w:rPr>
      </w:pPr>
    </w:p>
    <w:p>
      <w:pPr>
        <w:ind w:right="60" w:firstLine="505"/>
        <w:spacing w:after="0" w:line="293" w:lineRule="auto"/>
        <w:rPr>
          <w:sz w:val="20"/>
          <w:szCs w:val="20"/>
          <w:color w:val="auto"/>
        </w:rPr>
      </w:pPr>
      <w:r>
        <w:rPr>
          <w:rFonts w:ascii="Arial" w:cs="Arial" w:eastAsia="Arial" w:hAnsi="Arial"/>
          <w:sz w:val="13"/>
          <w:szCs w:val="13"/>
          <w:color w:val="auto"/>
        </w:rPr>
        <w:t>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(This prohibition on repricing without shareholder approval does not apply in case of an equitable adjustment to the awards to reflect changes in the capital structure of the company or similar events.)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awards may be granted under the Plan on or after the tenth anniversary of the effective date of the Plan.</w:t>
      </w:r>
    </w:p>
    <w:p>
      <w:pPr>
        <w:spacing w:after="0" w:line="176"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While currently the Company does not have specific amounts and grantees designated, following the completion of this offering, the Company’s Board of Directors may issue grants permissible under the Plan in such amounts and to such eligible grantees as may be advisable and appropriate in the exercise of the Board’s discretion.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Interested Transactions</w:t>
      </w:r>
    </w:p>
    <w:p>
      <w:pPr>
        <w:spacing w:after="0" w:line="180" w:lineRule="exact"/>
        <w:rPr>
          <w:sz w:val="20"/>
          <w:szCs w:val="20"/>
          <w:color w:val="auto"/>
        </w:rPr>
      </w:pPr>
    </w:p>
    <w:p>
      <w:pPr>
        <w:ind w:right="220" w:firstLine="505"/>
        <w:spacing w:after="0" w:line="277" w:lineRule="auto"/>
        <w:rPr>
          <w:sz w:val="20"/>
          <w:szCs w:val="20"/>
          <w:color w:val="auto"/>
        </w:rPr>
      </w:pPr>
      <w:r>
        <w:rPr>
          <w:rFonts w:ascii="Arial" w:cs="Arial" w:eastAsia="Arial" w:hAnsi="Arial"/>
          <w:sz w:val="14"/>
          <w:szCs w:val="14"/>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w:t>
      </w:r>
    </w:p>
    <w:p>
      <w:pPr>
        <w:spacing w:after="0" w:line="133"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Remuneration and Borrowing</w:t>
      </w:r>
    </w:p>
    <w:p>
      <w:pPr>
        <w:spacing w:after="0" w:line="180" w:lineRule="exact"/>
        <w:rPr>
          <w:sz w:val="20"/>
          <w:szCs w:val="20"/>
          <w:color w:val="auto"/>
        </w:rPr>
      </w:pPr>
    </w:p>
    <w:p>
      <w:pPr>
        <w:ind w:right="40" w:firstLine="505"/>
        <w:spacing w:after="0" w:line="259" w:lineRule="auto"/>
        <w:rPr>
          <w:sz w:val="20"/>
          <w:szCs w:val="20"/>
          <w:color w:val="auto"/>
        </w:rPr>
      </w:pPr>
      <w:r>
        <w:rPr>
          <w:rFonts w:ascii="Arial" w:cs="Arial" w:eastAsia="Arial" w:hAnsi="Arial"/>
          <w:sz w:val="14"/>
          <w:szCs w:val="14"/>
          <w:color w:val="auto"/>
        </w:rPr>
        <w:t>The directors may receive such remuneration as our board of directors may determine from time to time. For the services rendered by the independent director in any capacity the company will a cash fee in the amount of USD$1,500 per month.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w:t>
      </w:r>
    </w:p>
    <w:p>
      <w:pPr>
        <w:spacing w:after="0" w:line="147" w:lineRule="exact"/>
        <w:rPr>
          <w:sz w:val="20"/>
          <w:szCs w:val="20"/>
          <w:color w:val="auto"/>
        </w:rPr>
      </w:pPr>
    </w:p>
    <w:p>
      <w:pPr>
        <w:ind w:right="120" w:firstLine="505"/>
        <w:spacing w:after="0" w:line="277" w:lineRule="auto"/>
        <w:rPr>
          <w:sz w:val="20"/>
          <w:szCs w:val="20"/>
          <w:color w:val="auto"/>
        </w:rPr>
      </w:pPr>
      <w:r>
        <w:rPr>
          <w:rFonts w:ascii="Arial" w:cs="Arial" w:eastAsia="Arial" w:hAnsi="Arial"/>
          <w:sz w:val="14"/>
          <w:szCs w:val="14"/>
          <w:color w:val="auto"/>
        </w:rPr>
        <w:t>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Qualification</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director is not required to hold shares as a qualification to office.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and Other Indemnification Matters</w:t>
      </w:r>
    </w:p>
    <w:p>
      <w:pPr>
        <w:spacing w:after="0" w:line="180" w:lineRule="exact"/>
        <w:rPr>
          <w:sz w:val="20"/>
          <w:szCs w:val="20"/>
          <w:color w:val="auto"/>
        </w:rPr>
      </w:pPr>
    </w:p>
    <w:p>
      <w:pPr>
        <w:ind w:right="40" w:firstLine="505"/>
        <w:spacing w:after="0" w:line="316" w:lineRule="auto"/>
        <w:rPr>
          <w:sz w:val="20"/>
          <w:szCs w:val="20"/>
          <w:color w:val="auto"/>
        </w:rPr>
      </w:pPr>
      <w:r>
        <w:rPr>
          <w:rFonts w:ascii="Arial" w:cs="Arial" w:eastAsia="Arial" w:hAnsi="Arial"/>
          <w:sz w:val="12"/>
          <w:szCs w:val="12"/>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500" w:firstLine="505"/>
        <w:spacing w:after="0" w:line="277"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180" w:lineRule="exact"/>
        <w:rPr>
          <w:sz w:val="20"/>
          <w:szCs w:val="20"/>
          <w:color w:val="auto"/>
        </w:rPr>
      </w:pPr>
    </w:p>
    <w:p>
      <w:pPr>
        <w:ind w:right="60" w:firstLine="505"/>
        <w:spacing w:after="0" w:line="293" w:lineRule="auto"/>
        <w:rPr>
          <w:sz w:val="20"/>
          <w:szCs w:val="20"/>
          <w:color w:val="auto"/>
        </w:rPr>
      </w:pPr>
      <w:r>
        <w:rPr>
          <w:rFonts w:ascii="Arial" w:cs="Arial" w:eastAsia="Arial" w:hAnsi="Arial"/>
          <w:sz w:val="13"/>
          <w:szCs w:val="13"/>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 Our directors received no compensation in 2017.</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RELATED PARTY TRANSACTIONS</w:t>
      </w:r>
    </w:p>
    <w:p>
      <w:pPr>
        <w:spacing w:after="0" w:line="180" w:lineRule="exact"/>
        <w:rPr>
          <w:sz w:val="20"/>
          <w:szCs w:val="20"/>
          <w:color w:val="auto"/>
        </w:rPr>
      </w:pPr>
    </w:p>
    <w:p>
      <w:pPr>
        <w:ind w:right="140" w:firstLine="505"/>
        <w:spacing w:after="0" w:line="328" w:lineRule="auto"/>
        <w:rPr>
          <w:sz w:val="20"/>
          <w:szCs w:val="20"/>
          <w:color w:val="auto"/>
        </w:rPr>
      </w:pPr>
      <w:r>
        <w:rPr>
          <w:rFonts w:ascii="Arial" w:cs="Arial" w:eastAsia="Arial" w:hAnsi="Arial"/>
          <w:sz w:val="12"/>
          <w:szCs w:val="12"/>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and for the six months ended December 31, 2017,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Reorganization agreement with our shareholders</w:t>
      </w:r>
    </w:p>
    <w:p>
      <w:pPr>
        <w:spacing w:after="0" w:line="180" w:lineRule="exact"/>
        <w:rPr>
          <w:sz w:val="20"/>
          <w:szCs w:val="20"/>
          <w:color w:val="auto"/>
        </w:rPr>
      </w:pPr>
    </w:p>
    <w:p>
      <w:pPr>
        <w:ind w:firstLine="505"/>
        <w:spacing w:after="0" w:line="317" w:lineRule="auto"/>
        <w:rPr>
          <w:sz w:val="20"/>
          <w:szCs w:val="20"/>
          <w:color w:val="auto"/>
        </w:rPr>
      </w:pPr>
      <w:r>
        <w:rPr>
          <w:rFonts w:ascii="Arial" w:cs="Arial" w:eastAsia="Arial" w:hAnsi="Arial"/>
          <w:sz w:val="13"/>
          <w:szCs w:val="13"/>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20"/>
                <w:szCs w:val="20"/>
                <w:color w:val="auto"/>
              </w:rPr>
            </w:pPr>
            <w:r>
              <w:rPr>
                <w:rFonts w:ascii="Arial" w:cs="Arial" w:eastAsia="Arial" w:hAnsi="Arial"/>
                <w:sz w:val="14"/>
                <w:szCs w:val="14"/>
                <w:b w:val="1"/>
                <w:bCs w:val="1"/>
                <w:color w:val="auto"/>
              </w:rPr>
              <w:t>Other related party transactions: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6080" w:type="dxa"/>
            <w:vAlign w:val="bottom"/>
          </w:tcPr>
          <w:p>
            <w:pPr>
              <w:ind w:left="500"/>
              <w:spacing w:after="0"/>
              <w:rPr>
                <w:sz w:val="20"/>
                <w:szCs w:val="20"/>
                <w:color w:val="auto"/>
              </w:rPr>
            </w:pPr>
            <w:r>
              <w:rPr>
                <w:rFonts w:ascii="Arial" w:cs="Arial" w:eastAsia="Arial" w:hAnsi="Arial"/>
                <w:sz w:val="14"/>
                <w:szCs w:val="14"/>
                <w:color w:val="auto"/>
              </w:rPr>
              <w:t>The balances due to and due from related parties were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10"/>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vMerge w:val="restart"/>
          </w:tcPr>
          <w:p>
            <w:pPr>
              <w:spacing w:after="0"/>
              <w:rPr>
                <w:sz w:val="20"/>
                <w:szCs w:val="20"/>
                <w:color w:val="auto"/>
              </w:rPr>
            </w:pPr>
            <w:r>
              <w:rPr>
                <w:rFonts w:ascii="Arial" w:cs="Arial" w:eastAsia="Arial" w:hAnsi="Arial"/>
                <w:sz w:val="14"/>
                <w:szCs w:val="14"/>
                <w:color w:val="auto"/>
              </w:rPr>
              <w:t>Due from related parties: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0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shareholder of CLPS Beijing</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6080" w:type="dxa"/>
            <w:vAlign w:val="bottom"/>
          </w:tcPr>
          <w:p>
            <w:pPr>
              <w:ind w:left="140"/>
              <w:spacing w:after="0"/>
              <w:rPr>
                <w:sz w:val="20"/>
                <w:szCs w:val="20"/>
                <w:color w:val="auto"/>
              </w:rPr>
            </w:pPr>
            <w:r>
              <w:rPr>
                <w:rFonts w:ascii="Arial" w:cs="Arial" w:eastAsia="Arial" w:hAnsi="Arial"/>
                <w:sz w:val="14"/>
                <w:szCs w:val="14"/>
                <w:color w:val="auto"/>
              </w:rPr>
              <w:t>Affiliates of non-controlling interest shareholder of Judge China*</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103,255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 shareholder of Judge China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60,136</w:t>
            </w:r>
          </w:p>
        </w:tc>
        <w:tc>
          <w:tcPr>
            <w:tcW w:w="0" w:type="dxa"/>
            <w:vAlign w:val="bottom"/>
          </w:tcPr>
          <w:p>
            <w:pPr>
              <w:spacing w:after="0"/>
              <w:rPr>
                <w:sz w:val="1"/>
                <w:szCs w:val="1"/>
                <w:color w:val="auto"/>
              </w:rPr>
            </w:pPr>
          </w:p>
        </w:tc>
      </w:tr>
      <w:tr>
        <w:trPr>
          <w:trHeight w:val="168"/>
        </w:trPr>
        <w:tc>
          <w:tcPr>
            <w:tcW w:w="6080" w:type="dxa"/>
            <w:vAlign w:val="bottom"/>
          </w:tcPr>
          <w:p>
            <w:pPr>
              <w:ind w:left="140"/>
              <w:spacing w:after="0"/>
              <w:rPr>
                <w:sz w:val="20"/>
                <w:szCs w:val="20"/>
                <w:color w:val="auto"/>
              </w:rPr>
            </w:pPr>
            <w:r>
              <w:rPr>
                <w:rFonts w:ascii="Arial" w:cs="Arial" w:eastAsia="Arial" w:hAnsi="Arial"/>
                <w:sz w:val="14"/>
                <w:szCs w:val="14"/>
                <w:color w:val="auto"/>
              </w:rPr>
              <w:t>Mr. Xiao Feng Yang, Chairman and President of the Company (ii)</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353,011</w:t>
            </w: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Mr. Raymond Ming Hui Lin, CEO of the Company (ii)</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1,094,367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line="159" w:lineRule="exact"/>
              <w:rPr>
                <w:sz w:val="20"/>
                <w:szCs w:val="20"/>
                <w:color w:val="auto"/>
              </w:rPr>
            </w:pPr>
            <w:r>
              <w:rPr>
                <w:rFonts w:ascii="Arial" w:cs="Arial" w:eastAsia="Arial" w:hAnsi="Arial"/>
                <w:sz w:val="14"/>
                <w:szCs w:val="14"/>
                <w:color w:val="auto"/>
              </w:rPr>
              <w:t>Total</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1,447,378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118,006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60,136</w:t>
            </w:r>
          </w:p>
        </w:tc>
        <w:tc>
          <w:tcPr>
            <w:tcW w:w="0" w:type="dxa"/>
            <w:vAlign w:val="bottom"/>
          </w:tcPr>
          <w:p>
            <w:pPr>
              <w:spacing w:after="0"/>
              <w:rPr>
                <w:sz w:val="1"/>
                <w:szCs w:val="1"/>
                <w:color w:val="auto"/>
              </w:rPr>
            </w:pPr>
          </w:p>
        </w:tc>
      </w:tr>
      <w:tr>
        <w:trPr>
          <w:trHeight w:val="160"/>
        </w:trPr>
        <w:tc>
          <w:tcPr>
            <w:tcW w:w="60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The amount was subsequently offset with the acquisition payable</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Due to related parties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Shanghai Qisheng Co., Ltd (“Qisheng”), controlled by the Chairman of the Company</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7,222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7,080</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Non-controlling shareholder of CLPS Beijing</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shareholder of JQ</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66,116</w:t>
            </w:r>
          </w:p>
        </w:tc>
        <w:tc>
          <w:tcPr>
            <w:tcW w:w="0" w:type="dxa"/>
            <w:vAlign w:val="bottom"/>
          </w:tcPr>
          <w:p>
            <w:pPr>
              <w:spacing w:after="0"/>
              <w:rPr>
                <w:sz w:val="1"/>
                <w:szCs w:val="1"/>
                <w:color w:val="auto"/>
              </w:rPr>
            </w:pPr>
          </w:p>
        </w:tc>
      </w:tr>
      <w:tr>
        <w:trPr>
          <w:trHeight w:val="180"/>
        </w:trPr>
        <w:tc>
          <w:tcPr>
            <w:tcW w:w="60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Mr. Raymond Ming Hui Lin, CEO of the Company (i)</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1,140,975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1,722,711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854,192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1,148,197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1,729,791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920,373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260" w:hanging="256"/>
        <w:spacing w:after="0"/>
        <w:tabs>
          <w:tab w:leader="none" w:pos="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Due to related parties mainly represents the unpaid dividends, wages and other benefit to the Company’s executives.</w:t>
      </w:r>
    </w:p>
    <w:p>
      <w:pPr>
        <w:spacing w:after="0" w:line="175" w:lineRule="exact"/>
        <w:rPr>
          <w:rFonts w:ascii="Arial" w:cs="Arial" w:eastAsia="Arial" w:hAnsi="Arial"/>
          <w:sz w:val="14"/>
          <w:szCs w:val="14"/>
          <w:color w:val="auto"/>
        </w:rPr>
      </w:pPr>
    </w:p>
    <w:p>
      <w:pPr>
        <w:ind w:left="260" w:right="40" w:hanging="256"/>
        <w:spacing w:after="0" w:line="277" w:lineRule="auto"/>
        <w:tabs>
          <w:tab w:leader="none" w:pos="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due from Mr. Yang and Mr. Lin of $353,011 and $1,094,367 as of June 30, 2015, respectively, represented short term loans to them with annual interest of 6% and due on demand. These loans were fully repaid in August 2015. For the years ended June 30, 2016 and 2015, the interest income was $Nil and $107,662, respectively.</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STOCKHOLDERS</w:t>
      </w:r>
    </w:p>
    <w:p>
      <w:pPr>
        <w:spacing w:after="0" w:line="180" w:lineRule="exact"/>
        <w:rPr>
          <w:sz w:val="20"/>
          <w:szCs w:val="20"/>
          <w:color w:val="auto"/>
        </w:rPr>
      </w:pPr>
    </w:p>
    <w:p>
      <w:pPr>
        <w:ind w:right="320" w:firstLine="505"/>
        <w:spacing w:after="0" w:line="277" w:lineRule="auto"/>
        <w:rPr>
          <w:sz w:val="20"/>
          <w:szCs w:val="20"/>
          <w:color w:val="auto"/>
        </w:rPr>
      </w:pPr>
      <w:r>
        <w:rPr>
          <w:rFonts w:ascii="Arial" w:cs="Arial" w:eastAsia="Arial" w:hAnsi="Arial"/>
          <w:sz w:val="14"/>
          <w:szCs w:val="14"/>
          <w:color w:val="auto"/>
        </w:rPr>
        <w:t>The following tables set forth certain information with respect to the beneficial ownership of our common shares and as adjusted to reflect the sale of the common shares offered by us in our initial public offering, for:</w:t>
      </w:r>
    </w:p>
    <w:p>
      <w:pPr>
        <w:spacing w:after="0" w:line="133" w:lineRule="exact"/>
        <w:rPr>
          <w:sz w:val="20"/>
          <w:szCs w:val="20"/>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stockholder known by us to be the beneficial owner of more than 5% of our outstanding common shares;</w:t>
      </w:r>
    </w:p>
    <w:p>
      <w:pPr>
        <w:spacing w:after="0" w:line="196"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196"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of our named executive officers; and</w:t>
      </w:r>
    </w:p>
    <w:p>
      <w:pPr>
        <w:spacing w:after="0" w:line="196"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of our directors and executive officers as a group.</w:t>
      </w:r>
    </w:p>
    <w:p>
      <w:pPr>
        <w:spacing w:after="0" w:line="176" w:lineRule="exact"/>
        <w:rPr>
          <w:sz w:val="20"/>
          <w:szCs w:val="20"/>
          <w:color w:val="auto"/>
        </w:rPr>
      </w:pPr>
    </w:p>
    <w:p>
      <w:pPr>
        <w:ind w:firstLine="505"/>
        <w:spacing w:after="0" w:line="278" w:lineRule="auto"/>
        <w:rPr>
          <w:sz w:val="20"/>
          <w:szCs w:val="20"/>
          <w:color w:val="auto"/>
        </w:rPr>
      </w:pPr>
      <w:r>
        <w:rPr>
          <w:rFonts w:ascii="Arial" w:cs="Arial" w:eastAsia="Arial" w:hAnsi="Arial"/>
          <w:sz w:val="13"/>
          <w:szCs w:val="13"/>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[_],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11,290,000 common shares outstanding as of [_], 2018. Unless otherwise indicated, the address of each beneficial owner listed in the table below is c/o CLPS Incorporation, c/o 2nd Floor, Building 18, Shanghai Pudong Software Park, 498 Guoshoujing Road, Pudong, Shanghai 201203. People’s Republic of China.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0"/>
              </w:rPr>
              <w:t>Beneficial</w:t>
            </w:r>
          </w:p>
        </w:tc>
      </w:tr>
      <w:tr>
        <w:trPr>
          <w:trHeight w:val="168"/>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1"/>
              </w:rPr>
              <w:t>Ownership</w:t>
            </w:r>
          </w:p>
        </w:tc>
      </w:tr>
      <w:tr>
        <w:trPr>
          <w:trHeight w:val="168"/>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Beneficial Ownership</w:t>
            </w:r>
          </w:p>
        </w:tc>
        <w:tc>
          <w:tcPr>
            <w:tcW w:w="12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6"/>
              </w:rPr>
              <w:t>After Offering</w:t>
            </w:r>
          </w:p>
        </w:tc>
      </w:tr>
      <w:tr>
        <w:trPr>
          <w:trHeight w:val="184"/>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Prior to Offering (1)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6"/>
                <w:szCs w:val="16"/>
                <w:color w:val="auto"/>
              </w:rPr>
            </w:pPr>
          </w:p>
        </w:tc>
      </w:tr>
      <w:tr>
        <w:trPr>
          <w:trHeight w:val="169"/>
        </w:trPr>
        <w:tc>
          <w:tcPr>
            <w:tcW w:w="7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Common Shares</w:t>
            </w:r>
          </w:p>
        </w:tc>
        <w:tc>
          <w:tcPr>
            <w:tcW w:w="100" w:type="dxa"/>
            <w:vAlign w:val="bottom"/>
            <w:tcBorders>
              <w:top w:val="single" w:sz="8" w:color="auto"/>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Percentage</w:t>
            </w:r>
          </w:p>
        </w:tc>
        <w:tc>
          <w:tcPr>
            <w:tcW w:w="26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160" w:type="dxa"/>
            <w:vAlign w:val="bottom"/>
            <w:tcBorders>
              <w:bottom w:val="single" w:sz="8" w:color="CCEEFF"/>
            </w:tcBorders>
          </w:tcPr>
          <w:p>
            <w:pPr>
              <w:spacing w:after="0"/>
              <w:rPr>
                <w:sz w:val="14"/>
                <w:szCs w:val="14"/>
                <w:color w:val="auto"/>
              </w:rPr>
            </w:pPr>
          </w:p>
        </w:tc>
      </w:tr>
      <w:tr>
        <w:trPr>
          <w:trHeight w:val="168"/>
        </w:trPr>
        <w:tc>
          <w:tcPr>
            <w:tcW w:w="7720" w:type="dxa"/>
            <w:vAlign w:val="bottom"/>
            <w:shd w:val="clear" w:color="auto" w:fill="CCEEFF"/>
          </w:tcPr>
          <w:p>
            <w:pPr>
              <w:spacing w:after="0"/>
              <w:rPr>
                <w:sz w:val="20"/>
                <w:szCs w:val="20"/>
                <w:color w:val="auto"/>
              </w:rPr>
            </w:pPr>
            <w:r>
              <w:rPr>
                <w:rFonts w:ascii="Arial" w:cs="Arial" w:eastAsia="Arial" w:hAnsi="Arial"/>
                <w:sz w:val="14"/>
                <w:szCs w:val="14"/>
                <w:color w:val="auto"/>
              </w:rPr>
              <w:t>Xiao Feng Yang (2)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44.29%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[_</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r>
      <w:tr>
        <w:trPr>
          <w:trHeight w:val="168"/>
        </w:trPr>
        <w:tc>
          <w:tcPr>
            <w:tcW w:w="7820" w:type="dxa"/>
            <w:vAlign w:val="bottom"/>
            <w:gridSpan w:val="2"/>
          </w:tcPr>
          <w:p>
            <w:pPr>
              <w:spacing w:after="0"/>
              <w:rPr>
                <w:sz w:val="20"/>
                <w:szCs w:val="20"/>
                <w:color w:val="auto"/>
              </w:rPr>
            </w:pPr>
            <w:r>
              <w:rPr>
                <w:rFonts w:ascii="Arial" w:cs="Arial" w:eastAsia="Arial" w:hAnsi="Arial"/>
                <w:sz w:val="14"/>
                <w:szCs w:val="14"/>
                <w:color w:val="auto"/>
              </w:rPr>
              <w:t>Raymond Ming Hui Lin (3)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44.29%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Tian van Acken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820" w:type="dxa"/>
            <w:vAlign w:val="bottom"/>
            <w:gridSpan w:val="2"/>
          </w:tcPr>
          <w:p>
            <w:pPr>
              <w:spacing w:after="0"/>
              <w:rPr>
                <w:sz w:val="20"/>
                <w:szCs w:val="20"/>
                <w:color w:val="auto"/>
              </w:rPr>
            </w:pPr>
            <w:r>
              <w:rPr>
                <w:rFonts w:ascii="Arial" w:cs="Arial" w:eastAsia="Arial" w:hAnsi="Arial"/>
                <w:sz w:val="14"/>
                <w:szCs w:val="14"/>
                <w:color w:val="auto"/>
              </w:rPr>
              <w:t>Jin He Shao</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Kewei Huang</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820" w:type="dxa"/>
            <w:vAlign w:val="bottom"/>
            <w:gridSpan w:val="2"/>
          </w:tcPr>
          <w:p>
            <w:pPr>
              <w:spacing w:after="0"/>
              <w:rPr>
                <w:sz w:val="20"/>
                <w:szCs w:val="20"/>
                <w:color w:val="auto"/>
              </w:rPr>
            </w:pPr>
            <w:r>
              <w:rPr>
                <w:rFonts w:ascii="Arial" w:cs="Arial" w:eastAsia="Arial" w:hAnsi="Arial"/>
                <w:sz w:val="14"/>
                <w:szCs w:val="14"/>
                <w:color w:val="auto"/>
              </w:rPr>
              <w:t>Kathryn Amooi</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8"/>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All directors and executive officers as a group (6 persons)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8"/>
        </w:trPr>
        <w:tc>
          <w:tcPr>
            <w:tcW w:w="7820" w:type="dxa"/>
            <w:vAlign w:val="bottom"/>
            <w:gridSpan w:val="2"/>
          </w:tcPr>
          <w:p>
            <w:pPr>
              <w:spacing w:after="0"/>
              <w:rPr>
                <w:sz w:val="20"/>
                <w:szCs w:val="20"/>
                <w:color w:val="auto"/>
              </w:rPr>
            </w:pPr>
            <w:r>
              <w:rPr>
                <w:rFonts w:ascii="Arial" w:cs="Arial" w:eastAsia="Arial" w:hAnsi="Arial"/>
                <w:sz w:val="14"/>
                <w:szCs w:val="14"/>
                <w:color w:val="auto"/>
              </w:rPr>
              <w:t>Qinrui Ltd. (2)</w:t>
            </w:r>
          </w:p>
        </w:tc>
        <w:tc>
          <w:tcPr>
            <w:tcW w:w="104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44.29%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Qinhui Ltd. (3)</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44.29%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[_]%</w:t>
            </w:r>
          </w:p>
        </w:tc>
      </w:tr>
      <w:tr>
        <w:trPr>
          <w:trHeight w:val="168"/>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7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5% or greater beneficial owners as a group</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88.57%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145669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6690" cy="13335"/>
                    </a:xfrm>
                    <a:prstGeom prst="rect">
                      <a:avLst/>
                    </a:prstGeom>
                    <a:noFill/>
                  </pic:spPr>
                </pic:pic>
              </a:graphicData>
            </a:graphic>
          </wp:anchor>
        </w:drawing>
      </w:r>
    </w:p>
    <w:p>
      <w:pPr>
        <w:spacing w:after="0" w:line="190" w:lineRule="exact"/>
        <w:rPr>
          <w:sz w:val="20"/>
          <w:szCs w:val="20"/>
          <w:color w:val="auto"/>
        </w:rPr>
      </w:pPr>
    </w:p>
    <w:p>
      <w:pPr>
        <w:ind w:left="260" w:hanging="256"/>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8" w:lineRule="exact"/>
        <w:rPr>
          <w:sz w:val="20"/>
          <w:szCs w:val="20"/>
          <w:color w:val="auto"/>
        </w:rPr>
      </w:pPr>
    </w:p>
    <w:p>
      <w:pPr>
        <w:jc w:val="both"/>
        <w:ind w:left="260" w:right="120" w:hanging="256"/>
        <w:spacing w:after="0" w:line="292"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Beneficial ownership is determined in accordance with the rules of the SEC and includes voting or investment power with respect to the common shares or the power to receive the economic benefit of the common shares. This calculation also assumes that the underwriters exercise their option to purchase additional shares in full for the purpose of covering over-allotments. See “Underwriting”.</w:t>
      </w:r>
    </w:p>
    <w:p>
      <w:pPr>
        <w:ind w:left="260" w:hanging="256"/>
        <w:spacing w:after="0" w:line="250"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British Virgin Islands corporation with the mailing address of c/o Vistra Corporate Services Centre, WIskhams Cay II, Road Town, Tortola, VG 1110, British Virgin Islands, with Xian Feng Yang as its sole shareholder. As such, Mr. Yang is deemed to be the owner of all shares of the Company held by this entity.</w:t>
      </w:r>
    </w:p>
    <w:p>
      <w:pPr>
        <w:spacing w:after="0" w:line="1" w:lineRule="exact"/>
        <w:rPr>
          <w:rFonts w:ascii="Arial" w:cs="Arial" w:eastAsia="Arial" w:hAnsi="Arial"/>
          <w:sz w:val="14"/>
          <w:szCs w:val="14"/>
          <w:color w:val="auto"/>
        </w:rPr>
      </w:pPr>
    </w:p>
    <w:p>
      <w:pPr>
        <w:ind w:left="260" w:right="180" w:hanging="256"/>
        <w:spacing w:after="0" w:line="261"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British Virgin Islands corporation with the mailing address of c/o Vistra Corporate Services Centre, WIskhams Cay II, Road Town, Tortola, VG 1110, British Virgin Islands, with Raymond Ming Hui Lin as its sole shareholder. As such, Mr. Lin is deemed to be the owner of all shares of the Company held by this entity.</w:t>
      </w:r>
    </w:p>
    <w:p>
      <w:pPr>
        <w:spacing w:after="0" w:line="144" w:lineRule="exact"/>
        <w:rPr>
          <w:sz w:val="20"/>
          <w:szCs w:val="20"/>
          <w:color w:val="auto"/>
        </w:rPr>
      </w:pPr>
    </w:p>
    <w:p>
      <w:pPr>
        <w:ind w:right="80" w:firstLine="505"/>
        <w:spacing w:after="0" w:line="264" w:lineRule="auto"/>
        <w:rPr>
          <w:sz w:val="20"/>
          <w:szCs w:val="20"/>
          <w:color w:val="auto"/>
        </w:rPr>
      </w:pPr>
      <w:r>
        <w:rPr>
          <w:rFonts w:ascii="Arial" w:cs="Arial" w:eastAsia="Arial" w:hAnsi="Arial"/>
          <w:sz w:val="14"/>
          <w:szCs w:val="14"/>
          <w:color w:val="auto"/>
        </w:rPr>
        <w:t>As of December 7, 2017, there were 5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w:t>
      </w:r>
    </w:p>
    <w:p>
      <w:pPr>
        <w:spacing w:after="0" w:line="142"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SHARE CAPITAL</w:t>
      </w:r>
    </w:p>
    <w:p>
      <w:pPr>
        <w:spacing w:after="0" w:line="180"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February 20, 2018, there are 11,290,000 common shares issued and outstanding. The following are summaries of material provisions of our memorandum and articles of association and the Companies Law insofar as they relate to the material terms of our common shares.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Shares</w:t>
      </w:r>
    </w:p>
    <w:p>
      <w:pPr>
        <w:spacing w:after="0" w:line="180" w:lineRule="exact"/>
        <w:rPr>
          <w:sz w:val="20"/>
          <w:szCs w:val="20"/>
          <w:color w:val="auto"/>
        </w:rPr>
      </w:pPr>
    </w:p>
    <w:p>
      <w:pPr>
        <w:ind w:right="80" w:firstLine="505"/>
        <w:spacing w:after="0" w:line="259" w:lineRule="auto"/>
        <w:rPr>
          <w:sz w:val="20"/>
          <w:szCs w:val="20"/>
          <w:color w:val="auto"/>
        </w:rPr>
      </w:pPr>
      <w:r>
        <w:rPr>
          <w:rFonts w:ascii="Arial" w:cs="Arial" w:eastAsia="Arial" w:hAnsi="Arial"/>
          <w:sz w:val="14"/>
          <w:szCs w:val="14"/>
          <w:b w:val="1"/>
          <w:bCs w:val="1"/>
          <w:i w:val="1"/>
          <w:iCs w:val="1"/>
          <w:color w:val="auto"/>
        </w:rPr>
        <w:t xml:space="preserve">General. </w:t>
      </w:r>
      <w:r>
        <w:rPr>
          <w:rFonts w:ascii="Arial" w:cs="Arial" w:eastAsia="Arial" w:hAnsi="Arial"/>
          <w:sz w:val="14"/>
          <w:szCs w:val="14"/>
          <w:color w:val="auto"/>
        </w:rPr>
        <w:t>Upon the completion of this offering, our authorized share capital will be US$[_] divided into [_] common shares of par value US$[_] each and [_] shares of a par value of US$[_] each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such class (however designated) as the board of directors may determine in accordance with the Articles. All of our outstanding common shares are fully paid and non-assessable. Certificates representing the common shares are issued in registered form. Our shareholders, whether or not they are non-residents of the Cayman Islands, may freely hold and transfer their common shares in accordance with the Memorandum and Articles of Association.</w:t>
      </w:r>
    </w:p>
    <w:p>
      <w:pPr>
        <w:spacing w:after="0" w:line="147" w:lineRule="exact"/>
        <w:rPr>
          <w:sz w:val="20"/>
          <w:szCs w:val="20"/>
          <w:color w:val="auto"/>
        </w:rPr>
      </w:pPr>
    </w:p>
    <w:p>
      <w:pPr>
        <w:ind w:right="360" w:firstLine="505"/>
        <w:spacing w:after="0" w:line="277"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The holders of our common shares are entitled to such dividends as may be declared by our board of directors. Our articles of association provide that our board of directors may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declare and pay dividends if justified by our financial position and permitted by law.</w:t>
      </w:r>
    </w:p>
    <w:p>
      <w:pPr>
        <w:spacing w:after="0" w:line="133" w:lineRule="exact"/>
        <w:rPr>
          <w:sz w:val="20"/>
          <w:szCs w:val="20"/>
          <w:color w:val="auto"/>
        </w:rPr>
      </w:pPr>
    </w:p>
    <w:p>
      <w:pPr>
        <w:ind w:right="40" w:firstLine="505"/>
        <w:spacing w:after="0" w:line="276" w:lineRule="auto"/>
        <w:rPr>
          <w:sz w:val="20"/>
          <w:szCs w:val="20"/>
          <w:color w:val="auto"/>
        </w:rPr>
      </w:pPr>
      <w:r>
        <w:rPr>
          <w:rFonts w:ascii="Arial" w:cs="Arial" w:eastAsia="Arial" w:hAnsi="Arial"/>
          <w:sz w:val="13"/>
          <w:szCs w:val="13"/>
          <w:b w:val="1"/>
          <w:bCs w:val="1"/>
          <w:i w:val="1"/>
          <w:iCs w:val="1"/>
          <w:color w:val="auto"/>
        </w:rPr>
        <w:t xml:space="preserve">Voting Rights. </w:t>
      </w:r>
      <w:r>
        <w:rPr>
          <w:rFonts w:ascii="Arial" w:cs="Arial" w:eastAsia="Arial" w:hAnsi="Arial"/>
          <w:sz w:val="13"/>
          <w:szCs w:val="13"/>
          <w:color w:val="auto"/>
        </w:rPr>
        <w:t>In respect of all matters subject to a shareholders’ vote, each common share is entitled to one vote. Voting at any meeting of shareholders is by show of hands unless voting by way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36" w:lineRule="exact"/>
        <w:rPr>
          <w:sz w:val="20"/>
          <w:szCs w:val="20"/>
          <w:color w:val="auto"/>
        </w:rPr>
      </w:pPr>
    </w:p>
    <w:p>
      <w:pPr>
        <w:ind w:firstLine="505"/>
        <w:spacing w:after="0" w:line="279" w:lineRule="auto"/>
        <w:rPr>
          <w:sz w:val="20"/>
          <w:szCs w:val="20"/>
          <w:color w:val="auto"/>
        </w:rPr>
      </w:pPr>
      <w:r>
        <w:rPr>
          <w:rFonts w:ascii="Arial" w:cs="Arial" w:eastAsia="Arial" w:hAnsi="Arial"/>
          <w:sz w:val="13"/>
          <w:szCs w:val="13"/>
          <w:b w:val="1"/>
          <w:bCs w:val="1"/>
          <w:i w:val="1"/>
          <w:iCs w:val="1"/>
          <w:color w:val="auto"/>
        </w:rPr>
        <w:t xml:space="preserve">Transfer of Common Shares. </w:t>
      </w:r>
      <w:r>
        <w:rPr>
          <w:rFonts w:ascii="Arial" w:cs="Arial" w:eastAsia="Arial" w:hAnsi="Arial"/>
          <w:sz w:val="13"/>
          <w:szCs w:val="13"/>
          <w:color w:val="auto"/>
        </w:rPr>
        <w:t>Subject to the restrictions set out below, any of our shareholders may transfer all or any of his or her common shares by an instrument of transfer in the usual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36" w:lineRule="exact"/>
        <w:rPr>
          <w:sz w:val="20"/>
          <w:szCs w:val="20"/>
          <w:color w:val="auto"/>
        </w:rPr>
      </w:pPr>
    </w:p>
    <w:p>
      <w:pPr>
        <w:ind w:right="140" w:firstLine="505"/>
        <w:spacing w:after="0" w:line="364" w:lineRule="auto"/>
        <w:rPr>
          <w:sz w:val="20"/>
          <w:szCs w:val="20"/>
          <w:color w:val="auto"/>
        </w:rPr>
      </w:pPr>
      <w:r>
        <w:rPr>
          <w:rFonts w:ascii="Arial" w:cs="Arial" w:eastAsia="Arial" w:hAnsi="Arial"/>
          <w:sz w:val="12"/>
          <w:szCs w:val="12"/>
          <w:b w:val="1"/>
          <w:bCs w:val="1"/>
          <w:i w:val="1"/>
          <w:iCs w:val="1"/>
          <w:color w:val="auto"/>
        </w:rPr>
        <w:t xml:space="preserve">Calls on Common Shares and Forfeiture of Common Shares. </w:t>
      </w:r>
      <w:r>
        <w:rPr>
          <w:rFonts w:ascii="Arial" w:cs="Arial" w:eastAsia="Arial" w:hAnsi="Arial"/>
          <w:sz w:val="12"/>
          <w:szCs w:val="12"/>
          <w:color w:val="auto"/>
        </w:rPr>
        <w:t>Our board of directors may from time to time make calls upon shareholders for any amounts unpaid on their common shares in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notice served to such shareholders at least 14 clear days prior to the specified time of payment. The common shares that have been called upon and remain unpaid are subject to forfeiture.</w:t>
      </w:r>
    </w:p>
    <w:p>
      <w:pPr>
        <w:spacing w:after="0" w:line="87" w:lineRule="exact"/>
        <w:rPr>
          <w:sz w:val="20"/>
          <w:szCs w:val="20"/>
          <w:color w:val="auto"/>
        </w:rPr>
      </w:pPr>
    </w:p>
    <w:p>
      <w:pPr>
        <w:jc w:val="both"/>
        <w:ind w:firstLine="505"/>
        <w:spacing w:after="0" w:line="293" w:lineRule="auto"/>
        <w:rPr>
          <w:sz w:val="20"/>
          <w:szCs w:val="20"/>
          <w:color w:val="auto"/>
        </w:rPr>
      </w:pPr>
      <w:r>
        <w:rPr>
          <w:rFonts w:ascii="Arial" w:cs="Arial" w:eastAsia="Arial" w:hAnsi="Arial"/>
          <w:sz w:val="13"/>
          <w:szCs w:val="13"/>
          <w:b w:val="1"/>
          <w:bCs w:val="1"/>
          <w:i w:val="1"/>
          <w:iCs w:val="1"/>
          <w:color w:val="auto"/>
        </w:rPr>
        <w:t xml:space="preserve">Redemption of Common Shares. </w:t>
      </w:r>
      <w:r>
        <w:rPr>
          <w:rFonts w:ascii="Arial" w:cs="Arial" w:eastAsia="Arial" w:hAnsi="Arial"/>
          <w:sz w:val="13"/>
          <w:szCs w:val="13"/>
          <w:color w:val="auto"/>
        </w:rPr>
        <w:t>The Companies Law and our memorandum of association permit us to purchase our own shares. In accordance with our articles of association and provided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26" w:lineRule="exact"/>
        <w:rPr>
          <w:sz w:val="20"/>
          <w:szCs w:val="20"/>
          <w:color w:val="auto"/>
        </w:rPr>
      </w:pPr>
    </w:p>
    <w:p>
      <w:pPr>
        <w:ind w:right="280" w:firstLine="505"/>
        <w:spacing w:after="0" w:line="277" w:lineRule="auto"/>
        <w:rPr>
          <w:sz w:val="20"/>
          <w:szCs w:val="20"/>
          <w:color w:val="auto"/>
        </w:rPr>
      </w:pPr>
      <w:r>
        <w:rPr>
          <w:rFonts w:ascii="Arial" w:cs="Arial" w:eastAsia="Arial" w:hAnsi="Arial"/>
          <w:sz w:val="14"/>
          <w:szCs w:val="14"/>
          <w:b w:val="1"/>
          <w:bCs w:val="1"/>
          <w:i w:val="1"/>
          <w:iCs w:val="1"/>
          <w:color w:val="auto"/>
        </w:rPr>
        <w:t xml:space="preserve">Inspection of Books and Records. </w:t>
      </w:r>
      <w:r>
        <w:rPr>
          <w:rFonts w:ascii="Arial" w:cs="Arial" w:eastAsia="Arial" w:hAnsi="Arial"/>
          <w:sz w:val="14"/>
          <w:szCs w:val="14"/>
          <w:color w:val="auto"/>
        </w:rPr>
        <w:t>Holders of our common shares have no general right under our articles of association to inspect or obtain copies of our list of shareholders or our corporate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records. However, we will provide our shareholders with annual audited financial statements. See “Where You Can Find Additional Information.”</w:t>
      </w:r>
    </w:p>
    <w:p>
      <w:pPr>
        <w:spacing w:after="0" w:line="133" w:lineRule="exact"/>
        <w:rPr>
          <w:sz w:val="20"/>
          <w:szCs w:val="20"/>
          <w:color w:val="auto"/>
        </w:rPr>
      </w:pPr>
    </w:p>
    <w:p>
      <w:pPr>
        <w:jc w:val="both"/>
        <w:ind w:right="100" w:firstLine="505"/>
        <w:spacing w:after="0" w:line="264" w:lineRule="auto"/>
        <w:rPr>
          <w:sz w:val="20"/>
          <w:szCs w:val="20"/>
          <w:color w:val="auto"/>
        </w:rPr>
      </w:pPr>
      <w:r>
        <w:rPr>
          <w:rFonts w:ascii="Arial" w:cs="Arial" w:eastAsia="Arial" w:hAnsi="Arial"/>
          <w:sz w:val="14"/>
          <w:szCs w:val="14"/>
          <w:b w:val="1"/>
          <w:bCs w:val="1"/>
          <w:i w:val="1"/>
          <w:iCs w:val="1"/>
          <w:color w:val="auto"/>
        </w:rPr>
        <w:t xml:space="preserve">Issuance of Additional Shares. </w:t>
      </w:r>
      <w:r>
        <w:rPr>
          <w:rFonts w:ascii="Arial" w:cs="Arial" w:eastAsia="Arial" w:hAnsi="Arial"/>
          <w:sz w:val="14"/>
          <w:szCs w:val="14"/>
          <w:color w:val="auto"/>
        </w:rPr>
        <w:t>Our memorandum of association authorizes our board of directors to issue additional common shares from time to time as our board of directors shall determine,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42" w:lineRule="exact"/>
        <w:rPr>
          <w:sz w:val="20"/>
          <w:szCs w:val="20"/>
          <w:color w:val="auto"/>
        </w:rPr>
      </w:pPr>
    </w:p>
    <w:p>
      <w:pPr>
        <w:ind w:left="500" w:hanging="243"/>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designation of the series to be issued;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number of shares of the series;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dividend rights, dividend rates, conversion rights, voting rights;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rights and terms of redemption and liquidation preferences.</w:t>
      </w:r>
    </w:p>
    <w:p>
      <w:pPr>
        <w:spacing w:after="0" w:line="176" w:lineRule="exact"/>
        <w:rPr>
          <w:sz w:val="20"/>
          <w:szCs w:val="20"/>
          <w:color w:val="auto"/>
        </w:rPr>
      </w:pPr>
    </w:p>
    <w:p>
      <w:pPr>
        <w:ind w:right="240" w:firstLine="505"/>
        <w:spacing w:after="0" w:line="277" w:lineRule="auto"/>
        <w:rPr>
          <w:sz w:val="20"/>
          <w:szCs w:val="20"/>
          <w:color w:val="auto"/>
        </w:rPr>
      </w:pPr>
      <w:r>
        <w:rPr>
          <w:rFonts w:ascii="Arial" w:cs="Arial" w:eastAsia="Arial" w:hAnsi="Arial"/>
          <w:sz w:val="14"/>
          <w:szCs w:val="14"/>
          <w:color w:val="auto"/>
        </w:rPr>
        <w:t>Our board of directors may issue preference shares without action by our shareholders to the extent authorized but unissued. Issuance of these shares may dilute the voting power of holders of common shares.</w:t>
      </w:r>
    </w:p>
    <w:p>
      <w:pPr>
        <w:spacing w:after="0" w:line="133"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b w:val="1"/>
          <w:bCs w:val="1"/>
          <w:i w:val="1"/>
          <w:iCs w:val="1"/>
          <w:color w:val="auto"/>
        </w:rPr>
        <w:t xml:space="preserve">Anti-Takeover Provisions. </w:t>
      </w:r>
      <w:r>
        <w:rPr>
          <w:rFonts w:ascii="Arial" w:cs="Arial" w:eastAsia="Arial" w:hAnsi="Arial"/>
          <w:sz w:val="14"/>
          <w:szCs w:val="14"/>
          <w:color w:val="auto"/>
        </w:rPr>
        <w:t>Some provisions of our memorandum and articles of association may discourage, delay or prevent a change of control of our company or management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Articles of Association – Exclusive Forum Provision</w:t>
      </w:r>
    </w:p>
    <w:p>
      <w:pPr>
        <w:spacing w:after="0" w:line="180" w:lineRule="exact"/>
        <w:rPr>
          <w:sz w:val="20"/>
          <w:szCs w:val="20"/>
          <w:color w:val="auto"/>
        </w:rPr>
      </w:pPr>
    </w:p>
    <w:p>
      <w:pPr>
        <w:ind w:right="60" w:firstLine="505"/>
        <w:spacing w:after="0" w:line="278" w:lineRule="auto"/>
        <w:rPr>
          <w:sz w:val="20"/>
          <w:szCs w:val="20"/>
          <w:color w:val="auto"/>
        </w:rPr>
      </w:pPr>
      <w:r>
        <w:rPr>
          <w:rFonts w:ascii="Arial" w:cs="Arial" w:eastAsia="Arial" w:hAnsi="Arial"/>
          <w:sz w:val="13"/>
          <w:szCs w:val="13"/>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Differences in Corporate Law</w:t>
      </w:r>
    </w:p>
    <w:p>
      <w:pPr>
        <w:spacing w:after="0" w:line="180" w:lineRule="exact"/>
        <w:rPr>
          <w:sz w:val="20"/>
          <w:szCs w:val="20"/>
          <w:color w:val="auto"/>
        </w:rPr>
      </w:pPr>
    </w:p>
    <w:p>
      <w:pPr>
        <w:ind w:right="380" w:firstLine="505"/>
        <w:spacing w:after="0" w:line="264" w:lineRule="auto"/>
        <w:rPr>
          <w:sz w:val="20"/>
          <w:szCs w:val="20"/>
          <w:color w:val="auto"/>
        </w:rPr>
      </w:pPr>
      <w:r>
        <w:rPr>
          <w:rFonts w:ascii="Arial" w:cs="Arial" w:eastAsia="Arial" w:hAnsi="Arial"/>
          <w:sz w:val="14"/>
          <w:szCs w:val="14"/>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42" w:lineRule="exact"/>
        <w:rPr>
          <w:sz w:val="20"/>
          <w:szCs w:val="20"/>
          <w:color w:val="auto"/>
        </w:rPr>
      </w:pPr>
    </w:p>
    <w:p>
      <w:pPr>
        <w:ind w:right="160" w:firstLine="505"/>
        <w:spacing w:after="0" w:line="259" w:lineRule="auto"/>
        <w:rPr>
          <w:sz w:val="20"/>
          <w:szCs w:val="20"/>
          <w:color w:val="auto"/>
        </w:rPr>
      </w:pPr>
      <w:r>
        <w:rPr>
          <w:rFonts w:ascii="Arial" w:cs="Arial" w:eastAsia="Arial" w:hAnsi="Arial"/>
          <w:sz w:val="14"/>
          <w:szCs w:val="14"/>
          <w:b w:val="1"/>
          <w:bCs w:val="1"/>
          <w:i w:val="1"/>
          <w:iCs w:val="1"/>
          <w:color w:val="auto"/>
        </w:rPr>
        <w:t xml:space="preserve">Mergers and Similar Arrangements. </w:t>
      </w:r>
      <w:r>
        <w:rPr>
          <w:rFonts w:ascii="Arial" w:cs="Arial" w:eastAsia="Arial" w:hAnsi="Arial"/>
          <w:sz w:val="14"/>
          <w:szCs w:val="14"/>
          <w:color w:val="auto"/>
        </w:rPr>
        <w:t>The Companies Law permits mergers and consolidations between Cayman Islands companies and between Cayman Islands companies and non-Cayman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47" w:lineRule="exact"/>
        <w:rPr>
          <w:sz w:val="20"/>
          <w:szCs w:val="20"/>
          <w:color w:val="auto"/>
        </w:rPr>
      </w:pPr>
    </w:p>
    <w:p>
      <w:pPr>
        <w:ind w:right="520" w:firstLine="505"/>
        <w:spacing w:after="0" w:line="317" w:lineRule="auto"/>
        <w:rPr>
          <w:sz w:val="20"/>
          <w:szCs w:val="20"/>
          <w:color w:val="auto"/>
        </w:rPr>
      </w:pPr>
      <w:r>
        <w:rPr>
          <w:rFonts w:ascii="Arial" w:cs="Arial" w:eastAsia="Arial" w:hAnsi="Arial"/>
          <w:sz w:val="13"/>
          <w:szCs w:val="13"/>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10"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While a dissenting shareholder has the right to express to the court the view that the transaction ought not to be approved, the court can be expected to approve the arrangement if it determines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that:</w:t>
      </w:r>
    </w:p>
    <w:p>
      <w:pPr>
        <w:spacing w:after="0" w:line="165" w:lineRule="exact"/>
        <w:rPr>
          <w:sz w:val="20"/>
          <w:szCs w:val="20"/>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statutory provisions as to the required majority vote have been met;</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shareholders have been fairly represented at the meeting in question;</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arrangement is such that an intelligent and honest man of that class acting in respect of his interest would reasonably approve;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arrangement is not one that would more properly be sanctioned under some other provision of the Companies Law.</w:t>
      </w:r>
    </w:p>
    <w:p>
      <w:pPr>
        <w:spacing w:after="0" w:line="176" w:lineRule="exact"/>
        <w:rPr>
          <w:sz w:val="20"/>
          <w:szCs w:val="20"/>
          <w:color w:val="auto"/>
        </w:rPr>
      </w:pPr>
    </w:p>
    <w:p>
      <w:pPr>
        <w:jc w:val="both"/>
        <w:ind w:right="40" w:firstLine="505"/>
        <w:spacing w:after="0" w:line="264" w:lineRule="auto"/>
        <w:rPr>
          <w:sz w:val="20"/>
          <w:szCs w:val="20"/>
          <w:color w:val="auto"/>
        </w:rPr>
      </w:pPr>
      <w:r>
        <w:rPr>
          <w:rFonts w:ascii="Arial" w:cs="Arial" w:eastAsia="Arial" w:hAnsi="Arial"/>
          <w:sz w:val="14"/>
          <w:szCs w:val="14"/>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42" w:lineRule="exact"/>
        <w:rPr>
          <w:sz w:val="20"/>
          <w:szCs w:val="20"/>
          <w:color w:val="auto"/>
        </w:rPr>
      </w:pPr>
    </w:p>
    <w:p>
      <w:pPr>
        <w:ind w:right="520" w:firstLine="505"/>
        <w:spacing w:after="0" w:line="277" w:lineRule="auto"/>
        <w:rPr>
          <w:sz w:val="20"/>
          <w:szCs w:val="20"/>
          <w:color w:val="auto"/>
        </w:rPr>
      </w:pPr>
      <w:r>
        <w:rPr>
          <w:rFonts w:ascii="Arial" w:cs="Arial" w:eastAsia="Arial" w:hAnsi="Arial"/>
          <w:sz w:val="14"/>
          <w:szCs w:val="14"/>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33" w:lineRule="exact"/>
        <w:rPr>
          <w:sz w:val="20"/>
          <w:szCs w:val="20"/>
          <w:color w:val="auto"/>
        </w:rPr>
      </w:pPr>
    </w:p>
    <w:p>
      <w:pPr>
        <w:ind w:right="100" w:firstLine="505"/>
        <w:spacing w:after="0" w:line="364" w:lineRule="auto"/>
        <w:rPr>
          <w:sz w:val="20"/>
          <w:szCs w:val="20"/>
          <w:color w:val="auto"/>
        </w:rPr>
      </w:pPr>
      <w:r>
        <w:rPr>
          <w:rFonts w:ascii="Arial" w:cs="Arial" w:eastAsia="Arial" w:hAnsi="Arial"/>
          <w:sz w:val="12"/>
          <w:szCs w:val="12"/>
          <w:b w:val="1"/>
          <w:bCs w:val="1"/>
          <w:i w:val="1"/>
          <w:iCs w:val="1"/>
          <w:color w:val="auto"/>
        </w:rPr>
        <w:t xml:space="preserve">Shareholders’ Suits. </w:t>
      </w:r>
      <w:r>
        <w:rPr>
          <w:rFonts w:ascii="Arial" w:cs="Arial" w:eastAsia="Arial" w:hAnsi="Arial"/>
          <w:sz w:val="12"/>
          <w:szCs w:val="12"/>
          <w:color w:val="auto"/>
        </w:rPr>
        <w:t>In principle, we will normally be the proper plaintiff to sue for a wrong done to us as a company and as a general rule a derivative action may not be brought by a minority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shareholder. However, based on English authorities, which would in all likelihood be of persuasive authority in the Cayman Islands, there are exceptions to the foregoing principle, including when:</w:t>
      </w:r>
    </w:p>
    <w:p>
      <w:pPr>
        <w:spacing w:after="0" w:line="87" w:lineRule="exact"/>
        <w:rPr>
          <w:sz w:val="20"/>
          <w:szCs w:val="20"/>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company acts or proposes to act illegally or ultra vires and is therefore incapable of ratification by the shareholders;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act complained of, although not ultra vires, could only be duly effected if authorized by more than a simple majority vote that has not been obtained;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those who control the company are perpetrating a “fraud on the minority.”</w:t>
      </w:r>
    </w:p>
    <w:p>
      <w:pPr>
        <w:spacing w:after="0" w:line="176" w:lineRule="exact"/>
        <w:rPr>
          <w:sz w:val="20"/>
          <w:szCs w:val="20"/>
          <w:color w:val="auto"/>
        </w:rPr>
      </w:pPr>
    </w:p>
    <w:p>
      <w:pPr>
        <w:ind w:firstLine="505"/>
        <w:spacing w:after="0" w:line="255" w:lineRule="auto"/>
        <w:rPr>
          <w:sz w:val="20"/>
          <w:szCs w:val="20"/>
          <w:color w:val="auto"/>
        </w:rPr>
      </w:pPr>
      <w:r>
        <w:rPr>
          <w:rFonts w:ascii="Arial" w:cs="Arial" w:eastAsia="Arial" w:hAnsi="Arial"/>
          <w:sz w:val="14"/>
          <w:szCs w:val="14"/>
          <w:b w:val="1"/>
          <w:bCs w:val="1"/>
          <w:i w:val="1"/>
          <w:iCs w:val="1"/>
          <w:color w:val="auto"/>
        </w:rPr>
        <w:t xml:space="preserve">Indemnification of Directors and Executive Officers and Limitation of Liability. </w:t>
      </w:r>
      <w:r>
        <w:rPr>
          <w:rFonts w:ascii="Arial" w:cs="Arial" w:eastAsia="Arial" w:hAnsi="Arial"/>
          <w:sz w:val="14"/>
          <w:szCs w:val="14"/>
          <w:color w:val="auto"/>
        </w:rPr>
        <w:t>The Companies Law does not limit the extent to which a company’s memorandum and articles of association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213" w:right="27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74" w:lineRule="auto"/>
        <w:rPr>
          <w:sz w:val="20"/>
          <w:szCs w:val="20"/>
          <w:color w:val="auto"/>
        </w:rPr>
      </w:pPr>
      <w:r>
        <w:rPr>
          <w:rFonts w:ascii="Arial" w:cs="Arial" w:eastAsia="Arial" w:hAnsi="Arial"/>
          <w:sz w:val="13"/>
          <w:szCs w:val="13"/>
          <w:b w:val="1"/>
          <w:bCs w:val="1"/>
          <w:i w:val="1"/>
          <w:iCs w:val="1"/>
          <w:color w:val="auto"/>
        </w:rPr>
        <w:t xml:space="preserve">Directors’ Fiduciary Duties. </w:t>
      </w:r>
      <w:r>
        <w:rPr>
          <w:rFonts w:ascii="Arial" w:cs="Arial" w:eastAsia="Arial" w:hAnsi="Arial"/>
          <w:sz w:val="13"/>
          <w:szCs w:val="13"/>
          <w:color w:val="auto"/>
        </w:rPr>
        <w:t>Under Delaware corporate law, a director of a Delaware corporation has a fiduciary duty to the corporation and its shareholders. This duty has two components: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138"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b w:val="1"/>
          <w:bCs w:val="1"/>
          <w:i w:val="1"/>
          <w:iCs w:val="1"/>
          <w:color w:val="auto"/>
        </w:rPr>
        <w:t xml:space="preserve">Shareholder Action by Written Consent. </w:t>
      </w:r>
      <w:r>
        <w:rPr>
          <w:rFonts w:ascii="Arial" w:cs="Arial" w:eastAsia="Arial" w:hAnsi="Arial"/>
          <w:sz w:val="14"/>
          <w:szCs w:val="14"/>
          <w:color w:val="auto"/>
        </w:rPr>
        <w:t>Under the Delaware General Corporation Law, a corporation may eliminate the right of shareholders to act by written consent by amendment to 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42" w:lineRule="exact"/>
        <w:rPr>
          <w:sz w:val="20"/>
          <w:szCs w:val="20"/>
          <w:color w:val="auto"/>
        </w:rPr>
      </w:pPr>
    </w:p>
    <w:p>
      <w:pPr>
        <w:ind w:right="40" w:firstLine="505"/>
        <w:spacing w:after="0" w:line="279" w:lineRule="auto"/>
        <w:rPr>
          <w:sz w:val="20"/>
          <w:szCs w:val="20"/>
          <w:color w:val="auto"/>
        </w:rPr>
      </w:pPr>
      <w:r>
        <w:rPr>
          <w:rFonts w:ascii="Arial" w:cs="Arial" w:eastAsia="Arial" w:hAnsi="Arial"/>
          <w:sz w:val="13"/>
          <w:szCs w:val="13"/>
          <w:b w:val="1"/>
          <w:bCs w:val="1"/>
          <w:i w:val="1"/>
          <w:iCs w:val="1"/>
          <w:color w:val="auto"/>
        </w:rPr>
        <w:t xml:space="preserve">Shareholder Proposals. </w:t>
      </w:r>
      <w:r>
        <w:rPr>
          <w:rFonts w:ascii="Arial" w:cs="Arial" w:eastAsia="Arial" w:hAnsi="Arial"/>
          <w:sz w:val="13"/>
          <w:szCs w:val="13"/>
          <w:color w:val="auto"/>
        </w:rPr>
        <w:t>Under the Delaware General Corporation Law, a shareholder has the right to put any proposal before the annual meeting of shareholders, provided it complies with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36" w:lineRule="exact"/>
        <w:rPr>
          <w:sz w:val="20"/>
          <w:szCs w:val="20"/>
          <w:color w:val="auto"/>
        </w:rPr>
      </w:pPr>
    </w:p>
    <w:p>
      <w:pPr>
        <w:ind w:right="180" w:firstLine="505"/>
        <w:spacing w:after="0" w:line="259" w:lineRule="auto"/>
        <w:rPr>
          <w:sz w:val="20"/>
          <w:szCs w:val="20"/>
          <w:color w:val="auto"/>
        </w:rPr>
      </w:pPr>
      <w:r>
        <w:rPr>
          <w:rFonts w:ascii="Arial" w:cs="Arial" w:eastAsia="Arial" w:hAnsi="Arial"/>
          <w:sz w:val="14"/>
          <w:szCs w:val="14"/>
          <w:b w:val="1"/>
          <w:bCs w:val="1"/>
          <w:i w:val="1"/>
          <w:iCs w:val="1"/>
          <w:color w:val="auto"/>
        </w:rPr>
        <w:t xml:space="preserve">Cumulative Voting. </w:t>
      </w:r>
      <w:r>
        <w:rPr>
          <w:rFonts w:ascii="Arial" w:cs="Arial" w:eastAsia="Arial" w:hAnsi="Arial"/>
          <w:sz w:val="14"/>
          <w:szCs w:val="14"/>
          <w:color w:val="auto"/>
        </w:rPr>
        <w:t>Under the Delaware General Corporation Law, cumulative voting for elections of directors is not permitted unless the corporation’s certificate of incorporation specifically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47" w:lineRule="exact"/>
        <w:rPr>
          <w:sz w:val="20"/>
          <w:szCs w:val="20"/>
          <w:color w:val="auto"/>
        </w:rPr>
      </w:pPr>
    </w:p>
    <w:p>
      <w:pPr>
        <w:ind w:right="20" w:firstLine="505"/>
        <w:spacing w:after="0" w:line="317" w:lineRule="auto"/>
        <w:rPr>
          <w:sz w:val="20"/>
          <w:szCs w:val="20"/>
          <w:color w:val="auto"/>
        </w:rPr>
      </w:pPr>
      <w:r>
        <w:rPr>
          <w:rFonts w:ascii="Arial" w:cs="Arial" w:eastAsia="Arial" w:hAnsi="Arial"/>
          <w:sz w:val="13"/>
          <w:szCs w:val="13"/>
          <w:b w:val="1"/>
          <w:bCs w:val="1"/>
          <w:i w:val="1"/>
          <w:iCs w:val="1"/>
          <w:color w:val="auto"/>
        </w:rPr>
        <w:t xml:space="preserve">Removal of Directors. </w:t>
      </w:r>
      <w:r>
        <w:rPr>
          <w:rFonts w:ascii="Arial" w:cs="Arial" w:eastAsia="Arial" w:hAnsi="Arial"/>
          <w:sz w:val="13"/>
          <w:szCs w:val="13"/>
          <w:color w:val="auto"/>
        </w:rPr>
        <w:t>Under the Delaware General Corporation Law, a director of a corporation with a may be removed with the approval of a majority of the outstanding shares entitled to vote,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unless the certificate of incorporation provides otherwise. Under our articles of association, directors may be removed with or without cause, by an ordinary resolution of our shareholders.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301" w:lineRule="auto"/>
        <w:rPr>
          <w:sz w:val="20"/>
          <w:szCs w:val="20"/>
          <w:color w:val="auto"/>
        </w:rPr>
      </w:pPr>
      <w:r>
        <w:rPr>
          <w:rFonts w:ascii="Arial" w:cs="Arial" w:eastAsia="Arial" w:hAnsi="Arial"/>
          <w:sz w:val="12"/>
          <w:szCs w:val="12"/>
          <w:b w:val="1"/>
          <w:bCs w:val="1"/>
          <w:i w:val="1"/>
          <w:iCs w:val="1"/>
          <w:color w:val="auto"/>
        </w:rPr>
        <w:t xml:space="preserve">Transactions with Interested Shareholders. </w:t>
      </w:r>
      <w:r>
        <w:rPr>
          <w:rFonts w:ascii="Arial" w:cs="Arial" w:eastAsia="Arial" w:hAnsi="Arial"/>
          <w:sz w:val="12"/>
          <w:szCs w:val="12"/>
          <w:color w:val="auto"/>
        </w:rPr>
        <w:t>The Delaware General Corporation Law contains a business combination statute applicable to Delaware corporations whereby, unless the corporation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26" w:lineRule="exact"/>
        <w:rPr>
          <w:sz w:val="20"/>
          <w:szCs w:val="20"/>
          <w:color w:val="auto"/>
        </w:rPr>
      </w:pPr>
    </w:p>
    <w:p>
      <w:pPr>
        <w:ind w:right="180" w:firstLine="505"/>
        <w:spacing w:after="0" w:line="279" w:lineRule="auto"/>
        <w:rPr>
          <w:sz w:val="20"/>
          <w:szCs w:val="20"/>
          <w:color w:val="auto"/>
        </w:rPr>
      </w:pPr>
      <w:r>
        <w:rPr>
          <w:rFonts w:ascii="Arial" w:cs="Arial" w:eastAsia="Arial" w:hAnsi="Arial"/>
          <w:sz w:val="13"/>
          <w:szCs w:val="13"/>
          <w:b w:val="1"/>
          <w:bCs w:val="1"/>
          <w:i w:val="1"/>
          <w:iCs w:val="1"/>
          <w:color w:val="auto"/>
        </w:rPr>
        <w:t xml:space="preserve">Dissolution; Winding up. </w:t>
      </w:r>
      <w:r>
        <w:rPr>
          <w:rFonts w:ascii="Arial" w:cs="Arial" w:eastAsia="Arial" w:hAnsi="Arial"/>
          <w:sz w:val="13"/>
          <w:szCs w:val="13"/>
          <w:color w:val="auto"/>
        </w:rPr>
        <w:t>Under the Delaware General Corporation Law, unless the board of directors approves the proposal to dissolve, dissolution must be approved by shareholders holding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36"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b w:val="1"/>
          <w:bCs w:val="1"/>
          <w:i w:val="1"/>
          <w:iCs w:val="1"/>
          <w:color w:val="auto"/>
        </w:rPr>
        <w:t xml:space="preserve">Variation of Rights of Shares. </w:t>
      </w:r>
      <w:r>
        <w:rPr>
          <w:rFonts w:ascii="Arial" w:cs="Arial" w:eastAsia="Arial" w:hAnsi="Arial"/>
          <w:sz w:val="14"/>
          <w:szCs w:val="14"/>
          <w:color w:val="auto"/>
        </w:rPr>
        <w:t>Under the Delaware General Corporation Law, a corporation may vary the rights of a class of shares with the approval of a majority of the outstanding shares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47"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b w:val="1"/>
          <w:bCs w:val="1"/>
          <w:i w:val="1"/>
          <w:iCs w:val="1"/>
          <w:color w:val="auto"/>
        </w:rPr>
        <w:t xml:space="preserve">Amendment of Governing Documents. </w:t>
      </w:r>
      <w:r>
        <w:rPr>
          <w:rFonts w:ascii="Arial" w:cs="Arial" w:eastAsia="Arial" w:hAnsi="Arial"/>
          <w:sz w:val="14"/>
          <w:szCs w:val="14"/>
          <w:color w:val="auto"/>
        </w:rPr>
        <w:t>Under the Delaware General Corporation Law, a corporation’s governing documents may be amended with the approval of a majority of the outstanding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entitled to vote, unless the certificate of incorporation provides otherwise. As permitted by the Companies Law, our memorandum and articles of association may only be amended with a special resolution of our shareholders.</w:t>
      </w:r>
    </w:p>
    <w:p>
      <w:pPr>
        <w:spacing w:after="0" w:line="142"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b w:val="1"/>
          <w:bCs w:val="1"/>
          <w:i w:val="1"/>
          <w:iCs w:val="1"/>
          <w:color w:val="auto"/>
        </w:rPr>
        <w:t xml:space="preserve">Rights of Non-resident or Foreign Shareholders. </w:t>
      </w:r>
      <w:r>
        <w:rPr>
          <w:rFonts w:ascii="Arial" w:cs="Arial" w:eastAsia="Arial" w:hAnsi="Arial"/>
          <w:sz w:val="14"/>
          <w:szCs w:val="14"/>
          <w:color w:val="auto"/>
        </w:rPr>
        <w:t>There are no limitations imposed by our memorandum and articles of association on the rights of non-resident or foreign shareholders to hold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exercise voting rights on our shares. In addition, there are no provisions in our memorandum and articles of association governing the ownership threshold above which shareholder ownership must be disclosed.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ELIGIBLE FOR FUTURE SALE</w:t>
      </w:r>
    </w:p>
    <w:p>
      <w:pPr>
        <w:spacing w:after="0" w:line="18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Future sales of substantial amounts of common shares in the public market after this offering could adversely affect market prices prevailing from time to time and could impair our ability to raise capital through the sale of our equity securities. We are unable to estimate the number of shares that may be sold in the future.</w:t>
      </w:r>
    </w:p>
    <w:p>
      <w:pPr>
        <w:spacing w:after="0" w:line="133" w:lineRule="exact"/>
        <w:rPr>
          <w:sz w:val="20"/>
          <w:szCs w:val="20"/>
          <w:color w:val="auto"/>
        </w:rPr>
      </w:pPr>
    </w:p>
    <w:p>
      <w:pPr>
        <w:ind w:right="20" w:firstLine="505"/>
        <w:spacing w:after="0" w:line="264" w:lineRule="auto"/>
        <w:rPr>
          <w:sz w:val="20"/>
          <w:szCs w:val="20"/>
          <w:color w:val="auto"/>
        </w:rPr>
      </w:pPr>
      <w:r>
        <w:rPr>
          <w:rFonts w:ascii="Arial" w:cs="Arial" w:eastAsia="Arial" w:hAnsi="Arial"/>
          <w:sz w:val="14"/>
          <w:szCs w:val="14"/>
          <w:color w:val="auto"/>
        </w:rPr>
        <w:t>Upon the completion of this offering, we will have outstanding [_] common shares. The amount of shares outstanding upon completion of this offering assumes no exercise of the underwriters’ option to purchase additional shares. All of the shares sold in this offering will be freely tradable without restriction under the Securities Act unless purchased by one of our affiliates as that term is defined in Rule 144 under the Securities Act, which generally includes directors, officers or 10% stockholders.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w:t>
      </w:r>
    </w:p>
    <w:p>
      <w:pPr>
        <w:spacing w:after="0" w:line="180" w:lineRule="exact"/>
        <w:rPr>
          <w:sz w:val="20"/>
          <w:szCs w:val="20"/>
          <w:color w:val="auto"/>
        </w:rPr>
      </w:pPr>
    </w:p>
    <w:p>
      <w:pPr>
        <w:ind w:right="120" w:firstLine="505"/>
        <w:spacing w:after="0" w:line="259" w:lineRule="auto"/>
        <w:rPr>
          <w:sz w:val="20"/>
          <w:szCs w:val="20"/>
          <w:color w:val="auto"/>
        </w:rPr>
      </w:pPr>
      <w:r>
        <w:rPr>
          <w:rFonts w:ascii="Arial" w:cs="Arial" w:eastAsia="Arial" w:hAnsi="Arial"/>
          <w:sz w:val="14"/>
          <w:szCs w:val="14"/>
          <w:color w:val="auto"/>
        </w:rPr>
        <w:t>We and our executive officers and directors have agreed with the underwriters not to offer, sell, dispose of or hedge any shares of our common shares, subject to specified limited exceptions and extensions described elsewhere in this prospectus, during the period continuing through the date that is [_] months (subject to extension) after the date of this prospectus, except with the prior written consent of [_] on behalf of the underwriters. [_] in its sole discretion on behalf of the underwriters, may release any of the securities subject to these lock-up agreements at any time without notice. The lock-up period may be extended in the circumstances described under “Underwriting.”</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180" w:lineRule="exact"/>
        <w:rPr>
          <w:sz w:val="20"/>
          <w:szCs w:val="20"/>
          <w:color w:val="auto"/>
        </w:rPr>
      </w:pPr>
    </w:p>
    <w:p>
      <w:pPr>
        <w:ind w:right="100" w:firstLine="505"/>
        <w:spacing w:after="0" w:line="328" w:lineRule="auto"/>
        <w:rPr>
          <w:sz w:val="20"/>
          <w:szCs w:val="20"/>
          <w:color w:val="auto"/>
        </w:rPr>
      </w:pPr>
      <w:r>
        <w:rPr>
          <w:rFonts w:ascii="Arial" w:cs="Arial" w:eastAsia="Arial" w:hAnsi="Arial"/>
          <w:sz w:val="12"/>
          <w:szCs w:val="12"/>
          <w:color w:val="auto"/>
        </w:rPr>
        <w:t>Common shares held by any of our affiliates, as that term is defined in Rule 144 of the Securities Act, as well as shares held by our current stockholders, may be resold only pursuant to further registration under the Securities Act or in transactions that are exempt from registration under the Securities Act. In general, under Rule 144 as currently in effect, beginning 90 days after our Form F-1 Registration Statement becomes effective, any of our affiliates would be entitled to sell, without further registration, within any three-month period a number of shares that does not exceed the greater of:</w:t>
      </w:r>
    </w:p>
    <w:p>
      <w:pPr>
        <w:spacing w:after="0" w:line="108" w:lineRule="exact"/>
        <w:rPr>
          <w:sz w:val="20"/>
          <w:szCs w:val="20"/>
          <w:color w:val="auto"/>
        </w:rPr>
      </w:pPr>
    </w:p>
    <w:p>
      <w:pPr>
        <w:ind w:left="500" w:hanging="243"/>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1% of the number of common shares then outstanding, which will equal approximately shares immediately after this offering; or</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average weekly trading volume of the common shares during the four calendar weeks preceding the filing of a Form 144 with respect to the sale.</w:t>
      </w:r>
    </w:p>
    <w:p>
      <w:pPr>
        <w:spacing w:after="0" w:line="175"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Sales under Rule 144 by our affiliates will also be subject to manner of sale provisions and notice requirements and to the availability of current public information about 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TAXATION</w:t>
      </w:r>
    </w:p>
    <w:p>
      <w:pPr>
        <w:spacing w:after="0" w:line="180"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i w:val="1"/>
          <w:iCs w:val="1"/>
          <w:color w:val="auto"/>
        </w:rPr>
        <w:t>The following summary of the material Cayman Islands, PRC and U.S. federal income tax consequences of an investment in our common shares is based upon laws and relevant interpretations thereof in effect as of the date of this prospectus, all of which are subject to change. This summary does not deal with all possible tax consequences relating to an investment in our common shares, such as the tax consequences under state, local and other tax laws.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Cayman Islands Taxation</w:t>
      </w:r>
    </w:p>
    <w:p>
      <w:pPr>
        <w:spacing w:after="0" w:line="180" w:lineRule="exact"/>
        <w:rPr>
          <w:sz w:val="20"/>
          <w:szCs w:val="20"/>
          <w:color w:val="auto"/>
        </w:rPr>
      </w:pPr>
    </w:p>
    <w:p>
      <w:pPr>
        <w:ind w:right="40" w:firstLine="505"/>
        <w:spacing w:after="0" w:line="259" w:lineRule="auto"/>
        <w:rPr>
          <w:sz w:val="20"/>
          <w:szCs w:val="20"/>
          <w:color w:val="auto"/>
        </w:rPr>
      </w:pPr>
      <w:r>
        <w:rPr>
          <w:rFonts w:ascii="Arial" w:cs="Arial" w:eastAsia="Arial" w:hAnsi="Arial"/>
          <w:sz w:val="14"/>
          <w:szCs w:val="14"/>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PRC Income Tax Considerations</w:t>
      </w:r>
    </w:p>
    <w:p>
      <w:pPr>
        <w:spacing w:after="0" w:line="180"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39" w:lineRule="exact"/>
        <w:rPr>
          <w:sz w:val="20"/>
          <w:szCs w:val="20"/>
          <w:color w:val="auto"/>
        </w:rPr>
      </w:pPr>
    </w:p>
    <w:p>
      <w:pPr>
        <w:ind w:right="140" w:firstLine="505"/>
        <w:spacing w:after="0" w:line="328" w:lineRule="auto"/>
        <w:rPr>
          <w:sz w:val="20"/>
          <w:szCs w:val="20"/>
          <w:color w:val="auto"/>
        </w:rPr>
      </w:pPr>
      <w:r>
        <w:rPr>
          <w:rFonts w:ascii="Arial" w:cs="Arial" w:eastAsia="Arial" w:hAnsi="Arial"/>
          <w:sz w:val="12"/>
          <w:szCs w:val="12"/>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08" w:lineRule="exact"/>
        <w:rPr>
          <w:sz w:val="20"/>
          <w:szCs w:val="20"/>
          <w:color w:val="auto"/>
        </w:rPr>
      </w:pPr>
    </w:p>
    <w:p>
      <w:pPr>
        <w:ind w:right="40" w:firstLine="505"/>
        <w:spacing w:after="0" w:line="282" w:lineRule="auto"/>
        <w:rPr>
          <w:sz w:val="20"/>
          <w:szCs w:val="20"/>
          <w:color w:val="auto"/>
        </w:rPr>
      </w:pPr>
      <w:r>
        <w:rPr>
          <w:rFonts w:ascii="Arial" w:cs="Arial" w:eastAsia="Arial" w:hAnsi="Arial"/>
          <w:sz w:val="13"/>
          <w:szCs w:val="13"/>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32" w:lineRule="exact"/>
        <w:rPr>
          <w:sz w:val="20"/>
          <w:szCs w:val="20"/>
          <w:color w:val="auto"/>
        </w:rPr>
      </w:pPr>
    </w:p>
    <w:p>
      <w:pPr>
        <w:ind w:right="40" w:firstLine="505"/>
        <w:spacing w:after="0" w:line="255" w:lineRule="auto"/>
        <w:rPr>
          <w:sz w:val="20"/>
          <w:szCs w:val="20"/>
          <w:color w:val="auto"/>
        </w:rPr>
      </w:pPr>
      <w:r>
        <w:rPr>
          <w:rFonts w:ascii="Arial" w:cs="Arial" w:eastAsia="Arial" w:hAnsi="Arial"/>
          <w:sz w:val="14"/>
          <w:szCs w:val="14"/>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80" w:lineRule="exact"/>
        <w:rPr>
          <w:sz w:val="20"/>
          <w:szCs w:val="20"/>
          <w:color w:val="auto"/>
        </w:rPr>
      </w:pPr>
    </w:p>
    <w:p>
      <w:pPr>
        <w:ind w:right="660" w:firstLine="505"/>
        <w:spacing w:after="0" w:line="277" w:lineRule="auto"/>
        <w:rPr>
          <w:sz w:val="20"/>
          <w:szCs w:val="20"/>
          <w:color w:val="auto"/>
        </w:rPr>
      </w:pPr>
      <w:r>
        <w:rPr>
          <w:rFonts w:ascii="Arial" w:cs="Arial" w:eastAsia="Arial" w:hAnsi="Arial"/>
          <w:sz w:val="14"/>
          <w:szCs w:val="14"/>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33" w:lineRule="exact"/>
        <w:rPr>
          <w:sz w:val="20"/>
          <w:szCs w:val="20"/>
          <w:color w:val="auto"/>
        </w:rPr>
      </w:pPr>
    </w:p>
    <w:p>
      <w:pPr>
        <w:ind w:left="500" w:hanging="243"/>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 individual citizen or resident of the United States;</w:t>
      </w:r>
    </w:p>
    <w:p>
      <w:pPr>
        <w:spacing w:after="0" w:line="175" w:lineRule="exact"/>
        <w:rPr>
          <w:rFonts w:ascii="Arial" w:cs="Arial" w:eastAsia="Arial" w:hAnsi="Arial"/>
          <w:sz w:val="14"/>
          <w:szCs w:val="14"/>
          <w:color w:val="auto"/>
        </w:rPr>
      </w:pPr>
    </w:p>
    <w:p>
      <w:pPr>
        <w:ind w:left="500" w:right="140" w:hanging="243"/>
        <w:spacing w:after="0" w:line="277"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that is created or organized (or treated as created or organized) in or under the laws of the United States, any state thereof or the District of Columbia;</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 estate whose income is includible in gross income for U.S. federal income tax purposes regardless of its source; or</w:t>
      </w:r>
    </w:p>
    <w:p>
      <w:pPr>
        <w:spacing w:after="0" w:line="175" w:lineRule="exact"/>
        <w:rPr>
          <w:rFonts w:ascii="Arial" w:cs="Arial" w:eastAsia="Arial" w:hAnsi="Arial"/>
          <w:sz w:val="14"/>
          <w:szCs w:val="14"/>
          <w:color w:val="auto"/>
        </w:rPr>
      </w:pPr>
    </w:p>
    <w:p>
      <w:pPr>
        <w:ind w:left="500" w:right="60" w:hanging="243"/>
        <w:spacing w:after="0" w:line="277"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00" w:firstLine="505"/>
        <w:spacing w:after="0" w:line="264" w:lineRule="auto"/>
        <w:rPr>
          <w:sz w:val="20"/>
          <w:szCs w:val="20"/>
          <w:color w:val="auto"/>
        </w:rPr>
      </w:pPr>
      <w:r>
        <w:rPr>
          <w:rFonts w:ascii="Arial" w:cs="Arial" w:eastAsia="Arial" w:hAnsi="Arial"/>
          <w:sz w:val="14"/>
          <w:szCs w:val="14"/>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 The U.S. federal income tax consequences applicable to Non-U.S. Holders is described below under the heading “Tax Consequences to Non-U.S. Holders of Common Shares.”</w:t>
      </w:r>
    </w:p>
    <w:p>
      <w:pPr>
        <w:spacing w:after="0" w:line="142"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33" w:lineRule="exact"/>
        <w:rPr>
          <w:sz w:val="20"/>
          <w:szCs w:val="20"/>
          <w:color w:val="auto"/>
        </w:rPr>
      </w:pPr>
    </w:p>
    <w:p>
      <w:pPr>
        <w:jc w:val="both"/>
        <w:ind w:right="20" w:firstLine="505"/>
        <w:spacing w:after="0" w:line="264" w:lineRule="auto"/>
        <w:rPr>
          <w:sz w:val="20"/>
          <w:szCs w:val="20"/>
          <w:color w:val="auto"/>
        </w:rPr>
      </w:pPr>
      <w:r>
        <w:rPr>
          <w:rFonts w:ascii="Arial" w:cs="Arial" w:eastAsia="Arial" w:hAnsi="Arial"/>
          <w:sz w:val="14"/>
          <w:szCs w:val="14"/>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42" w:lineRule="exact"/>
        <w:rPr>
          <w:sz w:val="20"/>
          <w:szCs w:val="20"/>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financial institutions or financial services entities;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broker-dealers;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taxpayers who have elected mark-to-market accounting;</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tax-exempt entities;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governments or agencies or instrumentalities thereof;</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insurance companies;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regulated investment companies;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real estate investment trusts;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certain expatriates or former long-term residents of the United States;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persons that actually or constructively own 5% or more of our voting shares;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persons that acquired our shares pursuant to the exercise of employee stock options, in connection with employee stock incentive plans or otherwise as compensation;</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persons that hold our shares as part of a straddle, constructive sale, hedging, conversion or other integrated transaction; or</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persons whose functional currency is not the U.S. dollar.</w:t>
      </w:r>
    </w:p>
    <w:p>
      <w:pPr>
        <w:spacing w:after="0" w:line="176" w:lineRule="exact"/>
        <w:rPr>
          <w:sz w:val="20"/>
          <w:szCs w:val="20"/>
          <w:color w:val="auto"/>
        </w:rPr>
      </w:pPr>
    </w:p>
    <w:p>
      <w:pPr>
        <w:ind w:firstLine="505"/>
        <w:spacing w:after="0" w:line="257" w:lineRule="auto"/>
        <w:rPr>
          <w:sz w:val="20"/>
          <w:szCs w:val="20"/>
          <w:color w:val="auto"/>
        </w:rPr>
      </w:pPr>
      <w:r>
        <w:rPr>
          <w:rFonts w:ascii="Arial" w:cs="Arial" w:eastAsia="Arial" w:hAnsi="Arial"/>
          <w:sz w:val="14"/>
          <w:szCs w:val="14"/>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40" w:firstLine="505"/>
        <w:spacing w:after="0" w:line="264" w:lineRule="auto"/>
        <w:rPr>
          <w:sz w:val="20"/>
          <w:szCs w:val="20"/>
          <w:color w:val="auto"/>
        </w:rPr>
      </w:pPr>
      <w:r>
        <w:rPr>
          <w:rFonts w:ascii="Arial" w:cs="Arial" w:eastAsia="Arial" w:hAnsi="Arial"/>
          <w:sz w:val="14"/>
          <w:szCs w:val="14"/>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42" w:lineRule="exact"/>
        <w:rPr>
          <w:sz w:val="20"/>
          <w:szCs w:val="20"/>
          <w:color w:val="auto"/>
        </w:rPr>
      </w:pPr>
    </w:p>
    <w:p>
      <w:pPr>
        <w:ind w:right="80" w:firstLine="505"/>
        <w:spacing w:after="0" w:line="259" w:lineRule="auto"/>
        <w:rPr>
          <w:sz w:val="20"/>
          <w:szCs w:val="20"/>
          <w:color w:val="auto"/>
        </w:rPr>
      </w:pPr>
      <w:r>
        <w:rPr>
          <w:rFonts w:ascii="Arial" w:cs="Arial" w:eastAsia="Arial" w:hAnsi="Arial"/>
          <w:sz w:val="14"/>
          <w:szCs w:val="14"/>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Consequences to U.S. Holders of Common Shares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Taxation of Distributions Paid on Common Shares</w:t>
      </w:r>
    </w:p>
    <w:p>
      <w:pPr>
        <w:spacing w:after="0" w:line="176" w:lineRule="exact"/>
        <w:rPr>
          <w:sz w:val="20"/>
          <w:szCs w:val="20"/>
          <w:color w:val="auto"/>
        </w:rPr>
      </w:pPr>
    </w:p>
    <w:p>
      <w:pPr>
        <w:ind w:right="100" w:firstLine="505"/>
        <w:spacing w:after="0" w:line="286" w:lineRule="auto"/>
        <w:rPr>
          <w:sz w:val="20"/>
          <w:szCs w:val="20"/>
          <w:color w:val="auto"/>
        </w:rPr>
      </w:pPr>
      <w:r>
        <w:rPr>
          <w:rFonts w:ascii="Arial" w:cs="Arial" w:eastAsia="Arial" w:hAnsi="Arial"/>
          <w:sz w:val="13"/>
          <w:szCs w:val="13"/>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29" w:lineRule="exact"/>
        <w:rPr>
          <w:sz w:val="20"/>
          <w:szCs w:val="20"/>
          <w:color w:val="auto"/>
        </w:rPr>
      </w:pPr>
    </w:p>
    <w:p>
      <w:pPr>
        <w:ind w:right="40" w:firstLine="505"/>
        <w:spacing w:after="0" w:line="277" w:lineRule="auto"/>
        <w:rPr>
          <w:sz w:val="20"/>
          <w:szCs w:val="20"/>
          <w:color w:val="auto"/>
        </w:rPr>
      </w:pPr>
      <w:r>
        <w:rPr>
          <w:rFonts w:ascii="Arial" w:cs="Arial" w:eastAsia="Arial" w:hAnsi="Arial"/>
          <w:sz w:val="13"/>
          <w:szCs w:val="13"/>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(see “— Taxation on the Disposition of Common Shares” below)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135"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Taxation on the Disposition of Common Shares</w:t>
      </w:r>
    </w:p>
    <w:p>
      <w:pPr>
        <w:spacing w:after="0" w:line="176" w:lineRule="exact"/>
        <w:rPr>
          <w:sz w:val="20"/>
          <w:szCs w:val="20"/>
          <w:color w:val="auto"/>
        </w:rPr>
      </w:pPr>
    </w:p>
    <w:p>
      <w:pPr>
        <w:ind w:firstLine="505"/>
        <w:spacing w:after="0" w:line="254" w:lineRule="auto"/>
        <w:rPr>
          <w:sz w:val="20"/>
          <w:szCs w:val="20"/>
          <w:color w:val="auto"/>
        </w:rPr>
      </w:pPr>
      <w:r>
        <w:rPr>
          <w:rFonts w:ascii="Arial" w:cs="Arial" w:eastAsia="Arial" w:hAnsi="Arial"/>
          <w:sz w:val="14"/>
          <w:szCs w:val="14"/>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Passive Foreign Investment Company Rules</w:t>
      </w:r>
    </w:p>
    <w:p>
      <w:pPr>
        <w:spacing w:after="0" w:line="180" w:lineRule="exact"/>
        <w:rPr>
          <w:sz w:val="20"/>
          <w:szCs w:val="20"/>
          <w:color w:val="auto"/>
        </w:rPr>
      </w:pPr>
    </w:p>
    <w:p>
      <w:pPr>
        <w:ind w:right="20" w:firstLine="505"/>
        <w:spacing w:after="0" w:line="303" w:lineRule="auto"/>
        <w:rPr>
          <w:sz w:val="20"/>
          <w:szCs w:val="20"/>
          <w:color w:val="auto"/>
        </w:rPr>
      </w:pPr>
      <w:r>
        <w:rPr>
          <w:rFonts w:ascii="Arial" w:cs="Arial" w:eastAsia="Arial" w:hAnsi="Arial"/>
          <w:sz w:val="12"/>
          <w:szCs w:val="12"/>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22" w:lineRule="exact"/>
        <w:rPr>
          <w:sz w:val="20"/>
          <w:szCs w:val="20"/>
          <w:color w:val="auto"/>
        </w:rPr>
      </w:pPr>
    </w:p>
    <w:p>
      <w:pPr>
        <w:ind w:left="500" w:hanging="243"/>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gain recognized by the U.S. Holder on the sale or other disposition of its common shares; and</w:t>
      </w:r>
    </w:p>
    <w:p>
      <w:pPr>
        <w:spacing w:after="0" w:line="175" w:lineRule="exact"/>
        <w:rPr>
          <w:rFonts w:ascii="Arial" w:cs="Arial" w:eastAsia="Arial" w:hAnsi="Arial"/>
          <w:sz w:val="14"/>
          <w:szCs w:val="14"/>
          <w:color w:val="auto"/>
        </w:rPr>
      </w:pPr>
    </w:p>
    <w:p>
      <w:pPr>
        <w:ind w:left="500" w:right="120" w:hanging="243"/>
        <w:spacing w:after="0" w:line="264"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42"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Under these rules,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U.S. Holder’s gain or excess distribution will be allocated ratably over the U.S. Holder’s holding period for the common shares;</w:t>
      </w:r>
    </w:p>
    <w:p>
      <w:pPr>
        <w:spacing w:after="0" w:line="175" w:lineRule="exact"/>
        <w:rPr>
          <w:rFonts w:ascii="Arial" w:cs="Arial" w:eastAsia="Arial" w:hAnsi="Arial"/>
          <w:sz w:val="14"/>
          <w:szCs w:val="14"/>
          <w:color w:val="auto"/>
        </w:rPr>
      </w:pPr>
    </w:p>
    <w:p>
      <w:pPr>
        <w:ind w:left="500" w:hanging="243"/>
        <w:spacing w:after="0" w:line="277"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33" w:lineRule="exact"/>
        <w:rPr>
          <w:rFonts w:ascii="Arial" w:cs="Arial" w:eastAsia="Arial" w:hAnsi="Arial"/>
          <w:sz w:val="14"/>
          <w:szCs w:val="14"/>
          <w:color w:val="auto"/>
        </w:rPr>
      </w:pPr>
    </w:p>
    <w:p>
      <w:pPr>
        <w:ind w:left="500" w:right="140" w:hanging="243"/>
        <w:spacing w:after="0" w:line="277"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 allocated to other taxable years (or portions thereof) of the U.S. Holder and included in its holding period will be taxed at the highest tax rate in effect for that year and applicable to the U.S. Holder;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interest charge generally applicable to underpayments of tax will be imposed in respect of the tax attributable to each such year of the U.S. Holder.</w:t>
      </w:r>
    </w:p>
    <w:p>
      <w:pPr>
        <w:spacing w:after="0" w:line="176" w:lineRule="exact"/>
        <w:rPr>
          <w:sz w:val="20"/>
          <w:szCs w:val="20"/>
          <w:color w:val="auto"/>
        </w:rPr>
      </w:pPr>
    </w:p>
    <w:p>
      <w:pPr>
        <w:ind w:right="40" w:firstLine="505"/>
        <w:spacing w:after="0" w:line="282" w:lineRule="auto"/>
        <w:rPr>
          <w:sz w:val="20"/>
          <w:szCs w:val="20"/>
          <w:color w:val="auto"/>
        </w:rPr>
      </w:pPr>
      <w:r>
        <w:rPr>
          <w:rFonts w:ascii="Arial" w:cs="Arial" w:eastAsia="Arial" w:hAnsi="Arial"/>
          <w:sz w:val="13"/>
          <w:szCs w:val="13"/>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79" w:lineRule="auto"/>
        <w:rPr>
          <w:sz w:val="20"/>
          <w:szCs w:val="20"/>
          <w:color w:val="auto"/>
        </w:rPr>
      </w:pPr>
      <w:r>
        <w:rPr>
          <w:rFonts w:ascii="Arial" w:cs="Arial" w:eastAsia="Arial" w:hAnsi="Arial"/>
          <w:sz w:val="13"/>
          <w:szCs w:val="13"/>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36" w:lineRule="exact"/>
        <w:rPr>
          <w:sz w:val="20"/>
          <w:szCs w:val="20"/>
          <w:color w:val="auto"/>
        </w:rPr>
      </w:pPr>
    </w:p>
    <w:p>
      <w:pPr>
        <w:ind w:firstLine="505"/>
        <w:spacing w:after="0" w:line="279" w:lineRule="auto"/>
        <w:rPr>
          <w:sz w:val="20"/>
          <w:szCs w:val="20"/>
          <w:color w:val="auto"/>
        </w:rPr>
      </w:pPr>
      <w:r>
        <w:rPr>
          <w:rFonts w:ascii="Arial" w:cs="Arial" w:eastAsia="Arial" w:hAnsi="Arial"/>
          <w:sz w:val="13"/>
          <w:szCs w:val="13"/>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36" w:lineRule="exact"/>
        <w:rPr>
          <w:sz w:val="20"/>
          <w:szCs w:val="20"/>
          <w:color w:val="auto"/>
        </w:rPr>
      </w:pPr>
    </w:p>
    <w:p>
      <w:pPr>
        <w:ind w:firstLine="505"/>
        <w:spacing w:after="0" w:line="255" w:lineRule="auto"/>
        <w:rPr>
          <w:sz w:val="20"/>
          <w:szCs w:val="20"/>
          <w:color w:val="auto"/>
        </w:rPr>
      </w:pPr>
      <w:r>
        <w:rPr>
          <w:rFonts w:ascii="Arial" w:cs="Arial" w:eastAsia="Arial" w:hAnsi="Arial"/>
          <w:sz w:val="14"/>
          <w:szCs w:val="14"/>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150" w:lineRule="exact"/>
        <w:rPr>
          <w:sz w:val="20"/>
          <w:szCs w:val="20"/>
          <w:color w:val="auto"/>
        </w:rPr>
      </w:pPr>
    </w:p>
    <w:p>
      <w:pPr>
        <w:ind w:right="20" w:firstLine="505"/>
        <w:spacing w:after="0" w:line="278" w:lineRule="auto"/>
        <w:rPr>
          <w:sz w:val="20"/>
          <w:szCs w:val="20"/>
          <w:color w:val="auto"/>
        </w:rPr>
      </w:pPr>
      <w:r>
        <w:rPr>
          <w:rFonts w:ascii="Arial" w:cs="Arial" w:eastAsia="Arial" w:hAnsi="Arial"/>
          <w:sz w:val="13"/>
          <w:szCs w:val="13"/>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35" w:lineRule="exact"/>
        <w:rPr>
          <w:sz w:val="20"/>
          <w:szCs w:val="20"/>
          <w:color w:val="auto"/>
        </w:rPr>
      </w:pPr>
    </w:p>
    <w:p>
      <w:pPr>
        <w:ind w:right="160" w:firstLine="505"/>
        <w:spacing w:after="0" w:line="264" w:lineRule="auto"/>
        <w:rPr>
          <w:sz w:val="20"/>
          <w:szCs w:val="20"/>
          <w:color w:val="auto"/>
        </w:rPr>
      </w:pPr>
      <w:r>
        <w:rPr>
          <w:rFonts w:ascii="Arial" w:cs="Arial" w:eastAsia="Arial" w:hAnsi="Arial"/>
          <w:sz w:val="14"/>
          <w:szCs w:val="14"/>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20" w:firstLine="505"/>
        <w:spacing w:after="0" w:line="277" w:lineRule="auto"/>
        <w:rPr>
          <w:sz w:val="20"/>
          <w:szCs w:val="20"/>
          <w:color w:val="auto"/>
        </w:rPr>
      </w:pPr>
      <w:r>
        <w:rPr>
          <w:rFonts w:ascii="Arial" w:cs="Arial" w:eastAsia="Arial" w:hAnsi="Arial"/>
          <w:sz w:val="13"/>
          <w:szCs w:val="13"/>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Consequences to Non-U.S. Holders of Common Shares</w:t>
      </w:r>
    </w:p>
    <w:p>
      <w:pPr>
        <w:spacing w:after="0" w:line="180" w:lineRule="exact"/>
        <w:rPr>
          <w:sz w:val="20"/>
          <w:szCs w:val="20"/>
          <w:color w:val="auto"/>
        </w:rPr>
      </w:pPr>
    </w:p>
    <w:p>
      <w:pPr>
        <w:ind w:right="100" w:firstLine="505"/>
        <w:spacing w:after="0" w:line="264" w:lineRule="auto"/>
        <w:rPr>
          <w:sz w:val="20"/>
          <w:szCs w:val="20"/>
          <w:color w:val="auto"/>
        </w:rPr>
      </w:pPr>
      <w:r>
        <w:rPr>
          <w:rFonts w:ascii="Arial" w:cs="Arial" w:eastAsia="Arial" w:hAnsi="Arial"/>
          <w:sz w:val="14"/>
          <w:szCs w:val="14"/>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42" w:lineRule="exact"/>
        <w:rPr>
          <w:sz w:val="20"/>
          <w:szCs w:val="20"/>
          <w:color w:val="auto"/>
        </w:rPr>
      </w:pPr>
    </w:p>
    <w:p>
      <w:pPr>
        <w:ind w:right="40" w:firstLine="505"/>
        <w:spacing w:after="0" w:line="286" w:lineRule="auto"/>
        <w:rPr>
          <w:sz w:val="20"/>
          <w:szCs w:val="20"/>
          <w:color w:val="auto"/>
        </w:rPr>
      </w:pPr>
      <w:r>
        <w:rPr>
          <w:rFonts w:ascii="Arial" w:cs="Arial" w:eastAsia="Arial" w:hAnsi="Arial"/>
          <w:sz w:val="13"/>
          <w:szCs w:val="13"/>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29" w:lineRule="exact"/>
        <w:rPr>
          <w:sz w:val="20"/>
          <w:szCs w:val="20"/>
          <w:color w:val="auto"/>
        </w:rPr>
      </w:pPr>
    </w:p>
    <w:p>
      <w:pPr>
        <w:jc w:val="both"/>
        <w:ind w:right="520" w:firstLine="505"/>
        <w:spacing w:after="0" w:line="293" w:lineRule="auto"/>
        <w:rPr>
          <w:sz w:val="20"/>
          <w:szCs w:val="20"/>
          <w:color w:val="auto"/>
        </w:rPr>
      </w:pPr>
      <w:r>
        <w:rPr>
          <w:rFonts w:ascii="Arial" w:cs="Arial" w:eastAsia="Arial" w:hAnsi="Arial"/>
          <w:sz w:val="13"/>
          <w:szCs w:val="13"/>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Backup Withholding and Information Reporting</w:t>
      </w:r>
    </w:p>
    <w:p>
      <w:pPr>
        <w:spacing w:after="0" w:line="180" w:lineRule="exact"/>
        <w:rPr>
          <w:sz w:val="20"/>
          <w:szCs w:val="20"/>
          <w:color w:val="auto"/>
        </w:rPr>
      </w:pPr>
    </w:p>
    <w:p>
      <w:pPr>
        <w:ind w:firstLine="505"/>
        <w:spacing w:after="0" w:line="255" w:lineRule="auto"/>
        <w:rPr>
          <w:sz w:val="20"/>
          <w:szCs w:val="20"/>
          <w:color w:val="auto"/>
        </w:rPr>
      </w:pPr>
      <w:r>
        <w:rPr>
          <w:rFonts w:ascii="Arial" w:cs="Arial" w:eastAsia="Arial" w:hAnsi="Arial"/>
          <w:sz w:val="14"/>
          <w:szCs w:val="14"/>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150"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firstLine="505"/>
        <w:spacing w:after="0" w:line="279" w:lineRule="auto"/>
        <w:rPr>
          <w:sz w:val="20"/>
          <w:szCs w:val="20"/>
          <w:color w:val="auto"/>
        </w:rPr>
      </w:pPr>
      <w:r>
        <w:rPr>
          <w:rFonts w:ascii="Arial" w:cs="Arial" w:eastAsia="Arial" w:hAnsi="Arial"/>
          <w:sz w:val="13"/>
          <w:szCs w:val="13"/>
          <w:color w:val="auto"/>
        </w:rPr>
        <w:t>Individual U.S. Holders may be required to report ownership of our common shares and certain related information on their individual federal income tax returns in certain circumstances. Generally, this reporting requirement will apply if (1) the common shares are held in an account of the individual U.S. Holder maintained with a “foreign financial institution” or (2) the common shares are not held in an account maintained with a “financial institution,” as such terms are defined in the Code. The reporting obligation will not apply to an individual, however, unless the total aggregate value of the individual’s foreign financial assets exceeds US$50,000 during a taxable year. For avoidance of doubt, this reporting requirement should not apply to common shares held in an account with a U.S. brokerage firm. Failure to comply with this reporting requirement, if it applies, will result in substantial penalties. In certain circumstances, additional tax and other reporting requirements may apply, and U.S. Holders of our common shares are advised to consult with their own tax advisors concerning all such reporting requirements.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ENFORCEABILITY OF CIVIL LIABILITIES</w:t>
      </w:r>
    </w:p>
    <w:p>
      <w:pPr>
        <w:spacing w:after="0" w:line="18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33" w:lineRule="exact"/>
        <w:rPr>
          <w:sz w:val="20"/>
          <w:szCs w:val="20"/>
          <w:color w:val="auto"/>
        </w:rPr>
      </w:pPr>
    </w:p>
    <w:p>
      <w:pPr>
        <w:ind w:right="40" w:firstLine="505"/>
        <w:spacing w:after="0" w:line="264" w:lineRule="auto"/>
        <w:rPr>
          <w:sz w:val="20"/>
          <w:szCs w:val="20"/>
          <w:color w:val="auto"/>
        </w:rPr>
      </w:pPr>
      <w:r>
        <w:rPr>
          <w:rFonts w:ascii="Arial" w:cs="Arial" w:eastAsia="Arial" w:hAnsi="Arial"/>
          <w:sz w:val="14"/>
          <w:szCs w:val="14"/>
          <w:color w:val="auto"/>
        </w:rPr>
        <w:t>However, certain disadvantages accompany incorporation in the Cayman Islands. These disadvantages include, but are not limited to, the following: (1) 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w:t>
      </w:r>
    </w:p>
    <w:p>
      <w:pPr>
        <w:spacing w:after="0" w:line="142" w:lineRule="exact"/>
        <w:rPr>
          <w:sz w:val="20"/>
          <w:szCs w:val="20"/>
          <w:color w:val="auto"/>
        </w:rPr>
      </w:pPr>
    </w:p>
    <w:p>
      <w:pPr>
        <w:ind w:right="420" w:firstLine="505"/>
        <w:spacing w:after="0" w:line="277" w:lineRule="auto"/>
        <w:rPr>
          <w:sz w:val="20"/>
          <w:szCs w:val="20"/>
          <w:color w:val="auto"/>
        </w:rPr>
      </w:pPr>
      <w:r>
        <w:rPr>
          <w:rFonts w:ascii="Arial" w:cs="Arial" w:eastAsia="Arial" w:hAnsi="Arial"/>
          <w:sz w:val="14"/>
          <w:szCs w:val="14"/>
          <w:color w:val="auto"/>
        </w:rPr>
        <w:t>Our constitutional documents do not contain provisions requiring that disputes, including those arising under the securities laws of the United States, between us, our officers, directors and shareholders, be arbitrated.</w:t>
      </w:r>
    </w:p>
    <w:p>
      <w:pPr>
        <w:spacing w:after="0" w:line="133" w:lineRule="exact"/>
        <w:rPr>
          <w:sz w:val="20"/>
          <w:szCs w:val="20"/>
          <w:color w:val="auto"/>
        </w:rPr>
      </w:pPr>
    </w:p>
    <w:p>
      <w:pPr>
        <w:ind w:right="60" w:firstLine="505"/>
        <w:spacing w:after="0" w:line="259" w:lineRule="auto"/>
        <w:rPr>
          <w:sz w:val="20"/>
          <w:szCs w:val="20"/>
          <w:color w:val="auto"/>
        </w:rPr>
      </w:pPr>
      <w:r>
        <w:rPr>
          <w:rFonts w:ascii="Arial" w:cs="Arial" w:eastAsia="Arial" w:hAnsi="Arial"/>
          <w:sz w:val="14"/>
          <w:szCs w:val="14"/>
          <w:color w:val="auto"/>
        </w:rPr>
        <w:t>All of our operations are conducted outside the United States, and all of our assets are located outside the United States. All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47" w:lineRule="exact"/>
        <w:rPr>
          <w:sz w:val="20"/>
          <w:szCs w:val="20"/>
          <w:color w:val="auto"/>
        </w:rPr>
      </w:pPr>
    </w:p>
    <w:p>
      <w:pPr>
        <w:ind w:right="160" w:firstLine="505"/>
        <w:spacing w:after="0" w:line="277" w:lineRule="auto"/>
        <w:rPr>
          <w:sz w:val="20"/>
          <w:szCs w:val="20"/>
          <w:color w:val="auto"/>
        </w:rPr>
      </w:pPr>
      <w:r>
        <w:rPr>
          <w:rFonts w:ascii="Arial" w:cs="Arial" w:eastAsia="Arial" w:hAnsi="Arial"/>
          <w:sz w:val="14"/>
          <w:szCs w:val="14"/>
          <w:color w:val="auto"/>
        </w:rPr>
        <w:t>We have appointed Vcorp Services, LLC, located at 25 Robert Pitt Drive, Suite 204, Monsey, NY 10952, as our agent upon whom process may be served in any action brought against us under the securities laws of the United States.</w:t>
      </w:r>
    </w:p>
    <w:p>
      <w:pPr>
        <w:spacing w:after="0" w:line="133" w:lineRule="exact"/>
        <w:rPr>
          <w:sz w:val="20"/>
          <w:szCs w:val="20"/>
          <w:color w:val="auto"/>
        </w:rPr>
      </w:pPr>
    </w:p>
    <w:p>
      <w:pPr>
        <w:ind w:right="220" w:firstLine="505"/>
        <w:spacing w:after="0" w:line="277" w:lineRule="auto"/>
        <w:rPr>
          <w:sz w:val="20"/>
          <w:szCs w:val="20"/>
          <w:color w:val="auto"/>
        </w:rPr>
      </w:pPr>
      <w:r>
        <w:rPr>
          <w:rFonts w:ascii="Arial" w:cs="Arial" w:eastAsia="Arial" w:hAnsi="Arial"/>
          <w:sz w:val="14"/>
          <w:szCs w:val="14"/>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33" w:lineRule="exact"/>
        <w:rPr>
          <w:sz w:val="20"/>
          <w:szCs w:val="20"/>
          <w:color w:val="auto"/>
        </w:rPr>
      </w:pPr>
    </w:p>
    <w:p>
      <w:pPr>
        <w:ind w:left="500" w:right="220" w:hanging="243"/>
        <w:spacing w:after="0" w:line="277" w:lineRule="auto"/>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entertain original actions brought in each respective jurisdiction against us or our directors or officers predicated upon the securities laws of the United States or any state in the United States.</w:t>
      </w:r>
    </w:p>
    <w:p>
      <w:pPr>
        <w:spacing w:after="0" w:line="187" w:lineRule="exact"/>
        <w:rPr>
          <w:sz w:val="20"/>
          <w:szCs w:val="20"/>
          <w:color w:val="auto"/>
        </w:rPr>
      </w:pPr>
    </w:p>
    <w:p>
      <w:pPr>
        <w:ind w:firstLine="505"/>
        <w:spacing w:after="0" w:line="276" w:lineRule="auto"/>
        <w:rPr>
          <w:sz w:val="20"/>
          <w:szCs w:val="20"/>
          <w:color w:val="auto"/>
        </w:rPr>
      </w:pPr>
      <w:r>
        <w:rPr>
          <w:rFonts w:ascii="Arial" w:cs="Arial" w:eastAsia="Arial" w:hAnsi="Arial"/>
          <w:sz w:val="13"/>
          <w:szCs w:val="13"/>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right="100" w:firstLine="505"/>
        <w:spacing w:after="0" w:line="256" w:lineRule="auto"/>
        <w:rPr>
          <w:sz w:val="20"/>
          <w:szCs w:val="20"/>
          <w:color w:val="auto"/>
        </w:rPr>
      </w:pPr>
      <w:r>
        <w:rPr>
          <w:rFonts w:ascii="Arial" w:cs="Arial" w:eastAsia="Arial" w:hAnsi="Arial"/>
          <w:sz w:val="14"/>
          <w:szCs w:val="14"/>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UNDERWRITING</w:t>
      </w:r>
    </w:p>
    <w:p>
      <w:pPr>
        <w:spacing w:after="0" w:line="180" w:lineRule="exact"/>
        <w:rPr>
          <w:sz w:val="20"/>
          <w:szCs w:val="20"/>
          <w:color w:val="auto"/>
        </w:rPr>
      </w:pPr>
    </w:p>
    <w:p>
      <w:pPr>
        <w:ind w:right="240" w:firstLine="505"/>
        <w:spacing w:after="0" w:line="264" w:lineRule="auto"/>
        <w:rPr>
          <w:sz w:val="20"/>
          <w:szCs w:val="20"/>
          <w:color w:val="auto"/>
        </w:rPr>
      </w:pPr>
      <w:r>
        <w:rPr>
          <w:rFonts w:ascii="Arial" w:cs="Arial" w:eastAsia="Arial" w:hAnsi="Arial"/>
          <w:sz w:val="14"/>
          <w:szCs w:val="14"/>
          <w:color w:val="auto"/>
        </w:rPr>
        <w:t>In connection with this offering, we will enter into an underwriting agreement with The Benchmark Company, LLC and Cuttone &amp; Co., LLC as representatives for the underwriters in this offering. Each underwriter named below has severally agreed to purchase from us, on a firm commitment basis, the number of shares of common shares set forth opposite its name below, at the public offering price, less the underwriting discount set forth on the cover page of this prospectus.</w:t>
      </w:r>
    </w:p>
    <w:p>
      <w:pPr>
        <w:sectPr>
          <w:pgSz w:w="11900" w:h="16838" w:orient="portrait"/>
          <w:cols w:equalWidth="0" w:num="1">
            <w:col w:w="11440"/>
          </w:cols>
          <w:pgMar w:left="220" w:top="213" w:right="239" w:bottom="1440"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Underwriter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Number of common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-6499225</wp:posOffset>
            </wp:positionH>
            <wp:positionV relativeFrom="paragraph">
              <wp:posOffset>4445</wp:posOffset>
            </wp:positionV>
            <wp:extent cx="7277100" cy="133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7100" cy="13335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9520" w:space="720"/>
            <w:col w:w="1200"/>
          </w:cols>
          <w:pgMar w:left="220" w:top="213" w:right="239" w:bottom="1440" w:gutter="0" w:footer="0" w:header="0"/>
          <w:type w:val="continuous"/>
        </w:sectPr>
      </w:pPr>
    </w:p>
    <w:p>
      <w:pPr>
        <w:spacing w:after="0"/>
        <w:rPr>
          <w:sz w:val="20"/>
          <w:szCs w:val="20"/>
          <w:color w:val="auto"/>
        </w:rPr>
      </w:pPr>
      <w:r>
        <w:rPr>
          <w:rFonts w:ascii="Arial" w:cs="Arial" w:eastAsia="Arial" w:hAnsi="Arial"/>
          <w:sz w:val="14"/>
          <w:szCs w:val="14"/>
          <w:color w:val="auto"/>
        </w:rPr>
        <w:t>The Benchmark Company, LLC</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Cuttone &amp; Co., LLC</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27710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7100" cy="120015"/>
                    </a:xfrm>
                    <a:prstGeom prst="rect">
                      <a:avLst/>
                    </a:prstGeom>
                    <a:noFill/>
                  </pic:spPr>
                </pic:pic>
              </a:graphicData>
            </a:graphic>
          </wp:anchor>
        </w:drawing>
      </w:r>
    </w:p>
    <w:p>
      <w:pPr>
        <w:spacing w:after="0" w:line="177"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The underwriting agreement will provide that the underwriters are obligated to purchase all of the common shares offered by this prospectus, other than those covered by the over-allotment option, if any common shares are purchased. The underwriters are offering the common shares when, as and if issued to and accepted by them, subject to a number of conditions. These conditions include, among other things, the requirements that no stop order suspending the effectiveness of the registration statement be in effect and that no proceedings for this purpose have been initiated or threatened by the SEC.</w:t>
      </w:r>
    </w:p>
    <w:p>
      <w:pPr>
        <w:spacing w:after="0" w:line="147" w:lineRule="exact"/>
        <w:rPr>
          <w:sz w:val="20"/>
          <w:szCs w:val="20"/>
          <w:color w:val="auto"/>
        </w:rPr>
      </w:pPr>
    </w:p>
    <w:p>
      <w:pPr>
        <w:jc w:val="both"/>
        <w:ind w:right="100" w:firstLine="505"/>
        <w:spacing w:after="0" w:line="259" w:lineRule="auto"/>
        <w:rPr>
          <w:sz w:val="20"/>
          <w:szCs w:val="20"/>
          <w:color w:val="auto"/>
        </w:rPr>
      </w:pPr>
      <w:r>
        <w:rPr>
          <w:rFonts w:ascii="Arial" w:cs="Arial" w:eastAsia="Arial" w:hAnsi="Arial"/>
          <w:sz w:val="14"/>
          <w:szCs w:val="14"/>
          <w:color w:val="auto"/>
        </w:rPr>
        <w:t>The representatives of the underwriters have advised us that the underwriters propose to offer our common shares to the public at the offering price set forth on the cover page of this prospectus and to selected dealers at that price less a concession of not more than $[●] per share. The underwriters and selected dealers may re-allow a concession to other dealers, including the underwriters, of not more than $[●] per share. After completion of the public offering of the common shares, the offering price, the concessions to selected dealers and the reallowance to their dealers may be changed by the underwriters.</w:t>
      </w:r>
    </w:p>
    <w:p>
      <w:pPr>
        <w:spacing w:after="0" w:line="147" w:lineRule="exact"/>
        <w:rPr>
          <w:sz w:val="20"/>
          <w:szCs w:val="20"/>
          <w:color w:val="auto"/>
        </w:rPr>
      </w:pPr>
    </w:p>
    <w:p>
      <w:pPr>
        <w:ind w:right="420" w:firstLine="505"/>
        <w:spacing w:after="0" w:line="277" w:lineRule="auto"/>
        <w:rPr>
          <w:sz w:val="20"/>
          <w:szCs w:val="20"/>
          <w:color w:val="auto"/>
        </w:rPr>
      </w:pPr>
      <w:r>
        <w:rPr>
          <w:rFonts w:ascii="Arial" w:cs="Arial" w:eastAsia="Arial" w:hAnsi="Arial"/>
          <w:sz w:val="14"/>
          <w:szCs w:val="14"/>
          <w:color w:val="auto"/>
        </w:rPr>
        <w:t>We have been advised by the representatives of the underwriters that the underwriters intend to make a market in our securities but that they are not obligated to do so and may discontinue making a market at any time without notice.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connection with the offering, the underwriters or certain of the securities dealers may distribute prospectuses electronically.</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Over-allotment Option</w:t>
      </w:r>
    </w:p>
    <w:p>
      <w:pPr>
        <w:spacing w:after="0" w:line="180" w:lineRule="exact"/>
        <w:rPr>
          <w:sz w:val="20"/>
          <w:szCs w:val="20"/>
          <w:color w:val="auto"/>
        </w:rPr>
      </w:pPr>
    </w:p>
    <w:p>
      <w:pPr>
        <w:ind w:right="100" w:firstLine="505"/>
        <w:spacing w:after="0" w:line="259" w:lineRule="auto"/>
        <w:rPr>
          <w:sz w:val="20"/>
          <w:szCs w:val="20"/>
          <w:color w:val="auto"/>
        </w:rPr>
      </w:pPr>
      <w:r>
        <w:rPr>
          <w:rFonts w:ascii="Arial" w:cs="Arial" w:eastAsia="Arial" w:hAnsi="Arial"/>
          <w:sz w:val="14"/>
          <w:szCs w:val="14"/>
          <w:color w:val="auto"/>
        </w:rPr>
        <w:t>We have granted a 45-day option to the underwriters, exercisable one or more times in whole or in part, to purchase up to an additional [ ] common shares on the same terms as the other shares being purchased by the underwriters from us, underwriting discounts and commissions to cover over-allotments, if any. The underwriters may exercise this option only to cover over-allotments made in connection with this offering. If the underwriters exercise this option in whole or in part, then the underwriters will be committed, subject to the conditions described in the underwriting agreement, to purchase the additional offered securities in proportion to each of their commitments set forth in the prior table.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Underwriters’ Compensation</w:t>
      </w:r>
    </w:p>
    <w:p>
      <w:pPr>
        <w:spacing w:after="0" w:line="180" w:lineRule="exact"/>
        <w:rPr>
          <w:sz w:val="20"/>
          <w:szCs w:val="20"/>
          <w:color w:val="auto"/>
        </w:rPr>
      </w:pPr>
    </w:p>
    <w:p>
      <w:pPr>
        <w:ind w:right="120" w:firstLine="505"/>
        <w:spacing w:after="0" w:line="277" w:lineRule="auto"/>
        <w:rPr>
          <w:sz w:val="20"/>
          <w:szCs w:val="20"/>
          <w:color w:val="auto"/>
        </w:rPr>
      </w:pPr>
      <w:r>
        <w:rPr>
          <w:rFonts w:ascii="Arial" w:cs="Arial" w:eastAsia="Arial" w:hAnsi="Arial"/>
          <w:sz w:val="14"/>
          <w:szCs w:val="14"/>
          <w:color w:val="auto"/>
        </w:rPr>
        <w:t>Except as disclosed in this prospectus, the underwriters have not received and will not receive from us any other item of compensation or expense in connection with this offering considered by the Financial Industry Regulatory Authority, Inc. (“FINRA”), to be underwriting compensation under its rule of fair price.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4"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Discount</w:t>
      </w:r>
    </w:p>
    <w:p>
      <w:pPr>
        <w:spacing w:after="0" w:line="176" w:lineRule="exact"/>
        <w:rPr>
          <w:sz w:val="20"/>
          <w:szCs w:val="20"/>
          <w:color w:val="auto"/>
        </w:rPr>
      </w:pPr>
    </w:p>
    <w:p>
      <w:pPr>
        <w:ind w:right="260" w:firstLine="505"/>
        <w:spacing w:after="0" w:line="277" w:lineRule="auto"/>
        <w:rPr>
          <w:sz w:val="20"/>
          <w:szCs w:val="20"/>
          <w:color w:val="auto"/>
        </w:rPr>
      </w:pPr>
      <w:r>
        <w:rPr>
          <w:rFonts w:ascii="Arial" w:cs="Arial" w:eastAsia="Arial" w:hAnsi="Arial"/>
          <w:sz w:val="14"/>
          <w:szCs w:val="14"/>
          <w:color w:val="auto"/>
        </w:rPr>
        <w:t>The underwriting discount is equal to the public offering price per share, less the amount paid by the underwriters to us per share. The underwriting discount was determined through an arms’ length negotiation between us and the underwriters.</w:t>
      </w:r>
    </w:p>
    <w:p>
      <w:pPr>
        <w:spacing w:after="0" w:line="133" w:lineRule="exact"/>
        <w:rPr>
          <w:sz w:val="20"/>
          <w:szCs w:val="20"/>
          <w:color w:val="auto"/>
        </w:rPr>
      </w:pPr>
    </w:p>
    <w:p>
      <w:pPr>
        <w:ind w:right="40" w:firstLine="505"/>
        <w:spacing w:after="0" w:line="259" w:lineRule="auto"/>
        <w:rPr>
          <w:sz w:val="20"/>
          <w:szCs w:val="20"/>
          <w:color w:val="auto"/>
        </w:rPr>
      </w:pPr>
      <w:r>
        <w:rPr>
          <w:rFonts w:ascii="Arial" w:cs="Arial" w:eastAsia="Arial" w:hAnsi="Arial"/>
          <w:sz w:val="14"/>
          <w:szCs w:val="14"/>
          <w:color w:val="auto"/>
        </w:rPr>
        <w:t>We have agreed to sell the common shares to the underwriters, (i) with respect to sales of common shares to investors introduced by the underwriters in this offering, at the initial offering price of $[●] per share, which represents the initial public offering price of the common shares of common stock set forth on the cover page of this prospectus less a 6.5% underwriting discount; and (ii) with respect to sales of common shares to investors introduced by Company in this offering, at the initial offering price of $[●] per share, which represents the initial public offering price of the common shares of common stock set forth on the cover page of this prospectus less a 4% underwriting discount.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following table shows the per share price and total underwriting discounts and commissions to be paid to the underwriters. Such amounts are shown assuming both no exercise and full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80" w:type="dxa"/>
            <w:vAlign w:val="bottom"/>
            <w:gridSpan w:val="3"/>
          </w:tcPr>
          <w:p>
            <w:pPr>
              <w:spacing w:after="0"/>
              <w:rPr>
                <w:sz w:val="20"/>
                <w:szCs w:val="20"/>
                <w:color w:val="auto"/>
              </w:rPr>
            </w:pPr>
            <w:r>
              <w:rPr>
                <w:rFonts w:ascii="Arial" w:cs="Arial" w:eastAsia="Arial" w:hAnsi="Arial"/>
                <w:sz w:val="14"/>
                <w:szCs w:val="14"/>
                <w:color w:val="auto"/>
              </w:rPr>
              <w:t>exercise of the underwriters’ option to purchase [  ] additional common shares.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6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Total Without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Total With</w:t>
            </w:r>
          </w:p>
        </w:tc>
      </w:tr>
      <w:tr>
        <w:trPr>
          <w:trHeight w:val="168"/>
        </w:trPr>
        <w:tc>
          <w:tcPr>
            <w:tcW w:w="6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Exercise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Exercise of</w:t>
            </w:r>
          </w:p>
        </w:tc>
      </w:tr>
      <w:tr>
        <w:trPr>
          <w:trHeight w:val="168"/>
        </w:trPr>
        <w:tc>
          <w:tcPr>
            <w:tcW w:w="60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Per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Over-allotment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Over-allotment</w:t>
            </w:r>
          </w:p>
        </w:tc>
      </w:tr>
      <w:tr>
        <w:trPr>
          <w:trHeight w:val="184"/>
        </w:trPr>
        <w:tc>
          <w:tcPr>
            <w:tcW w:w="608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Common share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Warrant</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option</w:t>
            </w:r>
          </w:p>
        </w:tc>
      </w:tr>
      <w:tr>
        <w:trPr>
          <w:trHeight w:val="168"/>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Discounts &amp; commissions</w:t>
            </w: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7480" w:type="dxa"/>
            <w:vAlign w:val="bottom"/>
            <w:gridSpan w:val="3"/>
          </w:tcPr>
          <w:p>
            <w:pPr>
              <w:spacing w:after="0"/>
              <w:rPr>
                <w:sz w:val="20"/>
                <w:szCs w:val="20"/>
                <w:color w:val="auto"/>
              </w:rPr>
            </w:pPr>
            <w:r>
              <w:rPr>
                <w:rFonts w:ascii="Arial" w:cs="Arial" w:eastAsia="Arial" w:hAnsi="Arial"/>
                <w:sz w:val="14"/>
                <w:szCs w:val="14"/>
                <w:color w:val="auto"/>
              </w:rPr>
              <w:t>Non-accountable expense allowance</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7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proceeds to us</w:t>
            </w: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158"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Expense Reimbursement</w:t>
      </w:r>
    </w:p>
    <w:p>
      <w:pPr>
        <w:spacing w:after="0" w:line="176" w:lineRule="exact"/>
        <w:rPr>
          <w:sz w:val="20"/>
          <w:szCs w:val="20"/>
          <w:color w:val="auto"/>
        </w:rPr>
      </w:pPr>
    </w:p>
    <w:p>
      <w:pPr>
        <w:ind w:right="60" w:firstLine="505"/>
        <w:spacing w:after="0" w:line="257" w:lineRule="auto"/>
        <w:rPr>
          <w:sz w:val="20"/>
          <w:szCs w:val="20"/>
          <w:color w:val="auto"/>
        </w:rPr>
      </w:pPr>
      <w:r>
        <w:rPr>
          <w:rFonts w:ascii="Arial" w:cs="Arial" w:eastAsia="Arial" w:hAnsi="Arial"/>
          <w:sz w:val="14"/>
          <w:szCs w:val="14"/>
          <w:color w:val="auto"/>
        </w:rPr>
        <w:t>We have agreed to pay a non-accountable expense allowance to the underwriters equal to 0.5% of the gross proceeds received in this offering. In addition to the 0.5% non-accountable expense allowance, we have also agreed to pay or reimburse the underwriters for certain of the underwriters’ out-of-pocket expenses relating to the offering, including all reasonable fees and expenses of the underwriters’ outside legal counsel, which shall not exceed $75,000 ($10,000 of which was already paid). All fees already paid shall be reimbursable to us to the extent not actually incurred.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estimate that our share of the total expenses of the offering, excluding underwriting discounts and commissions, will be approximately [  ].</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Warrants</w:t>
      </w:r>
    </w:p>
    <w:p>
      <w:pPr>
        <w:spacing w:after="0" w:line="176" w:lineRule="exact"/>
        <w:rPr>
          <w:sz w:val="20"/>
          <w:szCs w:val="20"/>
          <w:color w:val="auto"/>
        </w:rPr>
      </w:pPr>
    </w:p>
    <w:p>
      <w:pPr>
        <w:ind w:firstLine="505"/>
        <w:spacing w:after="0" w:line="299" w:lineRule="auto"/>
        <w:rPr>
          <w:sz w:val="20"/>
          <w:szCs w:val="20"/>
          <w:color w:val="auto"/>
        </w:rPr>
      </w:pPr>
      <w:r>
        <w:rPr>
          <w:rFonts w:ascii="Arial" w:cs="Arial" w:eastAsia="Arial" w:hAnsi="Arial"/>
          <w:sz w:val="12"/>
          <w:szCs w:val="12"/>
          <w:color w:val="auto"/>
        </w:rPr>
        <w:t>Upon the closing of this offering, we have agreed to sell to the underwriters a warrant to purchase: (i) up to 5% of the number of common shares sold to investors introduced by the underwriters in this offering; and (ii) up to 3% of the number of common shares issued to investors identified by us in this offering. The warrant will be exercisable at a per share and warrant exercise price equal to 120% of the public offering price per common share and warrant sold pursuant to this offering, subject to standard anti-dilution adjustments for share splits and similar transactions. The warrant will be exercisable at any time, and from time to time, in whole or in part, during the period from the effective date of the offering, which period shall not extend further than five years from the effective date of the offering in compliance with FINRA Rule 5110(f)(2)(G)(i). The warrant is also exercisable on a cashless basis. The warrants have been deemed compensation by FINRA and are therefore subject to a 180-day lock-up pursuant to FINRA Rule 5110(g)(1). Except as permitted by Rule 5110(g)(1), the underwriters (or permitted assignees under the Rule) will not sell, transfer, assign, pledge, or hypothecate the warrants or the securities underlying the warrants, nor will any, of them engage in any hedging, short sale, derivative, put, or call transaction that would result in the effective economic disposition of the option or the underlying securities for a period of 180 days from the date of effectiveness of the registration statement of which this prospectus forms a part or the commencement of sales under this prospectus. Although the warrants and the underlying common shares have been registered in the registration statement of which this prospectus forms a part, we have also agreed on only one occasion to register all of such underlying common shares at such time as we become eligible to file a resale registration statement on Form F-3. These registration rights apply to all of the securities directly and indirectly issuable upon exercise of the warrants, and shall expire on the fifth anniversary of the effective date of the registration statement of which this prospectus forms a part. We will bear all fees and expenses attendant to registering the securities issuable on exercise of the warrants, other than underwriting commissions incurred and payable by the holders.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[______], we placed an escrow fund in the amount of USD $200,000 in an escrow account to be released to the underwriters in the connection with the payments of our indemnification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underwriting agreement. The escrow account will remain in place for a period of 18 months.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Lock-up Agreements</w:t>
      </w:r>
    </w:p>
    <w:p>
      <w:pPr>
        <w:spacing w:after="0" w:line="180" w:lineRule="exact"/>
        <w:rPr>
          <w:sz w:val="20"/>
          <w:szCs w:val="20"/>
          <w:color w:val="auto"/>
        </w:rPr>
      </w:pPr>
    </w:p>
    <w:p>
      <w:pPr>
        <w:ind w:right="140" w:firstLine="505"/>
        <w:spacing w:after="0" w:line="259" w:lineRule="auto"/>
        <w:rPr>
          <w:sz w:val="20"/>
          <w:szCs w:val="20"/>
          <w:color w:val="auto"/>
        </w:rPr>
      </w:pPr>
      <w:r>
        <w:rPr>
          <w:rFonts w:ascii="Arial" w:cs="Arial" w:eastAsia="Arial" w:hAnsi="Arial"/>
          <w:sz w:val="14"/>
          <w:szCs w:val="14"/>
          <w:color w:val="auto"/>
        </w:rPr>
        <w:t>We have agreed with the underwriters that we will not, without the prior consent The Benchmark Company, LLC, and Cuttone &amp; Co., LLC, as representatives of the underwriters, directly or indirectly sell, offer, contract or grant any option to sell, pledge, transfer, or otherwise dispose of or enter into any transaction which may result in the disposition of any common shares or securities convertible into, exchangeable or exercisable for any common shares (excluding the exercise of certain warrants and or options currently outstanding and exercisable) for a period of six months after the date of this prospectus.</w:t>
      </w:r>
    </w:p>
    <w:p>
      <w:pPr>
        <w:spacing w:after="0" w:line="147" w:lineRule="exact"/>
        <w:rPr>
          <w:sz w:val="20"/>
          <w:szCs w:val="20"/>
          <w:color w:val="auto"/>
        </w:rPr>
      </w:pPr>
    </w:p>
    <w:p>
      <w:pPr>
        <w:ind w:right="40" w:firstLine="505"/>
        <w:spacing w:after="0" w:line="257" w:lineRule="auto"/>
        <w:rPr>
          <w:sz w:val="20"/>
          <w:szCs w:val="20"/>
          <w:color w:val="auto"/>
        </w:rPr>
      </w:pPr>
      <w:r>
        <w:rPr>
          <w:rFonts w:ascii="Arial" w:cs="Arial" w:eastAsia="Arial" w:hAnsi="Arial"/>
          <w:sz w:val="14"/>
          <w:szCs w:val="14"/>
          <w:color w:val="auto"/>
        </w:rPr>
        <w:t>In addition, each of our executive officers and directors and holders of all of our common shares and warrants outstanding prior to the effective date of this offering, holding an aggregate of [ ] common shares, have agreed with the underwriters not to directly or indirectly sell, offer, contract or grant any option to sell, pledge, transfer (excluding intra-family transfers, transfers to a trust for estate planning purposes or to beneficiaries of officers, directors and shareholders upon their death), or otherwise dispose of or enter into any transaction which may result in the disposition of any common shares or securities convertible into, exchangeable or exercisable for any common shares, without the prior written consent of The Benchmark Company, LLC, and Cuttone &amp; Co,, LLC, as representatives of the underwriters, for a period of six months after the date of this prospectus.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Stabilization</w:t>
      </w:r>
    </w:p>
    <w:p>
      <w:pPr>
        <w:spacing w:after="0" w:line="180" w:lineRule="exact"/>
        <w:rPr>
          <w:sz w:val="20"/>
          <w:szCs w:val="20"/>
          <w:color w:val="auto"/>
        </w:rPr>
      </w:pPr>
    </w:p>
    <w:p>
      <w:pPr>
        <w:ind w:firstLine="505"/>
        <w:spacing w:after="0" w:line="275" w:lineRule="auto"/>
        <w:rPr>
          <w:sz w:val="20"/>
          <w:szCs w:val="20"/>
          <w:color w:val="auto"/>
        </w:rPr>
      </w:pPr>
      <w:r>
        <w:rPr>
          <w:rFonts w:ascii="Arial" w:cs="Arial" w:eastAsia="Arial" w:hAnsi="Arial"/>
          <w:sz w:val="13"/>
          <w:szCs w:val="13"/>
          <w:color w:val="auto"/>
        </w:rPr>
        <w:t>In connection with this offering, the underwriters may engage in transactions that stabilize, maintain or otherwise affect the price of our common shares. Specifically, the underwriters may over-allot in connection with this offering by selling more common shares than they are obligated to purchase under the underwriting agreement, creating a short position in our common shares. The short position may be either a covered short position or a naked short position. In a covered short position, the number of shares common of stock over-allotted by the underwriters is not greater than the number of common shares that they may purchase in the over-allotment option. In a naked short position, the number of shares of common shares involved is greater than the number of common shares in the over-allotment option. To close out a short position or to stabilize the price per share of our common shares the underwriters may bid for, and purchase, common shares in the open market. The underwriters may also elect to reduce any short position by exercising all or part of the over-allotment option. In determining the source of common shares to close out the short position, the underwriters will consider, among other things, the price of common share available for purchase in the open market as compared to the price at which it may purchase common shares through the over-allotment option. If the underwriters sell more than could be covered by the over-allotment option, a naked short position, the position can only be closed out by buying common shares in the open market. A naked short position is more likely to be created if the underwriters are concerned that there could be downward pressure on the price of the common shares in the open market after pricing that could adversely affect investors who purchase in the offering.</w:t>
      </w:r>
    </w:p>
    <w:p>
      <w:pPr>
        <w:spacing w:after="0" w:line="139" w:lineRule="exact"/>
        <w:rPr>
          <w:sz w:val="20"/>
          <w:szCs w:val="20"/>
          <w:color w:val="auto"/>
        </w:rPr>
      </w:pPr>
    </w:p>
    <w:p>
      <w:pPr>
        <w:ind w:right="680" w:firstLine="505"/>
        <w:spacing w:after="0" w:line="277"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common shares sold by or for the account of such underwriter in stabilizing or short covering transactions.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Finally, the underwriters may bid for, and purchase, common shares in market making transactions, including “passive” market making transactions as described below.</w:t>
      </w:r>
    </w:p>
    <w:p>
      <w:pPr>
        <w:spacing w:after="0" w:line="176" w:lineRule="exact"/>
        <w:rPr>
          <w:sz w:val="20"/>
          <w:szCs w:val="20"/>
          <w:color w:val="auto"/>
        </w:rPr>
      </w:pPr>
    </w:p>
    <w:p>
      <w:pPr>
        <w:ind w:right="20" w:firstLine="505"/>
        <w:spacing w:after="0" w:line="264" w:lineRule="auto"/>
        <w:rPr>
          <w:sz w:val="20"/>
          <w:szCs w:val="20"/>
          <w:color w:val="auto"/>
        </w:rPr>
      </w:pPr>
      <w:r>
        <w:rPr>
          <w:rFonts w:ascii="Arial" w:cs="Arial" w:eastAsia="Arial" w:hAnsi="Arial"/>
          <w:sz w:val="14"/>
          <w:szCs w:val="14"/>
          <w:color w:val="auto"/>
        </w:rPr>
        <w:t>The foregoing transactions may stabilize or maintain the market price of our common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or otherwise.</w:t>
      </w:r>
    </w:p>
    <w:p>
      <w:pPr>
        <w:spacing w:after="0" w:line="142" w:lineRule="exact"/>
        <w:rPr>
          <w:sz w:val="20"/>
          <w:szCs w:val="20"/>
          <w:color w:val="auto"/>
        </w:rPr>
      </w:pPr>
    </w:p>
    <w:p>
      <w:pPr>
        <w:ind w:right="20" w:firstLine="505"/>
        <w:spacing w:after="0" w:line="317" w:lineRule="auto"/>
        <w:rPr>
          <w:sz w:val="20"/>
          <w:szCs w:val="20"/>
          <w:color w:val="auto"/>
        </w:rPr>
      </w:pPr>
      <w:r>
        <w:rPr>
          <w:rFonts w:ascii="Arial" w:cs="Arial" w:eastAsia="Arial" w:hAnsi="Arial"/>
          <w:sz w:val="13"/>
          <w:szCs w:val="13"/>
          <w:color w:val="auto"/>
        </w:rPr>
        <w:t>In connection with this offering, the underwriters and selling group members, if any, or their affiliates may engage in passive market making transactions in common shares on the Nasdaq Capital Market immediately prior to the commencement of sales in this offering, in accordance with Rule 103 of Regulation M under the Exchange Act of 1934. Rule 103 generally provides that:</w:t>
      </w:r>
    </w:p>
    <w:p>
      <w:pPr>
        <w:spacing w:after="0" w:line="110" w:lineRule="exact"/>
        <w:rPr>
          <w:sz w:val="20"/>
          <w:szCs w:val="20"/>
          <w:color w:val="auto"/>
        </w:rPr>
      </w:pPr>
    </w:p>
    <w:p>
      <w:pPr>
        <w:jc w:val="both"/>
        <w:ind w:left="500" w:right="200" w:hanging="243"/>
        <w:spacing w:after="0" w:line="264"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passive market maker may not effect transactions or display bids for our common share and or warrants in excess of the highest independent bid price by persons who are not passive market makers; net purchases by a passive market maker on each day are generally limited to 30% of the passive market maker’s average daily trading volume in our common share during a specified two-month prior period or 200 shares, whichever is greater, and must be discontinued when that limit is reached; and</w:t>
      </w:r>
    </w:p>
    <w:p>
      <w:pPr>
        <w:spacing w:after="0" w:line="142" w:lineRule="exact"/>
        <w:rPr>
          <w:rFonts w:ascii="Arial" w:cs="Arial" w:eastAsia="Arial" w:hAnsi="Arial"/>
          <w:sz w:val="14"/>
          <w:szCs w:val="14"/>
          <w:color w:val="auto"/>
        </w:rPr>
      </w:pPr>
    </w:p>
    <w:p>
      <w:pPr>
        <w:ind w:left="500" w:hanging="243"/>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passive market making bids must be identified as such.</w:t>
      </w:r>
    </w:p>
    <w:p>
      <w:pPr>
        <w:spacing w:after="0" w:line="175" w:lineRule="exact"/>
        <w:rPr>
          <w:rFonts w:ascii="Arial" w:cs="Arial" w:eastAsia="Arial" w:hAnsi="Arial"/>
          <w:sz w:val="14"/>
          <w:szCs w:val="14"/>
          <w:color w:val="auto"/>
        </w:rPr>
      </w:pPr>
    </w:p>
    <w:p>
      <w:pPr>
        <w:ind w:left="500" w:right="20"/>
        <w:spacing w:after="0" w:line="528" w:lineRule="auto"/>
        <w:rPr>
          <w:rFonts w:ascii="Arial" w:cs="Arial" w:eastAsia="Arial" w:hAnsi="Arial"/>
          <w:sz w:val="14"/>
          <w:szCs w:val="14"/>
          <w:color w:val="auto"/>
        </w:rPr>
      </w:pPr>
      <w:r>
        <w:rPr>
          <w:rFonts w:ascii="Arial" w:cs="Arial" w:eastAsia="Arial" w:hAnsi="Arial"/>
          <w:sz w:val="14"/>
          <w:szCs w:val="14"/>
          <w:color w:val="auto"/>
        </w:rPr>
        <w:t>Passive market making may stabilize or maintain the market price of our common shares at a level above that which might otherwise prevail and, if commenced, may be discontinued at any time. The underwriters do not expect sales to discretionary accounts to exceed five percent of the total number of common shares offered.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Indemnification</w:t>
      </w:r>
    </w:p>
    <w:p>
      <w:pPr>
        <w:spacing w:after="0" w:line="180" w:lineRule="exact"/>
        <w:rPr>
          <w:sz w:val="20"/>
          <w:szCs w:val="20"/>
          <w:color w:val="auto"/>
        </w:rPr>
      </w:pPr>
    </w:p>
    <w:p>
      <w:pPr>
        <w:ind w:right="420" w:firstLine="505"/>
        <w:spacing w:after="0" w:line="277"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Participation in Future Offerings</w:t>
      </w:r>
    </w:p>
    <w:p>
      <w:pPr>
        <w:spacing w:after="0" w:line="180" w:lineRule="exact"/>
        <w:rPr>
          <w:sz w:val="20"/>
          <w:szCs w:val="20"/>
          <w:color w:val="auto"/>
        </w:rPr>
      </w:pPr>
    </w:p>
    <w:p>
      <w:pPr>
        <w:ind w:right="180" w:firstLine="505"/>
        <w:spacing w:after="0" w:line="277" w:lineRule="auto"/>
        <w:rPr>
          <w:sz w:val="20"/>
          <w:szCs w:val="20"/>
          <w:color w:val="auto"/>
        </w:rPr>
      </w:pPr>
      <w:r>
        <w:rPr>
          <w:rFonts w:ascii="Arial" w:cs="Arial" w:eastAsia="Arial" w:hAnsi="Arial"/>
          <w:sz w:val="14"/>
          <w:szCs w:val="14"/>
          <w:color w:val="auto"/>
        </w:rPr>
        <w:t>Until twelve months from the closing of the offering, the underwriters shall have a right of first refusal to act on our behalf as lead or managing underwriters or exclusive financial advisors for any offering of securities, merger, acquisition or similar transaction.</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Determination of Offering Price</w:t>
      </w:r>
    </w:p>
    <w:p>
      <w:pPr>
        <w:spacing w:after="0" w:line="180" w:lineRule="exact"/>
        <w:rPr>
          <w:sz w:val="20"/>
          <w:szCs w:val="20"/>
          <w:color w:val="auto"/>
        </w:rPr>
      </w:pPr>
    </w:p>
    <w:p>
      <w:pPr>
        <w:ind w:right="180" w:firstLine="505"/>
        <w:spacing w:after="0" w:line="277" w:lineRule="auto"/>
        <w:rPr>
          <w:sz w:val="20"/>
          <w:szCs w:val="20"/>
          <w:color w:val="auto"/>
        </w:rPr>
      </w:pPr>
      <w:r>
        <w:rPr>
          <w:rFonts w:ascii="Arial" w:cs="Arial" w:eastAsia="Arial" w:hAnsi="Arial"/>
          <w:sz w:val="14"/>
          <w:szCs w:val="14"/>
          <w:color w:val="auto"/>
        </w:rPr>
        <w:t>Prior to this offering, there has not been a public market for our common shares. The public offering price of the common shares offered by this prospectus has been determined by negotiation between us and the underwriters. Among the factors considered in determining the public offering price of the common shares were:</w:t>
      </w:r>
    </w:p>
    <w:p>
      <w:pPr>
        <w:spacing w:after="0" w:line="133" w:lineRule="exact"/>
        <w:rPr>
          <w:sz w:val="20"/>
          <w:szCs w:val="20"/>
          <w:color w:val="auto"/>
        </w:rPr>
      </w:pPr>
    </w:p>
    <w:p>
      <w:pPr>
        <w:ind w:left="500" w:hanging="243"/>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history and our prospects;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financial information and historical performance;</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industry in which we operate;</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status and development prospects for our products and services;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experience and skills of our executive officers;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7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The offering price stated on the cover page of this prospectus should not be considered an indication of the actual value of the common shares. That price is subject to change as a result of market conditions and other factors, and we cannot assure you that the common shares can be resold at or above the public offering price.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Listing</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common shares have been approved for listing on The Nasdaq Capital Market under the symbol “CLPS”.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Electronic Distribution</w:t>
      </w:r>
    </w:p>
    <w:p>
      <w:pPr>
        <w:spacing w:after="0" w:line="180" w:lineRule="exact"/>
        <w:rPr>
          <w:sz w:val="20"/>
          <w:szCs w:val="20"/>
          <w:color w:val="auto"/>
        </w:rPr>
      </w:pPr>
    </w:p>
    <w:p>
      <w:pPr>
        <w:ind w:right="40" w:firstLine="505"/>
        <w:spacing w:after="0" w:line="328" w:lineRule="auto"/>
        <w:rPr>
          <w:sz w:val="20"/>
          <w:szCs w:val="20"/>
          <w:color w:val="auto"/>
        </w:rPr>
      </w:pPr>
      <w:r>
        <w:rPr>
          <w:rFonts w:ascii="Arial" w:cs="Arial" w:eastAsia="Arial" w:hAnsi="Arial"/>
          <w:sz w:val="12"/>
          <w:szCs w:val="12"/>
          <w:color w:val="auto"/>
        </w:rPr>
        <w:t>A prospectus in electronic format may be made available on websites or through other online services maintained by the underwriter of this offering, or by its affiliates. Other than the prospectus in electronic format, the information on the underwriters’ website and any information contained in any other website maintained by an underwriter is not part of this prospectus or the registration statement of which this prospectus forms a part, has not been approved and/or endorsed by us or the underwriter in its capacity as underwriter, and should not be relied upon by investors.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Other Relationships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underwriters have informed us that they do not expect to confirm sales of our common shares offered by this prospectus to any accounts over which they exercise discretionary authority.</w:t>
      </w:r>
    </w:p>
    <w:p>
      <w:pPr>
        <w:spacing w:after="0" w:line="187"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Some of the underwriters and their affiliates may in the future engage in investment banking and other commercial dealings in the ordinary course of business with us or our affiliates. They may in the future receive customary fees and commissions for these transactions.</w:t>
      </w:r>
    </w:p>
    <w:p>
      <w:pPr>
        <w:spacing w:after="0" w:line="133"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33" w:lineRule="exact"/>
        <w:rPr>
          <w:sz w:val="20"/>
          <w:szCs w:val="20"/>
          <w:color w:val="auto"/>
        </w:rPr>
      </w:pPr>
    </w:p>
    <w:p>
      <w:pPr>
        <w:jc w:val="both"/>
        <w:ind w:right="240" w:firstLine="505"/>
        <w:spacing w:after="0" w:line="264" w:lineRule="auto"/>
        <w:rPr>
          <w:sz w:val="20"/>
          <w:szCs w:val="20"/>
          <w:color w:val="auto"/>
        </w:rPr>
      </w:pPr>
      <w:r>
        <w:rPr>
          <w:rFonts w:ascii="Arial" w:cs="Arial" w:eastAsia="Arial" w:hAnsi="Arial"/>
          <w:sz w:val="14"/>
          <w:szCs w:val="14"/>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[Selling Restrictions Outside the United States]</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Other Expenses of Issuance and Distribution</w:t>
      </w:r>
    </w:p>
    <w:p>
      <w:pPr>
        <w:spacing w:after="0" w:line="180" w:lineRule="exact"/>
        <w:rPr>
          <w:sz w:val="20"/>
          <w:szCs w:val="20"/>
          <w:color w:val="auto"/>
        </w:rPr>
      </w:pPr>
    </w:p>
    <w:p>
      <w:pPr>
        <w:ind w:right="180" w:firstLine="505"/>
        <w:spacing w:after="0" w:line="277" w:lineRule="auto"/>
        <w:rPr>
          <w:sz w:val="20"/>
          <w:szCs w:val="20"/>
          <w:color w:val="auto"/>
        </w:rPr>
      </w:pPr>
      <w:r>
        <w:rPr>
          <w:rFonts w:ascii="Arial" w:cs="Arial" w:eastAsia="Arial" w:hAnsi="Arial"/>
          <w:sz w:val="14"/>
          <w:szCs w:val="14"/>
          <w:color w:val="auto"/>
        </w:rPr>
        <w:t>The estimated expenses payable by us in connection with the offering described in this registration statement (other than the placement discounts and commissions) will be as follows. With the exception of the filing fees for the U.S. Securities Exchange Commission, FINRA and NASDAQ, all amounts are estimates.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U.S. Securities and Exchange Commission registration fee</w:t>
            </w:r>
          </w:p>
        </w:tc>
        <w:tc>
          <w:tcPr>
            <w:tcW w:w="63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1,932.86</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20"/>
                <w:szCs w:val="20"/>
                <w:color w:val="auto"/>
              </w:rPr>
            </w:pPr>
            <w:r>
              <w:rPr>
                <w:rFonts w:ascii="Arial" w:cs="Arial" w:eastAsia="Arial" w:hAnsi="Arial"/>
                <w:sz w:val="14"/>
                <w:szCs w:val="14"/>
                <w:color w:val="auto"/>
              </w:rPr>
              <w:t>FINRA filing fee</w:t>
            </w:r>
          </w:p>
        </w:tc>
        <w:tc>
          <w:tcPr>
            <w:tcW w:w="6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NASDAQ listing fee</w:t>
            </w:r>
          </w:p>
        </w:tc>
        <w:tc>
          <w:tcPr>
            <w:tcW w:w="63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20"/>
                <w:szCs w:val="20"/>
                <w:color w:val="auto"/>
              </w:rPr>
            </w:pPr>
            <w:r>
              <w:rPr>
                <w:rFonts w:ascii="Arial" w:cs="Arial" w:eastAsia="Arial" w:hAnsi="Arial"/>
                <w:sz w:val="14"/>
                <w:szCs w:val="14"/>
                <w:color w:val="auto"/>
              </w:rPr>
              <w:t>Legal fees and expenses for Chinese counsel</w:t>
            </w:r>
          </w:p>
        </w:tc>
        <w:tc>
          <w:tcPr>
            <w:tcW w:w="6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Legal fees and expenses for Cayman Islands counsel</w:t>
            </w:r>
          </w:p>
        </w:tc>
        <w:tc>
          <w:tcPr>
            <w:tcW w:w="63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20"/>
                <w:szCs w:val="20"/>
                <w:color w:val="auto"/>
              </w:rPr>
            </w:pPr>
            <w:r>
              <w:rPr>
                <w:rFonts w:ascii="Arial" w:cs="Arial" w:eastAsia="Arial" w:hAnsi="Arial"/>
                <w:sz w:val="14"/>
                <w:szCs w:val="14"/>
                <w:color w:val="auto"/>
              </w:rPr>
              <w:t>Legal fees and expenses for U.S. counsel</w:t>
            </w:r>
          </w:p>
        </w:tc>
        <w:tc>
          <w:tcPr>
            <w:tcW w:w="6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Accounting fees and expenses</w:t>
            </w:r>
          </w:p>
        </w:tc>
        <w:tc>
          <w:tcPr>
            <w:tcW w:w="63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20"/>
                <w:szCs w:val="20"/>
                <w:color w:val="auto"/>
              </w:rPr>
            </w:pPr>
            <w:r>
              <w:rPr>
                <w:rFonts w:ascii="Arial" w:cs="Arial" w:eastAsia="Arial" w:hAnsi="Arial"/>
                <w:sz w:val="14"/>
                <w:szCs w:val="14"/>
                <w:color w:val="auto"/>
              </w:rPr>
              <w:t>Printing fees and expenses</w:t>
            </w:r>
          </w:p>
        </w:tc>
        <w:tc>
          <w:tcPr>
            <w:tcW w:w="6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179"/>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Miscellaneous</w:t>
            </w:r>
          </w:p>
        </w:tc>
        <w:tc>
          <w:tcPr>
            <w:tcW w:w="63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b w:val="1"/>
                <w:bCs w:val="1"/>
                <w:color w:val="auto"/>
              </w:rPr>
              <w:t>Total</w:t>
            </w:r>
          </w:p>
        </w:tc>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20" w:type="dxa"/>
            <w:vAlign w:val="bottom"/>
            <w:vMerge w:val="continue"/>
          </w:tcPr>
          <w:p>
            <w:pPr>
              <w:spacing w:after="0"/>
              <w:rPr>
                <w:sz w:val="14"/>
                <w:szCs w:val="14"/>
                <w:color w:val="auto"/>
              </w:rPr>
            </w:pPr>
          </w:p>
        </w:tc>
        <w:tc>
          <w:tcPr>
            <w:tcW w:w="6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220" w:type="dxa"/>
            <w:vAlign w:val="bottom"/>
          </w:tcPr>
          <w:p>
            <w:pPr>
              <w:spacing w:after="0"/>
              <w:rPr>
                <w:sz w:val="24"/>
                <w:szCs w:val="24"/>
                <w:color w:val="auto"/>
              </w:rPr>
            </w:pPr>
          </w:p>
        </w:tc>
        <w:tc>
          <w:tcPr>
            <w:tcW w:w="6360" w:type="dxa"/>
            <w:vAlign w:val="bottom"/>
            <w:gridSpan w:val="2"/>
          </w:tcPr>
          <w:p>
            <w:pPr>
              <w:jc w:val="right"/>
              <w:ind w:right="4240"/>
              <w:spacing w:after="0"/>
              <w:rPr>
                <w:sz w:val="20"/>
                <w:szCs w:val="20"/>
                <w:color w:val="auto"/>
              </w:rPr>
            </w:pPr>
            <w:r>
              <w:rPr>
                <w:rFonts w:ascii="Arial" w:cs="Arial" w:eastAsia="Arial" w:hAnsi="Arial"/>
                <w:sz w:val="14"/>
                <w:szCs w:val="14"/>
                <w:b w:val="1"/>
                <w:bCs w:val="1"/>
                <w:color w:val="auto"/>
              </w:rPr>
              <w:t>LEGAL MATTERS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100" w:firstLine="505"/>
        <w:spacing w:after="0" w:line="264" w:lineRule="auto"/>
        <w:rPr>
          <w:sz w:val="20"/>
          <w:szCs w:val="20"/>
          <w:color w:val="auto"/>
        </w:rPr>
      </w:pPr>
      <w:r>
        <w:rPr>
          <w:rFonts w:ascii="Arial" w:cs="Arial" w:eastAsia="Arial" w:hAnsi="Arial"/>
          <w:sz w:val="14"/>
          <w:szCs w:val="14"/>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Hunter Taubman Fischer &amp; Li LLC has acted as counsel for the underwriters with respect to this offering.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EXPERTS</w:t>
      </w:r>
    </w:p>
    <w:p>
      <w:pPr>
        <w:spacing w:after="0" w:line="180" w:lineRule="exact"/>
        <w:rPr>
          <w:sz w:val="20"/>
          <w:szCs w:val="20"/>
          <w:color w:val="auto"/>
        </w:rPr>
      </w:pPr>
    </w:p>
    <w:p>
      <w:pPr>
        <w:ind w:right="140" w:firstLine="505"/>
        <w:spacing w:after="0" w:line="317" w:lineRule="auto"/>
        <w:rPr>
          <w:sz w:val="20"/>
          <w:szCs w:val="20"/>
          <w:color w:val="auto"/>
        </w:rPr>
      </w:pPr>
      <w:r>
        <w:rPr>
          <w:rFonts w:ascii="Arial" w:cs="Arial" w:eastAsia="Arial" w:hAnsi="Arial"/>
          <w:sz w:val="13"/>
          <w:szCs w:val="13"/>
          <w:color w:val="auto"/>
        </w:rPr>
        <w:t>Financial statements as of June 30, 2017 and 2016,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0" w:lineRule="exact"/>
        <w:rPr>
          <w:sz w:val="20"/>
          <w:szCs w:val="20"/>
          <w:color w:val="auto"/>
        </w:rPr>
      </w:pPr>
    </w:p>
    <w:p>
      <w:pPr>
        <w:ind w:firstLine="505"/>
        <w:spacing w:after="0" w:line="276" w:lineRule="auto"/>
        <w:rPr>
          <w:sz w:val="20"/>
          <w:szCs w:val="20"/>
          <w:color w:val="auto"/>
        </w:rPr>
      </w:pPr>
      <w:r>
        <w:rPr>
          <w:rFonts w:ascii="Arial" w:cs="Arial" w:eastAsia="Arial" w:hAnsi="Arial"/>
          <w:sz w:val="13"/>
          <w:szCs w:val="13"/>
          <w:color w:val="auto"/>
        </w:rPr>
        <w:t xml:space="preserve">We have filed with the SEC a registration statement on Form F-1 under the Securities Act with respect to the common shares offered hereby. This prospectus, which constitutes a part of the registration statement, does not contain all of the information set forth in the registration statement or the exhibits filed therewith. For further information about us and the common shares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closing of our initial public offering, we will be required to file periodic reports (including an annual report on Form 20-F, which we will be required to file within 120 days from the end of each fiscal year),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3"/>
          <w:szCs w:val="13"/>
          <w:i w:val="1"/>
          <w:iCs w:val="1"/>
          <w:color w:val="auto"/>
        </w:rPr>
        <w:t>www.sec.gov.</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right"/>
        <w:ind w:right="3039"/>
        <w:spacing w:after="0"/>
        <w:rPr>
          <w:sz w:val="20"/>
          <w:szCs w:val="20"/>
          <w:color w:val="auto"/>
        </w:rPr>
      </w:pPr>
      <w:r>
        <w:rPr>
          <w:rFonts w:ascii="Arial" w:cs="Arial" w:eastAsia="Arial" w:hAnsi="Arial"/>
          <w:sz w:val="14"/>
          <w:szCs w:val="14"/>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239"/>
          </w:cols>
          <w:pgMar w:left="220" w:top="213"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4280" w:type="dxa"/>
            <w:vAlign w:val="bottom"/>
            <w:gridSpan w:val="8"/>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6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7"/>
        </w:trPr>
        <w:tc>
          <w:tcPr>
            <w:tcW w:w="1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80" w:type="dxa"/>
            <w:vAlign w:val="bottom"/>
            <w:gridSpan w:val="2"/>
          </w:tcPr>
          <w:p>
            <w:pPr>
              <w:jc w:val="center"/>
              <w:ind w:right="4190"/>
              <w:spacing w:after="0"/>
              <w:rPr>
                <w:sz w:val="20"/>
                <w:szCs w:val="20"/>
                <w:color w:val="auto"/>
              </w:rPr>
            </w:pPr>
            <w:r>
              <w:rPr>
                <w:rFonts w:ascii="Arial" w:cs="Arial" w:eastAsia="Arial" w:hAnsi="Arial"/>
                <w:sz w:val="14"/>
                <w:szCs w:val="14"/>
                <w:b w:val="1"/>
                <w:bCs w:val="1"/>
                <w:color w:val="auto"/>
                <w:w w:val="99"/>
              </w:rPr>
              <w:t>CLPS INCORPORATION</w:t>
            </w:r>
          </w:p>
        </w:tc>
        <w:tc>
          <w:tcPr>
            <w:tcW w:w="0" w:type="dxa"/>
            <w:vAlign w:val="bottom"/>
          </w:tcPr>
          <w:p>
            <w:pPr>
              <w:spacing w:after="0"/>
              <w:rPr>
                <w:sz w:val="1"/>
                <w:szCs w:val="1"/>
                <w:color w:val="auto"/>
              </w:rPr>
            </w:pPr>
          </w:p>
        </w:tc>
      </w:tr>
      <w:tr>
        <w:trPr>
          <w:trHeight w:val="337"/>
        </w:trPr>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80" w:type="dxa"/>
            <w:vAlign w:val="bottom"/>
            <w:gridSpan w:val="2"/>
          </w:tcPr>
          <w:p>
            <w:pPr>
              <w:jc w:val="center"/>
              <w:ind w:right="4210"/>
              <w:spacing w:after="0"/>
              <w:rPr>
                <w:sz w:val="20"/>
                <w:szCs w:val="20"/>
                <w:color w:val="auto"/>
              </w:rPr>
            </w:pPr>
            <w:r>
              <w:rPr>
                <w:rFonts w:ascii="Arial" w:cs="Arial" w:eastAsia="Arial" w:hAnsi="Arial"/>
                <w:sz w:val="14"/>
                <w:szCs w:val="14"/>
                <w:color w:val="auto"/>
                <w:w w:val="95"/>
              </w:rPr>
              <w:t>TABLE OF CONTENTS</w:t>
            </w:r>
          </w:p>
        </w:tc>
        <w:tc>
          <w:tcPr>
            <w:tcW w:w="0" w:type="dxa"/>
            <w:vAlign w:val="bottom"/>
          </w:tcPr>
          <w:p>
            <w:pPr>
              <w:spacing w:after="0"/>
              <w:rPr>
                <w:sz w:val="1"/>
                <w:szCs w:val="1"/>
                <w:color w:val="auto"/>
              </w:rPr>
            </w:pPr>
          </w:p>
        </w:tc>
      </w:tr>
      <w:tr>
        <w:trPr>
          <w:trHeight w:val="338"/>
        </w:trPr>
        <w:tc>
          <w:tcPr>
            <w:tcW w:w="42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626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3"/>
        </w:trPr>
        <w:tc>
          <w:tcPr>
            <w:tcW w:w="4280" w:type="dxa"/>
            <w:vAlign w:val="bottom"/>
            <w:gridSpan w:val="8"/>
            <w:vMerge w:val="continue"/>
          </w:tcPr>
          <w:p>
            <w:pPr>
              <w:spacing w:after="0"/>
              <w:rPr>
                <w:sz w:val="14"/>
                <w:szCs w:val="14"/>
                <w:color w:val="auto"/>
              </w:rPr>
            </w:pPr>
          </w:p>
        </w:tc>
        <w:tc>
          <w:tcPr>
            <w:tcW w:w="6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00" w:type="dxa"/>
            <w:vAlign w:val="bottom"/>
            <w:tcBorders>
              <w:bottom w:val="single" w:sz="8" w:color="0000EE"/>
            </w:tcBorders>
            <w:gridSpan w:val="5"/>
            <w:shd w:val="clear" w:color="auto" w:fill="CCEEFF"/>
          </w:tcPr>
          <w:p>
            <w:pPr>
              <w:spacing w:after="0" w:line="142" w:lineRule="exact"/>
              <w:rPr>
                <w:rFonts w:ascii="Arial" w:cs="Arial" w:eastAsia="Arial" w:hAnsi="Arial"/>
                <w:sz w:val="14"/>
                <w:szCs w:val="14"/>
                <w:color w:val="0000EE"/>
                <w:w w:val="91"/>
              </w:rPr>
            </w:pPr>
            <w:hyperlink w:anchor="page116">
              <w:r>
                <w:rPr>
                  <w:rFonts w:ascii="Arial" w:cs="Arial" w:eastAsia="Arial" w:hAnsi="Arial"/>
                  <w:sz w:val="14"/>
                  <w:szCs w:val="14"/>
                  <w:color w:val="0000EE"/>
                  <w:w w:val="91"/>
                </w:rPr>
                <w:t>Report of Independent Registered Public Accounting Firm</w:t>
              </w:r>
            </w:hyperlink>
          </w:p>
        </w:tc>
        <w:tc>
          <w:tcPr>
            <w:tcW w:w="980" w:type="dxa"/>
            <w:vAlign w:val="bottom"/>
            <w:tcBorders>
              <w:bottom w:val="single" w:sz="8" w:color="CCEEFF"/>
            </w:tcBorders>
            <w:gridSpan w:val="3"/>
            <w:shd w:val="clear" w:color="auto" w:fill="CCEEFF"/>
          </w:tcPr>
          <w:p>
            <w:pPr>
              <w:spacing w:after="0"/>
              <w:rPr>
                <w:sz w:val="13"/>
                <w:szCs w:val="13"/>
                <w:color w:val="auto"/>
              </w:rPr>
            </w:pPr>
          </w:p>
        </w:tc>
        <w:tc>
          <w:tcPr>
            <w:tcW w:w="6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F-3</w:t>
            </w:r>
          </w:p>
        </w:tc>
        <w:tc>
          <w:tcPr>
            <w:tcW w:w="0" w:type="dxa"/>
            <w:vAlign w:val="bottom"/>
          </w:tcPr>
          <w:p>
            <w:pPr>
              <w:spacing w:after="0"/>
              <w:rPr>
                <w:sz w:val="1"/>
                <w:szCs w:val="1"/>
                <w:color w:val="auto"/>
              </w:rPr>
            </w:pPr>
          </w:p>
        </w:tc>
      </w:tr>
      <w:tr>
        <w:trPr>
          <w:trHeight w:val="143"/>
        </w:trPr>
        <w:tc>
          <w:tcPr>
            <w:tcW w:w="1640" w:type="dxa"/>
            <w:vAlign w:val="bottom"/>
            <w:tcBorders>
              <w:bottom w:val="single" w:sz="8" w:color="0000EE"/>
            </w:tcBorders>
            <w:gridSpan w:val="2"/>
          </w:tcPr>
          <w:p>
            <w:pPr>
              <w:spacing w:after="0" w:line="137" w:lineRule="exact"/>
              <w:rPr>
                <w:rFonts w:ascii="Arial" w:cs="Arial" w:eastAsia="Arial" w:hAnsi="Arial"/>
                <w:sz w:val="14"/>
                <w:szCs w:val="14"/>
                <w:color w:val="0000EE"/>
                <w:w w:val="88"/>
              </w:rPr>
            </w:pPr>
            <w:hyperlink w:anchor="page117">
              <w:r>
                <w:rPr>
                  <w:rFonts w:ascii="Arial" w:cs="Arial" w:eastAsia="Arial" w:hAnsi="Arial"/>
                  <w:sz w:val="14"/>
                  <w:szCs w:val="14"/>
                  <w:color w:val="0000EE"/>
                  <w:w w:val="88"/>
                </w:rPr>
                <w:t>Consolidated Balance Sheets</w:t>
              </w:r>
            </w:hyperlink>
          </w:p>
        </w:tc>
        <w:tc>
          <w:tcPr>
            <w:tcW w:w="2640" w:type="dxa"/>
            <w:vAlign w:val="bottom"/>
            <w:gridSpan w:val="6"/>
          </w:tcPr>
          <w:p>
            <w:pPr>
              <w:spacing w:after="0"/>
              <w:rPr>
                <w:sz w:val="12"/>
                <w:szCs w:val="12"/>
                <w:color w:val="auto"/>
              </w:rPr>
            </w:pPr>
          </w:p>
        </w:tc>
        <w:tc>
          <w:tcPr>
            <w:tcW w:w="6260" w:type="dxa"/>
            <w:vAlign w:val="bottom"/>
          </w:tcPr>
          <w:p>
            <w:pPr>
              <w:spacing w:after="0"/>
              <w:rPr>
                <w:sz w:val="12"/>
                <w:szCs w:val="12"/>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4"/>
                <w:szCs w:val="14"/>
                <w:color w:val="auto"/>
                <w:w w:val="95"/>
              </w:rPr>
              <w:t>F-4</w:t>
            </w:r>
          </w:p>
        </w:tc>
        <w:tc>
          <w:tcPr>
            <w:tcW w:w="0" w:type="dxa"/>
            <w:vAlign w:val="bottom"/>
          </w:tcPr>
          <w:p>
            <w:pPr>
              <w:spacing w:after="0"/>
              <w:rPr>
                <w:sz w:val="1"/>
                <w:szCs w:val="1"/>
                <w:color w:val="auto"/>
              </w:rPr>
            </w:pPr>
          </w:p>
        </w:tc>
      </w:tr>
      <w:tr>
        <w:trPr>
          <w:trHeight w:val="154"/>
        </w:trPr>
        <w:tc>
          <w:tcPr>
            <w:tcW w:w="3620" w:type="dxa"/>
            <w:vAlign w:val="bottom"/>
            <w:tcBorders>
              <w:bottom w:val="single" w:sz="8" w:color="0000EE"/>
            </w:tcBorders>
            <w:gridSpan w:val="7"/>
            <w:shd w:val="clear" w:color="auto" w:fill="CCEEFF"/>
          </w:tcPr>
          <w:p>
            <w:pPr>
              <w:spacing w:after="0" w:line="143" w:lineRule="exact"/>
              <w:rPr>
                <w:rFonts w:ascii="Arial" w:cs="Arial" w:eastAsia="Arial" w:hAnsi="Arial"/>
                <w:sz w:val="14"/>
                <w:szCs w:val="14"/>
                <w:color w:val="0000EE"/>
                <w:w w:val="89"/>
              </w:rPr>
            </w:pPr>
            <w:hyperlink w:anchor="page118">
              <w:r>
                <w:rPr>
                  <w:rFonts w:ascii="Arial" w:cs="Arial" w:eastAsia="Arial" w:hAnsi="Arial"/>
                  <w:sz w:val="14"/>
                  <w:szCs w:val="14"/>
                  <w:color w:val="0000EE"/>
                  <w:w w:val="89"/>
                </w:rPr>
                <w:t>Consolidated Statements of Income and Comprehensive Income</w:t>
              </w:r>
            </w:hyperlink>
          </w:p>
        </w:tc>
        <w:tc>
          <w:tcPr>
            <w:tcW w:w="660" w:type="dxa"/>
            <w:vAlign w:val="bottom"/>
            <w:tcBorders>
              <w:bottom w:val="single" w:sz="8" w:color="CCEEFF"/>
            </w:tcBorders>
            <w:shd w:val="clear" w:color="auto" w:fill="CCEEFF"/>
          </w:tcPr>
          <w:p>
            <w:pPr>
              <w:spacing w:after="0"/>
              <w:rPr>
                <w:sz w:val="13"/>
                <w:szCs w:val="13"/>
                <w:color w:val="auto"/>
              </w:rPr>
            </w:pPr>
          </w:p>
        </w:tc>
        <w:tc>
          <w:tcPr>
            <w:tcW w:w="6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5"/>
              </w:rPr>
              <w:t>F-5</w:t>
            </w:r>
          </w:p>
        </w:tc>
        <w:tc>
          <w:tcPr>
            <w:tcW w:w="0" w:type="dxa"/>
            <w:vAlign w:val="bottom"/>
          </w:tcPr>
          <w:p>
            <w:pPr>
              <w:spacing w:after="0"/>
              <w:rPr>
                <w:sz w:val="1"/>
                <w:szCs w:val="1"/>
                <w:color w:val="auto"/>
              </w:rPr>
            </w:pPr>
          </w:p>
        </w:tc>
      </w:tr>
      <w:tr>
        <w:trPr>
          <w:trHeight w:val="143"/>
        </w:trPr>
        <w:tc>
          <w:tcPr>
            <w:tcW w:w="3440" w:type="dxa"/>
            <w:vAlign w:val="bottom"/>
            <w:tcBorders>
              <w:bottom w:val="single" w:sz="8" w:color="0000EE"/>
            </w:tcBorders>
            <w:gridSpan w:val="6"/>
          </w:tcPr>
          <w:p>
            <w:pPr>
              <w:spacing w:after="0" w:line="137" w:lineRule="exact"/>
              <w:rPr>
                <w:rFonts w:ascii="Arial" w:cs="Arial" w:eastAsia="Arial" w:hAnsi="Arial"/>
                <w:sz w:val="14"/>
                <w:szCs w:val="14"/>
                <w:color w:val="0000EE"/>
                <w:w w:val="90"/>
              </w:rPr>
            </w:pPr>
            <w:hyperlink w:anchor="page119">
              <w:r>
                <w:rPr>
                  <w:rFonts w:ascii="Arial" w:cs="Arial" w:eastAsia="Arial" w:hAnsi="Arial"/>
                  <w:sz w:val="14"/>
                  <w:szCs w:val="14"/>
                  <w:color w:val="0000EE"/>
                  <w:w w:val="90"/>
                </w:rPr>
                <w:t>Consolidated Statements of Changes in Shareholders’ Equity</w:t>
              </w:r>
            </w:hyperlink>
          </w:p>
        </w:tc>
        <w:tc>
          <w:tcPr>
            <w:tcW w:w="840" w:type="dxa"/>
            <w:vAlign w:val="bottom"/>
            <w:gridSpan w:val="2"/>
          </w:tcPr>
          <w:p>
            <w:pPr>
              <w:spacing w:after="0"/>
              <w:rPr>
                <w:sz w:val="12"/>
                <w:szCs w:val="12"/>
                <w:color w:val="auto"/>
              </w:rPr>
            </w:pPr>
          </w:p>
        </w:tc>
        <w:tc>
          <w:tcPr>
            <w:tcW w:w="6260" w:type="dxa"/>
            <w:vAlign w:val="bottom"/>
          </w:tcPr>
          <w:p>
            <w:pPr>
              <w:spacing w:after="0"/>
              <w:rPr>
                <w:sz w:val="12"/>
                <w:szCs w:val="12"/>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4"/>
                <w:szCs w:val="14"/>
                <w:color w:val="auto"/>
                <w:w w:val="95"/>
              </w:rPr>
              <w:t>F-6</w:t>
            </w:r>
          </w:p>
        </w:tc>
        <w:tc>
          <w:tcPr>
            <w:tcW w:w="0" w:type="dxa"/>
            <w:vAlign w:val="bottom"/>
          </w:tcPr>
          <w:p>
            <w:pPr>
              <w:spacing w:after="0"/>
              <w:rPr>
                <w:sz w:val="1"/>
                <w:szCs w:val="1"/>
                <w:color w:val="auto"/>
              </w:rPr>
            </w:pPr>
          </w:p>
        </w:tc>
      </w:tr>
      <w:tr>
        <w:trPr>
          <w:trHeight w:val="143"/>
        </w:trPr>
        <w:tc>
          <w:tcPr>
            <w:tcW w:w="4280" w:type="dxa"/>
            <w:vAlign w:val="bottom"/>
            <w:gridSpan w:val="8"/>
            <w:shd w:val="clear" w:color="auto" w:fill="CCEEFF"/>
          </w:tcPr>
          <w:p>
            <w:pPr>
              <w:spacing w:after="0" w:line="143" w:lineRule="exact"/>
              <w:rPr>
                <w:rFonts w:ascii="Arial" w:cs="Arial" w:eastAsia="Arial" w:hAnsi="Arial"/>
                <w:sz w:val="14"/>
                <w:szCs w:val="14"/>
                <w:color w:val="0000EE"/>
              </w:rPr>
            </w:pPr>
            <w:hyperlink w:anchor="page120">
              <w:r>
                <w:rPr>
                  <w:rFonts w:ascii="Arial" w:cs="Arial" w:eastAsia="Arial" w:hAnsi="Arial"/>
                  <w:sz w:val="14"/>
                  <w:szCs w:val="14"/>
                  <w:color w:val="0000EE"/>
                </w:rPr>
                <w:t>Consolidated Statements of Cash Flows</w:t>
              </w:r>
            </w:hyperlink>
          </w:p>
        </w:tc>
        <w:tc>
          <w:tcPr>
            <w:tcW w:w="62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5"/>
              </w:rPr>
              <w:t>F-7</w:t>
            </w:r>
          </w:p>
        </w:tc>
        <w:tc>
          <w:tcPr>
            <w:tcW w:w="0" w:type="dxa"/>
            <w:vAlign w:val="bottom"/>
          </w:tcPr>
          <w:p>
            <w:pPr>
              <w:spacing w:after="0"/>
              <w:rPr>
                <w:sz w:val="1"/>
                <w:szCs w:val="1"/>
                <w:color w:val="auto"/>
              </w:rPr>
            </w:pPr>
          </w:p>
        </w:tc>
      </w:tr>
      <w:tr>
        <w:trPr>
          <w:trHeight w:val="32"/>
        </w:trPr>
        <w:tc>
          <w:tcPr>
            <w:tcW w:w="1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4280" w:type="dxa"/>
            <w:vAlign w:val="bottom"/>
            <w:gridSpan w:val="8"/>
          </w:tcPr>
          <w:p>
            <w:pPr>
              <w:spacing w:after="0" w:line="137" w:lineRule="exact"/>
              <w:rPr>
                <w:rFonts w:ascii="Arial" w:cs="Arial" w:eastAsia="Arial" w:hAnsi="Arial"/>
                <w:sz w:val="14"/>
                <w:szCs w:val="14"/>
                <w:color w:val="0000EE"/>
              </w:rPr>
            </w:pPr>
            <w:hyperlink w:anchor="page121">
              <w:r>
                <w:rPr>
                  <w:rFonts w:ascii="Arial" w:cs="Arial" w:eastAsia="Arial" w:hAnsi="Arial"/>
                  <w:sz w:val="14"/>
                  <w:szCs w:val="14"/>
                  <w:color w:val="0000EE"/>
                </w:rPr>
                <w:t>Notes to Consolidated Financial Statements</w:t>
              </w:r>
            </w:hyperlink>
          </w:p>
        </w:tc>
        <w:tc>
          <w:tcPr>
            <w:tcW w:w="626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4"/>
                <w:szCs w:val="14"/>
                <w:color w:val="auto"/>
                <w:w w:val="93"/>
              </w:rPr>
              <w:t>F-8 - F-33</w:t>
            </w:r>
          </w:p>
        </w:tc>
        <w:tc>
          <w:tcPr>
            <w:tcW w:w="0" w:type="dxa"/>
            <w:vAlign w:val="bottom"/>
          </w:tcPr>
          <w:p>
            <w:pPr>
              <w:spacing w:after="0"/>
              <w:rPr>
                <w:sz w:val="1"/>
                <w:szCs w:val="1"/>
                <w:color w:val="auto"/>
              </w:rPr>
            </w:pPr>
          </w:p>
        </w:tc>
      </w:tr>
      <w:tr>
        <w:trPr>
          <w:trHeight w:val="518"/>
        </w:trPr>
        <w:tc>
          <w:tcPr>
            <w:tcW w:w="1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2"/>
          </w:tcPr>
          <w:p>
            <w:pPr>
              <w:jc w:val="center"/>
              <w:ind w:right="4190"/>
              <w:spacing w:after="0"/>
              <w:rPr>
                <w:sz w:val="20"/>
                <w:szCs w:val="20"/>
                <w:color w:val="auto"/>
              </w:rPr>
            </w:pPr>
            <w:r>
              <w:rPr>
                <w:rFonts w:ascii="Arial" w:cs="Arial" w:eastAsia="Arial" w:hAnsi="Arial"/>
                <w:sz w:val="14"/>
                <w:szCs w:val="14"/>
                <w:color w:val="auto"/>
                <w:w w:val="95"/>
              </w:rPr>
              <w:t>F-2</w:t>
            </w:r>
          </w:p>
        </w:tc>
        <w:tc>
          <w:tcPr>
            <w:tcW w:w="0" w:type="dxa"/>
            <w:vAlign w:val="bottom"/>
          </w:tcPr>
          <w:p>
            <w:pPr>
              <w:spacing w:after="0"/>
              <w:rPr>
                <w:sz w:val="1"/>
                <w:szCs w:val="1"/>
                <w:color w:val="auto"/>
              </w:rPr>
            </w:pPr>
          </w:p>
        </w:tc>
      </w:tr>
    </w:tbl>
    <w:p>
      <w:pPr>
        <w:sectPr>
          <w:pgSz w:w="11900" w:h="16838" w:orient="portrait"/>
          <w:cols w:equalWidth="0" w:num="1">
            <w:col w:w="11460"/>
          </w:cols>
          <w:pgMar w:left="220" w:top="199" w:right="21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2505710" cy="4476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0571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CLPS Incorporation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have audited the accompanying consolidated balance sheets of CLPS Incorporation and Subsidiaries (collectively, the “Company”) as of June 30, 2017 and 2016, and the related consolidated statements of income and comprehensive income, changes in shareholders’ equity, and cash flows for the years then ended. The Company’s management is responsible for these consolidated financial statements. Our responsibility is to express an opinion on these consolidated financial statements based on our audits.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6"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CLPS Incorporation and Subsidiaries as of June 30, 2017 and 2016, and the consolidated results of their operations and their cash flows for the years then ended in conformity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 Friedman LLP</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December 8, 2017, except for Notes 1, 2, 16, and 17 which are dated March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111760</wp:posOffset>
            </wp:positionV>
            <wp:extent cx="4182745" cy="4076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8274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752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6100" w:type="dxa"/>
            <w:vAlign w:val="bottom"/>
          </w:tcPr>
          <w:p>
            <w:pPr>
              <w:jc w:val="center"/>
              <w:ind w:left="2470"/>
              <w:spacing w:after="0"/>
              <w:rPr>
                <w:sz w:val="20"/>
                <w:szCs w:val="20"/>
                <w:color w:val="auto"/>
              </w:rPr>
            </w:pPr>
            <w:r>
              <w:rPr>
                <w:rFonts w:ascii="Arial" w:cs="Arial" w:eastAsia="Arial" w:hAnsi="Arial"/>
                <w:sz w:val="14"/>
                <w:szCs w:val="14"/>
                <w:b w:val="1"/>
                <w:bCs w:val="1"/>
                <w:color w:val="auto"/>
                <w:w w:val="99"/>
              </w:rPr>
              <w:t>CLPS INCORPORATION</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6100" w:type="dxa"/>
            <w:vAlign w:val="bottom"/>
          </w:tcPr>
          <w:p>
            <w:pPr>
              <w:jc w:val="center"/>
              <w:ind w:left="2450"/>
              <w:spacing w:after="0"/>
              <w:rPr>
                <w:sz w:val="20"/>
                <w:szCs w:val="20"/>
                <w:color w:val="auto"/>
              </w:rPr>
            </w:pPr>
            <w:r>
              <w:rPr>
                <w:rFonts w:ascii="Arial" w:cs="Arial" w:eastAsia="Arial" w:hAnsi="Arial"/>
                <w:sz w:val="14"/>
                <w:szCs w:val="14"/>
                <w:b w:val="1"/>
                <w:bCs w:val="1"/>
                <w:color w:val="auto"/>
                <w:w w:val="99"/>
              </w:rPr>
              <w:t>CONSOLIDATED BALANCE SHEETS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22"/>
        </w:trPr>
        <w:tc>
          <w:tcPr>
            <w:tcW w:w="14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As of</w:t>
            </w:r>
          </w:p>
        </w:tc>
      </w:tr>
      <w:tr>
        <w:trPr>
          <w:trHeight w:val="195"/>
        </w:trPr>
        <w:tc>
          <w:tcPr>
            <w:tcW w:w="14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As of June 30,</w:t>
            </w:r>
          </w:p>
        </w:tc>
        <w:tc>
          <w:tcPr>
            <w:tcW w:w="80" w:type="dxa"/>
            <w:vAlign w:val="bottom"/>
          </w:tcPr>
          <w:p>
            <w:pPr>
              <w:spacing w:after="0"/>
              <w:rPr>
                <w:sz w:val="16"/>
                <w:szCs w:val="16"/>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14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14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gridSpan w:val="2"/>
          </w:tcPr>
          <w:p>
            <w:pPr>
              <w:spacing w:after="0"/>
              <w:rPr>
                <w:sz w:val="14"/>
                <w:szCs w:val="14"/>
                <w:color w:val="auto"/>
              </w:rPr>
            </w:pPr>
          </w:p>
        </w:tc>
      </w:tr>
      <w:tr>
        <w:trPr>
          <w:trHeight w:val="158"/>
        </w:trPr>
        <w:tc>
          <w:tcPr>
            <w:tcW w:w="75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ASSETS</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752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4,814,568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5,277,196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4,659,037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6,644,774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4,373,489</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10,813,479</w:t>
            </w: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Prepayments, deposits and other assets, net</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260,156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952,494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Prepaid income tax</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169,557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134,559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Amount due from related parties</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118,006</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60,136</w:t>
            </w:r>
          </w:p>
        </w:tc>
        <w:tc>
          <w:tcPr>
            <w:tcW w:w="60" w:type="dxa"/>
            <w:vAlign w:val="bottom"/>
            <w:shd w:val="clear" w:color="auto" w:fill="CCEEFF"/>
          </w:tcPr>
          <w:p>
            <w:pPr>
              <w:spacing w:after="0"/>
              <w:rPr>
                <w:sz w:val="16"/>
                <w:szCs w:val="16"/>
                <w:color w:val="auto"/>
              </w:rPr>
            </w:pPr>
          </w:p>
        </w:tc>
      </w:tr>
      <w:tr>
        <w:trPr>
          <w:trHeight w:val="149"/>
        </w:trPr>
        <w:tc>
          <w:tcPr>
            <w:tcW w:w="752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b w:val="1"/>
                <w:bCs w:val="1"/>
                <w:color w:val="auto"/>
              </w:rPr>
              <w:t>Total Current Assets</w:t>
            </w:r>
          </w:p>
        </w:tc>
        <w:tc>
          <w:tcPr>
            <w:tcW w:w="13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12,325,296</w:t>
            </w: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9,910,841</w:t>
            </w: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16,619,705</w:t>
            </w: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r>
      <w:tr>
        <w:trPr>
          <w:trHeight w:val="168"/>
        </w:trPr>
        <w:tc>
          <w:tcPr>
            <w:tcW w:w="1420" w:type="dxa"/>
            <w:vAlign w:val="bottom"/>
            <w:shd w:val="clear" w:color="auto" w:fill="CCEEFF"/>
          </w:tcPr>
          <w:p>
            <w:pPr>
              <w:spacing w:after="0"/>
              <w:rPr>
                <w:sz w:val="14"/>
                <w:szCs w:val="14"/>
                <w:color w:val="auto"/>
              </w:rPr>
            </w:pPr>
          </w:p>
        </w:tc>
        <w:tc>
          <w:tcPr>
            <w:tcW w:w="6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273,347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326,820</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417,026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291,384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195,080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203,265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Prepayments, deposits and other assets, net</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114,248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Long-term investment</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45,141</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 assets, net</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298,953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74,479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200,614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50"/>
        </w:trPr>
        <w:tc>
          <w:tcPr>
            <w:tcW w:w="752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34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13,521,923</w:t>
            </w: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10,471,529</w:t>
            </w: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17,853,399</w:t>
            </w: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22"/>
        </w:trPr>
        <w:tc>
          <w:tcPr>
            <w:tcW w:w="142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68"/>
        </w:trPr>
        <w:tc>
          <w:tcPr>
            <w:tcW w:w="1420" w:type="dxa"/>
            <w:vAlign w:val="bottom"/>
            <w:shd w:val="clear" w:color="auto" w:fill="CCEEFF"/>
          </w:tcPr>
          <w:p>
            <w:pPr>
              <w:spacing w:after="0"/>
              <w:rPr>
                <w:sz w:val="14"/>
                <w:szCs w:val="14"/>
                <w:color w:val="auto"/>
              </w:rPr>
            </w:pPr>
          </w:p>
        </w:tc>
        <w:tc>
          <w:tcPr>
            <w:tcW w:w="6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Accounts payable and other current liabilities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239,165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58,593</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526,861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Short-term bank loans</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753,116</w:t>
            </w: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Tax payables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640,864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428,675</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688,117</w:t>
            </w: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110,631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127,211</w:t>
            </w: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Customer deposits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97,740</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49,612</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779,219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Salaries and benefits payable</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5,392,434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4,578,928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7,190,519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7520" w:type="dxa"/>
            <w:vAlign w:val="bottom"/>
            <w:gridSpan w:val="2"/>
          </w:tcPr>
          <w:p>
            <w:pPr>
              <w:spacing w:after="0"/>
              <w:rPr>
                <w:sz w:val="20"/>
                <w:szCs w:val="20"/>
                <w:color w:val="auto"/>
              </w:rPr>
            </w:pPr>
            <w:r>
              <w:rPr>
                <w:rFonts w:ascii="Arial" w:cs="Arial" w:eastAsia="Arial" w:hAnsi="Arial"/>
                <w:sz w:val="14"/>
                <w:szCs w:val="14"/>
                <w:color w:val="auto"/>
              </w:rPr>
              <w:t>Amounts due to related parties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1,729,791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1,148,197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920,373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Current Liabilities</w:t>
            </w: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8,210,625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6,264,005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10,985,416</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8"/>
        </w:trPr>
        <w:tc>
          <w:tcPr>
            <w:tcW w:w="14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14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8"/>
        </w:trPr>
        <w:tc>
          <w:tcPr>
            <w:tcW w:w="7520" w:type="dxa"/>
            <w:vAlign w:val="bottom"/>
            <w:gridSpan w:val="2"/>
          </w:tcPr>
          <w:p>
            <w:pPr>
              <w:spacing w:after="0" w:line="158" w:lineRule="exact"/>
              <w:rPr>
                <w:sz w:val="20"/>
                <w:szCs w:val="20"/>
                <w:color w:val="auto"/>
              </w:rPr>
            </w:pPr>
            <w:r>
              <w:rPr>
                <w:rFonts w:ascii="Arial" w:cs="Arial" w:eastAsia="Arial" w:hAnsi="Arial"/>
                <w:sz w:val="14"/>
                <w:szCs w:val="14"/>
                <w:color w:val="auto"/>
                <w:w w:val="89"/>
              </w:rPr>
              <w:t>Common share, $0.0001 par value; 100,000,000 shares authorized; 11,290,000 shares issued and outstanding as of June 30, 2017 and</w:t>
            </w:r>
          </w:p>
        </w:tc>
        <w:tc>
          <w:tcPr>
            <w:tcW w:w="1440" w:type="dxa"/>
            <w:vAlign w:val="bottom"/>
            <w:gridSpan w:val="2"/>
          </w:tcPr>
          <w:p>
            <w:pPr>
              <w:jc w:val="right"/>
              <w:ind w:right="210"/>
              <w:spacing w:after="0" w:line="158" w:lineRule="exact"/>
              <w:rPr>
                <w:sz w:val="20"/>
                <w:szCs w:val="20"/>
                <w:color w:val="auto"/>
              </w:rPr>
            </w:pPr>
            <w:r>
              <w:rPr>
                <w:rFonts w:ascii="Arial" w:cs="Arial" w:eastAsia="Arial" w:hAnsi="Arial"/>
                <w:sz w:val="14"/>
                <w:szCs w:val="14"/>
                <w:color w:val="auto"/>
                <w:w w:val="89"/>
              </w:rPr>
              <w:t>2016 and December</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1420" w:type="dxa"/>
            <w:vAlign w:val="bottom"/>
          </w:tcPr>
          <w:p>
            <w:pPr>
              <w:ind w:left="240"/>
              <w:spacing w:after="0"/>
              <w:rPr>
                <w:sz w:val="20"/>
                <w:szCs w:val="20"/>
                <w:color w:val="auto"/>
              </w:rPr>
            </w:pPr>
            <w:r>
              <w:rPr>
                <w:rFonts w:ascii="Arial" w:cs="Arial" w:eastAsia="Arial" w:hAnsi="Arial"/>
                <w:sz w:val="14"/>
                <w:szCs w:val="14"/>
                <w:color w:val="auto"/>
              </w:rPr>
              <w:t>31, 2017 *</w:t>
            </w:r>
          </w:p>
        </w:tc>
        <w:tc>
          <w:tcPr>
            <w:tcW w:w="6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1,129</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7,120,943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7,120,943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7,120,943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520" w:type="dxa"/>
            <w:vAlign w:val="bottom"/>
            <w:gridSpan w:val="2"/>
          </w:tcPr>
          <w:p>
            <w:pPr>
              <w:spacing w:after="0"/>
              <w:rPr>
                <w:sz w:val="20"/>
                <w:szCs w:val="20"/>
                <w:color w:val="auto"/>
              </w:rPr>
            </w:pPr>
            <w:r>
              <w:rPr>
                <w:rFonts w:ascii="Arial" w:cs="Arial" w:eastAsia="Arial" w:hAnsi="Arial"/>
                <w:sz w:val="14"/>
                <w:szCs w:val="14"/>
                <w:color w:val="auto"/>
              </w:rPr>
              <w:t>Statuary reserves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680,671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418,722</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905,553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(2,521,285)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(2,984,943)</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(1,414,838)</w:t>
            </w:r>
          </w:p>
        </w:tc>
      </w:tr>
      <w:tr>
        <w:trPr>
          <w:trHeight w:val="169"/>
        </w:trPr>
        <w:tc>
          <w:tcPr>
            <w:tcW w:w="7520" w:type="dxa"/>
            <w:vAlign w:val="bottom"/>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(447,270)</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(352,361)</w:t>
            </w:r>
          </w:p>
        </w:tc>
        <w:tc>
          <w:tcPr>
            <w:tcW w:w="80" w:type="dxa"/>
            <w:vAlign w:val="bottom"/>
          </w:tcPr>
          <w:p>
            <w:pPr>
              <w:spacing w:after="0"/>
              <w:rPr>
                <w:sz w:val="14"/>
                <w:szCs w:val="1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(236,819)</w:t>
            </w:r>
          </w:p>
        </w:tc>
      </w:tr>
      <w:tr>
        <w:trPr>
          <w:trHeight w:val="168"/>
        </w:trPr>
        <w:tc>
          <w:tcPr>
            <w:tcW w:w="142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9"/>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Total CLPS Incorporation’s Shareholders’ Equity</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4,834,188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4,203,490</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6,375,968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142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9"/>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Non-controlling Interests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477,110</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4,034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142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9"/>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Total Shareholders’ Equity</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5,311,298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4,207,524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6,867,983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142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9"/>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and Shareholders’ Equity</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13,521,923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10,471,529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17,853,399</w:t>
            </w:r>
          </w:p>
        </w:tc>
        <w:tc>
          <w:tcPr>
            <w:tcW w:w="60" w:type="dxa"/>
            <w:vAlign w:val="bottom"/>
          </w:tcPr>
          <w:p>
            <w:pPr>
              <w:spacing w:after="0"/>
              <w:rPr>
                <w:sz w:val="14"/>
                <w:szCs w:val="14"/>
                <w:color w:val="auto"/>
              </w:rPr>
            </w:pPr>
          </w:p>
        </w:tc>
      </w:tr>
      <w:tr>
        <w:trPr>
          <w:trHeight w:val="22"/>
        </w:trPr>
        <w:tc>
          <w:tcPr>
            <w:tcW w:w="14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shares and per share data are presented on a retroactive basis to reflect the nominal share issuance.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00" w:right="2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486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CLPS INCORPORATION</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73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CONSOLIDATED STATEMENTS OF INCOME AND COMPREHENSIVE INCOME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2"/>
        </w:trPr>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14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1"/>
              </w:rPr>
              <w:t>For the six months ended December 31,</w:t>
            </w:r>
          </w:p>
        </w:tc>
      </w:tr>
      <w:tr>
        <w:trPr>
          <w:trHeight w:val="180"/>
        </w:trPr>
        <w:tc>
          <w:tcPr>
            <w:tcW w:w="14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w w:val="83"/>
              </w:rPr>
              <w:t>2017</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69"/>
        </w:trPr>
        <w:tc>
          <w:tcPr>
            <w:tcW w:w="1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r>
      <w:tr>
        <w:trPr>
          <w:trHeight w:val="168"/>
        </w:trPr>
        <w:tc>
          <w:tcPr>
            <w:tcW w:w="1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66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w w:val="99"/>
              </w:rPr>
              <w:t>31,361,976</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29,024,178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22,199,995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14,323,938</w:t>
            </w:r>
          </w:p>
        </w:tc>
      </w:tr>
      <w:tr>
        <w:trPr>
          <w:trHeight w:val="180"/>
        </w:trPr>
        <w:tc>
          <w:tcPr>
            <w:tcW w:w="4860" w:type="dxa"/>
            <w:vAlign w:val="bottom"/>
            <w:gridSpan w:val="2"/>
          </w:tcPr>
          <w:p>
            <w:pPr>
              <w:spacing w:after="0"/>
              <w:rPr>
                <w:sz w:val="20"/>
                <w:szCs w:val="20"/>
                <w:color w:val="auto"/>
              </w:rPr>
            </w:pPr>
            <w:r>
              <w:rPr>
                <w:rFonts w:ascii="Arial" w:cs="Arial" w:eastAsia="Arial" w:hAnsi="Arial"/>
                <w:sz w:val="14"/>
                <w:szCs w:val="14"/>
                <w:color w:val="auto"/>
              </w:rPr>
              <w:t>Less: Cost of revenues</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4"/>
                <w:szCs w:val="14"/>
                <w:color w:val="auto"/>
                <w:w w:val="95"/>
              </w:rPr>
              <w:t>(18,669,812)</w:t>
            </w:r>
          </w:p>
        </w:tc>
        <w:tc>
          <w:tcPr>
            <w:tcW w:w="28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(17,463,416)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(13,341,978)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(8,483,897)</w:t>
            </w:r>
          </w:p>
        </w:tc>
      </w:tr>
      <w:tr>
        <w:trPr>
          <w:trHeight w:val="16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12,692,164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11,560,762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8,858,017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5,840,041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8"/>
        </w:trPr>
        <w:tc>
          <w:tcPr>
            <w:tcW w:w="1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Selling and marketing</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1,206,493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413,016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1,132,931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282,618</w:t>
            </w:r>
          </w:p>
        </w:tc>
      </w:tr>
      <w:tr>
        <w:trPr>
          <w:trHeight w:val="168"/>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4,232,788</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5,579,058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3,562,988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2,006,766</w:t>
            </w:r>
          </w:p>
        </w:tc>
      </w:tr>
      <w:tr>
        <w:trPr>
          <w:trHeight w:val="180"/>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5,647,790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4,955,037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3,064,232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3,032,589</w:t>
            </w:r>
          </w:p>
        </w:tc>
      </w:tr>
      <w:tr>
        <w:trPr>
          <w:trHeight w:val="188"/>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11,087,071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10,947,111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7,760,151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5,321,973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49"/>
        </w:trPr>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Income from operations</w:t>
            </w: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1,605,093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613,651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1,097,866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518,068</w:t>
            </w:r>
          </w:p>
        </w:tc>
        <w:tc>
          <w:tcPr>
            <w:tcW w:w="100" w:type="dxa"/>
            <w:vAlign w:val="bottom"/>
          </w:tcPr>
          <w:p>
            <w:pPr>
              <w:spacing w:after="0"/>
              <w:rPr>
                <w:sz w:val="12"/>
                <w:szCs w:val="12"/>
                <w:color w:val="auto"/>
              </w:rPr>
            </w:pPr>
          </w:p>
        </w:tc>
      </w:tr>
      <w:tr>
        <w:trPr>
          <w:trHeight w:val="168"/>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Subsidies and other income</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508,187</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1,446,408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366,798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455,009</w:t>
            </w:r>
          </w:p>
        </w:tc>
      </w:tr>
      <w:tr>
        <w:trPr>
          <w:trHeight w:val="180"/>
        </w:trPr>
        <w:tc>
          <w:tcPr>
            <w:tcW w:w="4860" w:type="dxa"/>
            <w:vAlign w:val="bottom"/>
            <w:gridSpan w:val="2"/>
          </w:tcPr>
          <w:p>
            <w:pPr>
              <w:spacing w:after="0"/>
              <w:rPr>
                <w:sz w:val="20"/>
                <w:szCs w:val="20"/>
                <w:color w:val="auto"/>
              </w:rPr>
            </w:pPr>
            <w:r>
              <w:rPr>
                <w:rFonts w:ascii="Arial" w:cs="Arial" w:eastAsia="Arial" w:hAnsi="Arial"/>
                <w:sz w:val="14"/>
                <w:szCs w:val="14"/>
                <w:color w:val="auto"/>
              </w:rPr>
              <w:t>Other expense</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4"/>
                <w:szCs w:val="14"/>
                <w:color w:val="auto"/>
              </w:rPr>
              <w:t>(10,469)</w:t>
            </w:r>
          </w:p>
        </w:tc>
        <w:tc>
          <w:tcPr>
            <w:tcW w:w="28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(5,935)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(13,213)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(2,146)</w:t>
            </w:r>
          </w:p>
        </w:tc>
      </w:tr>
      <w:tr>
        <w:trPr>
          <w:trHeight w:val="168"/>
        </w:trPr>
        <w:tc>
          <w:tcPr>
            <w:tcW w:w="1420" w:type="dxa"/>
            <w:vAlign w:val="bottom"/>
            <w:tcBorders>
              <w:top w:val="single" w:sz="8" w:color="CCEEFF"/>
            </w:tcBorders>
            <w:shd w:val="clear" w:color="auto" w:fill="CCEEFF"/>
          </w:tcPr>
          <w:p>
            <w:pPr>
              <w:spacing w:after="0"/>
              <w:rPr>
                <w:sz w:val="14"/>
                <w:szCs w:val="14"/>
                <w:color w:val="auto"/>
              </w:rPr>
            </w:pPr>
          </w:p>
        </w:tc>
        <w:tc>
          <w:tcPr>
            <w:tcW w:w="34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4860" w:type="dxa"/>
            <w:vAlign w:val="bottom"/>
            <w:gridSpan w:val="2"/>
          </w:tcPr>
          <w:p>
            <w:pPr>
              <w:spacing w:after="0"/>
              <w:rPr>
                <w:sz w:val="20"/>
                <w:szCs w:val="20"/>
                <w:color w:val="auto"/>
              </w:rPr>
            </w:pPr>
            <w:r>
              <w:rPr>
                <w:rFonts w:ascii="Arial" w:cs="Arial" w:eastAsia="Arial" w:hAnsi="Arial"/>
                <w:sz w:val="14"/>
                <w:szCs w:val="14"/>
                <w:color w:val="auto"/>
              </w:rPr>
              <w:t>Income before income tax</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4"/>
                <w:szCs w:val="14"/>
                <w:color w:val="auto"/>
              </w:rPr>
              <w:t>2,102,811</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2,054,124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1,451,451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970,931</w:t>
            </w:r>
          </w:p>
        </w:tc>
      </w:tr>
      <w:tr>
        <w:trPr>
          <w:trHeight w:val="199"/>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(118,546)</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269,153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(54,042)</w:t>
            </w:r>
          </w:p>
        </w:tc>
      </w:tr>
      <w:tr>
        <w:trPr>
          <w:trHeight w:val="149"/>
        </w:trPr>
        <w:tc>
          <w:tcPr>
            <w:tcW w:w="486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Net income</w:t>
            </w:r>
          </w:p>
        </w:tc>
        <w:tc>
          <w:tcPr>
            <w:tcW w:w="122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2,221,357</w:t>
            </w: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1,784,971</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1,325,391</w:t>
            </w: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1,024,973</w:t>
            </w:r>
          </w:p>
        </w:tc>
        <w:tc>
          <w:tcPr>
            <w:tcW w:w="100" w:type="dxa"/>
            <w:vAlign w:val="bottom"/>
            <w:tcBorders>
              <w:top w:val="single" w:sz="8" w:color="CCEEFF"/>
            </w:tcBorders>
          </w:tcPr>
          <w:p>
            <w:pPr>
              <w:spacing w:after="0"/>
              <w:rPr>
                <w:sz w:val="12"/>
                <w:szCs w:val="12"/>
                <w:color w:val="auto"/>
              </w:rPr>
            </w:pPr>
          </w:p>
        </w:tc>
      </w:tr>
      <w:tr>
        <w:trPr>
          <w:trHeight w:val="199"/>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173,912</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(475)</w:t>
            </w:r>
          </w:p>
        </w:tc>
      </w:tr>
      <w:tr>
        <w:trPr>
          <w:trHeight w:val="212"/>
        </w:trPr>
        <w:tc>
          <w:tcPr>
            <w:tcW w:w="486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Net income attributable to CLPS Incorporation’s shareholders</w:t>
            </w:r>
          </w:p>
        </w:tc>
        <w:tc>
          <w:tcPr>
            <w:tcW w:w="12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2,047,445</w:t>
            </w:r>
          </w:p>
        </w:tc>
        <w:tc>
          <w:tcPr>
            <w:tcW w:w="2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1,826,112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1,331,329</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1,025,448</w:t>
            </w:r>
          </w:p>
        </w:tc>
        <w:tc>
          <w:tcPr>
            <w:tcW w:w="100" w:type="dxa"/>
            <w:vAlign w:val="bottom"/>
            <w:tcBorders>
              <w:top w:val="single" w:sz="8" w:color="CCEEFF"/>
              <w:bottom w:val="single" w:sz="8" w:color="CCEEFF"/>
            </w:tcBorders>
          </w:tcPr>
          <w:p>
            <w:pPr>
              <w:spacing w:after="0"/>
              <w:rPr>
                <w:sz w:val="18"/>
                <w:szCs w:val="18"/>
                <w:color w:val="auto"/>
              </w:rPr>
            </w:pPr>
          </w:p>
        </w:tc>
      </w:tr>
      <w:tr>
        <w:trPr>
          <w:trHeight w:val="160"/>
        </w:trPr>
        <w:tc>
          <w:tcPr>
            <w:tcW w:w="142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4860" w:type="dxa"/>
            <w:vAlign w:val="bottom"/>
            <w:gridSpan w:val="2"/>
          </w:tcPr>
          <w:p>
            <w:pPr>
              <w:spacing w:after="0"/>
              <w:rPr>
                <w:sz w:val="20"/>
                <w:szCs w:val="20"/>
                <w:color w:val="auto"/>
              </w:rPr>
            </w:pPr>
            <w:r>
              <w:rPr>
                <w:rFonts w:ascii="Arial" w:cs="Arial" w:eastAsia="Arial" w:hAnsi="Arial"/>
                <w:sz w:val="14"/>
                <w:szCs w:val="14"/>
                <w:color w:val="auto"/>
              </w:rPr>
              <w:t>Other comprehensive (loss) income</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translation (loss) gain</w:t>
            </w:r>
          </w:p>
        </w:tc>
        <w:tc>
          <w:tcPr>
            <w:tcW w:w="166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(93,177)</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(387,100)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231,224</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(233,825)</w:t>
            </w:r>
          </w:p>
        </w:tc>
      </w:tr>
      <w:tr>
        <w:trPr>
          <w:trHeight w:val="180"/>
        </w:trPr>
        <w:tc>
          <w:tcPr>
            <w:tcW w:w="4860" w:type="dxa"/>
            <w:vAlign w:val="bottom"/>
            <w:gridSpan w:val="2"/>
          </w:tcPr>
          <w:p>
            <w:pPr>
              <w:spacing w:after="0"/>
              <w:rPr>
                <w:sz w:val="20"/>
                <w:szCs w:val="20"/>
                <w:color w:val="auto"/>
              </w:rPr>
            </w:pPr>
            <w:r>
              <w:rPr>
                <w:rFonts w:ascii="Arial" w:cs="Arial" w:eastAsia="Arial" w:hAnsi="Arial"/>
                <w:sz w:val="14"/>
                <w:szCs w:val="14"/>
                <w:color w:val="auto"/>
                <w:w w:val="93"/>
              </w:rPr>
              <w:t>Less: foreign currency translation gain (loss) attributable to Non-controlling interests</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4"/>
                <w:szCs w:val="14"/>
                <w:color w:val="auto"/>
              </w:rPr>
              <w:t>1,732</w:t>
            </w:r>
          </w:p>
        </w:tc>
        <w:tc>
          <w:tcPr>
            <w:tcW w:w="28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(1,471)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20,773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(7,049)</w:t>
            </w:r>
          </w:p>
        </w:tc>
      </w:tr>
      <w:tr>
        <w:trPr>
          <w:trHeight w:val="190"/>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1"/>
              </w:rPr>
              <w:t>Other comprehensive (loss) income attributable to CLPS Incorporation’s shareholders</w:t>
            </w: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(94,909</w:t>
            </w:r>
          </w:p>
        </w:tc>
        <w:tc>
          <w:tcPr>
            <w:tcW w:w="2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(385,629</w:t>
            </w:r>
          </w:p>
        </w:tc>
        <w:tc>
          <w:tcPr>
            <w:tcW w:w="14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(226,776</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1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14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4860" w:type="dxa"/>
            <w:vAlign w:val="bottom"/>
            <w:gridSpan w:val="2"/>
          </w:tcPr>
          <w:p>
            <w:pPr>
              <w:spacing w:after="0"/>
              <w:rPr>
                <w:sz w:val="20"/>
                <w:szCs w:val="20"/>
                <w:color w:val="auto"/>
              </w:rPr>
            </w:pPr>
            <w:r>
              <w:rPr>
                <w:rFonts w:ascii="Arial" w:cs="Arial" w:eastAsia="Arial" w:hAnsi="Arial"/>
                <w:sz w:val="14"/>
                <w:szCs w:val="14"/>
                <w:color w:val="auto"/>
              </w:rPr>
              <w:t>CLPS Incorporation shareholders</w:t>
            </w:r>
          </w:p>
        </w:tc>
        <w:tc>
          <w:tcPr>
            <w:tcW w:w="1660" w:type="dxa"/>
            <w:vAlign w:val="bottom"/>
            <w:gridSpan w:val="2"/>
          </w:tcPr>
          <w:p>
            <w:pPr>
              <w:jc w:val="right"/>
              <w:ind w:right="29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1,952,536</w:t>
            </w:r>
          </w:p>
        </w:tc>
        <w:tc>
          <w:tcPr>
            <w:tcW w:w="24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1,440,483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1,541,780</w:t>
            </w:r>
          </w:p>
        </w:tc>
        <w:tc>
          <w:tcPr>
            <w:tcW w:w="1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798,672</w:t>
            </w:r>
          </w:p>
        </w:tc>
      </w:tr>
      <w:tr>
        <w:trPr>
          <w:trHeight w:val="180"/>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175,644</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(42,612)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(7,524)</w:t>
            </w:r>
          </w:p>
        </w:tc>
      </w:tr>
      <w:tr>
        <w:trPr>
          <w:trHeight w:val="230"/>
        </w:trPr>
        <w:tc>
          <w:tcPr>
            <w:tcW w:w="1420" w:type="dxa"/>
            <w:vAlign w:val="bottom"/>
            <w:tcBorders>
              <w:top w:val="single" w:sz="8" w:color="CCEEFF"/>
              <w:bottom w:val="single" w:sz="8" w:color="CCEEFF"/>
            </w:tcBorders>
          </w:tcPr>
          <w:p>
            <w:pPr>
              <w:spacing w:after="0"/>
              <w:rPr>
                <w:sz w:val="20"/>
                <w:szCs w:val="20"/>
                <w:color w:val="auto"/>
              </w:rPr>
            </w:pPr>
          </w:p>
        </w:tc>
        <w:tc>
          <w:tcPr>
            <w:tcW w:w="3440" w:type="dxa"/>
            <w:vAlign w:val="bottom"/>
            <w:tcBorders>
              <w:top w:val="single" w:sz="8" w:color="CCEEFF"/>
              <w:bottom w:val="single" w:sz="8" w:color="CCEEFF"/>
            </w:tcBorders>
          </w:tcPr>
          <w:p>
            <w:pPr>
              <w:spacing w:after="0"/>
              <w:rPr>
                <w:sz w:val="20"/>
                <w:szCs w:val="20"/>
                <w:color w:val="auto"/>
              </w:rPr>
            </w:pPr>
          </w:p>
        </w:tc>
        <w:tc>
          <w:tcPr>
            <w:tcW w:w="1220" w:type="dxa"/>
            <w:vAlign w:val="bottom"/>
            <w:tcBorders>
              <w:top w:val="single" w:sz="8" w:color="CCEEFF"/>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2,128,180</w:t>
            </w:r>
          </w:p>
        </w:tc>
        <w:tc>
          <w:tcPr>
            <w:tcW w:w="24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1,397,871</w:t>
            </w:r>
          </w:p>
        </w:tc>
        <w:tc>
          <w:tcPr>
            <w:tcW w:w="14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1,556,615</w:t>
            </w:r>
          </w:p>
        </w:tc>
        <w:tc>
          <w:tcPr>
            <w:tcW w:w="12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791,148</w:t>
            </w:r>
          </w:p>
        </w:tc>
        <w:tc>
          <w:tcPr>
            <w:tcW w:w="100" w:type="dxa"/>
            <w:vAlign w:val="bottom"/>
            <w:tcBorders>
              <w:top w:val="single" w:sz="8" w:color="CCEEFF"/>
              <w:bottom w:val="single" w:sz="8" w:color="CCEEFF"/>
            </w:tcBorders>
          </w:tcPr>
          <w:p>
            <w:pPr>
              <w:spacing w:after="0"/>
              <w:rPr>
                <w:sz w:val="20"/>
                <w:szCs w:val="20"/>
                <w:color w:val="auto"/>
              </w:rPr>
            </w:pPr>
          </w:p>
        </w:tc>
      </w:tr>
      <w:tr>
        <w:trPr>
          <w:trHeight w:val="160"/>
        </w:trPr>
        <w:tc>
          <w:tcPr>
            <w:tcW w:w="142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41"/>
        </w:trPr>
        <w:tc>
          <w:tcPr>
            <w:tcW w:w="4860" w:type="dxa"/>
            <w:vAlign w:val="bottom"/>
            <w:gridSpan w:val="2"/>
          </w:tcPr>
          <w:p>
            <w:pPr>
              <w:spacing w:after="0"/>
              <w:rPr>
                <w:sz w:val="20"/>
                <w:szCs w:val="20"/>
                <w:color w:val="auto"/>
              </w:rPr>
            </w:pPr>
            <w:r>
              <w:rPr>
                <w:rFonts w:ascii="Arial" w:cs="Arial" w:eastAsia="Arial" w:hAnsi="Arial"/>
                <w:sz w:val="14"/>
                <w:szCs w:val="14"/>
                <w:color w:val="auto"/>
              </w:rPr>
              <w:t>Basic and diluted earnings per common share *</w:t>
            </w:r>
          </w:p>
        </w:tc>
        <w:tc>
          <w:tcPr>
            <w:tcW w:w="1220" w:type="dxa"/>
            <w:vAlign w:val="bottom"/>
          </w:tcPr>
          <w:p>
            <w:pPr>
              <w:spacing w:after="0"/>
              <w:rPr>
                <w:sz w:val="20"/>
                <w:szCs w:val="20"/>
                <w:color w:val="auto"/>
              </w:rPr>
            </w:pPr>
          </w:p>
        </w:tc>
        <w:tc>
          <w:tcPr>
            <w:tcW w:w="440" w:type="dxa"/>
            <w:vAlign w:val="bottom"/>
          </w:tcPr>
          <w:p>
            <w:pPr>
              <w:jc w:val="right"/>
              <w:ind w:right="29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70"/>
              <w:spacing w:after="0"/>
              <w:rPr>
                <w:sz w:val="20"/>
                <w:szCs w:val="20"/>
                <w:color w:val="auto"/>
              </w:rPr>
            </w:pPr>
            <w:r>
              <w:rPr>
                <w:rFonts w:ascii="Arial" w:cs="Arial" w:eastAsia="Arial" w:hAnsi="Arial"/>
                <w:sz w:val="14"/>
                <w:szCs w:val="14"/>
                <w:color w:val="auto"/>
              </w:rPr>
              <w:t>0.16</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0.18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0.09</w:t>
            </w:r>
          </w:p>
        </w:tc>
      </w:tr>
      <w:tr>
        <w:trPr>
          <w:trHeight w:val="161"/>
        </w:trPr>
        <w:tc>
          <w:tcPr>
            <w:tcW w:w="4860" w:type="dxa"/>
            <w:vAlign w:val="bottom"/>
            <w:tcBorders>
              <w:top w:val="single" w:sz="8" w:color="CCEEFF"/>
              <w:bottom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Weighted average number of share outstanding – basic and diluted</w:t>
            </w:r>
          </w:p>
        </w:tc>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w w:val="99"/>
              </w:rPr>
              <w:t>11,290,000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11,290,000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shares and per share data are presented on a retroactive basis to reflect the nominal share issuance.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284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7"/>
          </w:tcPr>
          <w:p>
            <w:pPr>
              <w:jc w:val="right"/>
              <w:spacing w:after="0"/>
              <w:rPr>
                <w:sz w:val="20"/>
                <w:szCs w:val="20"/>
                <w:color w:val="auto"/>
              </w:rPr>
            </w:pPr>
            <w:r>
              <w:rPr>
                <w:rFonts w:ascii="Arial" w:cs="Arial" w:eastAsia="Arial" w:hAnsi="Arial"/>
                <w:sz w:val="14"/>
                <w:szCs w:val="14"/>
                <w:b w:val="1"/>
                <w:bCs w:val="1"/>
                <w:color w:val="auto"/>
              </w:rPr>
              <w:t>CLPS INCORPORATION</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520" w:type="dxa"/>
            <w:vAlign w:val="bottom"/>
            <w:gridSpan w:val="17"/>
          </w:tcPr>
          <w:p>
            <w:pPr>
              <w:jc w:val="right"/>
              <w:ind w:right="40"/>
              <w:spacing w:after="0"/>
              <w:rPr>
                <w:sz w:val="20"/>
                <w:szCs w:val="20"/>
                <w:color w:val="auto"/>
              </w:rPr>
            </w:pPr>
            <w:r>
              <w:rPr>
                <w:rFonts w:ascii="Arial" w:cs="Arial" w:eastAsia="Arial" w:hAnsi="Arial"/>
                <w:sz w:val="14"/>
                <w:szCs w:val="14"/>
                <w:b w:val="1"/>
                <w:bCs w:val="1"/>
                <w:color w:val="auto"/>
              </w:rPr>
              <w:t>CONSOLIDATED STATEMENTS OF CHANGES IN SHAREHOLDERS’ EQUITY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Retained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Share</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Earnings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Statutory</w:t>
            </w:r>
          </w:p>
        </w:tc>
        <w:tc>
          <w:tcPr>
            <w:tcW w:w="2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9"/>
              </w:rPr>
              <w:t>Amount*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Surplus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July 1, 2015</w:t>
            </w:r>
          </w:p>
        </w:tc>
        <w:tc>
          <w:tcPr>
            <w:tcW w:w="8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11,290,000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2,696,377</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540,967</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2,639,885</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5,913,141</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Shareholder’s contribution</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3,377,813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3,377,813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Recapitalization of Shanghai CLPS</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1,051,952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(551,684)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(500,268)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Non-controlling shareholders’ contribution</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46,919</w:t>
            </w: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46,919</w:t>
            </w:r>
          </w:p>
        </w:tc>
        <w:tc>
          <w:tcPr>
            <w:tcW w:w="0" w:type="dxa"/>
            <w:vAlign w:val="bottom"/>
          </w:tcPr>
          <w:p>
            <w:pPr>
              <w:spacing w:after="0"/>
              <w:rPr>
                <w:sz w:val="1"/>
                <w:szCs w:val="1"/>
                <w:color w:val="auto"/>
              </w:rPr>
            </w:pPr>
          </w:p>
        </w:tc>
      </w:tr>
      <w:tr>
        <w:trPr>
          <w:trHeight w:val="168"/>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Repurchase of Non-controlling interest</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(1,788)</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(6,987)</w:t>
            </w: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Dividends declared</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(6,521,233)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7"/>
              </w:rPr>
              <w:t>(6,521,233)</w:t>
            </w:r>
          </w:p>
        </w:tc>
        <w:tc>
          <w:tcPr>
            <w:tcW w:w="0" w:type="dxa"/>
            <w:vAlign w:val="bottom"/>
          </w:tcPr>
          <w:p>
            <w:pPr>
              <w:spacing w:after="0"/>
              <w:rPr>
                <w:sz w:val="1"/>
                <w:szCs w:val="1"/>
                <w:color w:val="auto"/>
              </w:rPr>
            </w:pPr>
          </w:p>
        </w:tc>
      </w:tr>
      <w:tr>
        <w:trPr>
          <w:trHeight w:val="168"/>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for the year</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1,826,112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(41,141)</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1,784,971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Appropriation of statutory reserve</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429,439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(429,439)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translation adjustments</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(385,629)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(1,471)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(387,100)</w:t>
            </w:r>
          </w:p>
        </w:tc>
        <w:tc>
          <w:tcPr>
            <w:tcW w:w="0" w:type="dxa"/>
            <w:vAlign w:val="bottom"/>
          </w:tcPr>
          <w:p>
            <w:pPr>
              <w:spacing w:after="0"/>
              <w:rPr>
                <w:sz w:val="1"/>
                <w:szCs w:val="1"/>
                <w:color w:val="auto"/>
              </w:rPr>
            </w:pPr>
          </w:p>
        </w:tc>
      </w:tr>
      <w:tr>
        <w:trPr>
          <w:trHeight w:val="149"/>
        </w:trPr>
        <w:tc>
          <w:tcPr>
            <w:tcW w:w="284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Balance at June 30, 2016</w:t>
            </w:r>
          </w:p>
        </w:tc>
        <w:tc>
          <w:tcPr>
            <w:tcW w:w="86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11,290,000</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1,129</w:t>
            </w: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7,120,943</w:t>
            </w: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418,722</w:t>
            </w: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(2,984,943)</w:t>
            </w: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(352,361)</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4,034</w:t>
            </w: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4,207,524</w:t>
            </w: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shareholders’ contribution</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Non-controlling interest through acquisition</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290,994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290,994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declared</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(1,321,838)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(1,321,838)</w:t>
            </w: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Net income for the year</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2,047,445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173,912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2,221,357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Appropriation of statutory reserve</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261,949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(261,949)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40" w:type="dxa"/>
            <w:vAlign w:val="bottom"/>
            <w:gridSpan w:val="2"/>
          </w:tcPr>
          <w:p>
            <w:pPr>
              <w:spacing w:after="0"/>
              <w:rPr>
                <w:sz w:val="20"/>
                <w:szCs w:val="20"/>
                <w:color w:val="auto"/>
              </w:rPr>
            </w:pPr>
            <w:r>
              <w:rPr>
                <w:rFonts w:ascii="Arial" w:cs="Arial" w:eastAsia="Arial" w:hAnsi="Arial"/>
                <w:sz w:val="14"/>
                <w:szCs w:val="14"/>
                <w:color w:val="auto"/>
              </w:rPr>
              <w:t>Foreign currency translation adjustments</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(94,909)</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(93,177)</w:t>
            </w:r>
          </w:p>
        </w:tc>
        <w:tc>
          <w:tcPr>
            <w:tcW w:w="0" w:type="dxa"/>
            <w:vAlign w:val="bottom"/>
          </w:tcPr>
          <w:p>
            <w:pPr>
              <w:spacing w:after="0"/>
              <w:rPr>
                <w:sz w:val="1"/>
                <w:szCs w:val="1"/>
                <w:color w:val="auto"/>
              </w:rPr>
            </w:pPr>
          </w:p>
        </w:tc>
      </w:tr>
      <w:tr>
        <w:trPr>
          <w:trHeight w:val="168"/>
        </w:trPr>
        <w:tc>
          <w:tcPr>
            <w:tcW w:w="2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June 30, 2017</w:t>
            </w:r>
          </w:p>
        </w:tc>
        <w:tc>
          <w:tcPr>
            <w:tcW w:w="8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11,290,000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7,120,943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680,671</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(2,521,285)</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(447,270)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477,110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5,311,298</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Non-controlling interest through acquisition</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for the period</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1,331,329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(5,938)</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1,325,391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color w:val="auto"/>
              </w:rPr>
              <w:t>Appropriation of statutory reserve</w:t>
            </w:r>
          </w:p>
        </w:tc>
        <w:tc>
          <w:tcPr>
            <w:tcW w:w="1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224,882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(224,882)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translation adjustments</w:t>
            </w: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210,451</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20,773</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Balance at December 31, 2017 (Unaudited)</w:t>
            </w:r>
          </w:p>
        </w:tc>
        <w:tc>
          <w:tcPr>
            <w:tcW w:w="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11,290,000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7,120,943</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905,553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(1,414,838</w:t>
            </w:r>
          </w:p>
        </w:tc>
        <w:tc>
          <w:tcPr>
            <w:tcW w:w="1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(236,819</w:t>
            </w:r>
          </w:p>
        </w:tc>
        <w:tc>
          <w:tcPr>
            <w:tcW w:w="1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492,015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6,867,983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shares and per share data are presented on a retroactive basis to reflect the nominal share issuance.</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40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CLPS INCORPORATION</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4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8"/>
              </w:rPr>
              <w:t>CONSOLIDATED STATEMENTS OF CASH FLOWS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226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2,221,357</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1,784,971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1,325,391</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1,024,973</w:t>
            </w:r>
          </w:p>
        </w:tc>
        <w:tc>
          <w:tcPr>
            <w:tcW w:w="0" w:type="dxa"/>
            <w:vAlign w:val="bottom"/>
          </w:tcPr>
          <w:p>
            <w:pPr>
              <w:spacing w:after="0"/>
              <w:rPr>
                <w:sz w:val="1"/>
                <w:szCs w:val="1"/>
                <w:color w:val="auto"/>
              </w:rPr>
            </w:pPr>
          </w:p>
        </w:tc>
      </w:tr>
      <w:tr>
        <w:trPr>
          <w:trHeight w:val="168"/>
        </w:trPr>
        <w:tc>
          <w:tcPr>
            <w:tcW w:w="6340" w:type="dxa"/>
            <w:vAlign w:val="bottom"/>
            <w:gridSpan w:val="4"/>
          </w:tcPr>
          <w:p>
            <w:pPr>
              <w:ind w:left="14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143,626</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54,105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102,365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71,778</w:t>
            </w:r>
          </w:p>
        </w:tc>
        <w:tc>
          <w:tcPr>
            <w:tcW w:w="0" w:type="dxa"/>
            <w:vAlign w:val="bottom"/>
          </w:tcPr>
          <w:p>
            <w:pPr>
              <w:spacing w:after="0"/>
              <w:rPr>
                <w:sz w:val="1"/>
                <w:szCs w:val="1"/>
                <w:color w:val="auto"/>
              </w:rPr>
            </w:pPr>
          </w:p>
        </w:tc>
      </w:tr>
      <w:tr>
        <w:trPr>
          <w:trHeight w:val="168"/>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Deferred tax (benefit) provision</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4"/>
                <w:szCs w:val="14"/>
                <w:color w:val="auto"/>
              </w:rPr>
              <w:t>(221,114)</w:t>
            </w:r>
          </w:p>
        </w:tc>
        <w:tc>
          <w:tcPr>
            <w:tcW w:w="2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(96,713)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109,116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(124,663)</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Provision for doubtful accounts</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86,463</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60,787</w:t>
            </w:r>
          </w:p>
        </w:tc>
        <w:tc>
          <w:tcPr>
            <w:tcW w:w="0" w:type="dxa"/>
            <w:vAlign w:val="bottom"/>
          </w:tcPr>
          <w:p>
            <w:pPr>
              <w:spacing w:after="0"/>
              <w:rPr>
                <w:sz w:val="1"/>
                <w:szCs w:val="1"/>
                <w:color w:val="auto"/>
              </w:rPr>
            </w:pPr>
          </w:p>
        </w:tc>
      </w:tr>
      <w:tr>
        <w:trPr>
          <w:trHeight w:val="168"/>
        </w:trPr>
        <w:tc>
          <w:tcPr>
            <w:tcW w:w="4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Changes in assets and liabilities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Accounts receivable</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(2,410,155)</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1,053,207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(4,168,705)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(1,474,414)</w:t>
            </w:r>
          </w:p>
        </w:tc>
        <w:tc>
          <w:tcPr>
            <w:tcW w:w="0" w:type="dxa"/>
            <w:vAlign w:val="bottom"/>
          </w:tcPr>
          <w:p>
            <w:pPr>
              <w:spacing w:after="0"/>
              <w:rPr>
                <w:sz w:val="1"/>
                <w:szCs w:val="1"/>
                <w:color w:val="auto"/>
              </w:rPr>
            </w:pPr>
          </w:p>
        </w:tc>
      </w:tr>
      <w:tr>
        <w:trPr>
          <w:trHeight w:val="168"/>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Prepayment, deposits and other assets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4"/>
                <w:szCs w:val="14"/>
                <w:color w:val="auto"/>
              </w:rPr>
              <w:t>(357,761)</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417,190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(303,637)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(348,107)</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Prepaid income tax</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(168,825)</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(34,998)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25,880</w:t>
            </w:r>
          </w:p>
        </w:tc>
        <w:tc>
          <w:tcPr>
            <w:tcW w:w="0" w:type="dxa"/>
            <w:vAlign w:val="bottom"/>
          </w:tcPr>
          <w:p>
            <w:pPr>
              <w:spacing w:after="0"/>
              <w:rPr>
                <w:sz w:val="1"/>
                <w:szCs w:val="1"/>
                <w:color w:val="auto"/>
              </w:rPr>
            </w:pPr>
          </w:p>
        </w:tc>
      </w:tr>
      <w:tr>
        <w:trPr>
          <w:trHeight w:val="168"/>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Accounts payable and other current liabilities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52,574</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27,152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287,696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225,277</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Taxes payable</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219,672</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208,772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47,253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(71,010)</w:t>
            </w:r>
          </w:p>
        </w:tc>
        <w:tc>
          <w:tcPr>
            <w:tcW w:w="0" w:type="dxa"/>
            <w:vAlign w:val="bottom"/>
          </w:tcPr>
          <w:p>
            <w:pPr>
              <w:spacing w:after="0"/>
              <w:rPr>
                <w:sz w:val="1"/>
                <w:szCs w:val="1"/>
                <w:color w:val="auto"/>
              </w:rPr>
            </w:pPr>
          </w:p>
        </w:tc>
      </w:tr>
      <w:tr>
        <w:trPr>
          <w:trHeight w:val="168"/>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Deferred revenue</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110,153</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16,580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Customer deposits</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48,892</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51,194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681,479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406,488</w:t>
            </w:r>
          </w:p>
        </w:tc>
        <w:tc>
          <w:tcPr>
            <w:tcW w:w="0" w:type="dxa"/>
            <w:vAlign w:val="bottom"/>
          </w:tcPr>
          <w:p>
            <w:pPr>
              <w:spacing w:after="0"/>
              <w:rPr>
                <w:sz w:val="1"/>
                <w:szCs w:val="1"/>
                <w:color w:val="auto"/>
              </w:rPr>
            </w:pPr>
          </w:p>
        </w:tc>
      </w:tr>
      <w:tr>
        <w:trPr>
          <w:trHeight w:val="180"/>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Salaries and benefits payable</w:t>
            </w:r>
          </w:p>
        </w:tc>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899,462</w:t>
            </w:r>
          </w:p>
        </w:tc>
        <w:tc>
          <w:tcPr>
            <w:tcW w:w="2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957,167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1,798,085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943,076</w:t>
            </w:r>
          </w:p>
        </w:tc>
        <w:tc>
          <w:tcPr>
            <w:tcW w:w="0" w:type="dxa"/>
            <w:vAlign w:val="bottom"/>
          </w:tcPr>
          <w:p>
            <w:pPr>
              <w:spacing w:after="0"/>
              <w:rPr>
                <w:sz w:val="1"/>
                <w:szCs w:val="1"/>
                <w:color w:val="auto"/>
              </w:rPr>
            </w:pPr>
          </w:p>
        </w:tc>
      </w:tr>
      <w:tr>
        <w:trPr>
          <w:trHeight w:val="169"/>
        </w:trPr>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624,344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4,462,268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(137,467</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740,065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Acquisition of property and equipment</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4"/>
                <w:szCs w:val="14"/>
                <w:color w:val="auto"/>
              </w:rPr>
              <w:t>(62,518)</w:t>
            </w:r>
          </w:p>
        </w:tc>
        <w:tc>
          <w:tcPr>
            <w:tcW w:w="2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(327,768)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(219,693)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(30,380)</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Payment for business acquisition</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(349,617)</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Cash acquired from acquisition</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266,856</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266,856</w:t>
            </w: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Disposition (acquisition) of long term investment</w:t>
            </w:r>
          </w:p>
        </w:tc>
        <w:tc>
          <w:tcPr>
            <w:tcW w:w="2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44,061</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(46,580)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080" w:type="dxa"/>
            <w:vAlign w:val="bottom"/>
            <w:tcBorders>
              <w:top w:val="single" w:sz="8" w:color="CCEEFF"/>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200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(101,218</w:t>
            </w:r>
          </w:p>
        </w:tc>
        <w:tc>
          <w:tcPr>
            <w:tcW w:w="240" w:type="dxa"/>
            <w:vAlign w:val="bottom"/>
            <w:tcBorders>
              <w:top w:val="single" w:sz="8" w:color="CCEEFF"/>
              <w:bottom w:val="single" w:sz="8" w:color="CCEEFF"/>
            </w:tcBorders>
          </w:tcPr>
          <w:p>
            <w:pPr>
              <w:jc w:val="right"/>
              <w:ind w:right="110"/>
              <w:spacing w:after="0" w:line="149" w:lineRule="exact"/>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(374,348</w:t>
            </w:r>
          </w:p>
        </w:tc>
        <w:tc>
          <w:tcPr>
            <w:tcW w:w="14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(219,693</w:t>
            </w:r>
          </w:p>
        </w:tc>
        <w:tc>
          <w:tcPr>
            <w:tcW w:w="12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236,476</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Proceeds from short-term bank loans</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2,243,570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Repayment of short-term bank loans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(1,505,752)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Capital contribution by shareholders</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2,135,673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Non-controlling interest shareholder’s contribution</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6,438</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46,919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6,438</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Purchase of non-controlling interest</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Restricted cash</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155,267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Amounts due from related parties</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2,491,794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57,870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(14,162)</w:t>
            </w:r>
          </w:p>
        </w:tc>
        <w:tc>
          <w:tcPr>
            <w:tcW w:w="0" w:type="dxa"/>
            <w:vAlign w:val="bottom"/>
          </w:tcPr>
          <w:p>
            <w:pPr>
              <w:spacing w:after="0"/>
              <w:rPr>
                <w:sz w:val="1"/>
                <w:szCs w:val="1"/>
                <w:color w:val="auto"/>
              </w:rPr>
            </w:pPr>
          </w:p>
        </w:tc>
      </w:tr>
      <w:tr>
        <w:trPr>
          <w:trHeight w:val="168"/>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Amounts due to related parties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4"/>
                <w:szCs w:val="14"/>
                <w:color w:val="auto"/>
              </w:rPr>
              <w:t>(102,754)</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77,590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(209,251)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177,956</w:t>
            </w: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Dividend paid</w:t>
            </w:r>
          </w:p>
        </w:tc>
        <w:tc>
          <w:tcPr>
            <w:tcW w:w="2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(736,436)</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(5,279,093)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(600,167)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080" w:type="dxa"/>
            <w:vAlign w:val="bottom"/>
            <w:tcBorders>
              <w:top w:val="single" w:sz="8" w:color="CCEEFF"/>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200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(832,752</w:t>
            </w:r>
          </w:p>
        </w:tc>
        <w:tc>
          <w:tcPr>
            <w:tcW w:w="240" w:type="dxa"/>
            <w:vAlign w:val="bottom"/>
            <w:tcBorders>
              <w:top w:val="single" w:sz="8" w:color="CCEEFF"/>
              <w:bottom w:val="single" w:sz="8" w:color="CCEEFF"/>
            </w:tcBorders>
          </w:tcPr>
          <w:p>
            <w:pPr>
              <w:jc w:val="right"/>
              <w:ind w:right="110"/>
              <w:spacing w:after="0" w:line="149" w:lineRule="exact"/>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(378,837</w:t>
            </w:r>
          </w:p>
        </w:tc>
        <w:tc>
          <w:tcPr>
            <w:tcW w:w="14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(13,730</w:t>
            </w:r>
          </w:p>
        </w:tc>
        <w:tc>
          <w:tcPr>
            <w:tcW w:w="12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170,232</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gridSpan w:val="2"/>
          </w:tcPr>
          <w:p>
            <w:pPr>
              <w:spacing w:after="0"/>
              <w:rPr>
                <w:sz w:val="20"/>
                <w:szCs w:val="20"/>
                <w:color w:val="auto"/>
              </w:rPr>
            </w:pPr>
            <w:r>
              <w:rPr>
                <w:rFonts w:ascii="Arial" w:cs="Arial" w:eastAsia="Arial" w:hAnsi="Arial"/>
                <w:sz w:val="14"/>
                <w:szCs w:val="14"/>
                <w:color w:val="auto"/>
              </w:rPr>
              <w:t>Effect of exchange rate changes</w:t>
            </w:r>
          </w:p>
        </w:tc>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4"/>
                <w:szCs w:val="14"/>
                <w:color w:val="auto"/>
              </w:rPr>
              <w:t>(153,002)</w:t>
            </w:r>
          </w:p>
        </w:tc>
        <w:tc>
          <w:tcPr>
            <w:tcW w:w="28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(227,771)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215,359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(120,034)</w:t>
            </w:r>
          </w:p>
        </w:tc>
        <w:tc>
          <w:tcPr>
            <w:tcW w:w="0" w:type="dxa"/>
            <w:vAlign w:val="bottom"/>
          </w:tcPr>
          <w:p>
            <w:pPr>
              <w:spacing w:after="0"/>
              <w:rPr>
                <w:sz w:val="1"/>
                <w:szCs w:val="1"/>
                <w:color w:val="auto"/>
              </w:rPr>
            </w:pPr>
          </w:p>
        </w:tc>
      </w:tr>
      <w:tr>
        <w:trPr>
          <w:trHeight w:val="168"/>
        </w:trPr>
        <w:tc>
          <w:tcPr>
            <w:tcW w:w="142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spacing w:after="0"/>
              <w:rPr>
                <w:sz w:val="20"/>
                <w:szCs w:val="20"/>
                <w:color w:val="auto"/>
              </w:rPr>
            </w:pPr>
            <w:r>
              <w:rPr>
                <w:rFonts w:ascii="Arial" w:cs="Arial" w:eastAsia="Arial" w:hAnsi="Arial"/>
                <w:sz w:val="14"/>
                <w:szCs w:val="14"/>
                <w:color w:val="auto"/>
              </w:rPr>
              <w:t>Net (decrease) increase in cash</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4"/>
                <w:szCs w:val="14"/>
                <w:color w:val="auto"/>
              </w:rPr>
              <w:t>(462,628)</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3,481,312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(155,531)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1,026,739</w:t>
            </w:r>
          </w:p>
        </w:tc>
        <w:tc>
          <w:tcPr>
            <w:tcW w:w="0" w:type="dxa"/>
            <w:vAlign w:val="bottom"/>
          </w:tcPr>
          <w:p>
            <w:pPr>
              <w:spacing w:after="0"/>
              <w:rPr>
                <w:sz w:val="1"/>
                <w:szCs w:val="1"/>
                <w:color w:val="auto"/>
              </w:rPr>
            </w:pPr>
          </w:p>
        </w:tc>
      </w:tr>
      <w:tr>
        <w:trPr>
          <w:trHeight w:val="180"/>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 beginning of period</w:t>
            </w:r>
          </w:p>
        </w:tc>
        <w:tc>
          <w:tcPr>
            <w:tcW w:w="2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5,277,196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1,795,884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4,814,568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5,277,196</w:t>
            </w:r>
          </w:p>
        </w:tc>
        <w:tc>
          <w:tcPr>
            <w:tcW w:w="0" w:type="dxa"/>
            <w:vAlign w:val="bottom"/>
          </w:tcPr>
          <w:p>
            <w:pPr>
              <w:spacing w:after="0"/>
              <w:rPr>
                <w:sz w:val="1"/>
                <w:szCs w:val="1"/>
                <w:color w:val="auto"/>
              </w:rPr>
            </w:pPr>
          </w:p>
        </w:tc>
      </w:tr>
      <w:tr>
        <w:trPr>
          <w:trHeight w:val="168"/>
        </w:trPr>
        <w:tc>
          <w:tcPr>
            <w:tcW w:w="142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c>
          <w:tcPr>
            <w:tcW w:w="20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 end of period</w:t>
            </w:r>
          </w:p>
        </w:tc>
        <w:tc>
          <w:tcPr>
            <w:tcW w:w="226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4,814,568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5,277,196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4,659,037</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6,303,935</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SUPPLEMENTAL DISCLOSURE OF CASH FLOW INFORMATION:</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080" w:type="dxa"/>
            <w:vAlign w:val="bottom"/>
            <w:gridSpan w:val="2"/>
          </w:tcPr>
          <w:p>
            <w:pPr>
              <w:spacing w:after="0"/>
              <w:rPr>
                <w:sz w:val="20"/>
                <w:szCs w:val="20"/>
                <w:color w:val="auto"/>
              </w:rPr>
            </w:pPr>
            <w:r>
              <w:rPr>
                <w:rFonts w:ascii="Arial" w:cs="Arial" w:eastAsia="Arial" w:hAnsi="Arial"/>
                <w:sz w:val="14"/>
                <w:szCs w:val="14"/>
                <w:color w:val="auto"/>
              </w:rPr>
              <w:t>Income tax paid</w:t>
            </w:r>
          </w:p>
        </w:tc>
        <w:tc>
          <w:tcPr>
            <w:tcW w:w="2000" w:type="dxa"/>
            <w:vAlign w:val="bottom"/>
          </w:tcPr>
          <w:p>
            <w:pPr>
              <w:spacing w:after="0"/>
              <w:rPr>
                <w:sz w:val="20"/>
                <w:szCs w:val="20"/>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335,143</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285,019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131,826</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133,111</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bottom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Interest paid</w:t>
            </w:r>
          </w:p>
        </w:tc>
        <w:tc>
          <w:tcPr>
            <w:tcW w:w="20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10"/>
              <w:spacing w:after="0" w:line="160"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14,681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Non-Cash Transactions of Investing and Financing Activities</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080" w:type="dxa"/>
            <w:vAlign w:val="bottom"/>
            <w:gridSpan w:val="2"/>
          </w:tcPr>
          <w:p>
            <w:pPr>
              <w:spacing w:after="0"/>
              <w:rPr>
                <w:sz w:val="20"/>
                <w:szCs w:val="20"/>
                <w:color w:val="auto"/>
              </w:rPr>
            </w:pPr>
            <w:r>
              <w:rPr>
                <w:rFonts w:ascii="Arial" w:cs="Arial" w:eastAsia="Arial" w:hAnsi="Arial"/>
                <w:sz w:val="14"/>
                <w:szCs w:val="14"/>
                <w:color w:val="auto"/>
              </w:rPr>
              <w:t>Dividend payable included in due to related parties</w:t>
            </w:r>
          </w:p>
        </w:tc>
        <w:tc>
          <w:tcPr>
            <w:tcW w:w="2000" w:type="dxa"/>
            <w:vAlign w:val="bottom"/>
          </w:tcPr>
          <w:p>
            <w:pPr>
              <w:spacing w:after="0"/>
              <w:rPr>
                <w:sz w:val="20"/>
                <w:szCs w:val="20"/>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585,402</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bottom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Payable for business acquisition</w:t>
            </w:r>
          </w:p>
        </w:tc>
        <w:tc>
          <w:tcPr>
            <w:tcW w:w="20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10"/>
              <w:spacing w:after="0" w:line="160"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128,371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26,750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468,742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Dividend contributed to capital</w:t>
            </w:r>
          </w:p>
        </w:tc>
        <w:tc>
          <w:tcPr>
            <w:tcW w:w="2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tcBorders>
              <w:bottom w:val="single" w:sz="8" w:color="CCEEFF"/>
            </w:tcBorders>
            <w:gridSpan w:val="2"/>
            <w:vMerge w:val="continue"/>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line="160"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1,242,140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080" w:type="dxa"/>
            <w:vAlign w:val="bottom"/>
            <w:tcBorders>
              <w:bottom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Capital contribution from non-controlling shareholders</w:t>
            </w:r>
          </w:p>
        </w:tc>
        <w:tc>
          <w:tcPr>
            <w:tcW w:w="20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0"/>
              <w:spacing w:after="0" w:line="160"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DESCRIPTION OF BUSINESS</w:t>
      </w:r>
    </w:p>
    <w:p>
      <w:pPr>
        <w:spacing w:after="0" w:line="180"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and President, together with Mr. Raymond Ming Hui Lin, the Company’s Chief Executive Officer (“CEO”) are the controlling shareholders of the Company. (the “controlling shareholder”).</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Reorganization</w:t>
      </w:r>
    </w:p>
    <w:p>
      <w:pPr>
        <w:spacing w:after="0" w:line="180" w:lineRule="exact"/>
        <w:rPr>
          <w:sz w:val="20"/>
          <w:szCs w:val="20"/>
          <w:color w:val="auto"/>
        </w:rPr>
      </w:pPr>
    </w:p>
    <w:p>
      <w:pPr>
        <w:ind w:right="60"/>
        <w:spacing w:after="0" w:line="316" w:lineRule="auto"/>
        <w:rPr>
          <w:sz w:val="20"/>
          <w:szCs w:val="20"/>
          <w:color w:val="auto"/>
        </w:rPr>
      </w:pPr>
      <w:r>
        <w:rPr>
          <w:rFonts w:ascii="Arial" w:cs="Arial" w:eastAsia="Arial" w:hAnsi="Arial"/>
          <w:sz w:val="12"/>
          <w:szCs w:val="12"/>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and President, together with Mr. Raymond Ming Hui Lin, the Company’s Chief Executive Officer (“CEO”) are the controlling shareholders of the Company (the “Controlling shareholders”).</w:t>
      </w:r>
    </w:p>
    <w:p>
      <w:pPr>
        <w:spacing w:after="0" w:line="115" w:lineRule="exact"/>
        <w:rPr>
          <w:sz w:val="20"/>
          <w:szCs w:val="20"/>
          <w:color w:val="auto"/>
        </w:rPr>
      </w:pPr>
    </w:p>
    <w:p>
      <w:pPr>
        <w:ind w:right="120"/>
        <w:spacing w:after="0" w:line="293" w:lineRule="auto"/>
        <w:rPr>
          <w:sz w:val="20"/>
          <w:szCs w:val="20"/>
          <w:color w:val="auto"/>
        </w:rPr>
      </w:pPr>
      <w:r>
        <w:rPr>
          <w:rFonts w:ascii="Arial" w:cs="Arial" w:eastAsia="Arial" w:hAnsi="Arial"/>
          <w:sz w:val="13"/>
          <w:szCs w:val="13"/>
          <w:color w:val="auto"/>
        </w:rPr>
        <w:t>A reorganization of the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Prior to the reorganization, CLPS Shanghai’s equity interests were 100% controlled by the same group of the controlling shareholders of CLPS.</w:t>
      </w:r>
    </w:p>
    <w:p>
      <w:pPr>
        <w:spacing w:after="0" w:line="176" w:lineRule="exact"/>
        <w:rPr>
          <w:sz w:val="20"/>
          <w:szCs w:val="20"/>
          <w:color w:val="auto"/>
        </w:rPr>
      </w:pPr>
    </w:p>
    <w:p>
      <w:pPr>
        <w:ind w:right="140"/>
        <w:spacing w:after="0" w:line="286" w:lineRule="auto"/>
        <w:rPr>
          <w:sz w:val="20"/>
          <w:szCs w:val="20"/>
          <w:color w:val="auto"/>
        </w:rPr>
      </w:pPr>
      <w:r>
        <w:rPr>
          <w:rFonts w:ascii="Arial" w:cs="Arial" w:eastAsia="Arial" w:hAnsi="Arial"/>
          <w:sz w:val="13"/>
          <w:szCs w:val="13"/>
          <w:color w:val="auto"/>
        </w:rPr>
        <w:t>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47" w:lineRule="exact"/>
        <w:rPr>
          <w:sz w:val="20"/>
          <w:szCs w:val="20"/>
          <w:color w:val="auto"/>
        </w:rPr>
      </w:pPr>
    </w:p>
    <w:p>
      <w:pPr>
        <w:jc w:val="both"/>
        <w:ind w:right="540"/>
        <w:spacing w:after="0" w:line="293" w:lineRule="auto"/>
        <w:rPr>
          <w:sz w:val="20"/>
          <w:szCs w:val="20"/>
          <w:color w:val="auto"/>
        </w:rPr>
      </w:pPr>
      <w:r>
        <w:rPr>
          <w:rFonts w:ascii="Arial" w:cs="Arial" w:eastAsia="Arial" w:hAnsi="Arial"/>
          <w:sz w:val="13"/>
          <w:szCs w:val="13"/>
          <w:color w:val="auto"/>
        </w:rPr>
        <w:t>Since the Company and its subsidiaries are effectively controlled by the same group of the shareholders before and after the reorganization, they are considered under common control. The above 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DESCRIPTION OF BUSINESS - continued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Reorganization - continued</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Upon the reorganization, the Company has subsidiaries in PRC, Hong Kong, Taiwan, British Virgin Islands, Australia and Singapore. Details of the subsidiaries of the Company are set out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 of Incorporation/</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4"/>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acquisition</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Place of Incorporation</w:t>
            </w:r>
          </w:p>
        </w:tc>
        <w:tc>
          <w:tcPr>
            <w:tcW w:w="3640" w:type="dxa"/>
            <w:vAlign w:val="bottom"/>
            <w:gridSpan w:val="3"/>
          </w:tcPr>
          <w:p>
            <w:pPr>
              <w:ind w:left="1060"/>
              <w:spacing w:after="0"/>
              <w:rPr>
                <w:sz w:val="20"/>
                <w:szCs w:val="20"/>
                <w:color w:val="auto"/>
              </w:rPr>
            </w:pPr>
            <w:r>
              <w:rPr>
                <w:rFonts w:ascii="Arial" w:cs="Arial" w:eastAsia="Arial" w:hAnsi="Arial"/>
                <w:sz w:val="14"/>
                <w:szCs w:val="14"/>
                <w:b w:val="1"/>
                <w:bCs w:val="1"/>
                <w:color w:val="auto"/>
              </w:rPr>
              <w:t>% of Equity Ownership</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Principal Activities</w:t>
            </w:r>
          </w:p>
        </w:tc>
      </w:tr>
      <w:tr>
        <w:trPr>
          <w:trHeight w:val="158"/>
        </w:trPr>
        <w:tc>
          <w:tcPr>
            <w:tcW w:w="236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CLPS Incorporation (“CLPS” or the</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1"/>
              </w:rPr>
              <w:t>Incorporated on</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89"/>
              </w:rPr>
              <w:t>Cayman Islands</w:t>
            </w:r>
          </w:p>
        </w:tc>
        <w:tc>
          <w:tcPr>
            <w:tcW w:w="10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87"/>
              </w:rPr>
              <w:t>Parent</w:t>
            </w:r>
          </w:p>
        </w:tc>
        <w:tc>
          <w:tcPr>
            <w:tcW w:w="1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color w:val="auto"/>
                <w:w w:val="93"/>
              </w:rPr>
              <w:t>Holding Company</w:t>
            </w:r>
          </w:p>
        </w:tc>
      </w:tr>
      <w:tr>
        <w:trPr>
          <w:trHeight w:val="179"/>
        </w:trPr>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w:t>
            </w: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May 11, 2017</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Qinheng Co., Limited (“Qinheng”)</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2"/>
              </w:rPr>
              <w:t>Hong Kong, China</w:t>
            </w:r>
          </w:p>
        </w:tc>
        <w:tc>
          <w:tcPr>
            <w:tcW w:w="1860" w:type="dxa"/>
            <w:vAlign w:val="bottom"/>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3"/>
              </w:rPr>
              <w:t>Holding Company</w:t>
            </w:r>
          </w:p>
        </w:tc>
      </w:tr>
      <w:tr>
        <w:trPr>
          <w:trHeight w:val="179"/>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June 9, 2017</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Qiner Co., Limited (“Qiner”)</w:t>
            </w:r>
          </w:p>
        </w:tc>
        <w:tc>
          <w:tcPr>
            <w:tcW w:w="18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2"/>
              </w:rPr>
              <w:t>Hong Kong, China</w:t>
            </w:r>
          </w:p>
        </w:tc>
        <w:tc>
          <w:tcPr>
            <w:tcW w:w="1860" w:type="dxa"/>
            <w:vAlign w:val="bottom"/>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3"/>
              </w:rPr>
              <w:t>Holding Company</w:t>
            </w:r>
          </w:p>
        </w:tc>
      </w:tr>
      <w:tr>
        <w:trPr>
          <w:trHeight w:val="179"/>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April 21, 2017</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Shanghai Qincheng Information</w:t>
            </w:r>
          </w:p>
        </w:tc>
        <w:tc>
          <w:tcPr>
            <w:tcW w:w="18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88"/>
              </w:rPr>
              <w:t>Shanghai, China</w:t>
            </w:r>
          </w:p>
        </w:tc>
        <w:tc>
          <w:tcPr>
            <w:tcW w:w="1860" w:type="dxa"/>
            <w:vAlign w:val="bottom"/>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3"/>
              </w:rPr>
              <w:t>Holding Company</w:t>
            </w:r>
          </w:p>
        </w:tc>
      </w:tr>
      <w:tr>
        <w:trPr>
          <w:trHeight w:val="168"/>
        </w:trPr>
        <w:tc>
          <w:tcPr>
            <w:tcW w:w="2460" w:type="dxa"/>
            <w:vAlign w:val="bottom"/>
            <w:gridSpan w:val="2"/>
          </w:tcPr>
          <w:p>
            <w:pPr>
              <w:spacing w:after="0"/>
              <w:rPr>
                <w:sz w:val="20"/>
                <w:szCs w:val="20"/>
                <w:color w:val="auto"/>
              </w:rPr>
            </w:pPr>
            <w:r>
              <w:rPr>
                <w:rFonts w:ascii="Arial" w:cs="Arial" w:eastAsia="Arial" w:hAnsi="Arial"/>
                <w:sz w:val="14"/>
                <w:szCs w:val="14"/>
                <w:color w:val="auto"/>
              </w:rPr>
              <w:t>Technology Co., Ltd (“CLPS QC” or</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August 4, 2017</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9"/>
        </w:trPr>
        <w:tc>
          <w:tcPr>
            <w:tcW w:w="2460" w:type="dxa"/>
            <w:vAlign w:val="bottom"/>
            <w:gridSpan w:val="2"/>
          </w:tcPr>
          <w:p>
            <w:pPr>
              <w:spacing w:after="0"/>
              <w:rPr>
                <w:sz w:val="20"/>
                <w:szCs w:val="20"/>
                <w:color w:val="auto"/>
              </w:rPr>
            </w:pPr>
            <w:r>
              <w:rPr>
                <w:rFonts w:ascii="Arial" w:cs="Arial" w:eastAsia="Arial" w:hAnsi="Arial"/>
                <w:sz w:val="14"/>
                <w:szCs w:val="14"/>
                <w:color w:val="auto"/>
              </w:rPr>
              <w:t>“WOFE”)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w w:val="98"/>
              </w:rPr>
              <w:t>ChinaLink Professional Service Co., Ltd</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1"/>
              </w:rPr>
              <w:t>Incorporated on August 30,</w:t>
            </w:r>
          </w:p>
        </w:tc>
        <w:tc>
          <w:tcPr>
            <w:tcW w:w="182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88"/>
              </w:rPr>
              <w:t>Shanghai, China</w:t>
            </w:r>
          </w:p>
        </w:tc>
        <w:tc>
          <w:tcPr>
            <w:tcW w:w="1860" w:type="dxa"/>
            <w:vAlign w:val="bottom"/>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79"/>
        </w:trPr>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(“CLPS Shanghai”)</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2005</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68"/>
        </w:trPr>
        <w:tc>
          <w:tcPr>
            <w:tcW w:w="2460" w:type="dxa"/>
            <w:vAlign w:val="bottom"/>
            <w:gridSpan w:val="2"/>
          </w:tcPr>
          <w:p>
            <w:pPr>
              <w:spacing w:after="0"/>
              <w:rPr>
                <w:sz w:val="20"/>
                <w:szCs w:val="20"/>
                <w:color w:val="auto"/>
              </w:rPr>
            </w:pPr>
            <w:r>
              <w:rPr>
                <w:rFonts w:ascii="Arial" w:cs="Arial" w:eastAsia="Arial" w:hAnsi="Arial"/>
                <w:sz w:val="14"/>
                <w:szCs w:val="14"/>
                <w:color w:val="auto"/>
              </w:rPr>
              <w:t>CLPS Dalian Co., Ltd (“CLPS Dalian”)</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Incorporated on May 25, 2011</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Dalian, China</w:t>
            </w:r>
          </w:p>
        </w:tc>
        <w:tc>
          <w:tcPr>
            <w:tcW w:w="1860" w:type="dxa"/>
            <w:vAlign w:val="bottom"/>
          </w:tcPr>
          <w:p>
            <w:pPr>
              <w:jc w:val="center"/>
              <w:ind w:right="70"/>
              <w:spacing w:after="0"/>
              <w:rPr>
                <w:sz w:val="20"/>
                <w:szCs w:val="20"/>
                <w:color w:val="auto"/>
              </w:rPr>
            </w:pPr>
            <w:r>
              <w:rPr>
                <w:rFonts w:ascii="Arial" w:cs="Arial" w:eastAsia="Arial" w:hAnsi="Arial"/>
                <w:sz w:val="14"/>
                <w:szCs w:val="14"/>
                <w:color w:val="auto"/>
                <w:w w:val="89"/>
              </w:rPr>
              <w:t>100%</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Consolidated subsidiary</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Software development</w:t>
            </w: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CLPS Ruicheng Co., Ltd (“CLPS RC”)</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88"/>
              </w:rPr>
              <w:t>Shanghai, China</w:t>
            </w:r>
          </w:p>
        </w:tc>
        <w:tc>
          <w:tcPr>
            <w:tcW w:w="1860" w:type="dxa"/>
            <w:vAlign w:val="bottom"/>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79"/>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7"/>
              </w:rPr>
              <w:t>June 26, 2013</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w w:val="97"/>
              </w:rPr>
              <w:t>CLPS Beijing Hengtong Co., Ltd (“CLPS</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4"/>
              </w:rPr>
              <w:t>Beijing, China</w:t>
            </w:r>
          </w:p>
        </w:tc>
        <w:tc>
          <w:tcPr>
            <w:tcW w:w="1860" w:type="dxa"/>
            <w:vAlign w:val="bottom"/>
          </w:tcPr>
          <w:p>
            <w:pPr>
              <w:jc w:val="center"/>
              <w:ind w:right="50"/>
              <w:spacing w:after="0" w:line="158" w:lineRule="exact"/>
              <w:rPr>
                <w:sz w:val="20"/>
                <w:szCs w:val="20"/>
                <w:color w:val="auto"/>
              </w:rPr>
            </w:pPr>
            <w:r>
              <w:rPr>
                <w:rFonts w:ascii="Arial" w:cs="Arial" w:eastAsia="Arial" w:hAnsi="Arial"/>
                <w:sz w:val="14"/>
                <w:szCs w:val="14"/>
                <w:color w:val="auto"/>
                <w:w w:val="92"/>
              </w:rPr>
              <w:t>70% owned by CLPS</w:t>
            </w:r>
          </w:p>
        </w:tc>
        <w:tc>
          <w:tcPr>
            <w:tcW w:w="178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68"/>
        </w:trPr>
        <w:tc>
          <w:tcPr>
            <w:tcW w:w="2460" w:type="dxa"/>
            <w:vAlign w:val="bottom"/>
            <w:gridSpan w:val="2"/>
          </w:tcPr>
          <w:p>
            <w:pPr>
              <w:spacing w:after="0"/>
              <w:rPr>
                <w:sz w:val="20"/>
                <w:szCs w:val="20"/>
                <w:color w:val="auto"/>
              </w:rPr>
            </w:pPr>
            <w:r>
              <w:rPr>
                <w:rFonts w:ascii="Arial" w:cs="Arial" w:eastAsia="Arial" w:hAnsi="Arial"/>
                <w:sz w:val="14"/>
                <w:szCs w:val="14"/>
                <w:color w:val="auto"/>
              </w:rPr>
              <w:t>Beijing”)</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March 30, 2015</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70"/>
              <w:spacing w:after="0"/>
              <w:rPr>
                <w:sz w:val="20"/>
                <w:szCs w:val="20"/>
                <w:color w:val="auto"/>
              </w:rPr>
            </w:pPr>
            <w:r>
              <w:rPr>
                <w:rFonts w:ascii="Arial" w:cs="Arial" w:eastAsia="Arial" w:hAnsi="Arial"/>
                <w:sz w:val="14"/>
                <w:szCs w:val="14"/>
                <w:color w:val="auto"/>
                <w:w w:val="90"/>
              </w:rPr>
              <w:t>Shanghai and 30% owned by</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70"/>
              <w:spacing w:after="0"/>
              <w:rPr>
                <w:sz w:val="20"/>
                <w:szCs w:val="20"/>
                <w:color w:val="auto"/>
              </w:rPr>
            </w:pPr>
            <w:r>
              <w:rPr>
                <w:rFonts w:ascii="Arial" w:cs="Arial" w:eastAsia="Arial" w:hAnsi="Arial"/>
                <w:sz w:val="14"/>
                <w:szCs w:val="14"/>
                <w:color w:val="auto"/>
                <w:w w:val="92"/>
              </w:rPr>
              <w:t>unrelated individual</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9"/>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ind w:right="50"/>
              <w:spacing w:after="0"/>
              <w:rPr>
                <w:sz w:val="20"/>
                <w:szCs w:val="20"/>
                <w:color w:val="auto"/>
              </w:rPr>
            </w:pPr>
            <w:r>
              <w:rPr>
                <w:rFonts w:ascii="Arial" w:cs="Arial" w:eastAsia="Arial" w:hAnsi="Arial"/>
                <w:sz w:val="14"/>
                <w:szCs w:val="14"/>
                <w:color w:val="auto"/>
                <w:w w:val="86"/>
              </w:rPr>
              <w:t>shareholders</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CLPS TECHNOLOGY (SINGAPORE)</w:t>
            </w:r>
          </w:p>
        </w:tc>
        <w:tc>
          <w:tcPr>
            <w:tcW w:w="182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2"/>
              </w:rPr>
              <w:t>Incorporated on August 18,</w:t>
            </w:r>
          </w:p>
        </w:tc>
        <w:tc>
          <w:tcPr>
            <w:tcW w:w="182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87"/>
              </w:rPr>
              <w:t>Singapore</w:t>
            </w:r>
          </w:p>
        </w:tc>
        <w:tc>
          <w:tcPr>
            <w:tcW w:w="1860" w:type="dxa"/>
            <w:vAlign w:val="bottom"/>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79"/>
        </w:trPr>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PTE.LTD (“CLPS SG”)</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CLPS TECHNOLOGY (AUSTRALIA)</w:t>
            </w:r>
          </w:p>
        </w:tc>
        <w:tc>
          <w:tcPr>
            <w:tcW w:w="182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1"/>
              </w:rPr>
              <w:t>Incorporated on November</w:t>
            </w:r>
          </w:p>
        </w:tc>
        <w:tc>
          <w:tcPr>
            <w:tcW w:w="182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5"/>
              </w:rPr>
              <w:t>Australia</w:t>
            </w:r>
          </w:p>
        </w:tc>
        <w:tc>
          <w:tcPr>
            <w:tcW w:w="1860" w:type="dxa"/>
            <w:vAlign w:val="bottom"/>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79"/>
        </w:trPr>
        <w:tc>
          <w:tcPr>
            <w:tcW w:w="2460" w:type="dxa"/>
            <w:vAlign w:val="bottom"/>
            <w:gridSpan w:val="2"/>
          </w:tcPr>
          <w:p>
            <w:pPr>
              <w:spacing w:after="0"/>
              <w:rPr>
                <w:sz w:val="20"/>
                <w:szCs w:val="20"/>
                <w:color w:val="auto"/>
              </w:rPr>
            </w:pPr>
            <w:r>
              <w:rPr>
                <w:rFonts w:ascii="Arial" w:cs="Arial" w:eastAsia="Arial" w:hAnsi="Arial"/>
                <w:sz w:val="14"/>
                <w:szCs w:val="14"/>
                <w:color w:val="auto"/>
              </w:rPr>
              <w:t>PTY LTD (“CLPS AU”)</w:t>
            </w: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10, 2015</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CLPS Technology (Hong Kong) Co.,</w:t>
            </w:r>
          </w:p>
        </w:tc>
        <w:tc>
          <w:tcPr>
            <w:tcW w:w="1820" w:type="dxa"/>
            <w:vAlign w:val="bottom"/>
            <w:gridSpan w:val="2"/>
            <w:shd w:val="clear" w:color="auto" w:fill="CCEEFF"/>
          </w:tcPr>
          <w:p>
            <w:pPr>
              <w:jc w:val="center"/>
              <w:ind w:right="40"/>
              <w:spacing w:after="0" w:line="158" w:lineRule="exact"/>
              <w:rPr>
                <w:sz w:val="20"/>
                <w:szCs w:val="20"/>
                <w:color w:val="auto"/>
              </w:rPr>
            </w:pPr>
            <w:r>
              <w:rPr>
                <w:rFonts w:ascii="Arial" w:cs="Arial" w:eastAsia="Arial" w:hAnsi="Arial"/>
                <w:sz w:val="14"/>
                <w:szCs w:val="14"/>
                <w:color w:val="auto"/>
                <w:w w:val="89"/>
              </w:rPr>
              <w:t>Incorporated on January 7,</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2"/>
              </w:rPr>
              <w:t>Hong Kong, China</w:t>
            </w:r>
          </w:p>
        </w:tc>
        <w:tc>
          <w:tcPr>
            <w:tcW w:w="1860" w:type="dxa"/>
            <w:vAlign w:val="bottom"/>
            <w:shd w:val="clear" w:color="auto" w:fill="CCEEFF"/>
          </w:tcPr>
          <w:p>
            <w:pPr>
              <w:jc w:val="center"/>
              <w:ind w:right="50"/>
              <w:spacing w:after="0" w:line="158" w:lineRule="exact"/>
              <w:rPr>
                <w:sz w:val="20"/>
                <w:szCs w:val="20"/>
                <w:color w:val="auto"/>
              </w:rPr>
            </w:pPr>
            <w:r>
              <w:rPr>
                <w:rFonts w:ascii="Arial" w:cs="Arial" w:eastAsia="Arial" w:hAnsi="Arial"/>
                <w:sz w:val="14"/>
                <w:szCs w:val="14"/>
                <w:color w:val="auto"/>
                <w:w w:val="92"/>
              </w:rPr>
              <w:t>80% owned by CLPS</w:t>
            </w:r>
          </w:p>
        </w:tc>
        <w:tc>
          <w:tcPr>
            <w:tcW w:w="178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68"/>
        </w:trPr>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Limited (“CLPS Hong Kong”)</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0"/>
              </w:rPr>
              <w:t>Shanghai and 20% owned by</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68"/>
        </w:trPr>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unrelated individual</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9"/>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86"/>
              </w:rPr>
              <w:t>shareholders</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Judge (Shanghai) Co., Ltd (“Judge</w:t>
            </w:r>
          </w:p>
        </w:tc>
        <w:tc>
          <w:tcPr>
            <w:tcW w:w="18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3"/>
              </w:rPr>
              <w:t>Acquired on</w:t>
            </w:r>
          </w:p>
        </w:tc>
        <w:tc>
          <w:tcPr>
            <w:tcW w:w="182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88"/>
              </w:rPr>
              <w:t>Shanghai, China</w:t>
            </w:r>
          </w:p>
        </w:tc>
        <w:tc>
          <w:tcPr>
            <w:tcW w:w="1860" w:type="dxa"/>
            <w:vAlign w:val="bottom"/>
          </w:tcPr>
          <w:p>
            <w:pPr>
              <w:jc w:val="center"/>
              <w:ind w:right="50"/>
              <w:spacing w:after="0" w:line="158" w:lineRule="exact"/>
              <w:rPr>
                <w:sz w:val="20"/>
                <w:szCs w:val="20"/>
                <w:color w:val="auto"/>
              </w:rPr>
            </w:pPr>
            <w:r>
              <w:rPr>
                <w:rFonts w:ascii="Arial" w:cs="Arial" w:eastAsia="Arial" w:hAnsi="Arial"/>
                <w:sz w:val="14"/>
                <w:szCs w:val="14"/>
                <w:color w:val="auto"/>
                <w:w w:val="92"/>
              </w:rPr>
              <w:t>60% owned by CLPS</w:t>
            </w:r>
          </w:p>
        </w:tc>
        <w:tc>
          <w:tcPr>
            <w:tcW w:w="178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68"/>
        </w:trPr>
        <w:tc>
          <w:tcPr>
            <w:tcW w:w="2460" w:type="dxa"/>
            <w:vAlign w:val="bottom"/>
            <w:gridSpan w:val="2"/>
          </w:tcPr>
          <w:p>
            <w:pPr>
              <w:spacing w:after="0"/>
              <w:rPr>
                <w:sz w:val="20"/>
                <w:szCs w:val="20"/>
                <w:color w:val="auto"/>
              </w:rPr>
            </w:pPr>
            <w:r>
              <w:rPr>
                <w:rFonts w:ascii="Arial" w:cs="Arial" w:eastAsia="Arial" w:hAnsi="Arial"/>
                <w:sz w:val="14"/>
                <w:szCs w:val="14"/>
                <w:color w:val="auto"/>
              </w:rPr>
              <w:t>China”)</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November 9, 2016</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70"/>
              <w:spacing w:after="0"/>
              <w:rPr>
                <w:sz w:val="20"/>
                <w:szCs w:val="20"/>
                <w:color w:val="auto"/>
              </w:rPr>
            </w:pPr>
            <w:r>
              <w:rPr>
                <w:rFonts w:ascii="Arial" w:cs="Arial" w:eastAsia="Arial" w:hAnsi="Arial"/>
                <w:sz w:val="14"/>
                <w:szCs w:val="14"/>
                <w:color w:val="auto"/>
                <w:w w:val="90"/>
              </w:rPr>
              <w:t>Shanghai and 40% owned by</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9"/>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ind w:right="50"/>
              <w:spacing w:after="0"/>
              <w:rPr>
                <w:sz w:val="20"/>
                <w:szCs w:val="20"/>
                <w:color w:val="auto"/>
              </w:rPr>
            </w:pPr>
            <w:r>
              <w:rPr>
                <w:rFonts w:ascii="Arial" w:cs="Arial" w:eastAsia="Arial" w:hAnsi="Arial"/>
                <w:sz w:val="14"/>
                <w:szCs w:val="14"/>
                <w:color w:val="auto"/>
                <w:w w:val="89"/>
              </w:rPr>
              <w:t>an unrelated Company;</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w w:val="96"/>
              </w:rPr>
              <w:t>Judge (Shanghai) Human Resource Co.,</w:t>
            </w:r>
          </w:p>
        </w:tc>
        <w:tc>
          <w:tcPr>
            <w:tcW w:w="18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3"/>
              </w:rPr>
              <w:t>Acquired on</w:t>
            </w:r>
          </w:p>
        </w:tc>
        <w:tc>
          <w:tcPr>
            <w:tcW w:w="182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88"/>
              </w:rPr>
              <w:t>Shanghai, China</w:t>
            </w:r>
          </w:p>
        </w:tc>
        <w:tc>
          <w:tcPr>
            <w:tcW w:w="1860" w:type="dxa"/>
            <w:vAlign w:val="bottom"/>
            <w:shd w:val="clear" w:color="auto" w:fill="CCEEFF"/>
          </w:tcPr>
          <w:p>
            <w:pPr>
              <w:jc w:val="center"/>
              <w:ind w:right="50"/>
              <w:spacing w:after="0" w:line="158" w:lineRule="exact"/>
              <w:rPr>
                <w:sz w:val="20"/>
                <w:szCs w:val="20"/>
                <w:color w:val="auto"/>
              </w:rPr>
            </w:pPr>
            <w:r>
              <w:rPr>
                <w:rFonts w:ascii="Arial" w:cs="Arial" w:eastAsia="Arial" w:hAnsi="Arial"/>
                <w:sz w:val="14"/>
                <w:szCs w:val="14"/>
                <w:color w:val="auto"/>
                <w:w w:val="90"/>
              </w:rPr>
              <w:t>70% owned by Judge China</w:t>
            </w:r>
          </w:p>
        </w:tc>
        <w:tc>
          <w:tcPr>
            <w:tcW w:w="178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68"/>
        </w:trPr>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Ltd (“Judge HR”)</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November 9, 2016</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9"/>
              </w:rPr>
              <w:t>and 30% owned by an</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9"/>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0"/>
              </w:rPr>
              <w:t>unrelated company</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CLPS Shenzhen Co., Ltd (“CLPS</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89"/>
              </w:rPr>
              <w:t>Shenzhen, China</w:t>
            </w:r>
          </w:p>
        </w:tc>
        <w:tc>
          <w:tcPr>
            <w:tcW w:w="1860" w:type="dxa"/>
            <w:vAlign w:val="bottom"/>
          </w:tcPr>
          <w:p>
            <w:pPr>
              <w:jc w:val="center"/>
              <w:ind w:right="50"/>
              <w:spacing w:after="0" w:line="158" w:lineRule="exact"/>
              <w:rPr>
                <w:sz w:val="20"/>
                <w:szCs w:val="20"/>
                <w:color w:val="auto"/>
              </w:rPr>
            </w:pPr>
            <w:r>
              <w:rPr>
                <w:rFonts w:ascii="Arial" w:cs="Arial" w:eastAsia="Arial" w:hAnsi="Arial"/>
                <w:sz w:val="14"/>
                <w:szCs w:val="14"/>
                <w:color w:val="auto"/>
                <w:w w:val="92"/>
              </w:rPr>
              <w:t>70% owned by CLPS</w:t>
            </w:r>
          </w:p>
        </w:tc>
        <w:tc>
          <w:tcPr>
            <w:tcW w:w="178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68"/>
        </w:trPr>
        <w:tc>
          <w:tcPr>
            <w:tcW w:w="2460" w:type="dxa"/>
            <w:vAlign w:val="bottom"/>
            <w:gridSpan w:val="2"/>
          </w:tcPr>
          <w:p>
            <w:pPr>
              <w:spacing w:after="0"/>
              <w:rPr>
                <w:sz w:val="20"/>
                <w:szCs w:val="20"/>
                <w:color w:val="auto"/>
              </w:rPr>
            </w:pPr>
            <w:r>
              <w:rPr>
                <w:rFonts w:ascii="Arial" w:cs="Arial" w:eastAsia="Arial" w:hAnsi="Arial"/>
                <w:sz w:val="14"/>
                <w:szCs w:val="14"/>
                <w:color w:val="auto"/>
              </w:rPr>
              <w:t>Shenzhen”)</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April 7, 2017</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70"/>
              <w:spacing w:after="0"/>
              <w:rPr>
                <w:sz w:val="20"/>
                <w:szCs w:val="20"/>
                <w:color w:val="auto"/>
              </w:rPr>
            </w:pPr>
            <w:r>
              <w:rPr>
                <w:rFonts w:ascii="Arial" w:cs="Arial" w:eastAsia="Arial" w:hAnsi="Arial"/>
                <w:sz w:val="14"/>
                <w:szCs w:val="14"/>
                <w:color w:val="auto"/>
                <w:w w:val="90"/>
              </w:rPr>
              <w:t>Shanghai and 30% owned by</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9"/>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ind w:right="50"/>
              <w:spacing w:after="0"/>
              <w:rPr>
                <w:sz w:val="20"/>
                <w:szCs w:val="20"/>
                <w:color w:val="auto"/>
              </w:rPr>
            </w:pPr>
            <w:r>
              <w:rPr>
                <w:rFonts w:ascii="Arial" w:cs="Arial" w:eastAsia="Arial" w:hAnsi="Arial"/>
                <w:sz w:val="14"/>
                <w:szCs w:val="14"/>
                <w:color w:val="auto"/>
                <w:w w:val="92"/>
              </w:rPr>
              <w:t>CLPS Hong Kong</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CLPS Guangzhou Co., Ltd(“CLPS</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0"/>
              </w:rPr>
              <w:t>Guangzhou, China</w:t>
            </w:r>
          </w:p>
        </w:tc>
        <w:tc>
          <w:tcPr>
            <w:tcW w:w="1860" w:type="dxa"/>
            <w:vAlign w:val="bottom"/>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78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79"/>
        </w:trPr>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Guangzhou”) *</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September 27, 2017</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Tianjin Huanyu Qinshang Network</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3"/>
              </w:rPr>
              <w:t>Tianjin, China</w:t>
            </w:r>
          </w:p>
        </w:tc>
        <w:tc>
          <w:tcPr>
            <w:tcW w:w="1860" w:type="dxa"/>
            <w:vAlign w:val="bottom"/>
          </w:tcPr>
          <w:p>
            <w:pPr>
              <w:jc w:val="center"/>
              <w:ind w:right="50"/>
              <w:spacing w:after="0" w:line="158" w:lineRule="exact"/>
              <w:rPr>
                <w:sz w:val="20"/>
                <w:szCs w:val="20"/>
                <w:color w:val="auto"/>
              </w:rPr>
            </w:pPr>
            <w:r>
              <w:rPr>
                <w:rFonts w:ascii="Arial" w:cs="Arial" w:eastAsia="Arial" w:hAnsi="Arial"/>
                <w:sz w:val="14"/>
                <w:szCs w:val="14"/>
                <w:color w:val="auto"/>
                <w:w w:val="92"/>
              </w:rPr>
              <w:t>30%</w:t>
            </w:r>
          </w:p>
        </w:tc>
        <w:tc>
          <w:tcPr>
            <w:tcW w:w="178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2"/>
              </w:rPr>
              <w:t>Equity investment</w:t>
            </w: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2"/>
              </w:rPr>
              <w:t>Network technology</w:t>
            </w:r>
          </w:p>
        </w:tc>
      </w:tr>
      <w:tr>
        <w:trPr>
          <w:trHeight w:val="179"/>
        </w:trPr>
        <w:tc>
          <w:tcPr>
            <w:tcW w:w="2460" w:type="dxa"/>
            <w:vAlign w:val="bottom"/>
            <w:gridSpan w:val="2"/>
          </w:tcPr>
          <w:p>
            <w:pPr>
              <w:spacing w:after="0"/>
              <w:rPr>
                <w:sz w:val="20"/>
                <w:szCs w:val="20"/>
                <w:color w:val="auto"/>
              </w:rPr>
            </w:pPr>
            <w:r>
              <w:rPr>
                <w:rFonts w:ascii="Arial" w:cs="Arial" w:eastAsia="Arial" w:hAnsi="Arial"/>
                <w:sz w:val="14"/>
                <w:szCs w:val="14"/>
                <w:color w:val="auto"/>
              </w:rPr>
              <w:t>Technology Co., Ltd (“Huan Yu”) *</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September 27, 2017</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CLIVST Ltd. (“CLIVST”) *</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4"/>
              </w:rPr>
              <w:t>British Virgin Islands</w:t>
            </w:r>
          </w:p>
        </w:tc>
        <w:tc>
          <w:tcPr>
            <w:tcW w:w="1860" w:type="dxa"/>
            <w:vAlign w:val="bottom"/>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89"/>
              </w:rPr>
              <w:t>100%</w:t>
            </w: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3"/>
              </w:rPr>
              <w:t>Holding Company</w:t>
            </w:r>
          </w:p>
        </w:tc>
      </w:tr>
      <w:tr>
        <w:trPr>
          <w:trHeight w:val="179"/>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July 25, 2017</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FDT-CL Financial Technology Services</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1"/>
              </w:rPr>
              <w:t>Incorporated on</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2"/>
              </w:rPr>
              <w:t>Hong Kong, China</w:t>
            </w:r>
          </w:p>
        </w:tc>
        <w:tc>
          <w:tcPr>
            <w:tcW w:w="1860" w:type="dxa"/>
            <w:vAlign w:val="bottom"/>
          </w:tcPr>
          <w:p>
            <w:pPr>
              <w:jc w:val="center"/>
              <w:ind w:right="70"/>
              <w:spacing w:after="0" w:line="158" w:lineRule="exact"/>
              <w:rPr>
                <w:sz w:val="20"/>
                <w:szCs w:val="20"/>
                <w:color w:val="auto"/>
              </w:rPr>
            </w:pPr>
            <w:r>
              <w:rPr>
                <w:rFonts w:ascii="Arial" w:cs="Arial" w:eastAsia="Arial" w:hAnsi="Arial"/>
                <w:sz w:val="14"/>
                <w:szCs w:val="14"/>
                <w:color w:val="auto"/>
                <w:w w:val="93"/>
              </w:rPr>
              <w:t>52% owned by CLIVST, 48%</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68"/>
        </w:trPr>
        <w:tc>
          <w:tcPr>
            <w:tcW w:w="2460" w:type="dxa"/>
            <w:vAlign w:val="bottom"/>
            <w:gridSpan w:val="2"/>
          </w:tcPr>
          <w:p>
            <w:pPr>
              <w:spacing w:after="0"/>
              <w:rPr>
                <w:sz w:val="20"/>
                <w:szCs w:val="20"/>
                <w:color w:val="auto"/>
              </w:rPr>
            </w:pPr>
            <w:r>
              <w:rPr>
                <w:rFonts w:ascii="Arial" w:cs="Arial" w:eastAsia="Arial" w:hAnsi="Arial"/>
                <w:sz w:val="14"/>
                <w:szCs w:val="14"/>
                <w:color w:val="auto"/>
              </w:rPr>
              <w:t>Limited (“FDT-CL”) *</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October 24, 2017</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70"/>
              <w:spacing w:after="0"/>
              <w:rPr>
                <w:sz w:val="20"/>
                <w:szCs w:val="20"/>
                <w:color w:val="auto"/>
              </w:rPr>
            </w:pPr>
            <w:r>
              <w:rPr>
                <w:rFonts w:ascii="Arial" w:cs="Arial" w:eastAsia="Arial" w:hAnsi="Arial"/>
                <w:sz w:val="14"/>
                <w:szCs w:val="14"/>
                <w:color w:val="auto"/>
                <w:w w:val="90"/>
              </w:rPr>
              <w:t>owned by an unrelated</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9"/>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ind w:right="70"/>
              <w:spacing w:after="0"/>
              <w:rPr>
                <w:sz w:val="20"/>
                <w:szCs w:val="20"/>
                <w:color w:val="auto"/>
              </w:rPr>
            </w:pPr>
            <w:r>
              <w:rPr>
                <w:rFonts w:ascii="Arial" w:cs="Arial" w:eastAsia="Arial" w:hAnsi="Arial"/>
                <w:sz w:val="14"/>
                <w:szCs w:val="14"/>
                <w:color w:val="auto"/>
                <w:w w:val="95"/>
              </w:rPr>
              <w:t>individual</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Consolidated subsidiary</w:t>
            </w:r>
          </w:p>
        </w:tc>
        <w:tc>
          <w:tcPr>
            <w:tcW w:w="1720" w:type="dxa"/>
            <w:vAlign w:val="bottom"/>
          </w:tcPr>
          <w:p>
            <w:pPr>
              <w:spacing w:after="0"/>
              <w:rPr>
                <w:sz w:val="15"/>
                <w:szCs w:val="15"/>
                <w:color w:val="auto"/>
              </w:rPr>
            </w:pPr>
          </w:p>
        </w:tc>
      </w:tr>
      <w:tr>
        <w:trPr>
          <w:trHeight w:val="158"/>
        </w:trPr>
        <w:tc>
          <w:tcPr>
            <w:tcW w:w="2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JQ Technology Co., Limited(“JQ”) *</w:t>
            </w:r>
          </w:p>
        </w:tc>
        <w:tc>
          <w:tcPr>
            <w:tcW w:w="1820" w:type="dxa"/>
            <w:vAlign w:val="bottom"/>
            <w:gridSpan w:val="2"/>
            <w:shd w:val="clear" w:color="auto" w:fill="CCEEFF"/>
          </w:tcPr>
          <w:p>
            <w:pPr>
              <w:jc w:val="center"/>
              <w:ind w:right="120"/>
              <w:spacing w:after="0" w:line="158" w:lineRule="exact"/>
              <w:rPr>
                <w:sz w:val="20"/>
                <w:szCs w:val="20"/>
                <w:color w:val="auto"/>
              </w:rPr>
            </w:pPr>
            <w:r>
              <w:rPr>
                <w:rFonts w:ascii="Arial" w:cs="Arial" w:eastAsia="Arial" w:hAnsi="Arial"/>
                <w:sz w:val="14"/>
                <w:szCs w:val="14"/>
                <w:color w:val="auto"/>
                <w:w w:val="93"/>
              </w:rPr>
              <w:t>Acquired on</w:t>
            </w:r>
          </w:p>
        </w:tc>
        <w:tc>
          <w:tcPr>
            <w:tcW w:w="1820" w:type="dxa"/>
            <w:vAlign w:val="bottom"/>
            <w:gridSpan w:val="2"/>
            <w:shd w:val="clear" w:color="auto" w:fill="CCEEFF"/>
          </w:tcPr>
          <w:p>
            <w:pPr>
              <w:jc w:val="center"/>
              <w:ind w:right="80"/>
              <w:spacing w:after="0" w:line="158" w:lineRule="exact"/>
              <w:rPr>
                <w:sz w:val="20"/>
                <w:szCs w:val="20"/>
                <w:color w:val="auto"/>
              </w:rPr>
            </w:pPr>
            <w:r>
              <w:rPr>
                <w:rFonts w:ascii="Arial" w:cs="Arial" w:eastAsia="Arial" w:hAnsi="Arial"/>
                <w:sz w:val="14"/>
                <w:szCs w:val="14"/>
                <w:color w:val="auto"/>
                <w:w w:val="92"/>
              </w:rPr>
              <w:t>Hong Kong, China</w:t>
            </w:r>
          </w:p>
        </w:tc>
        <w:tc>
          <w:tcPr>
            <w:tcW w:w="1860" w:type="dxa"/>
            <w:vAlign w:val="bottom"/>
            <w:shd w:val="clear" w:color="auto" w:fill="CCEEFF"/>
          </w:tcPr>
          <w:p>
            <w:pPr>
              <w:jc w:val="center"/>
              <w:ind w:right="70"/>
              <w:spacing w:after="0" w:line="158" w:lineRule="exact"/>
              <w:rPr>
                <w:sz w:val="20"/>
                <w:szCs w:val="20"/>
                <w:color w:val="auto"/>
              </w:rPr>
            </w:pPr>
            <w:r>
              <w:rPr>
                <w:rFonts w:ascii="Arial" w:cs="Arial" w:eastAsia="Arial" w:hAnsi="Arial"/>
                <w:sz w:val="14"/>
                <w:szCs w:val="14"/>
                <w:color w:val="auto"/>
                <w:w w:val="91"/>
              </w:rPr>
              <w:t>55% owned by Qiner, 45%</w:t>
            </w: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68"/>
        </w:trPr>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October 17, 2017</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0"/>
              </w:rPr>
              <w:t>owned by an unrelated</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9"/>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4"/>
              </w:rPr>
              <w:t>individuals</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Consolidated subsidiary</w:t>
            </w:r>
          </w:p>
        </w:tc>
        <w:tc>
          <w:tcPr>
            <w:tcW w:w="1720" w:type="dxa"/>
            <w:vAlign w:val="bottom"/>
            <w:shd w:val="clear" w:color="auto" w:fill="CCEEFF"/>
          </w:tcPr>
          <w:p>
            <w:pPr>
              <w:spacing w:after="0"/>
              <w:rPr>
                <w:sz w:val="15"/>
                <w:szCs w:val="15"/>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color w:val="auto"/>
              </w:rPr>
              <w:t>JIALIN Technology Limited (“JL”) *</w:t>
            </w:r>
          </w:p>
        </w:tc>
        <w:tc>
          <w:tcPr>
            <w:tcW w:w="18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3"/>
              </w:rPr>
              <w:t>Acquired on</w:t>
            </w: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2"/>
              </w:rPr>
              <w:t>Taiwan</w:t>
            </w:r>
          </w:p>
        </w:tc>
        <w:tc>
          <w:tcPr>
            <w:tcW w:w="1860" w:type="dxa"/>
            <w:vAlign w:val="bottom"/>
          </w:tcPr>
          <w:p>
            <w:pPr>
              <w:jc w:val="center"/>
              <w:ind w:right="50"/>
              <w:spacing w:after="0" w:line="158" w:lineRule="exact"/>
              <w:rPr>
                <w:sz w:val="20"/>
                <w:szCs w:val="20"/>
                <w:color w:val="auto"/>
              </w:rPr>
            </w:pPr>
            <w:r>
              <w:rPr>
                <w:rFonts w:ascii="Arial" w:cs="Arial" w:eastAsia="Arial" w:hAnsi="Arial"/>
                <w:sz w:val="14"/>
                <w:szCs w:val="14"/>
                <w:color w:val="auto"/>
                <w:w w:val="90"/>
              </w:rPr>
              <w:t>100% owned by JQ</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color w:val="auto"/>
                <w:w w:val="90"/>
              </w:rPr>
              <w:t>Software development</w:t>
            </w:r>
          </w:p>
        </w:tc>
      </w:tr>
      <w:tr>
        <w:trPr>
          <w:trHeight w:val="179"/>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October 17, 2017</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Consolidated subsidiary</w:t>
            </w:r>
          </w:p>
        </w:tc>
        <w:tc>
          <w:tcPr>
            <w:tcW w:w="1720" w:type="dxa"/>
            <w:vAlign w:val="bottom"/>
          </w:tcPr>
          <w:p>
            <w:pPr>
              <w:spacing w:after="0"/>
              <w:rPr>
                <w:sz w:val="15"/>
                <w:szCs w:val="15"/>
                <w:color w:val="auto"/>
              </w:rPr>
            </w:pPr>
          </w:p>
        </w:tc>
      </w:tr>
    </w:tbl>
    <w:p>
      <w:pPr>
        <w:spacing w:after="0" w:line="63" w:lineRule="exact"/>
        <w:rPr>
          <w:sz w:val="20"/>
          <w:szCs w:val="20"/>
          <w:color w:val="auto"/>
        </w:rPr>
      </w:pPr>
    </w:p>
    <w:p>
      <w:pPr>
        <w:ind w:left="260" w:hanging="256"/>
        <w:spacing w:after="0"/>
        <w:tabs>
          <w:tab w:leader="none" w:pos="2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Entities incorporated or acquired subsequent to June 30, 2017 are included in the Company’s unaudited condensed consolidated financial statement for the six months ended December 31, 2017.</w:t>
      </w:r>
    </w:p>
    <w:p>
      <w:pPr>
        <w:spacing w:after="0" w:line="272" w:lineRule="exact"/>
        <w:rPr>
          <w:rFonts w:ascii="Arial" w:cs="Arial" w:eastAsia="Arial" w:hAnsi="Arial"/>
          <w:sz w:val="12"/>
          <w:szCs w:val="12"/>
          <w:color w:val="auto"/>
        </w:rPr>
      </w:pPr>
    </w:p>
    <w:p>
      <w:pPr>
        <w:ind w:left="5640"/>
        <w:spacing w:after="0"/>
        <w:rPr>
          <w:rFonts w:ascii="Arial" w:cs="Arial" w:eastAsia="Arial" w:hAnsi="Arial"/>
          <w:sz w:val="12"/>
          <w:szCs w:val="12"/>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Principles of Consolidation</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The accompanying consolidated financial statements have been prepared in accordance with accounting principles generally accepted in the United States of America (“US GAAP”) and pursuant to the rules and requirements of the Securities Exchange Commission (“SEC”).</w:t>
      </w:r>
    </w:p>
    <w:p>
      <w:pPr>
        <w:spacing w:after="0" w:line="133"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The accompanying consolidated financial statements include the financial statements of CLPS, Qinheng, Qiner, CLPS QC, CLPS Shanghai, CLPS Beijing, CLPS RC, CLPS Dalian, CLPS AU, CLPS SG, CLPS Hong Kong, CLPS Shenzhen, Judge China, Judge HR, CLIVST, CLPS Guangzhou, FDT-CL, JQ and JL. All inter-company balances and transactions have been eliminated upon consolidation.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 and Assumptions</w:t>
      </w:r>
    </w:p>
    <w:p>
      <w:pPr>
        <w:spacing w:after="0" w:line="180" w:lineRule="exact"/>
        <w:rPr>
          <w:sz w:val="20"/>
          <w:szCs w:val="20"/>
          <w:color w:val="auto"/>
        </w:rPr>
      </w:pPr>
    </w:p>
    <w:p>
      <w:pPr>
        <w:ind w:right="100"/>
        <w:spacing w:after="0" w:line="282" w:lineRule="auto"/>
        <w:rPr>
          <w:sz w:val="20"/>
          <w:szCs w:val="20"/>
          <w:color w:val="auto"/>
        </w:rPr>
      </w:pPr>
      <w:r>
        <w:rPr>
          <w:rFonts w:ascii="Arial" w:cs="Arial" w:eastAsia="Arial" w:hAnsi="Arial"/>
          <w:sz w:val="13"/>
          <w:szCs w:val="13"/>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80" w:lineRule="exact"/>
        <w:rPr>
          <w:sz w:val="20"/>
          <w:szCs w:val="20"/>
          <w:color w:val="auto"/>
        </w:rPr>
      </w:pPr>
    </w:p>
    <w:p>
      <w:pPr>
        <w:ind w:right="200"/>
        <w:spacing w:after="0" w:line="293" w:lineRule="auto"/>
        <w:rPr>
          <w:sz w:val="20"/>
          <w:szCs w:val="20"/>
          <w:color w:val="auto"/>
        </w:rPr>
      </w:pPr>
      <w:r>
        <w:rPr>
          <w:rFonts w:ascii="Arial" w:cs="Arial" w:eastAsia="Arial" w:hAnsi="Arial"/>
          <w:sz w:val="13"/>
          <w:szCs w:val="13"/>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26" w:lineRule="exact"/>
        <w:rPr>
          <w:sz w:val="20"/>
          <w:szCs w:val="20"/>
          <w:color w:val="auto"/>
        </w:rPr>
      </w:pPr>
    </w:p>
    <w:p>
      <w:pPr>
        <w:ind w:left="260" w:hanging="256"/>
        <w:spacing w:after="0"/>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Level 1 - inputs to the valuation methodology are quoted prices (unadjusted) for identical assets or liabilities in active markets.</w:t>
      </w:r>
    </w:p>
    <w:p>
      <w:pPr>
        <w:spacing w:after="0" w:line="175" w:lineRule="exact"/>
        <w:rPr>
          <w:rFonts w:ascii="Arial" w:cs="Arial" w:eastAsia="Arial" w:hAnsi="Arial"/>
          <w:sz w:val="14"/>
          <w:szCs w:val="14"/>
          <w:color w:val="auto"/>
        </w:rPr>
      </w:pPr>
    </w:p>
    <w:p>
      <w:pPr>
        <w:ind w:left="260" w:hanging="256"/>
        <w:spacing w:after="0" w:line="277" w:lineRule="auto"/>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33" w:lineRule="exact"/>
        <w:rPr>
          <w:rFonts w:ascii="Arial" w:cs="Arial" w:eastAsia="Arial" w:hAnsi="Arial"/>
          <w:sz w:val="14"/>
          <w:szCs w:val="14"/>
          <w:color w:val="auto"/>
        </w:rPr>
      </w:pPr>
    </w:p>
    <w:p>
      <w:pPr>
        <w:ind w:left="260" w:hanging="256"/>
        <w:spacing w:after="0"/>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Level 3 - inputs to the valuation methodology are unobservable.</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Unless otherwise disclosed, the fair value of the Company’s financial instruments including cash and cash equivalents, accounts receivable, other receivables and other current assets, accounts payable, customer deposits, accrued expenses and other current liabilities approximates their recorded values due to their short-term maturities.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Prepayments, deposit and other assets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Prepayment, deposit and other assets primarily consists of advances to suppliers for purchasing goods or services that have not been received or provided and advances to employees. These advances are interest free, unsecured and short-term in nature and are reviewed periodically to determine whether their carrying value has become impaired.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contract costs</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4"/>
          <w:szCs w:val="14"/>
          <w:color w:val="auto"/>
        </w:rPr>
        <w:t>Deferred contract costs represent costs incurred in advance of revenue recognition arising from direct and incremental staff costs in respect of the fixed fee contracts according to the customer’s requirements prior to the delivery of services, and such deferred costs will be recognized upon the recognition of the related revenue.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 term investment</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3"/>
          <w:szCs w:val="13"/>
          <w:color w:val="auto"/>
        </w:rPr>
        <w:t>Investee companies over which the Company has the ability to exercise significant influence, but does not have a controlling interest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40"/>
          </w:cols>
          <w:pgMar w:left="220" w:top="213" w:right="3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w:t>
      </w:r>
    </w:p>
    <w:p>
      <w:pPr>
        <w:spacing w:after="0" w:line="180" w:lineRule="exact"/>
        <w:rPr>
          <w:sz w:val="20"/>
          <w:szCs w:val="20"/>
          <w:color w:val="auto"/>
        </w:rPr>
      </w:pPr>
    </w:p>
    <w:p>
      <w:pPr>
        <w:jc w:val="both"/>
        <w:ind w:right="200"/>
        <w:spacing w:after="0" w:line="264" w:lineRule="auto"/>
        <w:rPr>
          <w:sz w:val="20"/>
          <w:szCs w:val="20"/>
          <w:color w:val="auto"/>
        </w:rPr>
      </w:pPr>
      <w:r>
        <w:rPr>
          <w:rFonts w:ascii="Arial" w:cs="Arial" w:eastAsia="Arial" w:hAnsi="Arial"/>
          <w:sz w:val="14"/>
          <w:szCs w:val="14"/>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Non-controlling interests</w:t>
      </w:r>
    </w:p>
    <w:p>
      <w:pPr>
        <w:spacing w:after="0" w:line="180"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income and comprehensive income as an allocation of the total income or loss for the year between non-controlling interest holders and the shareholders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 net</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Property and equipment, net, are stated at cost less accumulated depreciation and amortization. The straight-line method is used to compute depreciation and amortization over the estimated useful lives of the assets,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Borders>
              <w:bottom w:val="single" w:sz="8" w:color="CCEEFF"/>
            </w:tcBorders>
          </w:tcPr>
          <w:p>
            <w:pPr>
              <w:spacing w:after="0"/>
              <w:rPr>
                <w:sz w:val="16"/>
                <w:szCs w:val="16"/>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life</w:t>
            </w:r>
          </w:p>
        </w:tc>
      </w:tr>
      <w:tr>
        <w:trPr>
          <w:trHeight w:val="158"/>
        </w:trPr>
        <w:tc>
          <w:tcPr>
            <w:tcW w:w="7460" w:type="dxa"/>
            <w:vAlign w:val="bottom"/>
            <w:shd w:val="clear" w:color="auto" w:fill="CCEEFF"/>
          </w:tcPr>
          <w:p>
            <w:pPr>
              <w:spacing w:after="0"/>
              <w:rPr>
                <w:sz w:val="13"/>
                <w:szCs w:val="13"/>
                <w:color w:val="auto"/>
              </w:rPr>
            </w:pPr>
          </w:p>
        </w:tc>
        <w:tc>
          <w:tcPr>
            <w:tcW w:w="4000" w:type="dxa"/>
            <w:vAlign w:val="bottom"/>
            <w:shd w:val="clear" w:color="auto" w:fill="CCEEFF"/>
          </w:tcPr>
          <w:p>
            <w:pPr>
              <w:ind w:left="1200"/>
              <w:spacing w:after="0" w:line="158" w:lineRule="exact"/>
              <w:rPr>
                <w:sz w:val="20"/>
                <w:szCs w:val="20"/>
                <w:color w:val="auto"/>
              </w:rPr>
            </w:pPr>
            <w:r>
              <w:rPr>
                <w:rFonts w:ascii="Arial" w:cs="Arial" w:eastAsia="Arial" w:hAnsi="Arial"/>
                <w:sz w:val="14"/>
                <w:szCs w:val="14"/>
                <w:color w:val="auto"/>
              </w:rPr>
              <w:t>the shorter of lease terms or</w:t>
            </w:r>
          </w:p>
        </w:tc>
      </w:tr>
      <w:tr>
        <w:trPr>
          <w:trHeight w:val="179"/>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w:t>
            </w:r>
          </w:p>
        </w:tc>
        <w:tc>
          <w:tcPr>
            <w:tcW w:w="4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the estimated useful lives</w:t>
            </w:r>
          </w:p>
        </w:tc>
      </w:tr>
      <w:tr>
        <w:trPr>
          <w:trHeight w:val="168"/>
        </w:trPr>
        <w:tc>
          <w:tcPr>
            <w:tcW w:w="7460" w:type="dxa"/>
            <w:vAlign w:val="bottom"/>
          </w:tcPr>
          <w:p>
            <w:pPr>
              <w:spacing w:after="0"/>
              <w:rPr>
                <w:sz w:val="20"/>
                <w:szCs w:val="20"/>
                <w:color w:val="auto"/>
              </w:rPr>
            </w:pPr>
            <w:r>
              <w:rPr>
                <w:rFonts w:ascii="Arial" w:cs="Arial" w:eastAsia="Arial" w:hAnsi="Arial"/>
                <w:sz w:val="14"/>
                <w:szCs w:val="14"/>
                <w:color w:val="auto"/>
              </w:rPr>
              <w:t>Machinery equipment</w:t>
            </w:r>
          </w:p>
        </w:tc>
        <w:tc>
          <w:tcPr>
            <w:tcW w:w="4000" w:type="dxa"/>
            <w:vAlign w:val="bottom"/>
          </w:tcPr>
          <w:p>
            <w:pPr>
              <w:jc w:val="center"/>
              <w:spacing w:after="0"/>
              <w:rPr>
                <w:sz w:val="20"/>
                <w:szCs w:val="20"/>
                <w:color w:val="auto"/>
              </w:rPr>
            </w:pPr>
            <w:r>
              <w:rPr>
                <w:rFonts w:ascii="Arial" w:cs="Arial" w:eastAsia="Arial" w:hAnsi="Arial"/>
                <w:sz w:val="14"/>
                <w:szCs w:val="14"/>
                <w:color w:val="auto"/>
                <w:w w:val="86"/>
              </w:rPr>
              <w:t>5–10 years</w:t>
            </w: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Transportation vehicles</w:t>
            </w:r>
          </w:p>
        </w:tc>
        <w:tc>
          <w:tcPr>
            <w:tcW w:w="4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5 years</w:t>
            </w:r>
          </w:p>
        </w:tc>
      </w:tr>
      <w:tr>
        <w:trPr>
          <w:trHeight w:val="179"/>
        </w:trPr>
        <w:tc>
          <w:tcPr>
            <w:tcW w:w="7460" w:type="dxa"/>
            <w:vAlign w:val="bottom"/>
          </w:tcPr>
          <w:p>
            <w:pPr>
              <w:spacing w:after="0"/>
              <w:rPr>
                <w:sz w:val="20"/>
                <w:szCs w:val="20"/>
                <w:color w:val="auto"/>
              </w:rPr>
            </w:pPr>
            <w:r>
              <w:rPr>
                <w:rFonts w:ascii="Arial" w:cs="Arial" w:eastAsia="Arial" w:hAnsi="Arial"/>
                <w:sz w:val="14"/>
                <w:szCs w:val="14"/>
                <w:color w:val="auto"/>
              </w:rPr>
              <w:t>Office equipment and furniture</w:t>
            </w:r>
          </w:p>
        </w:tc>
        <w:tc>
          <w:tcPr>
            <w:tcW w:w="4000" w:type="dxa"/>
            <w:vAlign w:val="bottom"/>
          </w:tcPr>
          <w:p>
            <w:pPr>
              <w:jc w:val="center"/>
              <w:spacing w:after="0"/>
              <w:rPr>
                <w:sz w:val="20"/>
                <w:szCs w:val="20"/>
                <w:color w:val="auto"/>
              </w:rPr>
            </w:pPr>
            <w:r>
              <w:rPr>
                <w:rFonts w:ascii="Arial" w:cs="Arial" w:eastAsia="Arial" w:hAnsi="Arial"/>
                <w:sz w:val="14"/>
                <w:szCs w:val="14"/>
                <w:color w:val="auto"/>
                <w:w w:val="87"/>
              </w:rPr>
              <w:t>5 years</w:t>
            </w:r>
          </w:p>
        </w:tc>
      </w:tr>
    </w:tbl>
    <w:p>
      <w:pPr>
        <w:spacing w:after="0" w:line="147" w:lineRule="exact"/>
        <w:rPr>
          <w:sz w:val="20"/>
          <w:szCs w:val="20"/>
          <w:color w:val="auto"/>
        </w:rPr>
      </w:pPr>
    </w:p>
    <w:p>
      <w:pPr>
        <w:jc w:val="both"/>
        <w:ind w:right="460"/>
        <w:spacing w:after="0" w:line="264" w:lineRule="auto"/>
        <w:rPr>
          <w:sz w:val="20"/>
          <w:szCs w:val="20"/>
          <w:color w:val="auto"/>
        </w:rPr>
      </w:pPr>
      <w:r>
        <w:rPr>
          <w:rFonts w:ascii="Arial" w:cs="Arial" w:eastAsia="Arial" w:hAnsi="Arial"/>
          <w:sz w:val="14"/>
          <w:szCs w:val="14"/>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income.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 with definite lives</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4"/>
          <w:szCs w:val="14"/>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3"/>
          <w:szCs w:val="13"/>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Goodwill was allocated to the one reporting unit as of June 30, 2017 and December 31, 2017.</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80" w:lineRule="exact"/>
        <w:rPr>
          <w:sz w:val="20"/>
          <w:szCs w:val="20"/>
          <w:color w:val="auto"/>
        </w:rPr>
      </w:pPr>
    </w:p>
    <w:p>
      <w:pPr>
        <w:ind w:right="140"/>
        <w:spacing w:after="0" w:line="286" w:lineRule="auto"/>
        <w:rPr>
          <w:sz w:val="20"/>
          <w:szCs w:val="20"/>
          <w:color w:val="auto"/>
        </w:rPr>
      </w:pPr>
      <w:r>
        <w:rPr>
          <w:rFonts w:ascii="Arial" w:cs="Arial" w:eastAsia="Arial" w:hAnsi="Arial"/>
          <w:sz w:val="13"/>
          <w:szCs w:val="13"/>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goodwill</w:t>
      </w:r>
    </w:p>
    <w:p>
      <w:pPr>
        <w:spacing w:after="0" w:line="180"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Company provides a comprehensive range of IT services and solutions, which primarily are on a time-and-expense basis, or fixed-price basis.</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Time-and-expense basis contracts</w:t>
      </w:r>
    </w:p>
    <w:p>
      <w:pPr>
        <w:spacing w:after="0" w:line="176"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Fixed-price basis contracts</w:t>
      </w:r>
    </w:p>
    <w:p>
      <w:pPr>
        <w:spacing w:after="0" w:line="176" w:lineRule="exact"/>
        <w:rPr>
          <w:sz w:val="20"/>
          <w:szCs w:val="20"/>
          <w:color w:val="auto"/>
        </w:rPr>
      </w:pPr>
    </w:p>
    <w:p>
      <w:pPr>
        <w:ind w:right="260"/>
        <w:spacing w:after="0" w:line="286" w:lineRule="auto"/>
        <w:rPr>
          <w:sz w:val="20"/>
          <w:szCs w:val="20"/>
          <w:color w:val="auto"/>
        </w:rPr>
      </w:pPr>
      <w:r>
        <w:rPr>
          <w:rFonts w:ascii="Arial" w:cs="Arial" w:eastAsia="Arial" w:hAnsi="Arial"/>
          <w:sz w:val="13"/>
          <w:szCs w:val="13"/>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Company determines there are following separated service elements in the fixed-fee customized solution contract:</w:t>
      </w:r>
    </w:p>
    <w:p>
      <w:pPr>
        <w:spacing w:after="0" w:line="176" w:lineRule="exact"/>
        <w:rPr>
          <w:sz w:val="20"/>
          <w:szCs w:val="20"/>
          <w:color w:val="auto"/>
        </w:rPr>
      </w:pPr>
    </w:p>
    <w:p>
      <w:pPr>
        <w:ind w:left="500" w:hanging="243"/>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Solution development service and</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PCS</w:t>
      </w:r>
    </w:p>
    <w:p>
      <w:pPr>
        <w:spacing w:after="0" w:line="175" w:lineRule="exact"/>
        <w:rPr>
          <w:rFonts w:ascii="Arial" w:cs="Arial" w:eastAsia="Arial" w:hAnsi="Arial"/>
          <w:sz w:val="14"/>
          <w:szCs w:val="14"/>
          <w:color w:val="auto"/>
        </w:rPr>
      </w:pPr>
    </w:p>
    <w:p>
      <w:pPr>
        <w:ind w:left="500" w:hanging="243"/>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Specific service such as training, if applicable</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For multiple-element arrangements that include application customized services and PCS as well as specific service component,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VSOE of selling price for products and services is determined when a substantial majority of the selling prices fall within a reasonable range when sold separately. Otherwise, BESP is used because the Company’s customized application differs substantially from that of competitors, it is difficult to obtain the reliable standalone competitive pricing necessary to establish TPE. Accordingly, the Company uses its best estimate of selling prices of solution development service and PCS (and specific service if applicable) as the basis of revenue allocation. In estimating its selling price for solution development service and PCS (and specific service if applicable), the Company considers the internal estimated cost to provide such services adjusted by reasonable profit margin for similar arrangements, customer demand, and the historical pricing as significant factors to determine the BESP.</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 (continued)</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Revenue allocates to solution development service component is recognized using contract accounting in accordance with Accounting Standards Codification (“ASC”) 605-35-25. The revenue recognition for these contracts varies depending on the terms of the individual contracts, and may be recognized proportionally over the term of the contract or deferred until the end of the contract term and recognized when our obligations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Pursuant to the contract terms, the Company has enforceable right on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42" w:lineRule="exact"/>
        <w:rPr>
          <w:sz w:val="20"/>
          <w:szCs w:val="20"/>
          <w:color w:val="auto"/>
        </w:rPr>
      </w:pPr>
    </w:p>
    <w:p>
      <w:pPr>
        <w:ind w:right="580"/>
        <w:spacing w:after="0" w:line="277" w:lineRule="auto"/>
        <w:rPr>
          <w:sz w:val="20"/>
          <w:szCs w:val="20"/>
          <w:color w:val="auto"/>
        </w:rPr>
      </w:pPr>
      <w:r>
        <w:rPr>
          <w:rFonts w:ascii="Arial" w:cs="Arial" w:eastAsia="Arial" w:hAnsi="Arial"/>
          <w:sz w:val="14"/>
          <w:szCs w:val="14"/>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Differences between the timing of billings and the recognition of revenue based on various methods of accounting are recorded as deferred revenue.</w:t>
      </w:r>
    </w:p>
    <w:p>
      <w:pPr>
        <w:spacing w:after="0" w:line="176" w:lineRule="exact"/>
        <w:rPr>
          <w:sz w:val="20"/>
          <w:szCs w:val="20"/>
          <w:color w:val="auto"/>
        </w:rPr>
      </w:pPr>
    </w:p>
    <w:p>
      <w:pPr>
        <w:ind w:right="760"/>
        <w:spacing w:after="0" w:line="317" w:lineRule="auto"/>
        <w:rPr>
          <w:sz w:val="20"/>
          <w:szCs w:val="20"/>
          <w:color w:val="auto"/>
        </w:rPr>
      </w:pPr>
      <w:r>
        <w:rPr>
          <w:rFonts w:ascii="Arial" w:cs="Arial" w:eastAsia="Arial" w:hAnsi="Arial"/>
          <w:sz w:val="13"/>
          <w:szCs w:val="13"/>
          <w:color w:val="auto"/>
        </w:rPr>
        <w:t>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4"/>
          <w:szCs w:val="14"/>
          <w:color w:val="auto"/>
        </w:rPr>
        <w:t>Research and development incur in the development of new software modules and products, either as part of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subsidies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Total government subsidies amounted to $332,070 and $388,099 for the six-month periods ended December 31, 2017 and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Advertising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Advertising expenditures are expensed as incurred and such expenses were minimal for the periods presented. Advertising expenditures have been included as part of selling and marketing expenses.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leases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defined contribution plan</w:t>
      </w:r>
    </w:p>
    <w:p>
      <w:pPr>
        <w:spacing w:after="0" w:line="180" w:lineRule="exact"/>
        <w:rPr>
          <w:sz w:val="20"/>
          <w:szCs w:val="20"/>
          <w:color w:val="auto"/>
        </w:rPr>
      </w:pPr>
    </w:p>
    <w:p>
      <w:pPr>
        <w:ind w:right="80"/>
        <w:spacing w:after="0" w:line="328" w:lineRule="auto"/>
        <w:rPr>
          <w:sz w:val="20"/>
          <w:szCs w:val="20"/>
          <w:color w:val="auto"/>
        </w:rPr>
      </w:pPr>
      <w:r>
        <w:rPr>
          <w:rFonts w:ascii="Arial" w:cs="Arial" w:eastAsia="Arial" w:hAnsi="Arial"/>
          <w:sz w:val="12"/>
          <w:szCs w:val="12"/>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was expensed as incurred.</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3"/>
          <w:szCs w:val="13"/>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and for the six months ended December 31, 2017 and 2016. All of the tax returns of the Company’s subsidiaries in China remain subject to examination by the tax authorities for five years from the date of filing.</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Value added tax (“VAT”)</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3"/>
          <w:szCs w:val="13"/>
          <w:color w:val="auto"/>
        </w:rPr>
        <w:t>Revenue represents the invoiced value of service, net of VAT. The VAT is based on gross sales price and VAT rates range up to 17%, depending on the type of service provided. Entities that are VAT general taxpayers are allowed to offset qualified input VAT paid to suppliers against their output VAT liabilities. Net VAT balance between input VAT and output VAT is recorded in tax payable. All of the VAT returns filed by the Company’s subsidiaries in China, have been and remain subject to examination by the tax authorities for five years from the date of filing.</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Company computes earnings per share (“EPS”) in accordance with ASC 260, “Earnings per Share”. ASC 260 requires companies to present basic and diluted EPS. Basic EPS is measured as net income divided by the weighted average common share outstanding for the period. Diluted EPS presents the dilutive effect on a per share basis of the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The functional currencies of the Company are the local currency of the county in which the subsidiary operates. The Company’s financial statements are reported using U.S. Dollars. The results of operations and the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at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consolidated statement of income and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income (loss)</w:t>
      </w:r>
    </w:p>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Comprehensive income (loss) consists of two components, net income (loss) and other comprehensive income (loss). Other comprehensive income (loss) refers to revenue, expenses, gains and losses that under GAAP are recorded as an element of shareholders’ equity but are excluded from net income. Other comprehensive income (loss) consists of a foreign currency translation adjustment resulting from the Company not using the U.S. dollar as its functional currencies.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and Risks</w:t>
      </w:r>
    </w:p>
    <w:p>
      <w:pPr>
        <w:spacing w:after="0" w:line="180" w:lineRule="exact"/>
        <w:rPr>
          <w:sz w:val="20"/>
          <w:szCs w:val="20"/>
          <w:color w:val="auto"/>
        </w:rPr>
      </w:pPr>
    </w:p>
    <w:p>
      <w:pPr>
        <w:ind w:left="220" w:hanging="216"/>
        <w:spacing w:after="0"/>
        <w:tabs>
          <w:tab w:leader="none" w:pos="2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Foreign currency risk</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47" w:lineRule="exact"/>
        <w:rPr>
          <w:sz w:val="20"/>
          <w:szCs w:val="20"/>
          <w:color w:val="auto"/>
        </w:rPr>
      </w:pPr>
    </w:p>
    <w:p>
      <w:pPr>
        <w:ind w:right="100"/>
        <w:spacing w:after="0" w:line="316" w:lineRule="auto"/>
        <w:rPr>
          <w:sz w:val="20"/>
          <w:szCs w:val="20"/>
          <w:color w:val="auto"/>
        </w:rPr>
      </w:pPr>
      <w:r>
        <w:rPr>
          <w:rFonts w:ascii="Arial" w:cs="Arial" w:eastAsia="Arial" w:hAnsi="Arial"/>
          <w:sz w:val="12"/>
          <w:szCs w:val="12"/>
          <w:color w:val="auto"/>
        </w:rPr>
        <w:t>Our functional currency is the RMB, and our financial statements are presented in U.S. dollars. The RMB depreciated by 7.2% in fiscal year 2016 and further depreciated by 2.0% in fiscal 2017. The RMB appreciated by 4.0% for the six months ended December 31, 2017 and depreciated by 4.5% for the six months ended December 31, 2016.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15" w:lineRule="exact"/>
        <w:rPr>
          <w:sz w:val="20"/>
          <w:szCs w:val="20"/>
          <w:color w:val="auto"/>
        </w:rPr>
      </w:pPr>
    </w:p>
    <w:p>
      <w:pPr>
        <w:ind w:right="120"/>
        <w:spacing w:after="0" w:line="328" w:lineRule="auto"/>
        <w:rPr>
          <w:sz w:val="20"/>
          <w:szCs w:val="20"/>
          <w:color w:val="auto"/>
        </w:rPr>
      </w:pPr>
      <w:r>
        <w:rPr>
          <w:rFonts w:ascii="Arial" w:cs="Arial" w:eastAsia="Arial" w:hAnsi="Arial"/>
          <w:sz w:val="12"/>
          <w:szCs w:val="12"/>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08" w:lineRule="exact"/>
        <w:rPr>
          <w:sz w:val="20"/>
          <w:szCs w:val="20"/>
          <w:color w:val="auto"/>
        </w:rPr>
      </w:pPr>
    </w:p>
    <w:p>
      <w:pPr>
        <w:ind w:left="220" w:hanging="216"/>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Concentration of credit risk</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As of June 30, 2017 and 2016, $4,199,905 and $4,890,214 of the Company’s cash and cash equivalents was on deposit at financial institutions in the PRC where there currently is no rule or regulation requiring such financial institutions to maintain insurance to cover bank deposits in the event of bank failure. As of June 30, 2017, the Company had $130,614, $130,413 and $353,636 of cash and cash equivalents on deposit at financial institutions in Singapore, Australia and Hong Kong, respectively. As of June 30, 2016, the Company had $224,292, $136,914 and $25,776 of cash and cash equivalents on deposit at financial institutions in Singapore, Australia and Hong Kong, respectively.</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As of December 31, 2017 and 2016, $ 4,384,139 and $ 5,967,797 of the Company’s cash and cash equivalents was on deposit at financial institutions in the PRC where there currently is no rule or regulation requiring such financial institutions to maintain insurance to cover bank deposits in the event of bank failure. As of December 31, 2017, the Company had $ 47,432, $ 44,794, $134,880 and $ 47,792 of cash and cash equivalents on deposit at financial institutions in Singapore, Australia, Hong Kong and Taiwan, respectively.</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and Risks (continued)</w:t>
      </w:r>
    </w:p>
    <w:p>
      <w:pPr>
        <w:spacing w:after="0" w:line="180" w:lineRule="exact"/>
        <w:rPr>
          <w:sz w:val="20"/>
          <w:szCs w:val="20"/>
          <w:color w:val="auto"/>
        </w:rPr>
      </w:pPr>
    </w:p>
    <w:p>
      <w:pPr>
        <w:ind w:left="220" w:hanging="216"/>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Significant customers</w:t>
      </w:r>
    </w:p>
    <w:p>
      <w:pPr>
        <w:spacing w:after="0" w:line="176" w:lineRule="exact"/>
        <w:rPr>
          <w:sz w:val="20"/>
          <w:szCs w:val="20"/>
          <w:color w:val="auto"/>
        </w:rPr>
      </w:pPr>
    </w:p>
    <w:p>
      <w:pPr>
        <w:ind w:right="120"/>
        <w:spacing w:after="0" w:line="364" w:lineRule="auto"/>
        <w:rPr>
          <w:sz w:val="20"/>
          <w:szCs w:val="20"/>
          <w:color w:val="auto"/>
        </w:rPr>
      </w:pPr>
      <w:r>
        <w:rPr>
          <w:rFonts w:ascii="Arial" w:cs="Arial" w:eastAsia="Arial" w:hAnsi="Arial"/>
          <w:sz w:val="12"/>
          <w:szCs w:val="12"/>
          <w:color w:val="auto"/>
        </w:rPr>
        <w:t>For the years ended June 30, 2017 and 2016, Citibank accounted for 38.6% and 59.2% of the Company’s total revenues, respectively. For the year ended June 30, 2017, Citibank accounted for 39.1% of the Company’s total accounts receivable balance. For the year ended June 30, 2016, Citibank and eBay accounted for 47.3% and 10.0% of the Company’s total accounts receivable balance.</w:t>
      </w:r>
    </w:p>
    <w:p>
      <w:pPr>
        <w:spacing w:after="0" w:line="87"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For the six months ended December 31, 2017, Citibank accounted for 30.7% of the Company’s total revenues. For the six months ended December 31, 2016, Citibank and eBay accounted for 41% and 15.5% of the Company’s total revenues, respectively. For the six months ended December 31, 2017, Citibank accounted for 33.8% of the Company’s total accounts receivable balance. For the six months ended December 31, 2016, Citibank and eBay accounted for 41.6% and 14.0% of the Company’s total accounts receivable balance.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 of Cash Flows</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0"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606 for annual reporting periods beginning after December 15, 2018, and interim reporting periods within annual reporting periods beginning after December 15, 2019. We are planning to adopt Topic 606 in the first quarter of our fiscal -2020 using the retrospective transition method, and 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no significant impact is expected upon adoption of the new guidance, the Company will not be able to make that determination until the time of adoption based upon outstanding contracts at that time.</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 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The Company has not early adopted this update and it will become effective on July 1, 2020. The Company is currently evaluating the impact of this new standard on its consolidated financial statements and related disclosures.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(continued)</w:t>
      </w:r>
    </w:p>
    <w:p>
      <w:pPr>
        <w:spacing w:after="0" w:line="180"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36"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3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13" w:right="23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 continued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(continued)</w:t>
      </w:r>
    </w:p>
    <w:p>
      <w:pPr>
        <w:spacing w:after="0" w:line="180" w:lineRule="exact"/>
        <w:rPr>
          <w:sz w:val="20"/>
          <w:szCs w:val="20"/>
          <w:color w:val="auto"/>
        </w:rPr>
      </w:pPr>
    </w:p>
    <w:p>
      <w:pPr>
        <w:ind w:right="140"/>
        <w:spacing w:after="0" w:line="310" w:lineRule="auto"/>
        <w:rPr>
          <w:sz w:val="20"/>
          <w:szCs w:val="20"/>
          <w:color w:val="auto"/>
        </w:rPr>
      </w:pPr>
      <w:r>
        <w:rPr>
          <w:rFonts w:ascii="Arial" w:cs="Arial" w:eastAsia="Arial" w:hAnsi="Arial"/>
          <w:sz w:val="12"/>
          <w:szCs w:val="12"/>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19"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 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136" w:lineRule="exact"/>
        <w:rPr>
          <w:sz w:val="20"/>
          <w:szCs w:val="20"/>
          <w:color w:val="auto"/>
        </w:rPr>
      </w:pPr>
    </w:p>
    <w:p>
      <w:pPr>
        <w:ind w:right="40"/>
        <w:spacing w:after="0" w:line="286" w:lineRule="auto"/>
        <w:rPr>
          <w:sz w:val="20"/>
          <w:szCs w:val="20"/>
          <w:color w:val="auto"/>
        </w:rPr>
      </w:pPr>
      <w:r>
        <w:rPr>
          <w:rFonts w:ascii="Arial" w:cs="Arial" w:eastAsia="Arial" w:hAnsi="Arial"/>
          <w:sz w:val="13"/>
          <w:szCs w:val="13"/>
          <w:color w:val="auto"/>
        </w:rPr>
        <w:t>In February 2018, the FASB issued ASU No. 2018-02, “Income Statement—Reporting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In February 2018, the FASB issued ASU No. 2018-03, Technical Corrections and Improvements to Financial Instruments—Overall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is currently evaluating the impact of our pending adoption of ASU 2018-03 on its consolidated financial statements.</w:t>
      </w:r>
    </w:p>
    <w:p>
      <w:pPr>
        <w:spacing w:after="0" w:line="129" w:lineRule="exact"/>
        <w:rPr>
          <w:sz w:val="20"/>
          <w:szCs w:val="20"/>
          <w:color w:val="auto"/>
        </w:rPr>
      </w:pPr>
    </w:p>
    <w:p>
      <w:pPr>
        <w:ind w:right="620"/>
        <w:spacing w:after="0" w:line="277" w:lineRule="auto"/>
        <w:rPr>
          <w:sz w:val="20"/>
          <w:szCs w:val="20"/>
          <w:color w:val="auto"/>
        </w:rPr>
      </w:pPr>
      <w:r>
        <w:rPr>
          <w:rFonts w:ascii="Arial" w:cs="Arial" w:eastAsia="Arial" w:hAnsi="Arial"/>
          <w:sz w:val="14"/>
          <w:szCs w:val="14"/>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35" w:name="page136"/>
    <w:bookmarkEnd w:id="13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BUSINESS ACQUSITION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Judge China</w:t>
      </w:r>
    </w:p>
    <w:p>
      <w:pPr>
        <w:spacing w:after="0" w:line="176" w:lineRule="exact"/>
        <w:rPr>
          <w:sz w:val="20"/>
          <w:szCs w:val="20"/>
          <w:color w:val="auto"/>
        </w:rPr>
      </w:pPr>
    </w:p>
    <w:p>
      <w:pPr>
        <w:spacing w:after="0" w:line="328" w:lineRule="auto"/>
        <w:rPr>
          <w:sz w:val="20"/>
          <w:szCs w:val="20"/>
          <w:color w:val="auto"/>
        </w:rPr>
      </w:pPr>
      <w:r>
        <w:rPr>
          <w:rFonts w:ascii="Arial" w:cs="Arial" w:eastAsia="Arial" w:hAnsi="Arial"/>
          <w:sz w:val="12"/>
          <w:szCs w:val="12"/>
          <w:color w:val="auto"/>
        </w:rPr>
        <w:t>On November 9, 2016, CLPS Shanghai acquired 60% of Judge China and its 70% owned subsidiary Judge HR from Judge Company Asia Limited (“Judge Asia”) with the final purchase price of $480,061 (RMB 3.25 million). The Company funded the acquisition with cash and a payable to Judge Asia of $128,928 (RMB 0.9 million), of which $103,255 was subsequently offset with the Company’s receivables from Judge Asia. The Company believes that the acquisition will allow it to better manage opportunities and capitalize on the growth potential in the human resource related industries.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Amounts</w:t>
            </w:r>
          </w:p>
        </w:tc>
      </w:tr>
      <w:tr>
        <w:trPr>
          <w:trHeight w:val="168"/>
        </w:trPr>
        <w:tc>
          <w:tcPr>
            <w:tcW w:w="10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acquired</w:t>
            </w: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268,014</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10220" w:type="dxa"/>
            <w:vAlign w:val="bottom"/>
          </w:tcPr>
          <w:p>
            <w:pPr>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325,888</w:t>
            </w:r>
          </w:p>
        </w:tc>
      </w:tr>
      <w:tr>
        <w:trPr>
          <w:trHeight w:val="168"/>
        </w:trPr>
        <w:tc>
          <w:tcPr>
            <w:tcW w:w="10220" w:type="dxa"/>
            <w:vAlign w:val="bottom"/>
            <w:shd w:val="clear" w:color="auto" w:fill="CCEEFF"/>
          </w:tcPr>
          <w:p>
            <w:pPr>
              <w:spacing w:after="0"/>
              <w:rPr>
                <w:sz w:val="20"/>
                <w:szCs w:val="20"/>
                <w:color w:val="auto"/>
              </w:rPr>
            </w:pPr>
            <w:r>
              <w:rPr>
                <w:rFonts w:ascii="Arial" w:cs="Arial" w:eastAsia="Arial" w:hAnsi="Arial"/>
                <w:sz w:val="14"/>
                <w:szCs w:val="14"/>
                <w:color w:val="auto"/>
              </w:rPr>
              <w:t>Prepayment and other receivable</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67,570</w:t>
            </w:r>
          </w:p>
        </w:tc>
      </w:tr>
      <w:tr>
        <w:trPr>
          <w:trHeight w:val="168"/>
        </w:trPr>
        <w:tc>
          <w:tcPr>
            <w:tcW w:w="102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1,875</w:t>
            </w:r>
          </w:p>
        </w:tc>
      </w:tr>
      <w:tr>
        <w:trPr>
          <w:trHeight w:val="168"/>
        </w:trPr>
        <w:tc>
          <w:tcPr>
            <w:tcW w:w="10220" w:type="dxa"/>
            <w:vAlign w:val="bottom"/>
            <w:shd w:val="clear" w:color="auto" w:fill="CCEEFF"/>
          </w:tcPr>
          <w:p>
            <w:pPr>
              <w:spacing w:after="0"/>
              <w:rPr>
                <w:sz w:val="20"/>
                <w:szCs w:val="20"/>
                <w:color w:val="auto"/>
              </w:rPr>
            </w:pPr>
            <w:r>
              <w:rPr>
                <w:rFonts w:ascii="Arial" w:cs="Arial" w:eastAsia="Arial" w:hAnsi="Arial"/>
                <w:sz w:val="14"/>
                <w:szCs w:val="14"/>
                <w:color w:val="auto"/>
              </w:rPr>
              <w:t>Intangible – customer relationship, net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339,883</w:t>
            </w:r>
          </w:p>
        </w:tc>
      </w:tr>
      <w:tr>
        <w:trPr>
          <w:trHeight w:val="168"/>
        </w:trPr>
        <w:tc>
          <w:tcPr>
            <w:tcW w:w="10220" w:type="dxa"/>
            <w:vAlign w:val="bottom"/>
          </w:tcPr>
          <w:p>
            <w:pPr>
              <w:spacing w:after="0"/>
              <w:rPr>
                <w:sz w:val="20"/>
                <w:szCs w:val="20"/>
                <w:color w:val="auto"/>
              </w:rPr>
            </w:pPr>
            <w:r>
              <w:rPr>
                <w:rFonts w:ascii="Arial" w:cs="Arial" w:eastAsia="Arial" w:hAnsi="Arial"/>
                <w:sz w:val="14"/>
                <w:szCs w:val="14"/>
                <w:color w:val="auto"/>
              </w:rPr>
              <w:t>Wages payable and accruals</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(86,483)</w:t>
            </w:r>
          </w:p>
        </w:tc>
      </w:tr>
      <w:tr>
        <w:trPr>
          <w:trHeight w:val="168"/>
        </w:trPr>
        <w:tc>
          <w:tcPr>
            <w:tcW w:w="10220" w:type="dxa"/>
            <w:vAlign w:val="bottom"/>
            <w:shd w:val="clear" w:color="auto" w:fill="CCEEFF"/>
          </w:tcPr>
          <w:p>
            <w:pPr>
              <w:spacing w:after="0"/>
              <w:rPr>
                <w:sz w:val="20"/>
                <w:szCs w:val="20"/>
                <w:color w:val="auto"/>
              </w:rPr>
            </w:pPr>
            <w:r>
              <w:rPr>
                <w:rFonts w:ascii="Arial" w:cs="Arial" w:eastAsia="Arial" w:hAnsi="Arial"/>
                <w:sz w:val="14"/>
                <w:szCs w:val="14"/>
                <w:color w:val="auto"/>
              </w:rPr>
              <w:t>Tax payables</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(16,147)</w:t>
            </w:r>
          </w:p>
        </w:tc>
      </w:tr>
      <w:tr>
        <w:trPr>
          <w:trHeight w:val="168"/>
        </w:trPr>
        <w:tc>
          <w:tcPr>
            <w:tcW w:w="10220" w:type="dxa"/>
            <w:vAlign w:val="bottom"/>
          </w:tcPr>
          <w:p>
            <w:pPr>
              <w:spacing w:after="0"/>
              <w:rPr>
                <w:sz w:val="20"/>
                <w:szCs w:val="20"/>
                <w:color w:val="auto"/>
              </w:rPr>
            </w:pPr>
            <w:r>
              <w:rPr>
                <w:rFonts w:ascii="Arial" w:cs="Arial" w:eastAsia="Arial" w:hAnsi="Arial"/>
                <w:sz w:val="14"/>
                <w:szCs w:val="14"/>
                <w:color w:val="auto"/>
              </w:rPr>
              <w:t>Other payable and other current liabilities</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(259,361)</w:t>
            </w:r>
          </w:p>
        </w:tc>
      </w:tr>
      <w:tr>
        <w:trPr>
          <w:trHeight w:val="168"/>
        </w:trPr>
        <w:tc>
          <w:tcPr>
            <w:tcW w:w="1022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liability</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(65,264)</w:t>
            </w:r>
          </w:p>
        </w:tc>
      </w:tr>
      <w:tr>
        <w:trPr>
          <w:trHeight w:val="168"/>
        </w:trPr>
        <w:tc>
          <w:tcPr>
            <w:tcW w:w="102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(290,994)</w:t>
            </w:r>
          </w:p>
        </w:tc>
      </w:tr>
      <w:tr>
        <w:trPr>
          <w:trHeight w:val="180"/>
        </w:trPr>
        <w:tc>
          <w:tcPr>
            <w:tcW w:w="102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195,080</w:t>
            </w:r>
          </w:p>
        </w:tc>
      </w:tr>
      <w:tr>
        <w:trPr>
          <w:trHeight w:val="168"/>
        </w:trPr>
        <w:tc>
          <w:tcPr>
            <w:tcW w:w="10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1"/>
        </w:trPr>
        <w:tc>
          <w:tcPr>
            <w:tcW w:w="10220" w:type="dxa"/>
            <w:vAlign w:val="bottom"/>
            <w:shd w:val="clear" w:color="auto" w:fill="CCEEFF"/>
          </w:tcPr>
          <w:p>
            <w:pPr>
              <w:spacing w:after="0"/>
              <w:rPr>
                <w:sz w:val="20"/>
                <w:szCs w:val="20"/>
                <w:color w:val="auto"/>
              </w:rPr>
            </w:pPr>
            <w:r>
              <w:rPr>
                <w:rFonts w:ascii="Arial" w:cs="Arial" w:eastAsia="Arial" w:hAnsi="Arial"/>
                <w:sz w:val="14"/>
                <w:szCs w:val="14"/>
                <w:color w:val="auto"/>
              </w:rPr>
              <w:t>Total consideration</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480,061</w:t>
            </w:r>
          </w:p>
        </w:tc>
      </w:tr>
      <w:tr>
        <w:trPr>
          <w:trHeight w:val="20"/>
        </w:trPr>
        <w:tc>
          <w:tcPr>
            <w:tcW w:w="10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 JQ</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On October 17, 2017, the Company acquired 55% of JQ equity interest, and its 100% owned subsidiary – JL in Taiwan for a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142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44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CLPS INCORPORATION</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NOTES TO CONSOLIDATED FINANCIAL STATEMENTS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NOTE 4 – ACCOUNTS RECEIVABLE, NET</w:t>
            </w:r>
          </w:p>
        </w:tc>
        <w:tc>
          <w:tcPr>
            <w:tcW w:w="4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320" w:type="dxa"/>
            <w:vAlign w:val="bottom"/>
            <w:gridSpan w:val="2"/>
          </w:tcPr>
          <w:p>
            <w:pPr>
              <w:spacing w:after="0"/>
              <w:rPr>
                <w:sz w:val="20"/>
                <w:szCs w:val="20"/>
                <w:color w:val="auto"/>
              </w:rPr>
            </w:pPr>
            <w:r>
              <w:rPr>
                <w:rFonts w:ascii="Arial" w:cs="Arial" w:eastAsia="Arial" w:hAnsi="Arial"/>
                <w:sz w:val="14"/>
                <w:szCs w:val="14"/>
                <w:color w:val="auto"/>
              </w:rPr>
              <w:t>Accounts receivable consisted of the following:</w:t>
            </w:r>
          </w:p>
        </w:tc>
        <w:tc>
          <w:tcPr>
            <w:tcW w:w="4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Trade accounts receivable</w:t>
            </w:r>
          </w:p>
        </w:tc>
        <w:tc>
          <w:tcPr>
            <w:tcW w:w="4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6,753,891</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4,420,263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10,885,607</w:t>
            </w:r>
          </w:p>
        </w:tc>
        <w:tc>
          <w:tcPr>
            <w:tcW w:w="0" w:type="dxa"/>
            <w:vAlign w:val="bottom"/>
          </w:tcPr>
          <w:p>
            <w:pPr>
              <w:spacing w:after="0"/>
              <w:rPr>
                <w:sz w:val="1"/>
                <w:szCs w:val="1"/>
                <w:color w:val="auto"/>
              </w:rPr>
            </w:pPr>
          </w:p>
        </w:tc>
      </w:tr>
      <w:tr>
        <w:trPr>
          <w:trHeight w:val="179"/>
        </w:trPr>
        <w:tc>
          <w:tcPr>
            <w:tcW w:w="3320" w:type="dxa"/>
            <w:vAlign w:val="bottom"/>
            <w:gridSpan w:val="2"/>
          </w:tcPr>
          <w:p>
            <w:pPr>
              <w:spacing w:after="0"/>
              <w:rPr>
                <w:sz w:val="20"/>
                <w:szCs w:val="20"/>
                <w:color w:val="auto"/>
              </w:rPr>
            </w:pPr>
            <w:r>
              <w:rPr>
                <w:rFonts w:ascii="Arial" w:cs="Arial" w:eastAsia="Arial" w:hAnsi="Arial"/>
                <w:sz w:val="14"/>
                <w:szCs w:val="14"/>
                <w:color w:val="auto"/>
              </w:rPr>
              <w:t>Less: allowance for doubtful accounts</w:t>
            </w:r>
          </w:p>
        </w:tc>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(109,117)</w:t>
            </w:r>
          </w:p>
        </w:tc>
        <w:tc>
          <w:tcPr>
            <w:tcW w:w="3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(46,774)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(72,128)</w:t>
            </w:r>
          </w:p>
        </w:tc>
        <w:tc>
          <w:tcPr>
            <w:tcW w:w="0" w:type="dxa"/>
            <w:vAlign w:val="bottom"/>
          </w:tcPr>
          <w:p>
            <w:pPr>
              <w:spacing w:after="0"/>
              <w:rPr>
                <w:sz w:val="1"/>
                <w:szCs w:val="1"/>
                <w:color w:val="auto"/>
              </w:rPr>
            </w:pPr>
          </w:p>
        </w:tc>
      </w:tr>
      <w:tr>
        <w:trPr>
          <w:trHeight w:val="21"/>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4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20" w:type="dxa"/>
            <w:vAlign w:val="bottom"/>
            <w:gridSpan w:val="2"/>
            <w:vMerge w:val="continue"/>
            <w:shd w:val="clear" w:color="auto" w:fill="CCEEFF"/>
          </w:tcPr>
          <w:p>
            <w:pPr>
              <w:spacing w:after="0"/>
              <w:rPr>
                <w:sz w:val="16"/>
                <w:szCs w:val="16"/>
                <w:color w:val="auto"/>
              </w:rPr>
            </w:pPr>
          </w:p>
        </w:tc>
        <w:tc>
          <w:tcPr>
            <w:tcW w:w="4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6,644,774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4,373,489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10,813,479</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500"/>
        <w:spacing w:after="0" w:line="277" w:lineRule="auto"/>
        <w:rPr>
          <w:sz w:val="20"/>
          <w:szCs w:val="20"/>
          <w:color w:val="auto"/>
        </w:rPr>
      </w:pPr>
      <w:r>
        <w:rPr>
          <w:rFonts w:ascii="Arial" w:cs="Arial" w:eastAsia="Arial" w:hAnsi="Arial"/>
          <w:sz w:val="14"/>
          <w:szCs w:val="14"/>
          <w:color w:val="auto"/>
        </w:rPr>
        <w:t>Unbilled accounts receivable included in trade accounts receivable above amounted to $263,434 and Nil as of June 30, 2017 and 2016, respectively. Unbilled accounts receivable included in trade accounts receivable above amounted to $775,305 as of December 31, 2017.</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Movement of the allowance for doubtful accounts is as follows:</w:t>
      </w:r>
    </w:p>
    <w:p>
      <w:pPr>
        <w:sectPr>
          <w:pgSz w:w="11900" w:h="16838" w:orient="portrait"/>
          <w:cols w:equalWidth="0" w:num="1">
            <w:col w:w="11460"/>
          </w:cols>
          <w:pgMar w:left="220" w:top="20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Balance at the beginning of the period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doubtful accounts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Write off for doubtful accounts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Foreign currency translation adjustments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Balance at end of period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As of</w:t>
            </w:r>
          </w:p>
        </w:tc>
      </w:tr>
      <w:tr>
        <w:trPr>
          <w:trHeight w:val="195"/>
        </w:trPr>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r>
      <w:tr>
        <w:trPr>
          <w:trHeight w:val="180"/>
        </w:trPr>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r>
      <w:tr>
        <w:trPr>
          <w:trHeight w:val="158"/>
        </w:trPr>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70"/>
              <w:spacing w:after="0" w:line="158"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3"/>
                <w:szCs w:val="13"/>
                <w:color w:val="auto"/>
              </w:rPr>
            </w:pPr>
          </w:p>
        </w:tc>
      </w:tr>
      <w:tr>
        <w:trPr>
          <w:trHeight w:val="168"/>
        </w:trPr>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46,774</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48,654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109,117</w:t>
            </w:r>
          </w:p>
        </w:tc>
        <w:tc>
          <w:tcPr>
            <w:tcW w:w="20" w:type="dxa"/>
            <w:vAlign w:val="bottom"/>
          </w:tcPr>
          <w:p>
            <w:pPr>
              <w:spacing w:after="0"/>
              <w:rPr>
                <w:sz w:val="14"/>
                <w:szCs w:val="14"/>
                <w:color w:val="auto"/>
              </w:rPr>
            </w:pPr>
          </w:p>
        </w:tc>
      </w:tr>
      <w:tr>
        <w:trPr>
          <w:trHeight w:val="168"/>
        </w:trPr>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62,990</w:t>
            </w:r>
          </w:p>
        </w:tc>
        <w:tc>
          <w:tcPr>
            <w:tcW w:w="3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1,908</w:t>
            </w:r>
          </w:p>
        </w:tc>
        <w:tc>
          <w:tcPr>
            <w:tcW w:w="20" w:type="dxa"/>
            <w:vAlign w:val="bottom"/>
          </w:tcPr>
          <w:p>
            <w:pPr>
              <w:spacing w:after="0"/>
              <w:rPr>
                <w:sz w:val="14"/>
                <w:szCs w:val="14"/>
                <w:color w:val="auto"/>
              </w:rPr>
            </w:pPr>
          </w:p>
        </w:tc>
      </w:tr>
      <w:tr>
        <w:trPr>
          <w:trHeight w:val="168"/>
        </w:trPr>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(42,631)</w:t>
            </w:r>
          </w:p>
        </w:tc>
      </w:tr>
      <w:tr>
        <w:trPr>
          <w:trHeight w:val="190"/>
        </w:trPr>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(647)</w:t>
            </w:r>
          </w:p>
        </w:tc>
        <w:tc>
          <w:tcPr>
            <w:tcW w:w="3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(3,309)</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3,734</w:t>
            </w:r>
          </w:p>
        </w:tc>
        <w:tc>
          <w:tcPr>
            <w:tcW w:w="20" w:type="dxa"/>
            <w:vAlign w:val="bottom"/>
          </w:tcPr>
          <w:p>
            <w:pPr>
              <w:spacing w:after="0"/>
              <w:rPr>
                <w:sz w:val="16"/>
                <w:szCs w:val="16"/>
                <w:color w:val="auto"/>
              </w:rPr>
            </w:pPr>
          </w:p>
        </w:tc>
      </w:tr>
      <w:tr>
        <w:trPr>
          <w:trHeight w:val="21"/>
        </w:trPr>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109,117</w:t>
            </w:r>
          </w:p>
        </w:tc>
        <w:tc>
          <w:tcPr>
            <w:tcW w:w="2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46,774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72,128</w:t>
            </w:r>
          </w:p>
        </w:tc>
        <w:tc>
          <w:tcPr>
            <w:tcW w:w="20" w:type="dxa"/>
            <w:vAlign w:val="bottom"/>
          </w:tcPr>
          <w:p>
            <w:pPr>
              <w:spacing w:after="0"/>
              <w:rPr>
                <w:sz w:val="16"/>
                <w:szCs w:val="16"/>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-600710</wp:posOffset>
            </wp:positionV>
            <wp:extent cx="7277100" cy="1066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-386715</wp:posOffset>
            </wp:positionV>
            <wp:extent cx="7277100" cy="1066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-160020</wp:posOffset>
            </wp:positionV>
            <wp:extent cx="7277100" cy="140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7100" cy="14033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740" w:space="720"/>
            <w:col w:w="4000"/>
          </w:cols>
          <w:pgMar w:left="220" w:top="200" w:right="2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7460" w:type="dxa"/>
            <w:vAlign w:val="bottom"/>
          </w:tcPr>
          <w:p>
            <w:pPr>
              <w:spacing w:after="0"/>
              <w:rPr>
                <w:sz w:val="20"/>
                <w:szCs w:val="20"/>
                <w:color w:val="auto"/>
              </w:rPr>
            </w:pPr>
            <w:r>
              <w:rPr>
                <w:rFonts w:ascii="Arial" w:cs="Arial" w:eastAsia="Arial" w:hAnsi="Arial"/>
                <w:sz w:val="14"/>
                <w:szCs w:val="14"/>
                <w:b w:val="1"/>
                <w:bCs w:val="1"/>
                <w:color w:val="auto"/>
              </w:rPr>
              <w:t>NOTE 5 – PREPAYMENTS, DEPOSITS AND OTHER ASSETS, NET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460" w:type="dxa"/>
            <w:vAlign w:val="bottom"/>
          </w:tcPr>
          <w:p>
            <w:pPr>
              <w:spacing w:after="0"/>
              <w:rPr>
                <w:sz w:val="20"/>
                <w:szCs w:val="20"/>
                <w:color w:val="auto"/>
              </w:rPr>
            </w:pPr>
            <w:r>
              <w:rPr>
                <w:rFonts w:ascii="Arial" w:cs="Arial" w:eastAsia="Arial" w:hAnsi="Arial"/>
                <w:sz w:val="14"/>
                <w:szCs w:val="14"/>
                <w:color w:val="auto"/>
              </w:rPr>
              <w:t>Prepayments, deposits and other assets consisted of the following:</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7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Deferred contract costs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263,065</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13,470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421,102</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tcPr>
          <w:p>
            <w:pPr>
              <w:spacing w:after="0"/>
              <w:rPr>
                <w:sz w:val="20"/>
                <w:szCs w:val="20"/>
                <w:color w:val="auto"/>
              </w:rPr>
            </w:pPr>
            <w:r>
              <w:rPr>
                <w:rFonts w:ascii="Arial" w:cs="Arial" w:eastAsia="Arial" w:hAnsi="Arial"/>
                <w:sz w:val="14"/>
                <w:szCs w:val="14"/>
                <w:color w:val="auto"/>
              </w:rPr>
              <w:t>Advances and deposits to suppliers</w:t>
            </w: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231,731</w:t>
            </w:r>
          </w:p>
        </w:tc>
        <w:tc>
          <w:tcPr>
            <w:tcW w:w="3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216,752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258,043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179,384</w:t>
            </w: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58,732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282,631</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tcPr>
          <w:p>
            <w:pPr>
              <w:spacing w:after="0"/>
              <w:rPr>
                <w:sz w:val="20"/>
                <w:szCs w:val="20"/>
                <w:color w:val="auto"/>
              </w:rPr>
            </w:pPr>
            <w:r>
              <w:rPr>
                <w:rFonts w:ascii="Arial" w:cs="Arial" w:eastAsia="Arial" w:hAnsi="Arial"/>
                <w:sz w:val="14"/>
                <w:szCs w:val="14"/>
                <w:color w:val="auto"/>
              </w:rPr>
              <w:t>Note receivable</w:t>
            </w: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21,813</w:t>
            </w:r>
          </w:p>
        </w:tc>
        <w:tc>
          <w:tcPr>
            <w:tcW w:w="3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49,961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Advances to employees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47,783</w:t>
            </w: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103,840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109,956</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60" w:type="dxa"/>
            <w:vAlign w:val="bottom"/>
          </w:tcPr>
          <w:p>
            <w:pPr>
              <w:spacing w:after="0"/>
              <w:rPr>
                <w:sz w:val="20"/>
                <w:szCs w:val="20"/>
                <w:color w:val="auto"/>
              </w:rPr>
            </w:pPr>
            <w:r>
              <w:rPr>
                <w:rFonts w:ascii="Arial" w:cs="Arial" w:eastAsia="Arial" w:hAnsi="Arial"/>
                <w:sz w:val="14"/>
                <w:szCs w:val="14"/>
                <w:color w:val="auto"/>
              </w:rPr>
              <w:t>Less: allowance for doubtful accounts</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(41,602)</w:t>
            </w:r>
          </w:p>
        </w:tc>
        <w:tc>
          <w:tcPr>
            <w:tcW w:w="3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(18,390)</w:t>
            </w: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(47,794)</w:t>
            </w:r>
          </w:p>
        </w:tc>
        <w:tc>
          <w:tcPr>
            <w:tcW w:w="0" w:type="dxa"/>
            <w:vAlign w:val="bottom"/>
          </w:tcPr>
          <w:p>
            <w:pPr>
              <w:spacing w:after="0"/>
              <w:rPr>
                <w:sz w:val="1"/>
                <w:szCs w:val="1"/>
                <w:color w:val="auto"/>
              </w:rPr>
            </w:pPr>
          </w:p>
        </w:tc>
      </w:tr>
      <w:tr>
        <w:trPr>
          <w:trHeight w:val="168"/>
        </w:trPr>
        <w:tc>
          <w:tcPr>
            <w:tcW w:w="74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702,174</w:t>
            </w: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374,404</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1,073,899</w:t>
            </w:r>
          </w:p>
        </w:tc>
        <w:tc>
          <w:tcPr>
            <w:tcW w:w="10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460" w:type="dxa"/>
            <w:vAlign w:val="bottom"/>
          </w:tcPr>
          <w:p>
            <w:pPr>
              <w:spacing w:after="0"/>
              <w:rPr>
                <w:sz w:val="20"/>
                <w:szCs w:val="20"/>
                <w:color w:val="auto"/>
              </w:rPr>
            </w:pPr>
            <w:r>
              <w:rPr>
                <w:rFonts w:ascii="Arial" w:cs="Arial" w:eastAsia="Arial" w:hAnsi="Arial"/>
                <w:sz w:val="14"/>
                <w:szCs w:val="14"/>
                <w:color w:val="auto"/>
              </w:rPr>
              <w:t>Less: Long term portion</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(123,783)</w:t>
            </w:r>
          </w:p>
        </w:tc>
        <w:tc>
          <w:tcPr>
            <w:tcW w:w="3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(114,248)</w:t>
            </w: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(121,405)</w:t>
            </w:r>
          </w:p>
        </w:tc>
        <w:tc>
          <w:tcPr>
            <w:tcW w:w="0" w:type="dxa"/>
            <w:vAlign w:val="bottom"/>
          </w:tcPr>
          <w:p>
            <w:pPr>
              <w:spacing w:after="0"/>
              <w:rPr>
                <w:sz w:val="1"/>
                <w:szCs w:val="1"/>
                <w:color w:val="auto"/>
              </w:rPr>
            </w:pPr>
          </w:p>
        </w:tc>
      </w:tr>
      <w:tr>
        <w:trPr>
          <w:trHeight w:val="21"/>
        </w:trPr>
        <w:tc>
          <w:tcPr>
            <w:tcW w:w="74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Prepayments, deposits and other assets – current portion</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578,391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260,156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952,494</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Movement of the allowance for doubtful accounts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7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Balance at the beginning of the period</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18,390</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15,771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41,602</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tcPr>
          <w:p>
            <w:pPr>
              <w:spacing w:after="0"/>
              <w:rPr>
                <w:sz w:val="20"/>
                <w:szCs w:val="20"/>
                <w:color w:val="auto"/>
              </w:rPr>
            </w:pPr>
            <w:r>
              <w:rPr>
                <w:rFonts w:ascii="Arial" w:cs="Arial" w:eastAsia="Arial" w:hAnsi="Arial"/>
                <w:sz w:val="14"/>
                <w:szCs w:val="14"/>
                <w:color w:val="auto"/>
              </w:rPr>
              <w:t>Provision for doubtful accounts</w:t>
            </w: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23,473</w:t>
            </w:r>
          </w:p>
        </w:tc>
        <w:tc>
          <w:tcPr>
            <w:tcW w:w="3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3,794</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adjustment</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(261)</w:t>
            </w: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(1,175)</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460" w:type="dxa"/>
            <w:vAlign w:val="bottom"/>
            <w:vMerge w:val="continue"/>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41,602</w:t>
            </w:r>
          </w:p>
        </w:tc>
        <w:tc>
          <w:tcPr>
            <w:tcW w:w="220" w:type="dxa"/>
            <w:vAlign w:val="bottom"/>
          </w:tcPr>
          <w:p>
            <w:pPr>
              <w:spacing w:after="0"/>
              <w:rPr>
                <w:sz w:val="14"/>
                <w:szCs w:val="14"/>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18,390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47,794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LONG TERM INVESTMENT</w:t>
      </w:r>
    </w:p>
    <w:p>
      <w:pPr>
        <w:spacing w:after="0" w:line="85" w:lineRule="exact"/>
        <w:rPr>
          <w:sz w:val="20"/>
          <w:szCs w:val="20"/>
          <w:color w:val="auto"/>
        </w:rPr>
      </w:pPr>
    </w:p>
    <w:p>
      <w:pPr>
        <w:ind w:right="320"/>
        <w:spacing w:after="0" w:line="316" w:lineRule="auto"/>
        <w:rPr>
          <w:sz w:val="20"/>
          <w:szCs w:val="20"/>
          <w:color w:val="auto"/>
        </w:rPr>
      </w:pPr>
      <w:r>
        <w:rPr>
          <w:rFonts w:ascii="Arial" w:cs="Arial" w:eastAsia="Arial" w:hAnsi="Arial"/>
          <w:sz w:val="12"/>
          <w:szCs w:val="12"/>
          <w:color w:val="auto"/>
        </w:rPr>
        <w:t>In February 2016, the Company’s subsidiary CLPS Shanghai invested $45,141 (or RMB 300,000) in Guangzhou Rongzhuan Technology Co., Ltd (“Guangzhou Rongzhuan”) to acquire a 30% equity interest in Guangzhou Rongzhuan. The balance of 70% of the equity of Guangzhou Rongzhuan was held by three independent shareholders. Rongzhuan provides system training and software development business in Guangzhou, PRC. As the Company has the ability to exercise significant influence over the operating and financial decisions, the equity method was used to account for the investment. Due to Guangzhou Ronghuan’s slow business development, CLPS Shanghai in March 2017 sold its investment to the other existing shareholders of Guangzhou Rongzhuan at cost.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00" w:right="21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344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43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CLPS INCORPORATION</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NOTES TO CONSOLIDATED FINANCIAL STATEMENTS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NOTE 7 – PROPERTY AND EQUIPMENT, NET</w:t>
            </w: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440" w:type="dxa"/>
            <w:vAlign w:val="bottom"/>
            <w:gridSpan w:val="2"/>
          </w:tcPr>
          <w:p>
            <w:pPr>
              <w:spacing w:after="0"/>
              <w:rPr>
                <w:sz w:val="20"/>
                <w:szCs w:val="20"/>
                <w:color w:val="auto"/>
              </w:rPr>
            </w:pPr>
            <w:r>
              <w:rPr>
                <w:rFonts w:ascii="Arial" w:cs="Arial" w:eastAsia="Arial" w:hAnsi="Arial"/>
                <w:sz w:val="14"/>
                <w:szCs w:val="14"/>
                <w:color w:val="auto"/>
              </w:rPr>
              <w:t>Property and equipment consisted of the following:</w:t>
            </w: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Equipment</w:t>
            </w:r>
          </w:p>
        </w:tc>
        <w:tc>
          <w:tcPr>
            <w:tcW w:w="4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386,590</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328,025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516,300</w:t>
            </w:r>
          </w:p>
        </w:tc>
        <w:tc>
          <w:tcPr>
            <w:tcW w:w="0" w:type="dxa"/>
            <w:vAlign w:val="bottom"/>
          </w:tcPr>
          <w:p>
            <w:pPr>
              <w:spacing w:after="0"/>
              <w:rPr>
                <w:sz w:val="1"/>
                <w:szCs w:val="1"/>
                <w:color w:val="auto"/>
              </w:rPr>
            </w:pPr>
          </w:p>
        </w:tc>
      </w:tr>
      <w:tr>
        <w:trPr>
          <w:trHeight w:val="168"/>
        </w:trPr>
        <w:tc>
          <w:tcPr>
            <w:tcW w:w="3440" w:type="dxa"/>
            <w:vAlign w:val="bottom"/>
            <w:gridSpan w:val="2"/>
          </w:tcPr>
          <w:p>
            <w:pPr>
              <w:spacing w:after="0"/>
              <w:rPr>
                <w:sz w:val="20"/>
                <w:szCs w:val="20"/>
                <w:color w:val="auto"/>
              </w:rPr>
            </w:pPr>
            <w:r>
              <w:rPr>
                <w:rFonts w:ascii="Arial" w:cs="Arial" w:eastAsia="Arial" w:hAnsi="Arial"/>
                <w:sz w:val="14"/>
                <w:szCs w:val="14"/>
                <w:color w:val="auto"/>
              </w:rPr>
              <w:t>Office Furniture</w:t>
            </w: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100,524</w:t>
            </w: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104,817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108,144</w:t>
            </w:r>
          </w:p>
        </w:tc>
        <w:tc>
          <w:tcPr>
            <w:tcW w:w="0" w:type="dxa"/>
            <w:vAlign w:val="bottom"/>
          </w:tcPr>
          <w:p>
            <w:pPr>
              <w:spacing w:after="0"/>
              <w:rPr>
                <w:sz w:val="1"/>
                <w:szCs w:val="1"/>
                <w:color w:val="auto"/>
              </w:rPr>
            </w:pPr>
          </w:p>
        </w:tc>
      </w:tr>
      <w:tr>
        <w:trPr>
          <w:trHeight w:val="168"/>
        </w:trPr>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Automobiles</w:t>
            </w:r>
          </w:p>
        </w:tc>
        <w:tc>
          <w:tcPr>
            <w:tcW w:w="4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35,706</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36,422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122,128</w:t>
            </w:r>
          </w:p>
        </w:tc>
        <w:tc>
          <w:tcPr>
            <w:tcW w:w="0" w:type="dxa"/>
            <w:vAlign w:val="bottom"/>
          </w:tcPr>
          <w:p>
            <w:pPr>
              <w:spacing w:after="0"/>
              <w:rPr>
                <w:sz w:val="1"/>
                <w:szCs w:val="1"/>
                <w:color w:val="auto"/>
              </w:rPr>
            </w:pPr>
          </w:p>
        </w:tc>
      </w:tr>
      <w:tr>
        <w:trPr>
          <w:trHeight w:val="180"/>
        </w:trPr>
        <w:tc>
          <w:tcPr>
            <w:tcW w:w="3440" w:type="dxa"/>
            <w:vAlign w:val="bottom"/>
            <w:gridSpan w:val="2"/>
          </w:tcPr>
          <w:p>
            <w:pPr>
              <w:spacing w:after="0"/>
              <w:rPr>
                <w:sz w:val="20"/>
                <w:szCs w:val="20"/>
                <w:color w:val="auto"/>
              </w:rPr>
            </w:pPr>
            <w:r>
              <w:rPr>
                <w:rFonts w:ascii="Arial" w:cs="Arial" w:eastAsia="Arial" w:hAnsi="Arial"/>
                <w:sz w:val="14"/>
                <w:szCs w:val="14"/>
                <w:color w:val="auto"/>
              </w:rPr>
              <w:t>Leasehold improvement</w:t>
            </w:r>
          </w:p>
        </w:tc>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66,157</w:t>
            </w:r>
          </w:p>
        </w:tc>
        <w:tc>
          <w:tcPr>
            <w:tcW w:w="3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67,485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78,342</w:t>
            </w:r>
          </w:p>
        </w:tc>
        <w:tc>
          <w:tcPr>
            <w:tcW w:w="0" w:type="dxa"/>
            <w:vAlign w:val="bottom"/>
          </w:tcPr>
          <w:p>
            <w:pPr>
              <w:spacing w:after="0"/>
              <w:rPr>
                <w:sz w:val="1"/>
                <w:szCs w:val="1"/>
                <w:color w:val="auto"/>
              </w:rPr>
            </w:pPr>
          </w:p>
        </w:tc>
      </w:tr>
      <w:tr>
        <w:trPr>
          <w:trHeight w:val="168"/>
        </w:trPr>
        <w:tc>
          <w:tcPr>
            <w:tcW w:w="3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40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588,977</w:t>
            </w: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536,749</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824,914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40" w:type="dxa"/>
            <w:vAlign w:val="bottom"/>
            <w:gridSpan w:val="2"/>
          </w:tcPr>
          <w:p>
            <w:pPr>
              <w:spacing w:after="0"/>
              <w:rPr>
                <w:sz w:val="20"/>
                <w:szCs w:val="20"/>
                <w:color w:val="auto"/>
              </w:rPr>
            </w:pPr>
            <w:r>
              <w:rPr>
                <w:rFonts w:ascii="Arial" w:cs="Arial" w:eastAsia="Arial" w:hAnsi="Arial"/>
                <w:sz w:val="14"/>
                <w:szCs w:val="14"/>
                <w:color w:val="auto"/>
              </w:rPr>
              <w:t>Less: accumulated depreciation and amortization</w:t>
            </w:r>
          </w:p>
        </w:tc>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(315,630)</w:t>
            </w:r>
          </w:p>
        </w:tc>
        <w:tc>
          <w:tcPr>
            <w:tcW w:w="3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(209,929)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(407,888)</w:t>
            </w:r>
          </w:p>
        </w:tc>
        <w:tc>
          <w:tcPr>
            <w:tcW w:w="0" w:type="dxa"/>
            <w:vAlign w:val="bottom"/>
          </w:tcPr>
          <w:p>
            <w:pPr>
              <w:spacing w:after="0"/>
              <w:rPr>
                <w:sz w:val="1"/>
                <w:szCs w:val="1"/>
                <w:color w:val="auto"/>
              </w:rPr>
            </w:pPr>
          </w:p>
        </w:tc>
      </w:tr>
      <w:tr>
        <w:trPr>
          <w:trHeight w:val="21"/>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40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40" w:type="dxa"/>
            <w:vAlign w:val="bottom"/>
            <w:gridSpan w:val="2"/>
            <w:vMerge w:val="continue"/>
            <w:shd w:val="clear" w:color="auto" w:fill="CCEEFF"/>
          </w:tcPr>
          <w:p>
            <w:pPr>
              <w:spacing w:after="0"/>
              <w:rPr>
                <w:sz w:val="16"/>
                <w:szCs w:val="16"/>
                <w:color w:val="auto"/>
              </w:rPr>
            </w:pPr>
          </w:p>
        </w:tc>
        <w:tc>
          <w:tcPr>
            <w:tcW w:w="4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273,347</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326,820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417,026</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Depreciation expense was $109,356 and $54,105 for the years ended June 30, 2017 and 2016, respectively. Depreciation expense was $76,014 and $63,131 for the six months ended December 31, 2017 and 2016,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INTANGIBLE ASSETS, NET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consisted of customer contacts acquired by Judge China. Judge China was acquired by the Company on November 9, 2016 (Note 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7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Customer contacts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339,883</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354,144</w:t>
            </w:r>
          </w:p>
        </w:tc>
        <w:tc>
          <w:tcPr>
            <w:tcW w:w="0" w:type="dxa"/>
            <w:vAlign w:val="bottom"/>
          </w:tcPr>
          <w:p>
            <w:pPr>
              <w:spacing w:after="0"/>
              <w:rPr>
                <w:sz w:val="1"/>
                <w:szCs w:val="1"/>
                <w:color w:val="auto"/>
              </w:rPr>
            </w:pPr>
          </w:p>
        </w:tc>
      </w:tr>
      <w:tr>
        <w:trPr>
          <w:trHeight w:val="179"/>
        </w:trPr>
        <w:tc>
          <w:tcPr>
            <w:tcW w:w="746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(34,419)</w:t>
            </w:r>
          </w:p>
        </w:tc>
        <w:tc>
          <w:tcPr>
            <w:tcW w:w="92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(62,760)</w:t>
            </w:r>
          </w:p>
        </w:tc>
        <w:tc>
          <w:tcPr>
            <w:tcW w:w="0" w:type="dxa"/>
            <w:vAlign w:val="bottom"/>
          </w:tcPr>
          <w:p>
            <w:pPr>
              <w:spacing w:after="0"/>
              <w:rPr>
                <w:sz w:val="1"/>
                <w:szCs w:val="1"/>
                <w:color w:val="auto"/>
              </w:rPr>
            </w:pPr>
          </w:p>
        </w:tc>
      </w:tr>
      <w:tr>
        <w:trPr>
          <w:trHeight w:val="21"/>
        </w:trPr>
        <w:tc>
          <w:tcPr>
            <w:tcW w:w="74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305,464</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291,384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right="40"/>
        <w:spacing w:after="0" w:line="277" w:lineRule="auto"/>
        <w:rPr>
          <w:sz w:val="20"/>
          <w:szCs w:val="20"/>
          <w:color w:val="auto"/>
        </w:rPr>
      </w:pPr>
      <w:r>
        <w:rPr>
          <w:rFonts w:ascii="Arial" w:cs="Arial" w:eastAsia="Arial" w:hAnsi="Arial"/>
          <w:sz w:val="14"/>
          <w:szCs w:val="14"/>
          <w:color w:val="auto"/>
        </w:rPr>
        <w:t>Amortization expense was $34,270 for the year ended June 30, 2017. Amortization expense was $26,351 and $8,647 for the six months ended December 31, 2017 and 2016, respectively. Estimated future amortization expense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r>
      <w:tr>
        <w:trPr>
          <w:trHeight w:val="184"/>
        </w:trPr>
        <w:tc>
          <w:tcPr>
            <w:tcW w:w="3900" w:type="dxa"/>
            <w:vAlign w:val="bottom"/>
          </w:tcPr>
          <w:p>
            <w:pPr>
              <w:spacing w:after="0"/>
              <w:rPr>
                <w:sz w:val="20"/>
                <w:szCs w:val="20"/>
                <w:color w:val="auto"/>
              </w:rPr>
            </w:pPr>
            <w:r>
              <w:rPr>
                <w:rFonts w:ascii="Arial" w:cs="Arial" w:eastAsia="Arial" w:hAnsi="Arial"/>
                <w:sz w:val="14"/>
                <w:szCs w:val="14"/>
                <w:b w:val="1"/>
                <w:bCs w:val="1"/>
                <w:color w:val="auto"/>
              </w:rPr>
              <w:t>Twelve months ending December 31,</w:t>
            </w:r>
          </w:p>
        </w:tc>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expense</w:t>
            </w:r>
          </w:p>
        </w:tc>
      </w:tr>
      <w:tr>
        <w:trPr>
          <w:trHeight w:val="168"/>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6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53,794</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3900" w:type="dxa"/>
            <w:vAlign w:val="bottom"/>
          </w:tcPr>
          <w:p>
            <w:pPr>
              <w:spacing w:after="0"/>
              <w:rPr>
                <w:sz w:val="20"/>
                <w:szCs w:val="20"/>
                <w:color w:val="auto"/>
              </w:rPr>
            </w:pPr>
            <w:r>
              <w:rPr>
                <w:rFonts w:ascii="Arial" w:cs="Arial" w:eastAsia="Arial" w:hAnsi="Arial"/>
                <w:sz w:val="14"/>
                <w:szCs w:val="14"/>
                <w:color w:val="auto"/>
              </w:rPr>
              <w:t>2019</w:t>
            </w: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53,794</w:t>
            </w:r>
          </w:p>
        </w:tc>
      </w:tr>
      <w:tr>
        <w:trPr>
          <w:trHeight w:val="168"/>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6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53,794</w:t>
            </w:r>
          </w:p>
        </w:tc>
      </w:tr>
      <w:tr>
        <w:trPr>
          <w:trHeight w:val="168"/>
        </w:trPr>
        <w:tc>
          <w:tcPr>
            <w:tcW w:w="3900" w:type="dxa"/>
            <w:vAlign w:val="bottom"/>
          </w:tcPr>
          <w:p>
            <w:pPr>
              <w:spacing w:after="0"/>
              <w:rPr>
                <w:sz w:val="20"/>
                <w:szCs w:val="20"/>
                <w:color w:val="auto"/>
              </w:rPr>
            </w:pPr>
            <w:r>
              <w:rPr>
                <w:rFonts w:ascii="Arial" w:cs="Arial" w:eastAsia="Arial" w:hAnsi="Arial"/>
                <w:sz w:val="14"/>
                <w:szCs w:val="14"/>
                <w:color w:val="auto"/>
              </w:rPr>
              <w:t>2021</w:t>
            </w: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53,794</w:t>
            </w:r>
          </w:p>
        </w:tc>
      </w:tr>
      <w:tr>
        <w:trPr>
          <w:trHeight w:val="168"/>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6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53,794</w:t>
            </w:r>
          </w:p>
        </w:tc>
      </w:tr>
      <w:tr>
        <w:trPr>
          <w:trHeight w:val="180"/>
        </w:trPr>
        <w:tc>
          <w:tcPr>
            <w:tcW w:w="3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Remaining</w:t>
            </w:r>
          </w:p>
        </w:tc>
        <w:tc>
          <w:tcPr>
            <w:tcW w:w="6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22,414</w:t>
            </w:r>
          </w:p>
        </w:tc>
        <w:tc>
          <w:tcPr>
            <w:tcW w:w="100" w:type="dxa"/>
            <w:vAlign w:val="bottom"/>
            <w:tcBorders>
              <w:bottom w:val="single" w:sz="8" w:color="CCEEFF"/>
            </w:tcBorders>
          </w:tcPr>
          <w:p>
            <w:pPr>
              <w:spacing w:after="0"/>
              <w:rPr>
                <w:sz w:val="15"/>
                <w:szCs w:val="15"/>
                <w:color w:val="auto"/>
              </w:rPr>
            </w:pPr>
          </w:p>
        </w:tc>
      </w:tr>
      <w:tr>
        <w:trPr>
          <w:trHeight w:val="190"/>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644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291,384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98"/>
        </w:trPr>
        <w:tc>
          <w:tcPr>
            <w:tcW w:w="39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3"/>
          </w:tcPr>
          <w:p>
            <w:pPr>
              <w:jc w:val="right"/>
              <w:ind w:right="4410"/>
              <w:spacing w:after="0"/>
              <w:rPr>
                <w:sz w:val="20"/>
                <w:szCs w:val="20"/>
                <w:color w:val="auto"/>
              </w:rPr>
            </w:pPr>
            <w:r>
              <w:rPr>
                <w:rFonts w:ascii="Arial" w:cs="Arial" w:eastAsia="Arial" w:hAnsi="Arial"/>
                <w:sz w:val="14"/>
                <w:szCs w:val="14"/>
                <w:color w:val="auto"/>
              </w:rPr>
              <w:t>F-25</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99" w:right="21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5260" w:type="dxa"/>
            <w:vAlign w:val="bottom"/>
            <w:gridSpan w:val="2"/>
          </w:tcPr>
          <w:p>
            <w:pPr>
              <w:jc w:val="center"/>
              <w:ind w:right="1270"/>
              <w:spacing w:after="0"/>
              <w:rPr>
                <w:sz w:val="20"/>
                <w:szCs w:val="20"/>
                <w:color w:val="auto"/>
              </w:rPr>
            </w:pPr>
            <w:r>
              <w:rPr>
                <w:rFonts w:ascii="Arial" w:cs="Arial" w:eastAsia="Arial" w:hAnsi="Arial"/>
                <w:sz w:val="14"/>
                <w:szCs w:val="14"/>
                <w:b w:val="1"/>
                <w:bCs w:val="1"/>
                <w:color w:val="auto"/>
                <w:w w:val="99"/>
              </w:rPr>
              <w:t>CLPS INCORPORATION</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60" w:type="dxa"/>
            <w:vAlign w:val="bottom"/>
            <w:gridSpan w:val="2"/>
          </w:tcPr>
          <w:p>
            <w:pPr>
              <w:jc w:val="center"/>
              <w:ind w:right="1270"/>
              <w:spacing w:after="0"/>
              <w:rPr>
                <w:sz w:val="20"/>
                <w:szCs w:val="20"/>
                <w:color w:val="auto"/>
              </w:rPr>
            </w:pPr>
            <w:r>
              <w:rPr>
                <w:rFonts w:ascii="Arial" w:cs="Arial" w:eastAsia="Arial" w:hAnsi="Arial"/>
                <w:sz w:val="14"/>
                <w:szCs w:val="14"/>
                <w:b w:val="1"/>
                <w:bCs w:val="1"/>
                <w:color w:val="auto"/>
              </w:rPr>
              <w:t>NOTES TO CONSOLIDATED FINANCIAL STATEMENTS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7"/>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NOTE 9 – GOODWILL</w:t>
            </w: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7"/>
        </w:trPr>
        <w:tc>
          <w:tcPr>
            <w:tcW w:w="3780" w:type="dxa"/>
            <w:vAlign w:val="bottom"/>
            <w:gridSpan w:val="2"/>
          </w:tcPr>
          <w:p>
            <w:pPr>
              <w:spacing w:after="0"/>
              <w:rPr>
                <w:sz w:val="20"/>
                <w:szCs w:val="20"/>
                <w:color w:val="auto"/>
              </w:rPr>
            </w:pPr>
            <w:r>
              <w:rPr>
                <w:rFonts w:ascii="Arial" w:cs="Arial" w:eastAsia="Arial" w:hAnsi="Arial"/>
                <w:sz w:val="14"/>
                <w:szCs w:val="14"/>
                <w:color w:val="auto"/>
                <w:w w:val="94"/>
              </w:rPr>
              <w:t>The changes in the carrying amount of goodwill were as follows:</w:t>
            </w: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2"/>
        </w:trPr>
        <w:tc>
          <w:tcPr>
            <w:tcW w:w="1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For six months</w:t>
            </w:r>
          </w:p>
        </w:tc>
      </w:tr>
      <w:tr>
        <w:trPr>
          <w:trHeight w:val="168"/>
        </w:trPr>
        <w:tc>
          <w:tcPr>
            <w:tcW w:w="1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2"/>
              </w:rPr>
              <w:t>ended</w:t>
            </w:r>
          </w:p>
        </w:tc>
      </w:tr>
      <w:tr>
        <w:trPr>
          <w:trHeight w:val="168"/>
        </w:trPr>
        <w:tc>
          <w:tcPr>
            <w:tcW w:w="1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1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1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gridSpan w:val="2"/>
          </w:tcPr>
          <w:p>
            <w:pPr>
              <w:spacing w:after="0"/>
              <w:rPr>
                <w:sz w:val="14"/>
                <w:szCs w:val="14"/>
                <w:color w:val="auto"/>
              </w:rPr>
            </w:pPr>
          </w:p>
        </w:tc>
      </w:tr>
      <w:tr>
        <w:trPr>
          <w:trHeight w:val="168"/>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the beginning of the period</w:t>
            </w:r>
          </w:p>
        </w:tc>
        <w:tc>
          <w:tcPr>
            <w:tcW w:w="5260" w:type="dxa"/>
            <w:vAlign w:val="bottom"/>
            <w:gridSpan w:val="2"/>
            <w:shd w:val="clear" w:color="auto" w:fill="CCEEFF"/>
          </w:tcPr>
          <w:p>
            <w:pPr>
              <w:ind w:left="50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195,080</w:t>
            </w:r>
          </w:p>
        </w:tc>
        <w:tc>
          <w:tcPr>
            <w:tcW w:w="80" w:type="dxa"/>
            <w:vAlign w:val="bottom"/>
            <w:shd w:val="clear" w:color="auto" w:fill="CCEEFF"/>
          </w:tcPr>
          <w:p>
            <w:pPr>
              <w:spacing w:after="0"/>
              <w:rPr>
                <w:sz w:val="14"/>
                <w:szCs w:val="14"/>
                <w:color w:val="auto"/>
              </w:rPr>
            </w:pPr>
          </w:p>
        </w:tc>
      </w:tr>
      <w:tr>
        <w:trPr>
          <w:trHeight w:val="168"/>
        </w:trPr>
        <w:tc>
          <w:tcPr>
            <w:tcW w:w="3780" w:type="dxa"/>
            <w:vAlign w:val="bottom"/>
            <w:gridSpan w:val="2"/>
          </w:tcPr>
          <w:p>
            <w:pPr>
              <w:spacing w:after="0"/>
              <w:rPr>
                <w:sz w:val="20"/>
                <w:szCs w:val="20"/>
                <w:color w:val="auto"/>
              </w:rPr>
            </w:pPr>
            <w:r>
              <w:rPr>
                <w:rFonts w:ascii="Arial" w:cs="Arial" w:eastAsia="Arial" w:hAnsi="Arial"/>
                <w:sz w:val="14"/>
                <w:szCs w:val="14"/>
                <w:color w:val="auto"/>
              </w:rPr>
              <w:t>Goodwill arising from acquisition of Judge China (Note 3)</w:t>
            </w: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194,237</w:t>
            </w:r>
          </w:p>
        </w:tc>
        <w:tc>
          <w:tcPr>
            <w:tcW w:w="1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99"/>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Foreign currency translation adjustment</w:t>
            </w:r>
          </w:p>
        </w:tc>
        <w:tc>
          <w:tcPr>
            <w:tcW w:w="5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72"/>
        </w:trPr>
        <w:tc>
          <w:tcPr>
            <w:tcW w:w="378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Balance at the end of the period</w:t>
            </w:r>
          </w:p>
        </w:tc>
        <w:tc>
          <w:tcPr>
            <w:tcW w:w="5260" w:type="dxa"/>
            <w:vAlign w:val="bottom"/>
            <w:gridSpan w:val="2"/>
          </w:tcPr>
          <w:p>
            <w:pPr>
              <w:ind w:left="50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195,080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203,265</w:t>
            </w:r>
          </w:p>
        </w:tc>
        <w:tc>
          <w:tcPr>
            <w:tcW w:w="8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right="200"/>
        <w:spacing w:after="0" w:line="277" w:lineRule="auto"/>
        <w:rPr>
          <w:sz w:val="20"/>
          <w:szCs w:val="20"/>
          <w:color w:val="auto"/>
        </w:rPr>
      </w:pPr>
      <w:r>
        <w:rPr>
          <w:rFonts w:ascii="Arial" w:cs="Arial" w:eastAsia="Arial" w:hAnsi="Arial"/>
          <w:sz w:val="14"/>
          <w:szCs w:val="14"/>
          <w:color w:val="auto"/>
        </w:rPr>
        <w:t>The Company performed its annual goodwill impairment review for the year ended June 30, 2017 and for the six months ended December 31, 2017, and determined there was no impairment as of June 30, 2017 and as of December 31,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tcPr>
          <w:p>
            <w:pPr>
              <w:spacing w:after="0"/>
              <w:rPr>
                <w:sz w:val="20"/>
                <w:szCs w:val="20"/>
                <w:color w:val="auto"/>
              </w:rPr>
            </w:pPr>
            <w:r>
              <w:rPr>
                <w:rFonts w:ascii="Arial" w:cs="Arial" w:eastAsia="Arial" w:hAnsi="Arial"/>
                <w:sz w:val="14"/>
                <w:szCs w:val="14"/>
                <w:b w:val="1"/>
                <w:bCs w:val="1"/>
                <w:color w:val="auto"/>
              </w:rPr>
              <w:t>NOTE 10 – SHORT-TERM BANK LOANS</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7"/>
        </w:trPr>
        <w:tc>
          <w:tcPr>
            <w:tcW w:w="7460" w:type="dxa"/>
            <w:vAlign w:val="bottom"/>
          </w:tcPr>
          <w:p>
            <w:pPr>
              <w:spacing w:after="0"/>
              <w:rPr>
                <w:sz w:val="20"/>
                <w:szCs w:val="20"/>
                <w:color w:val="auto"/>
              </w:rPr>
            </w:pPr>
            <w:r>
              <w:rPr>
                <w:rFonts w:ascii="Arial" w:cs="Arial" w:eastAsia="Arial" w:hAnsi="Arial"/>
                <w:sz w:val="14"/>
                <w:szCs w:val="14"/>
                <w:color w:val="auto"/>
              </w:rPr>
              <w:t>Outstanding balances of short-term bank loans consisted of the following:</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2"/>
        </w:trPr>
        <w:tc>
          <w:tcPr>
            <w:tcW w:w="7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95"/>
        </w:trPr>
        <w:tc>
          <w:tcPr>
            <w:tcW w:w="74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88"/>
              </w:rPr>
              <w:t>As of June 30,</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80"/>
        </w:trPr>
        <w:tc>
          <w:tcPr>
            <w:tcW w:w="7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r>
      <w:tr>
        <w:trPr>
          <w:trHeight w:val="168"/>
        </w:trPr>
        <w:tc>
          <w:tcPr>
            <w:tcW w:w="74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Loan from Bank of Communication, with an interest rate of 5.655% per annum due February 8, 2018</w:t>
            </w:r>
          </w:p>
        </w:tc>
        <w:tc>
          <w:tcPr>
            <w:tcW w:w="780" w:type="dxa"/>
            <w:vAlign w:val="bottom"/>
            <w:shd w:val="clear" w:color="auto" w:fill="CCEEFF"/>
          </w:tcPr>
          <w:p>
            <w:pPr>
              <w:jc w:val="right"/>
              <w:ind w:right="660"/>
              <w:spacing w:after="0"/>
              <w:rPr>
                <w:sz w:val="20"/>
                <w:szCs w:val="20"/>
                <w:color w:val="auto"/>
              </w:rPr>
            </w:pPr>
            <w:r>
              <w:rPr>
                <w:rFonts w:ascii="Arial" w:cs="Arial" w:eastAsia="Arial" w:hAnsi="Arial"/>
                <w:sz w:val="10"/>
                <w:szCs w:val="10"/>
                <w:color w:val="auto"/>
                <w:w w:val="71"/>
              </w:rPr>
              <w:t>$</w:t>
            </w:r>
          </w:p>
        </w:tc>
        <w:tc>
          <w:tcPr>
            <w:tcW w:w="1520" w:type="dxa"/>
            <w:vAlign w:val="bottom"/>
            <w:gridSpan w:val="3"/>
            <w:shd w:val="clear" w:color="auto" w:fill="CCEEFF"/>
          </w:tcPr>
          <w:p>
            <w:pPr>
              <w:jc w:val="right"/>
              <w:ind w:right="840"/>
              <w:spacing w:after="0"/>
              <w:rPr>
                <w:sz w:val="20"/>
                <w:szCs w:val="20"/>
                <w:color w:val="auto"/>
              </w:rPr>
            </w:pPr>
            <w:r>
              <w:rPr>
                <w:rFonts w:ascii="Arial" w:cs="Arial" w:eastAsia="Arial" w:hAnsi="Arial"/>
                <w:sz w:val="14"/>
                <w:szCs w:val="14"/>
                <w:color w:val="auto"/>
              </w:rPr>
              <w:t>-    $</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753,116</w:t>
            </w:r>
          </w:p>
        </w:tc>
      </w:tr>
    </w:tbl>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4"/>
          <w:szCs w:val="14"/>
          <w:color w:val="auto"/>
        </w:rPr>
        <w:t>On November 6, 2017, the Company entered into a revolving credit facility with Bank of Communication (“BC Credit Facility”) which permits the Company to borrow up to approximately $753,100 (RMB 5,000,000) during the period from October 9, 2017 to October 9, 2018. On February 8, 2018, the Company repaid the loan.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On February 8, 2018, the Company borrowed $775,047 (RMB 4,900,000) from Bank of Communication at an interest rate of 5.655% per annum and due on July 20, 2018.</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3"/>
          <w:szCs w:val="13"/>
          <w:color w:val="auto"/>
        </w:rPr>
        <w:t>On May 17, 2017, the Company entered into a revolving credit facility with China Merchants Bank (“CMB Credit Facility “) which permits the Company to borrow up to approximately $753,100 (RMB 5,000,000) during the period from May 17, 2017 to May 16, 2018. The CMB Credit Facility is guaranteed by the CEO and Chairman and President of the Company as joint guarantors. During the six months ended December 31, 2017, the Company borrowed $1,505,752 (RMB 10,000,000) from CMB Credit Facility which was fully repaid as of December 31, 2017.</w:t>
      </w:r>
    </w:p>
    <w:p>
      <w:pPr>
        <w:spacing w:after="0" w:line="126"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On January 3, 2018, the Company entered into an additional credit facility with China Merchants Bank which permits the Company to borrow up to $1,111,712 (RMB 7,000,000) with an interest rate at 5.655% per annum expiring June 30, 2018.</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2018, the Company borrowed $1,906,193 (RMB 12,000,000) from China Merchants Bank. These loans are due in May and July 2018.</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was $14,681 and Nil for the six months ended December 31, 2017 and 2016, respectively.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00" w:right="2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TABLE OF CONTENTS</w:t>
              </w:r>
            </w:hyperlink>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02"/>
        </w:trPr>
        <w:tc>
          <w:tcPr>
            <w:tcW w:w="142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4220" w:type="dxa"/>
            <w:vAlign w:val="bottom"/>
            <w:gridSpan w:val="2"/>
          </w:tcPr>
          <w:p>
            <w:pPr>
              <w:jc w:val="center"/>
              <w:ind w:left="150"/>
              <w:spacing w:after="0"/>
              <w:rPr>
                <w:sz w:val="20"/>
                <w:szCs w:val="20"/>
                <w:color w:val="auto"/>
              </w:rPr>
            </w:pPr>
            <w:r>
              <w:rPr>
                <w:rFonts w:ascii="Arial" w:cs="Arial" w:eastAsia="Arial" w:hAnsi="Arial"/>
                <w:sz w:val="14"/>
                <w:szCs w:val="14"/>
                <w:b w:val="1"/>
                <w:bCs w:val="1"/>
                <w:color w:val="auto"/>
                <w:w w:val="99"/>
              </w:rPr>
              <w:t>CLPS INCORPORATION</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220" w:type="dxa"/>
            <w:vAlign w:val="bottom"/>
            <w:gridSpan w:val="2"/>
          </w:tcPr>
          <w:p>
            <w:pPr>
              <w:jc w:val="center"/>
              <w:ind w:left="150"/>
              <w:spacing w:after="0"/>
              <w:rPr>
                <w:sz w:val="20"/>
                <w:szCs w:val="20"/>
                <w:color w:val="auto"/>
              </w:rPr>
            </w:pPr>
            <w:r>
              <w:rPr>
                <w:rFonts w:ascii="Arial" w:cs="Arial" w:eastAsia="Arial" w:hAnsi="Arial"/>
                <w:sz w:val="14"/>
                <w:szCs w:val="14"/>
                <w:b w:val="1"/>
                <w:bCs w:val="1"/>
                <w:color w:val="auto"/>
              </w:rPr>
              <w:t>NOTES TO CONSOLIDATED FINANCIAL STATEMENTS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7"/>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NOTE 11 – SALARIES AND BENEFITS PAYABLE</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2"/>
        </w:trPr>
        <w:tc>
          <w:tcPr>
            <w:tcW w:w="1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95"/>
        </w:trPr>
        <w:tc>
          <w:tcPr>
            <w:tcW w:w="1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80"/>
        </w:trPr>
        <w:tc>
          <w:tcPr>
            <w:tcW w:w="1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r>
      <w:tr>
        <w:trPr>
          <w:trHeight w:val="168"/>
        </w:trPr>
        <w:tc>
          <w:tcPr>
            <w:tcW w:w="1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r>
      <w:tr>
        <w:trPr>
          <w:trHeight w:val="201"/>
        </w:trPr>
        <w:tc>
          <w:tcPr>
            <w:tcW w:w="3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Salaries and benefits payable</w:t>
            </w:r>
          </w:p>
        </w:tc>
        <w:tc>
          <w:tcPr>
            <w:tcW w:w="4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5,392,434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4,578,928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7,190,519</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3"/>
          <w:szCs w:val="13"/>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Wages and benefits payable included $2,349,795 and $2,360,272 accrued employer portion of social benefit payable to local government for the years ended June 30, 2017 and 2016, respectively. Wages and benefits payable included $2,569,719 accrued employer portion of social benefit payable to local government for the six months ended December 31, 2017.</w:t>
      </w:r>
    </w:p>
    <w:p>
      <w:pPr>
        <w:sectPr>
          <w:pgSz w:w="11900" w:h="16838" w:orient="portrait"/>
          <w:cols w:equalWidth="0" w:num="1">
            <w:col w:w="11460"/>
          </w:cols>
          <w:pgMar w:left="220" w:top="199" w:right="21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RELATED PARTY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balances due to and due from related parties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Due from related parties: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Non-controlling shareholder of CLPS Beijing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77100" cy="1066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7100" cy="106680"/>
                    </a:xfrm>
                    <a:prstGeom prst="rect">
                      <a:avLst/>
                    </a:prstGeom>
                    <a:noFill/>
                  </pic:spPr>
                </pic:pic>
              </a:graphicData>
            </a:graphic>
          </wp:anchor>
        </w:drawing>
      </w:r>
    </w:p>
    <w:p>
      <w:pPr>
        <w:ind w:right="2920" w:firstLine="140"/>
        <w:spacing w:after="0" w:line="293" w:lineRule="auto"/>
        <w:rPr>
          <w:sz w:val="20"/>
          <w:szCs w:val="20"/>
          <w:color w:val="auto"/>
        </w:rPr>
      </w:pPr>
      <w:r>
        <w:rPr>
          <w:rFonts w:ascii="Arial" w:cs="Arial" w:eastAsia="Arial" w:hAnsi="Arial"/>
          <w:sz w:val="14"/>
          <w:szCs w:val="14"/>
          <w:color w:val="auto"/>
        </w:rPr>
        <w:t>Affiliates of non-controlling interest shareholder of Judge China*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7277100" cy="140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7100" cy="14033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 The amount was subsequently offset with the acquisition payable (Note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95"/>
        </w:trPr>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80"/>
        </w:trPr>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5"/>
                <w:szCs w:val="15"/>
                <w:color w:val="auto"/>
              </w:rPr>
            </w:pPr>
          </w:p>
        </w:tc>
      </w:tr>
      <w:tr>
        <w:trPr>
          <w:trHeight w:val="322"/>
        </w:trPr>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14,751</w:t>
            </w:r>
          </w:p>
        </w:tc>
        <w:tc>
          <w:tcPr>
            <w:tcW w:w="920" w:type="dxa"/>
            <w:vAlign w:val="bottom"/>
          </w:tcPr>
          <w:p>
            <w:pPr>
              <w:jc w:val="right"/>
              <w:ind w:right="77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79"/>
        </w:trPr>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103,255</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60,136</w:t>
            </w:r>
          </w:p>
        </w:tc>
      </w:tr>
      <w:tr>
        <w:trPr>
          <w:trHeight w:val="21"/>
        </w:trPr>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r>
      <w:tr>
        <w:trPr>
          <w:trHeight w:val="190"/>
        </w:trPr>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118,006</w:t>
            </w:r>
          </w:p>
        </w:tc>
        <w:tc>
          <w:tcPr>
            <w:tcW w:w="220" w:type="dxa"/>
            <w:vAlign w:val="bottom"/>
          </w:tcPr>
          <w:p>
            <w:pPr>
              <w:spacing w:after="0"/>
              <w:rPr>
                <w:sz w:val="16"/>
                <w:szCs w:val="16"/>
                <w:color w:val="auto"/>
              </w:rPr>
            </w:pPr>
          </w:p>
        </w:tc>
        <w:tc>
          <w:tcPr>
            <w:tcW w:w="920" w:type="dxa"/>
            <w:vAlign w:val="bottom"/>
          </w:tcPr>
          <w:p>
            <w:pPr>
              <w:jc w:val="right"/>
              <w:ind w:right="77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60,136</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494" w:lineRule="exact"/>
        <w:rPr>
          <w:sz w:val="20"/>
          <w:szCs w:val="20"/>
          <w:color w:val="auto"/>
        </w:rPr>
      </w:pPr>
    </w:p>
    <w:p>
      <w:pPr>
        <w:sectPr>
          <w:pgSz w:w="11900" w:h="16838" w:orient="portrait"/>
          <w:cols w:equalWidth="0" w:num="2">
            <w:col w:w="6740" w:space="720"/>
            <w:col w:w="4000"/>
          </w:cols>
          <w:pgMar w:left="220" w:top="199" w:right="21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7460" w:type="dxa"/>
            <w:vAlign w:val="bottom"/>
          </w:tcPr>
          <w:p>
            <w:pPr>
              <w:spacing w:after="0"/>
              <w:rPr>
                <w:sz w:val="20"/>
                <w:szCs w:val="20"/>
                <w:color w:val="auto"/>
              </w:rPr>
            </w:pPr>
            <w:r>
              <w:rPr>
                <w:rFonts w:ascii="Arial" w:cs="Arial" w:eastAsia="Arial" w:hAnsi="Arial"/>
                <w:sz w:val="14"/>
                <w:szCs w:val="14"/>
                <w:color w:val="auto"/>
              </w:rPr>
              <w:t>Due to related parties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Shanghai Qisheng Co., Ltd (“Qisheng”), controlled by the Chairman of the Company</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7,080</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7,222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7460" w:type="dxa"/>
            <w:vAlign w:val="bottom"/>
          </w:tcPr>
          <w:p>
            <w:pPr>
              <w:spacing w:after="0"/>
              <w:rPr>
                <w:sz w:val="20"/>
                <w:szCs w:val="20"/>
                <w:color w:val="auto"/>
              </w:rPr>
            </w:pPr>
            <w:r>
              <w:rPr>
                <w:rFonts w:ascii="Arial" w:cs="Arial" w:eastAsia="Arial" w:hAnsi="Arial"/>
                <w:sz w:val="14"/>
                <w:szCs w:val="14"/>
                <w:color w:val="auto"/>
              </w:rPr>
              <w:t>Mr. Raymond Ming Hui Lin, CEO of the Company (i)</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1,722,711</w:t>
            </w:r>
          </w:p>
        </w:tc>
        <w:tc>
          <w:tcPr>
            <w:tcW w:w="3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1,140,975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854,192</w:t>
            </w:r>
          </w:p>
        </w:tc>
        <w:tc>
          <w:tcPr>
            <w:tcW w:w="0" w:type="dxa"/>
            <w:vAlign w:val="bottom"/>
          </w:tcPr>
          <w:p>
            <w:pPr>
              <w:spacing w:after="0"/>
              <w:rPr>
                <w:sz w:val="1"/>
                <w:szCs w:val="1"/>
                <w:color w:val="auto"/>
              </w:rPr>
            </w:pPr>
          </w:p>
        </w:tc>
      </w:t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shareholder of JQ</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66,116</w:t>
            </w:r>
          </w:p>
        </w:tc>
        <w:tc>
          <w:tcPr>
            <w:tcW w:w="0" w:type="dxa"/>
            <w:vAlign w:val="bottom"/>
          </w:tcPr>
          <w:p>
            <w:pPr>
              <w:spacing w:after="0"/>
              <w:rPr>
                <w:sz w:val="1"/>
                <w:szCs w:val="1"/>
                <w:color w:val="auto"/>
              </w:rPr>
            </w:pPr>
          </w:p>
        </w:tc>
      </w:tr>
      <w:tr>
        <w:trPr>
          <w:trHeight w:val="179"/>
        </w:trPr>
        <w:tc>
          <w:tcPr>
            <w:tcW w:w="7460" w:type="dxa"/>
            <w:vAlign w:val="bottom"/>
          </w:tcPr>
          <w:p>
            <w:pPr>
              <w:spacing w:after="0"/>
              <w:rPr>
                <w:sz w:val="20"/>
                <w:szCs w:val="20"/>
                <w:color w:val="auto"/>
              </w:rPr>
            </w:pPr>
            <w:r>
              <w:rPr>
                <w:rFonts w:ascii="Arial" w:cs="Arial" w:eastAsia="Arial" w:hAnsi="Arial"/>
                <w:sz w:val="14"/>
                <w:szCs w:val="14"/>
                <w:color w:val="auto"/>
              </w:rPr>
              <w:t>Non-controlling interest shareholder of CLPS Beijing</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
        </w:trPr>
        <w:tc>
          <w:tcPr>
            <w:tcW w:w="74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1,729,791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1,148,197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920,373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5600" w:right="4280" w:hanging="5596"/>
        <w:spacing w:after="0" w:line="858" w:lineRule="auto"/>
        <w:tabs>
          <w:tab w:leader="none" w:pos="25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Due to related parties mainly represents the unpaid bonus, dividends, wages and other benefit to the Company’s executives.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-243840</wp:posOffset>
            </wp:positionV>
            <wp:extent cx="727710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type w:val="continuous"/>
        </w:sectPr>
      </w:pPr>
    </w:p>
    <w:bookmarkStart w:id="140" w:name="page141"/>
    <w:bookmarkEnd w:id="14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TAXES</w:t>
      </w:r>
    </w:p>
    <w:p>
      <w:pPr>
        <w:spacing w:after="0" w:line="176" w:lineRule="exact"/>
        <w:rPr>
          <w:sz w:val="20"/>
          <w:szCs w:val="20"/>
          <w:color w:val="auto"/>
        </w:rPr>
      </w:pPr>
    </w:p>
    <w:p>
      <w:pPr>
        <w:ind w:left="580" w:hanging="576"/>
        <w:spacing w:after="0"/>
        <w:tabs>
          <w:tab w:leader="none" w:pos="58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Corporate Income Taxes (“CIT”)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CLPS was incorporated in the Cayman Islands as an offshore holding company and is not subject to tax on income or capital gain under the laws of Cayman Islands.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4"/>
          <w:szCs w:val="14"/>
          <w:color w:val="auto"/>
        </w:rPr>
        <w:t>CLPS Hong Kong was established in Hong Kong and is subject to statutory income tax rate at 16.5%. CLPS SG are subject to Singapore income taxes at the rate of 17%. CLPS AU was established in Australia and subject to corporate income tax at 30%. JL are subject to Taiwan income taxes at the rate of 17%.</w:t>
      </w:r>
    </w:p>
    <w:p>
      <w:pPr>
        <w:spacing w:after="0" w:line="133"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Under the Enterprise Income Tax (“EIT”) Law of PRC,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CLPS Shanghai, the Company’s main operating subsidiary in PRC, has been approved as HNTEs in 2013 and reapproved in 2016. The Company is entitled to a reduced income tax rate of 15% through November 2019. In addition, CLPS Dalian has qualified as a Software Enterprise company and enjoys a two-year income tax exemption starting from their first profitable year, followed by a reduced income tax rate of 12.5% for the subsequent three years.</w:t>
      </w:r>
    </w:p>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EIT is typically governed by the local tax authority in China. Each local tax authority at times may grant tax holidays to local enterprises as a way to encourage entrepreneurship and stimulate local economy. The impact of the tax holidays noted above decreased income taxes by $317,488 and $290,159 for the fiscal year 2017 and 2016, respectively. The benefit of the tax holidays on net income per share (basic and diluted) was $0.03 and $0.03 for the years ended June 30, 2017 and 2016, respectively. The impact of the tax holidays noted above decreased income taxes by $166,596 and $155,809 for the six months ended December 31, 2017 and 2016, respectively. The benefit of the tax holidays on net income per share (basic and diluted) was $0.01 for the six months ended December 31, 2017 and 2016,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8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For the years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2,516,211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2,297,424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1,705,753</w:t>
            </w: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1,122,323</w:t>
            </w:r>
          </w:p>
        </w:tc>
        <w:tc>
          <w:tcPr>
            <w:tcW w:w="0" w:type="dxa"/>
            <w:vAlign w:val="bottom"/>
          </w:tcPr>
          <w:p>
            <w:pPr>
              <w:spacing w:after="0"/>
              <w:rPr>
                <w:sz w:val="1"/>
                <w:szCs w:val="1"/>
                <w:color w:val="auto"/>
              </w:rPr>
            </w:pPr>
          </w:p>
        </w:tc>
      </w:tr>
      <w:tr>
        <w:trPr>
          <w:trHeight w:val="179"/>
        </w:trPr>
        <w:tc>
          <w:tcPr>
            <w:tcW w:w="6080" w:type="dxa"/>
            <w:vAlign w:val="bottom"/>
            <w:gridSpan w:val="2"/>
          </w:tcPr>
          <w:p>
            <w:pPr>
              <w:spacing w:after="0"/>
              <w:rPr>
                <w:sz w:val="20"/>
                <w:szCs w:val="20"/>
                <w:color w:val="auto"/>
              </w:rPr>
            </w:pPr>
            <w:r>
              <w:rPr>
                <w:rFonts w:ascii="Arial" w:cs="Arial" w:eastAsia="Arial" w:hAnsi="Arial"/>
                <w:sz w:val="14"/>
                <w:szCs w:val="14"/>
                <w:color w:val="auto"/>
              </w:rPr>
              <w:t>Non-PRC</w:t>
            </w:r>
          </w:p>
        </w:tc>
        <w:tc>
          <w:tcPr>
            <w:tcW w:w="180" w:type="dxa"/>
            <w:vAlign w:val="bottom"/>
          </w:tcPr>
          <w:p>
            <w:pPr>
              <w:spacing w:after="0"/>
              <w:rPr>
                <w:sz w:val="15"/>
                <w:szCs w:val="15"/>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(413,400)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(243,300)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(254,302)</w:t>
            </w:r>
          </w:p>
        </w:tc>
        <w:tc>
          <w:tcPr>
            <w:tcW w:w="10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(151,392)</w:t>
            </w:r>
          </w:p>
        </w:tc>
        <w:tc>
          <w:tcPr>
            <w:tcW w:w="0" w:type="dxa"/>
            <w:vAlign w:val="bottom"/>
          </w:tcPr>
          <w:p>
            <w:pPr>
              <w:spacing w:after="0"/>
              <w:rPr>
                <w:sz w:val="1"/>
                <w:szCs w:val="1"/>
                <w:color w:val="auto"/>
              </w:rPr>
            </w:pPr>
          </w:p>
        </w:tc>
      </w:tr>
      <w:tr>
        <w:trPr>
          <w:trHeight w:val="21"/>
        </w:trPr>
        <w:tc>
          <w:tcPr>
            <w:tcW w:w="5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2,102,811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2,054,124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1,451,451</w:t>
            </w: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970,931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The following table reconciles the statutory rate to the Company’s effective tax rate: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88"/>
              </w:rPr>
              <w:t>For the years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4"/>
          </w:tcPr>
          <w:p>
            <w:pPr>
              <w:jc w:val="center"/>
              <w:ind w:left="61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b w:val="1"/>
                <w:bCs w:val="1"/>
                <w:color w:val="auto"/>
                <w:w w:val="92"/>
              </w:rPr>
              <w:t>(Unaudited)</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5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 statutory income tax rate</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8"/>
        </w:trPr>
        <w:tc>
          <w:tcPr>
            <w:tcW w:w="6080" w:type="dxa"/>
            <w:vAlign w:val="bottom"/>
            <w:gridSpan w:val="2"/>
          </w:tcPr>
          <w:p>
            <w:pPr>
              <w:spacing w:after="0"/>
              <w:rPr>
                <w:sz w:val="20"/>
                <w:szCs w:val="20"/>
                <w:color w:val="auto"/>
              </w:rPr>
            </w:pPr>
            <w:r>
              <w:rPr>
                <w:rFonts w:ascii="Arial" w:cs="Arial" w:eastAsia="Arial" w:hAnsi="Arial"/>
                <w:sz w:val="14"/>
                <w:szCs w:val="14"/>
                <w:color w:val="auto"/>
              </w:rPr>
              <w:t>Effect of income tax rate difference in other jurisdictions</w:t>
            </w: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8"/>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PRC preferential tax rate and tax holidays</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8"/>
        </w:trPr>
        <w:tc>
          <w:tcPr>
            <w:tcW w:w="6080" w:type="dxa"/>
            <w:vAlign w:val="bottom"/>
            <w:gridSpan w:val="2"/>
          </w:tcPr>
          <w:p>
            <w:pPr>
              <w:spacing w:after="0"/>
              <w:rPr>
                <w:sz w:val="20"/>
                <w:szCs w:val="20"/>
                <w:color w:val="auto"/>
              </w:rPr>
            </w:pPr>
            <w:r>
              <w:rPr>
                <w:rFonts w:ascii="Arial" w:cs="Arial" w:eastAsia="Arial" w:hAnsi="Arial"/>
                <w:sz w:val="14"/>
                <w:szCs w:val="14"/>
                <w:color w:val="auto"/>
              </w:rPr>
              <w:t>R&amp;D credits</w:t>
            </w: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9"/>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Permanent difference and others*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2"/>
        </w:trPr>
        <w:tc>
          <w:tcPr>
            <w:tcW w:w="5940" w:type="dxa"/>
            <w:vAlign w:val="bottom"/>
            <w:tcBorders>
              <w:top w:val="single" w:sz="8" w:color="CCEEFF"/>
            </w:tcBorders>
          </w:tcPr>
          <w:p>
            <w:pPr>
              <w:ind w:left="140"/>
              <w:spacing w:after="0" w:line="159" w:lineRule="exact"/>
              <w:rPr>
                <w:sz w:val="20"/>
                <w:szCs w:val="20"/>
                <w:color w:val="auto"/>
              </w:rPr>
            </w:pPr>
            <w:r>
              <w:rPr>
                <w:rFonts w:ascii="Arial" w:cs="Arial" w:eastAsia="Arial" w:hAnsi="Arial"/>
                <w:sz w:val="14"/>
                <w:szCs w:val="14"/>
                <w:color w:val="auto"/>
              </w:rPr>
              <w:t>Effective tax rate</w:t>
            </w: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60" w:type="dxa"/>
            <w:vAlign w:val="bottom"/>
            <w:tcBorders>
              <w:top w:val="single" w:sz="8" w:color="CCEEFF"/>
            </w:tcBorders>
          </w:tcPr>
          <w:p>
            <w:pPr>
              <w:jc w:val="right"/>
              <w:spacing w:after="0" w:line="159" w:lineRule="exact"/>
              <w:rPr>
                <w:sz w:val="20"/>
                <w:szCs w:val="20"/>
                <w:color w:val="auto"/>
              </w:rPr>
            </w:pPr>
            <w:r>
              <w:rPr>
                <w:rFonts w:ascii="Arial" w:cs="Arial" w:eastAsia="Arial" w:hAnsi="Arial"/>
                <w:sz w:val="14"/>
                <w:szCs w:val="14"/>
                <w:color w:val="auto"/>
                <w:w w:val="81"/>
              </w:rPr>
              <w:t>)%</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Borders>
              <w:top w:val="single" w:sz="8" w:color="CCEEFF"/>
            </w:tcBorders>
          </w:tcPr>
          <w:p>
            <w:pPr>
              <w:jc w:val="right"/>
              <w:spacing w:after="0" w:line="159"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40" w:type="dxa"/>
            <w:vAlign w:val="bottom"/>
            <w:tcBorders>
              <w:top w:val="single" w:sz="8" w:color="CCEEFF"/>
            </w:tcBorders>
          </w:tcPr>
          <w:p>
            <w:pPr>
              <w:jc w:val="right"/>
              <w:spacing w:after="0" w:line="159"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60" w:type="dxa"/>
            <w:vAlign w:val="bottom"/>
            <w:tcBorders>
              <w:top w:val="single" w:sz="8" w:color="CCEEFF"/>
            </w:tcBorders>
            <w:gridSpan w:val="2"/>
          </w:tcPr>
          <w:p>
            <w:pPr>
              <w:jc w:val="right"/>
              <w:spacing w:after="0" w:line="159" w:lineRule="exact"/>
              <w:rPr>
                <w:sz w:val="20"/>
                <w:szCs w:val="20"/>
                <w:color w:val="auto"/>
              </w:rPr>
            </w:pPr>
            <w:r>
              <w:rPr>
                <w:rFonts w:ascii="Arial" w:cs="Arial" w:eastAsia="Arial" w:hAnsi="Arial"/>
                <w:sz w:val="14"/>
                <w:szCs w:val="14"/>
                <w:color w:val="auto"/>
                <w:w w:val="81"/>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5600" w:right="4060" w:hanging="5596"/>
        <w:spacing w:after="0" w:line="779" w:lineRule="auto"/>
        <w:tabs>
          <w:tab w:leader="none" w:pos="25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Permanent difference and other primarily represented tax effect on the intercompany transactions and non-deductible expenses.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-228600</wp:posOffset>
            </wp:positionV>
            <wp:extent cx="727710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TAXES - continued</w:t>
      </w:r>
    </w:p>
    <w:p>
      <w:pPr>
        <w:spacing w:after="0" w:line="176" w:lineRule="exact"/>
        <w:rPr>
          <w:sz w:val="20"/>
          <w:szCs w:val="20"/>
          <w:color w:val="auto"/>
        </w:rPr>
      </w:pPr>
    </w:p>
    <w:p>
      <w:pPr>
        <w:ind w:left="580" w:hanging="576"/>
        <w:spacing w:after="0"/>
        <w:tabs>
          <w:tab w:leader="none" w:pos="5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Corporate Income Taxes (“CIT”) (continued)</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The provision (benefit) for income tax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Current income tax provision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(benefit) provision</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(benefit) provision for income tax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center"/>
        <w:ind w:right="3920"/>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180" w:type="dxa"/>
        <w:tblCellMar>
          <w:top w:w="0" w:type="dxa"/>
          <w:left w:w="0" w:type="dxa"/>
          <w:bottom w:w="0" w:type="dxa"/>
          <w:right w:w="0" w:type="dxa"/>
        </w:tblCellMar>
      </w:tblPr>
      <w:tr>
        <w:trPr>
          <w:trHeight w:val="168"/>
        </w:trPr>
        <w:tc>
          <w:tcPr>
            <w:tcW w:w="260" w:type="dxa"/>
            <w:vAlign w:val="bottom"/>
          </w:tcPr>
          <w:p>
            <w:pPr>
              <w:spacing w:after="0"/>
              <w:rPr>
                <w:sz w:val="14"/>
                <w:szCs w:val="1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years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535"/>
              <w:spacing w:after="0"/>
              <w:rPr>
                <w:sz w:val="20"/>
                <w:szCs w:val="20"/>
                <w:color w:val="auto"/>
              </w:rPr>
            </w:pPr>
            <w:r>
              <w:rPr>
                <w:rFonts w:ascii="Arial" w:cs="Arial" w:eastAsia="Arial" w:hAnsi="Arial"/>
                <w:sz w:val="14"/>
                <w:szCs w:val="14"/>
                <w:b w:val="1"/>
                <w:bCs w:val="1"/>
                <w:color w:val="auto"/>
              </w:rPr>
              <w:t>For the six months ended</w:t>
            </w:r>
          </w:p>
        </w:tc>
      </w:tr>
      <w:tr>
        <w:trPr>
          <w:trHeight w:val="184"/>
        </w:trPr>
        <w:tc>
          <w:tcPr>
            <w:tcW w:w="260" w:type="dxa"/>
            <w:vAlign w:val="bottom"/>
          </w:tcPr>
          <w:p>
            <w:pPr>
              <w:spacing w:after="0"/>
              <w:rPr>
                <w:sz w:val="16"/>
                <w:szCs w:val="16"/>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6"/>
          </w:tcPr>
          <w:p>
            <w:pPr>
              <w:jc w:val="right"/>
              <w:ind w:right="875"/>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8"/>
        </w:trPr>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50"/>
              <w:spacing w:after="0" w:line="158"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30"/>
              <w:spacing w:after="0" w:line="158" w:lineRule="exact"/>
              <w:rPr>
                <w:sz w:val="20"/>
                <w:szCs w:val="20"/>
                <w:color w:val="auto"/>
              </w:rPr>
            </w:pPr>
            <w:r>
              <w:rPr>
                <w:rFonts w:ascii="Arial" w:cs="Arial" w:eastAsia="Arial" w:hAnsi="Arial"/>
                <w:sz w:val="14"/>
                <w:szCs w:val="14"/>
                <w:b w:val="1"/>
                <w:bCs w:val="1"/>
                <w:color w:val="auto"/>
              </w:rPr>
              <w:t>(Unaudited)</w:t>
            </w:r>
          </w:p>
        </w:tc>
        <w:tc>
          <w:tcPr>
            <w:tcW w:w="40" w:type="dxa"/>
            <w:vAlign w:val="bottom"/>
            <w:gridSpan w:val="2"/>
          </w:tcPr>
          <w:p>
            <w:pPr>
              <w:spacing w:after="0"/>
              <w:rPr>
                <w:sz w:val="13"/>
                <w:szCs w:val="13"/>
                <w:color w:val="auto"/>
              </w:rPr>
            </w:pPr>
          </w:p>
        </w:tc>
      </w:tr>
      <w:tr>
        <w:trPr>
          <w:trHeight w:val="168"/>
        </w:trPr>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color w:val="auto"/>
              </w:rPr>
              <w:t>102,568</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365,866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16,944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35"/>
              <w:spacing w:after="0"/>
              <w:rPr>
                <w:sz w:val="20"/>
                <w:szCs w:val="20"/>
                <w:color w:val="auto"/>
              </w:rPr>
            </w:pPr>
            <w:r>
              <w:rPr>
                <w:rFonts w:ascii="Arial" w:cs="Arial" w:eastAsia="Arial" w:hAnsi="Arial"/>
                <w:sz w:val="14"/>
                <w:szCs w:val="14"/>
                <w:color w:val="auto"/>
              </w:rPr>
              <w:t>70,621</w:t>
            </w:r>
          </w:p>
        </w:tc>
      </w:tr>
      <w:tr>
        <w:trPr>
          <w:trHeight w:val="191"/>
        </w:trPr>
        <w:tc>
          <w:tcPr>
            <w:tcW w:w="260" w:type="dxa"/>
            <w:vAlign w:val="bottom"/>
          </w:tcPr>
          <w:p>
            <w:pPr>
              <w:spacing w:after="0"/>
              <w:rPr>
                <w:sz w:val="16"/>
                <w:szCs w:val="16"/>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4"/>
                <w:szCs w:val="14"/>
                <w:color w:val="auto"/>
              </w:rPr>
              <w:t>(221,114)</w:t>
            </w:r>
          </w:p>
        </w:tc>
        <w:tc>
          <w:tcPr>
            <w:tcW w:w="2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(96,713)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109,116</w:t>
            </w:r>
          </w:p>
        </w:tc>
        <w:tc>
          <w:tcPr>
            <w:tcW w:w="1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(124,663)</w:t>
            </w:r>
          </w:p>
        </w:tc>
      </w:tr>
      <w:tr>
        <w:trPr>
          <w:trHeight w:val="190"/>
        </w:trPr>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(118,546</w:t>
            </w:r>
          </w:p>
        </w:tc>
        <w:tc>
          <w:tcPr>
            <w:tcW w:w="240" w:type="dxa"/>
            <w:vAlign w:val="bottom"/>
          </w:tcPr>
          <w:p>
            <w:pPr>
              <w:jc w:val="right"/>
              <w:ind w:right="110"/>
              <w:spacing w:after="0" w:line="158" w:lineRule="exact"/>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269,153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126,060</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(54,042</w:t>
            </w:r>
          </w:p>
        </w:tc>
        <w:tc>
          <w:tcPr>
            <w:tcW w:w="20" w:type="dxa"/>
            <w:vAlign w:val="bottom"/>
            <w:tcBorders>
              <w:bottom w:val="single" w:sz="8" w:color="auto"/>
            </w:tcBorders>
          </w:tcPr>
          <w:p>
            <w:pPr>
              <w:jc w:val="right"/>
              <w:spacing w:after="0"/>
              <w:rPr>
                <w:sz w:val="20"/>
                <w:szCs w:val="20"/>
                <w:color w:val="auto"/>
              </w:rPr>
            </w:pPr>
            <w:r>
              <w:rPr>
                <w:rFonts w:ascii="Arial" w:cs="Arial" w:eastAsia="Arial" w:hAnsi="Arial"/>
                <w:sz w:val="1"/>
                <w:szCs w:val="1"/>
                <w:color w:val="auto"/>
                <w:w w:val="4294967281"/>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-386715</wp:posOffset>
            </wp:positionV>
            <wp:extent cx="7277100" cy="1066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-160020</wp:posOffset>
            </wp:positionV>
            <wp:extent cx="7277100" cy="140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7100" cy="14033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620" w:space="280"/>
            <w:col w:w="7560"/>
          </w:cols>
          <w:pgMar w:left="220" w:top="213" w:right="219" w:bottom="1440" w:gutter="0" w:footer="0" w:header="0"/>
        </w:sectPr>
      </w:pPr>
    </w:p>
    <w:p>
      <w:pPr>
        <w:spacing w:after="0"/>
        <w:rPr>
          <w:sz w:val="20"/>
          <w:szCs w:val="20"/>
          <w:color w:val="auto"/>
        </w:rPr>
      </w:pPr>
      <w:r>
        <w:rPr>
          <w:rFonts w:ascii="Arial" w:cs="Arial" w:eastAsia="Arial" w:hAnsi="Arial"/>
          <w:sz w:val="13"/>
          <w:szCs w:val="13"/>
          <w:color w:val="auto"/>
        </w:rPr>
        <w:t>As of December 31, 2017, the tax years ended December 31, 2011 through December 31, 2017 for the Company’s PRC entities remain open for statutory examination by PRC tax authorities.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3"/>
          <w:szCs w:val="13"/>
          <w:color w:val="auto"/>
        </w:rPr>
        <w:t>Deferred income taxes reflect the net tax effects of temporary differences between the carrying amount of assets and liabilities for financial reporting purposes and the amounts used for income tax purposes. As of June 30, 2017 and 2016, the Company had net operating loss carry forwards of approximately $1,234,500 and $131,500, respectively, from the Company’s PRC subsidiaries, which will expire by December 31, 2021. As of June 30, 2017, the Company had net operating loss carry forwards of approximately $415,800, $40,600 and $200,200 from its operations in Singapore, Australia and Hong Kong, respectively. As of December 31, 2017 and 2016, the Company had net operating loss carry forwards of approximately $ 1,697,878 and $ 1,386,817, respectively, from the Company’s PRC subsidiaries, which will expire by December 31, 2021. As of December 31, 2017, the Company had net operating loss carry forwards of approximately $ 504,856, $ 107,095 and $42,225 from its operations in Singapore, Australia and Hong Kong, respectively. The net operating losses in Singapore, Australia and Hong Kong will be carried forward indefinitely.</w:t>
      </w:r>
    </w:p>
    <w:p>
      <w:pPr>
        <w:sectPr>
          <w:pgSz w:w="11900" w:h="16838" w:orient="portrait"/>
          <w:cols w:equalWidth="0" w:num="1">
            <w:col w:w="11460"/>
          </w:cols>
          <w:pgMar w:left="220" w:top="213" w:right="21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significant components of the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operating loss carry forwards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Accrued expenses and other</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r>
      <w:tr>
        <w:trPr>
          <w:trHeight w:val="183"/>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5"/>
                <w:szCs w:val="15"/>
                <w:color w:val="auto"/>
              </w:rPr>
            </w:pPr>
          </w:p>
        </w:tc>
      </w:tr>
      <w:tr>
        <w:trPr>
          <w:trHeight w:val="322"/>
        </w:trPr>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423,543</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81,839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396,853</w:t>
            </w:r>
          </w:p>
        </w:tc>
      </w:tr>
      <w:tr>
        <w:trPr>
          <w:trHeight w:val="180"/>
        </w:trPr>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9,611</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7,377</w:t>
            </w:r>
          </w:p>
        </w:tc>
      </w:tr>
      <w:tr>
        <w:trPr>
          <w:trHeight w:val="169"/>
        </w:trPr>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433,154</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404,230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-353695</wp:posOffset>
            </wp:positionV>
            <wp:extent cx="7277100" cy="1066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-126365</wp:posOffset>
            </wp:positionV>
            <wp:extent cx="727710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7100" cy="12001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6740" w:space="720"/>
            <w:col w:w="4000"/>
          </w:cols>
          <w:pgMar w:left="220" w:top="213" w:right="21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7460" w:type="dxa"/>
            <w:vAlign w:val="bottom"/>
          </w:tcPr>
          <w:p>
            <w:pPr>
              <w:ind w:left="140"/>
              <w:spacing w:after="0"/>
              <w:rPr>
                <w:sz w:val="20"/>
                <w:szCs w:val="20"/>
                <w:color w:val="auto"/>
              </w:rPr>
            </w:pPr>
            <w:r>
              <w:rPr>
                <w:rFonts w:ascii="Arial" w:cs="Arial" w:eastAsia="Arial" w:hAnsi="Arial"/>
                <w:sz w:val="14"/>
                <w:szCs w:val="14"/>
                <w:color w:val="auto"/>
              </w:rPr>
              <w:t>Unbilled accounts receivables</w:t>
            </w:r>
          </w:p>
        </w:tc>
        <w:tc>
          <w:tcPr>
            <w:tcW w:w="3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(62,855)</w:t>
            </w:r>
          </w:p>
        </w:tc>
        <w:tc>
          <w:tcPr>
            <w:tcW w:w="4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(175,367)</w:t>
            </w:r>
          </w:p>
        </w:tc>
      </w:tr>
      <w:tr>
        <w:trPr>
          <w:trHeight w:val="199"/>
        </w:trPr>
        <w:tc>
          <w:tcPr>
            <w:tcW w:w="7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contract cost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(71,346)</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(7,360)</w:t>
            </w:r>
          </w:p>
        </w:tc>
        <w:tc>
          <w:tcPr>
            <w:tcW w:w="3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(28,249)</w:t>
            </w:r>
          </w:p>
        </w:tc>
      </w:tr>
      <w:tr>
        <w:trPr>
          <w:trHeight w:val="150"/>
        </w:trPr>
        <w:tc>
          <w:tcPr>
            <w:tcW w:w="7460" w:type="dxa"/>
            <w:vAlign w:val="bottom"/>
            <w:tcBorders>
              <w:top w:val="single" w:sz="8" w:color="CCEEFF"/>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(134,201</w:t>
            </w:r>
          </w:p>
        </w:tc>
        <w:tc>
          <w:tcPr>
            <w:tcW w:w="220" w:type="dxa"/>
            <w:vAlign w:val="bottom"/>
            <w:tcBorders>
              <w:top w:val="single" w:sz="8" w:color="CCEEFF"/>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4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(7,360</w:t>
            </w:r>
          </w:p>
        </w:tc>
        <w:tc>
          <w:tcPr>
            <w:tcW w:w="220" w:type="dxa"/>
            <w:vAlign w:val="bottom"/>
            <w:tcBorders>
              <w:top w:val="single" w:sz="8" w:color="CCEEFF"/>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(203,616</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168"/>
        </w:trPr>
        <w:tc>
          <w:tcPr>
            <w:tcW w:w="7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1"/>
        </w:trPr>
        <w:tc>
          <w:tcPr>
            <w:tcW w:w="7460" w:type="dxa"/>
            <w:vAlign w:val="bottom"/>
          </w:tcPr>
          <w:p>
            <w:pPr>
              <w:ind w:left="140"/>
              <w:spacing w:after="0"/>
              <w:rPr>
                <w:sz w:val="20"/>
                <w:szCs w:val="20"/>
                <w:color w:val="auto"/>
              </w:rPr>
            </w:pPr>
            <w:r>
              <w:rPr>
                <w:rFonts w:ascii="Arial" w:cs="Arial" w:eastAsia="Arial" w:hAnsi="Arial"/>
                <w:sz w:val="14"/>
                <w:szCs w:val="14"/>
                <w:color w:val="auto"/>
              </w:rPr>
              <w:t>Total deferred tax assets, net</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298,953</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74,479</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200,614</w:t>
            </w:r>
          </w:p>
        </w:tc>
        <w:tc>
          <w:tcPr>
            <w:tcW w:w="80" w:type="dxa"/>
            <w:vAlign w:val="bottom"/>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group’s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generate sufficient taxable income to realize the deferred tax assets as at June 30, 2017 and 2016 and December 31, 2017.</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type w:val="continuous"/>
        </w:sectPr>
      </w:pPr>
    </w:p>
    <w:bookmarkStart w:id="142" w:name="page143"/>
    <w:bookmarkEnd w:id="14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TAXES - continued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Arial" w:cs="Arial" w:eastAsia="Arial" w:hAnsi="Arial"/>
                <w:sz w:val="14"/>
                <w:szCs w:val="14"/>
                <w:b w:val="1"/>
                <w:bCs w:val="1"/>
                <w:color w:val="auto"/>
              </w:rPr>
              <w:t>(b)</w:t>
            </w:r>
          </w:p>
        </w:tc>
        <w:tc>
          <w:tcPr>
            <w:tcW w:w="7080" w:type="dxa"/>
            <w:vAlign w:val="bottom"/>
          </w:tcPr>
          <w:p>
            <w:pPr>
              <w:ind w:left="200"/>
              <w:spacing w:after="0"/>
              <w:rPr>
                <w:sz w:val="20"/>
                <w:szCs w:val="20"/>
                <w:color w:val="auto"/>
              </w:rPr>
            </w:pPr>
            <w:r>
              <w:rPr>
                <w:rFonts w:ascii="Arial" w:cs="Arial" w:eastAsia="Arial" w:hAnsi="Arial"/>
                <w:sz w:val="14"/>
                <w:szCs w:val="14"/>
                <w:b w:val="1"/>
                <w:bCs w:val="1"/>
                <w:color w:val="auto"/>
              </w:rPr>
              <w:t>Taxes Payable</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7460" w:type="dxa"/>
            <w:vAlign w:val="bottom"/>
            <w:gridSpan w:val="2"/>
          </w:tcPr>
          <w:p>
            <w:pPr>
              <w:spacing w:after="0"/>
              <w:rPr>
                <w:sz w:val="20"/>
                <w:szCs w:val="20"/>
                <w:color w:val="auto"/>
              </w:rPr>
            </w:pPr>
            <w:r>
              <w:rPr>
                <w:rFonts w:ascii="Arial" w:cs="Arial" w:eastAsia="Arial" w:hAnsi="Arial"/>
                <w:sz w:val="14"/>
                <w:szCs w:val="14"/>
                <w:color w:val="auto"/>
              </w:rPr>
              <w:t>The Company’s taxes payable consists of the following:</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4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VAT tax payable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182,036</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174,694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gridSpan w:val="2"/>
          </w:tcPr>
          <w:p>
            <w:pPr>
              <w:spacing w:after="0"/>
              <w:rPr>
                <w:sz w:val="20"/>
                <w:szCs w:val="20"/>
                <w:color w:val="auto"/>
              </w:rPr>
            </w:pPr>
            <w:r>
              <w:rPr>
                <w:rFonts w:ascii="Arial" w:cs="Arial" w:eastAsia="Arial" w:hAnsi="Arial"/>
                <w:sz w:val="14"/>
                <w:szCs w:val="14"/>
                <w:color w:val="auto"/>
              </w:rPr>
              <w:t>Corporate income tax payable</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63,988</w:t>
            </w: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taxes payable</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458,828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225,611</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513,423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Total taxes payable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460" w:type="dxa"/>
            <w:vAlign w:val="bottom"/>
            <w:gridSpan w:val="2"/>
            <w:vMerge w:val="continue"/>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640,864</w:t>
            </w:r>
          </w:p>
        </w:tc>
        <w:tc>
          <w:tcPr>
            <w:tcW w:w="220" w:type="dxa"/>
            <w:vAlign w:val="bottom"/>
          </w:tcPr>
          <w:p>
            <w:pPr>
              <w:spacing w:after="0"/>
              <w:rPr>
                <w:sz w:val="14"/>
                <w:szCs w:val="14"/>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428,675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688,117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Uncertain tax positions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 evaluates each uncertain tax position (including the potential application of interest and penalties) based on the technical merits, and measure the unrecognized benefits associated with the tax positions. As of June 30, 2017 and 2016, the Company did not have any significant unrecognized uncertain tax positions. The Company did not incur any interest and penalties related to potential underpaid income tax expenses for the years ended June 30, 2017 and 2016 and also does not anticipate any significant increases or decreases in unrecognized tax benefits in the next 12 months from June 30, 2017. As of December 31, 2017 and 2016, the Company did not have any significant unrecognized uncertain tax positions. The Company did not incur any interest and penalties related to potential underpaid income tax expenses for the six months ended December 31, 2017 and 2016 and also does not anticipate any significant increases or decreases in unrecognized tax benefits in the next 12 months from December 31, 2017.</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COMMITMENTS AND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Company’s subsidiaries lease administrative office space under various operating leases. Rent expense amounted to $565,328 and $431,043 for the years ended June 30, 2017 and 2016,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Rent expense amounted to $310,505 and $244,458 for the periods ended December 31, 2017 and 2016,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40" w:type="dxa"/>
            <w:vAlign w:val="bottom"/>
          </w:tcPr>
          <w:p>
            <w:pPr>
              <w:spacing w:after="0"/>
              <w:rPr>
                <w:sz w:val="20"/>
                <w:szCs w:val="20"/>
                <w:color w:val="auto"/>
              </w:rPr>
            </w:pPr>
            <w:r>
              <w:rPr>
                <w:rFonts w:ascii="Arial" w:cs="Arial" w:eastAsia="Arial" w:hAnsi="Arial"/>
                <w:sz w:val="14"/>
                <w:szCs w:val="14"/>
                <w:color w:val="auto"/>
                <w:w w:val="96"/>
              </w:rPr>
              <w:t>Future minimum lease payments under non-cancelable operating leases are as follows:</w:t>
            </w: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8"/>
        </w:trPr>
        <w:tc>
          <w:tcPr>
            <w:tcW w:w="5240" w:type="dxa"/>
            <w:vAlign w:val="bottom"/>
          </w:tcPr>
          <w:p>
            <w:pPr>
              <w:spacing w:after="0"/>
              <w:rPr>
                <w:sz w:val="20"/>
                <w:szCs w:val="20"/>
                <w:color w:val="auto"/>
              </w:rPr>
            </w:pPr>
            <w:r>
              <w:rPr>
                <w:rFonts w:ascii="Arial" w:cs="Arial" w:eastAsia="Arial" w:hAnsi="Arial"/>
                <w:sz w:val="14"/>
                <w:szCs w:val="14"/>
                <w:b w:val="1"/>
                <w:bCs w:val="1"/>
                <w:color w:val="auto"/>
              </w:rPr>
              <w:t>Twelve months ending December 31,</w:t>
            </w: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expense</w:t>
            </w:r>
          </w:p>
        </w:tc>
      </w:tr>
      <w:tr>
        <w:trPr>
          <w:trHeight w:val="168"/>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4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543,174</w:t>
            </w:r>
          </w:p>
        </w:tc>
        <w:tc>
          <w:tcPr>
            <w:tcW w:w="100" w:type="dxa"/>
            <w:vAlign w:val="bottom"/>
            <w:tcBorders>
              <w:top w:val="single" w:sz="8" w:color="CCEEFF"/>
            </w:tcBorders>
            <w:shd w:val="clear" w:color="auto" w:fill="CCEEFF"/>
          </w:tcPr>
          <w:p>
            <w:pPr>
              <w:spacing w:after="0"/>
              <w:rPr>
                <w:sz w:val="14"/>
                <w:szCs w:val="14"/>
                <w:color w:val="auto"/>
              </w:rPr>
            </w:pPr>
          </w:p>
        </w:tc>
      </w:tr>
      <w:tr>
        <w:trPr>
          <w:trHeight w:val="168"/>
        </w:trPr>
        <w:tc>
          <w:tcPr>
            <w:tcW w:w="5240" w:type="dxa"/>
            <w:vAlign w:val="bottom"/>
          </w:tcPr>
          <w:p>
            <w:pPr>
              <w:spacing w:after="0"/>
              <w:rPr>
                <w:sz w:val="20"/>
                <w:szCs w:val="20"/>
                <w:color w:val="auto"/>
              </w:rPr>
            </w:pPr>
            <w:r>
              <w:rPr>
                <w:rFonts w:ascii="Arial" w:cs="Arial" w:eastAsia="Arial" w:hAnsi="Arial"/>
                <w:sz w:val="14"/>
                <w:szCs w:val="14"/>
                <w:color w:val="auto"/>
              </w:rPr>
              <w:t>2019</w:t>
            </w: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217,397</w:t>
            </w:r>
          </w:p>
        </w:tc>
      </w:tr>
      <w:tr>
        <w:trPr>
          <w:trHeight w:val="188"/>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4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24,860</w:t>
            </w:r>
          </w:p>
        </w:tc>
      </w:tr>
      <w:tr>
        <w:trPr>
          <w:trHeight w:val="150"/>
        </w:trPr>
        <w:tc>
          <w:tcPr>
            <w:tcW w:w="524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Total</w:t>
            </w:r>
          </w:p>
        </w:tc>
        <w:tc>
          <w:tcPr>
            <w:tcW w:w="49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785,431</w:t>
            </w:r>
          </w:p>
        </w:tc>
        <w:tc>
          <w:tcPr>
            <w:tcW w:w="100" w:type="dxa"/>
            <w:vAlign w:val="bottom"/>
            <w:tcBorders>
              <w:top w:val="single" w:sz="8" w:color="CCEEFF"/>
            </w:tcBorders>
          </w:tcPr>
          <w:p>
            <w:pPr>
              <w:spacing w:after="0"/>
              <w:rPr>
                <w:sz w:val="13"/>
                <w:szCs w:val="13"/>
                <w:color w:val="auto"/>
              </w:rPr>
            </w:pPr>
          </w:p>
        </w:tc>
      </w:tr>
      <w:tr>
        <w:trPr>
          <w:trHeight w:val="22"/>
        </w:trPr>
        <w:tc>
          <w:tcPr>
            <w:tcW w:w="5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6"/>
        </w:trPr>
        <w:tc>
          <w:tcPr>
            <w:tcW w:w="52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3"/>
          </w:tcPr>
          <w:p>
            <w:pPr>
              <w:jc w:val="right"/>
              <w:ind w:right="4450"/>
              <w:spacing w:after="0"/>
              <w:rPr>
                <w:sz w:val="20"/>
                <w:szCs w:val="20"/>
                <w:color w:val="auto"/>
              </w:rPr>
            </w:pPr>
            <w:r>
              <w:rPr>
                <w:rFonts w:ascii="Arial" w:cs="Arial" w:eastAsia="Arial" w:hAnsi="Arial"/>
                <w:sz w:val="14"/>
                <w:szCs w:val="14"/>
                <w:color w:val="auto"/>
              </w:rPr>
              <w:t>F-30</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13" w:right="21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SHAREHOLDERS’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shares</w:t>
      </w:r>
    </w:p>
    <w:p>
      <w:pPr>
        <w:spacing w:after="0" w:line="180" w:lineRule="exact"/>
        <w:rPr>
          <w:sz w:val="20"/>
          <w:szCs w:val="20"/>
          <w:color w:val="auto"/>
        </w:rPr>
      </w:pPr>
    </w:p>
    <w:p>
      <w:pPr>
        <w:ind w:right="80"/>
        <w:spacing w:after="0" w:line="328" w:lineRule="auto"/>
        <w:rPr>
          <w:sz w:val="20"/>
          <w:szCs w:val="20"/>
          <w:color w:val="auto"/>
        </w:rPr>
      </w:pPr>
      <w:r>
        <w:rPr>
          <w:rFonts w:ascii="Arial" w:cs="Arial" w:eastAsia="Arial" w:hAnsi="Arial"/>
          <w:sz w:val="12"/>
          <w:szCs w:val="12"/>
          <w:color w:val="auto"/>
        </w:rPr>
        <w:t>CLPS was established under the laws of Cayman Islands on May 11, 2017. The original authorized number of common shares was 1 share with a par value of $1. After an amendment on December 7, 2017, the authorized number of common shares became 100,000,000 shares with a par value of $0.0001 each. As of June 30, 2017 and 2016 and December 31 2017, 11,290,000 shares were issued at par value, the equivalent to share capital of $1,129 for each of the period ended 2017 and 2016. The shares are presented on a retroactive basis to reflect the nominal share issuance discussed below.</w:t>
      </w:r>
    </w:p>
    <w:p>
      <w:pPr>
        <w:spacing w:after="0" w:line="108"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On November 18, 2017, the Board of Directors (“Board”) approved the 2017 Stock Incentive Plan (“Plan”), subject to approval by the Company’s shareholders.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Board authorized up to 2,210,000 shares for grants under the terms of the Plan. The grants under the Plan generally have a maximum contractual term of ten years from the date of grant. Stock awards granted under the plan at the determination of the Board shall be effective and exercisable upon the Company’ completion of an initial public offering of its securities. The terms of individual agreements for various grants under the Plan will be determined by the Board (or its Compensation Committee) and might contain both service and performance conditions.</w:t>
      </w:r>
    </w:p>
    <w:p>
      <w:pPr>
        <w:spacing w:after="0" w:line="136"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 is five years starting on December 9, 2017. Mr. Xiao Feng Yang, Mr. Raymond Ming Hui Lin and Ms. Tian van Acken’s basic annual compensations are approximately $94,100, $71,400 and $93,010, respectively, with annual bonuses determined based on the sole direction of the Compensation Committee of the Board of Directors in accordance with criteria established by the Compensation Committee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2017 and 2016 and December 31, 2017, additional paid-in capital in the consolidated balance sheet represented the combined contributed capital of the Company’s subsidiaries.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4"/>
          <w:szCs w:val="14"/>
          <w:color w:val="auto"/>
        </w:rPr>
        <w:t>For the year ended June 30, 2016, the Company’s controlling shareholders contributed additional capital in the aggregate of $3,377,813 to CLPS Shanghai, which was included in additional paid-in capital.</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For the year ended June 30, 2016, CLPS Shanghai had a recapitalization. CLPS Shanghai’s accumulated retained earnings and statutory reserve in the aggregate was $1,051,952 which was reclassified to additional paid – in capital in the consolidated financial statements.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On July 25, 2017, the Company incorporated CLIVST as a holding company in BVI. On September 27, 2017 and October 24, 2017, the Company incorporated CLPS Guangzhou in Guangzhou, PRC and FDT-CL in Hong Kong to develop business in the related area.</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4"/>
          <w:szCs w:val="14"/>
          <w:color w:val="auto"/>
        </w:rPr>
        <w:t>On September 27, 2017, the Company and a non-controlling interest shareholder of CLPS Beijing incorporated Tianjin Huanyu Qinshang network technology Co., Ltd (“Huan Yu”). The Company subscribed 30% of equity interest in Huan Yu for $0.4 million. The Company planned to complete the capital injection of $0.4 million by the end of 2017.</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213" w:right="25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Statutory reserve</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$261,949 and $429,439 to statutory reserves during the years ended June 30, 2017 and 2016, respectively in accordance with PRC GAAP. The Company allocated $224,882 to statutory reserves during the six months ended December 31, 2017 in accordance with PRC GAAP.</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NON-CONTROLLING INTERESTS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CLPS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CLPS</w:t>
            </w:r>
          </w:p>
        </w:tc>
        <w:tc>
          <w:tcPr>
            <w:tcW w:w="18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CLPS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CLPS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Judge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b w:val="1"/>
                <w:bCs w:val="1"/>
                <w:color w:val="auto"/>
              </w:rPr>
              <w:t>RC</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Beijing</w:t>
            </w:r>
          </w:p>
        </w:tc>
        <w:tc>
          <w:tcPr>
            <w:tcW w:w="18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Shenzhen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Hong Kong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China</w:t>
            </w:r>
          </w:p>
        </w:tc>
        <w:tc>
          <w:tcPr>
            <w:tcW w:w="26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JQ</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July 1, 2015</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(41,141)</w:t>
            </w: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(41,141)</w:t>
            </w:r>
          </w:p>
        </w:tc>
        <w:tc>
          <w:tcPr>
            <w:tcW w:w="0" w:type="dxa"/>
            <w:vAlign w:val="bottom"/>
          </w:tcPr>
          <w:p>
            <w:pPr>
              <w:spacing w:after="0"/>
              <w:rPr>
                <w:sz w:val="1"/>
                <w:szCs w:val="1"/>
                <w:color w:val="auto"/>
              </w:rPr>
            </w:pPr>
          </w:p>
        </w:tc>
      </w:tr>
      <w:tr>
        <w:trPr>
          <w:trHeight w:val="158"/>
        </w:trPr>
        <w:tc>
          <w:tcPr>
            <w:tcW w:w="1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Capital contribution from non-</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controlling shareholders (i)</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46,919</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46,919</w:t>
            </w:r>
          </w:p>
        </w:tc>
        <w:tc>
          <w:tcPr>
            <w:tcW w:w="0" w:type="dxa"/>
            <w:vAlign w:val="bottom"/>
          </w:tcPr>
          <w:p>
            <w:pPr>
              <w:spacing w:after="0"/>
              <w:rPr>
                <w:sz w:val="1"/>
                <w:szCs w:val="1"/>
                <w:color w:val="auto"/>
              </w:rPr>
            </w:pPr>
          </w:p>
        </w:tc>
      </w:tr>
      <w:tr>
        <w:trPr>
          <w:trHeight w:val="158"/>
        </w:trPr>
        <w:tc>
          <w:tcPr>
            <w:tcW w:w="1860" w:type="dxa"/>
            <w:vAlign w:val="bottom"/>
          </w:tcPr>
          <w:p>
            <w:pPr>
              <w:spacing w:after="0" w:line="158" w:lineRule="exact"/>
              <w:rPr>
                <w:sz w:val="20"/>
                <w:szCs w:val="20"/>
                <w:color w:val="auto"/>
              </w:rPr>
            </w:pPr>
            <w:r>
              <w:rPr>
                <w:rFonts w:ascii="Arial" w:cs="Arial" w:eastAsia="Arial" w:hAnsi="Arial"/>
                <w:sz w:val="14"/>
                <w:szCs w:val="14"/>
                <w:color w:val="auto"/>
                <w:w w:val="98"/>
              </w:rPr>
              <w:t>Repurchase of non-controlling</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140"/>
              <w:spacing w:after="0"/>
              <w:rPr>
                <w:sz w:val="20"/>
                <w:szCs w:val="20"/>
                <w:color w:val="auto"/>
              </w:rPr>
            </w:pPr>
            <w:r>
              <w:rPr>
                <w:rFonts w:ascii="Arial" w:cs="Arial" w:eastAsia="Arial" w:hAnsi="Arial"/>
                <w:sz w:val="14"/>
                <w:szCs w:val="14"/>
                <w:color w:val="auto"/>
              </w:rPr>
              <w:t>interest (ii)</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(1,788)</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58"/>
        </w:trPr>
        <w:tc>
          <w:tcPr>
            <w:tcW w:w="1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(1,402)</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Balance as of June 30, 2016</w:t>
            </w: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4,034</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86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4"/>
                <w:szCs w:val="14"/>
                <w:color w:val="auto"/>
              </w:rPr>
              <w:t>Net (loss) income</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37,267</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(973)</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(20,157)</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157,775</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173,912</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line="158" w:lineRule="exact"/>
              <w:rPr>
                <w:sz w:val="20"/>
                <w:szCs w:val="20"/>
                <w:color w:val="auto"/>
              </w:rPr>
            </w:pPr>
            <w:r>
              <w:rPr>
                <w:rFonts w:ascii="Arial" w:cs="Arial" w:eastAsia="Arial" w:hAnsi="Arial"/>
                <w:sz w:val="14"/>
                <w:szCs w:val="14"/>
                <w:color w:val="auto"/>
              </w:rPr>
              <w:t>Capital contribution from non-</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140"/>
              <w:spacing w:after="0"/>
              <w:rPr>
                <w:sz w:val="20"/>
                <w:szCs w:val="20"/>
                <w:color w:val="auto"/>
              </w:rPr>
            </w:pPr>
            <w:r>
              <w:rPr>
                <w:rFonts w:ascii="Arial" w:cs="Arial" w:eastAsia="Arial" w:hAnsi="Arial"/>
                <w:sz w:val="14"/>
                <w:szCs w:val="14"/>
                <w:color w:val="auto"/>
                <w:w w:val="99"/>
              </w:rPr>
              <w:t>controlling shareholders (iii)</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140"/>
              <w:spacing w:after="0"/>
              <w:rPr>
                <w:sz w:val="20"/>
                <w:szCs w:val="20"/>
                <w:color w:val="auto"/>
              </w:rPr>
            </w:pPr>
            <w:r>
              <w:rPr>
                <w:rFonts w:ascii="Arial" w:cs="Arial" w:eastAsia="Arial" w:hAnsi="Arial"/>
                <w:sz w:val="14"/>
                <w:szCs w:val="14"/>
                <w:color w:val="auto"/>
              </w:rPr>
              <w:t>(iv)</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6,438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290,994</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297,432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982</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684</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Balance as of June 30, 2017</w:t>
            </w: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0"/>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42,283</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(978</w:t>
            </w:r>
          </w:p>
        </w:tc>
        <w:tc>
          <w:tcPr>
            <w:tcW w:w="140" w:type="dxa"/>
            <w:vAlign w:val="bottom"/>
            <w:vMerge w:val="continue"/>
          </w:tcPr>
          <w:p>
            <w:pPr>
              <w:spacing w:after="0"/>
              <w:rPr>
                <w:sz w:val="18"/>
                <w:szCs w:val="18"/>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(13,648</w:t>
            </w:r>
          </w:p>
        </w:tc>
        <w:tc>
          <w:tcPr>
            <w:tcW w:w="140" w:type="dxa"/>
            <w:vAlign w:val="bottom"/>
            <w:vMerge w:val="continue"/>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449,453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477,110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86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4"/>
                <w:szCs w:val="14"/>
                <w:color w:val="auto"/>
              </w:rPr>
              <w:t>Net (loss) income</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(107,489)</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182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36,316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50,108</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14,945</w:t>
            </w: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(5,938)</w:t>
            </w:r>
          </w:p>
        </w:tc>
        <w:tc>
          <w:tcPr>
            <w:tcW w:w="10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line="158" w:lineRule="exact"/>
              <w:rPr>
                <w:sz w:val="20"/>
                <w:szCs w:val="20"/>
                <w:color w:val="auto"/>
              </w:rPr>
            </w:pPr>
            <w:r>
              <w:rPr>
                <w:rFonts w:ascii="Arial" w:cs="Arial" w:eastAsia="Arial" w:hAnsi="Arial"/>
                <w:sz w:val="14"/>
                <w:szCs w:val="14"/>
                <w:color w:val="auto"/>
              </w:rPr>
              <w:t>Capital contribution from non-</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140"/>
              <w:spacing w:after="0"/>
              <w:rPr>
                <w:sz w:val="20"/>
                <w:szCs w:val="20"/>
                <w:color w:val="auto"/>
              </w:rPr>
            </w:pPr>
            <w:r>
              <w:rPr>
                <w:rFonts w:ascii="Arial" w:cs="Arial" w:eastAsia="Arial" w:hAnsi="Arial"/>
                <w:sz w:val="14"/>
                <w:szCs w:val="14"/>
                <w:color w:val="auto"/>
              </w:rPr>
              <w:t>controlling shareholders (v)</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19,898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20,773</w:t>
            </w:r>
          </w:p>
        </w:tc>
        <w:tc>
          <w:tcPr>
            <w:tcW w:w="0" w:type="dxa"/>
            <w:vAlign w:val="bottom"/>
          </w:tcPr>
          <w:p>
            <w:pPr>
              <w:spacing w:after="0"/>
              <w:rPr>
                <w:sz w:val="1"/>
                <w:szCs w:val="1"/>
                <w:color w:val="auto"/>
              </w:rPr>
            </w:pPr>
          </w:p>
        </w:tc>
      </w:tr>
      <w:tr>
        <w:trPr>
          <w:trHeight w:val="128"/>
        </w:trPr>
        <w:tc>
          <w:tcPr>
            <w:tcW w:w="1860" w:type="dxa"/>
            <w:vAlign w:val="bottom"/>
            <w:tcBorders>
              <w:top w:val="single" w:sz="8" w:color="CCEEFF"/>
            </w:tcBorders>
          </w:tcPr>
          <w:p>
            <w:pPr>
              <w:spacing w:after="0" w:line="129" w:lineRule="exact"/>
              <w:rPr>
                <w:sz w:val="20"/>
                <w:szCs w:val="20"/>
                <w:color w:val="auto"/>
              </w:rPr>
            </w:pPr>
            <w:r>
              <w:rPr>
                <w:rFonts w:ascii="Arial" w:cs="Arial" w:eastAsia="Arial" w:hAnsi="Arial"/>
                <w:sz w:val="14"/>
                <w:szCs w:val="14"/>
                <w:color w:val="auto"/>
              </w:rPr>
              <w:t>Balance as of December 31,</w:t>
            </w: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860" w:type="dxa"/>
            <w:vAlign w:val="bottom"/>
          </w:tcPr>
          <w:p>
            <w:pPr>
              <w:ind w:left="140"/>
              <w:spacing w:after="0"/>
              <w:rPr>
                <w:sz w:val="20"/>
                <w:szCs w:val="20"/>
                <w:color w:val="auto"/>
              </w:rPr>
            </w:pPr>
            <w:r>
              <w:rPr>
                <w:rFonts w:ascii="Arial" w:cs="Arial" w:eastAsia="Arial" w:hAnsi="Arial"/>
                <w:sz w:val="14"/>
                <w:szCs w:val="14"/>
                <w:color w:val="auto"/>
              </w:rPr>
              <w:t>2017 (Unaudited)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line="211" w:lineRule="exact"/>
              <w:rPr>
                <w:sz w:val="20"/>
                <w:szCs w:val="20"/>
                <w:color w:val="auto"/>
              </w:rPr>
            </w:pPr>
            <w:r>
              <w:rPr>
                <w:rFonts w:ascii="Arial" w:cs="Arial" w:eastAsia="Arial" w:hAnsi="Arial"/>
                <w:sz w:val="13"/>
                <w:szCs w:val="13"/>
                <w:color w:val="auto"/>
              </w:rPr>
              <w:t>(65,660</w:t>
            </w:r>
            <w:r>
              <w:rPr>
                <w:rFonts w:ascii="Arial" w:cs="Arial" w:eastAsia="Arial" w:hAnsi="Arial"/>
                <w:sz w:val="24"/>
                <w:szCs w:val="24"/>
                <w:color w:val="auto"/>
                <w:vertAlign w:val="superscript"/>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0"/>
              <w:spacing w:after="0" w:line="211" w:lineRule="exact"/>
              <w:rPr>
                <w:sz w:val="20"/>
                <w:szCs w:val="20"/>
                <w:color w:val="auto"/>
              </w:rPr>
            </w:pPr>
            <w:r>
              <w:rPr>
                <w:rFonts w:ascii="Arial" w:cs="Arial" w:eastAsia="Arial" w:hAnsi="Arial"/>
                <w:sz w:val="13"/>
                <w:szCs w:val="13"/>
                <w:color w:val="auto"/>
              </w:rPr>
              <w:t>(832</w:t>
            </w:r>
            <w:r>
              <w:rPr>
                <w:rFonts w:ascii="Arial" w:cs="Arial" w:eastAsia="Arial" w:hAnsi="Arial"/>
                <w:sz w:val="24"/>
                <w:szCs w:val="24"/>
                <w:color w:val="auto"/>
                <w:vertAlign w:val="superscript"/>
              </w:rPr>
              <w:t>)</w:t>
            </w: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22,674</w:t>
            </w:r>
          </w:p>
        </w:tc>
        <w:tc>
          <w:tcPr>
            <w:tcW w:w="32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519,459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16,374</w:t>
            </w:r>
          </w:p>
        </w:tc>
        <w:tc>
          <w:tcPr>
            <w:tcW w:w="240" w:type="dxa"/>
            <w:vAlign w:val="bottom"/>
            <w:gridSpan w:val="2"/>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492,015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260" w:hanging="256"/>
        <w:spacing w:after="0"/>
        <w:tabs>
          <w:tab w:leader="none" w:pos="2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the year ended June 30, 2016, the non-controlling shareholder of CLPS Beijing contributed $46,919 to CLPS Beijing.</w:t>
      </w:r>
    </w:p>
    <w:p>
      <w:pPr>
        <w:spacing w:after="0" w:line="175" w:lineRule="exact"/>
        <w:rPr>
          <w:rFonts w:ascii="Arial" w:cs="Arial" w:eastAsia="Arial" w:hAnsi="Arial"/>
          <w:sz w:val="14"/>
          <w:szCs w:val="14"/>
          <w:color w:val="auto"/>
        </w:rPr>
      </w:pPr>
    </w:p>
    <w:p>
      <w:pPr>
        <w:ind w:left="260" w:right="220" w:hanging="256"/>
        <w:spacing w:after="0" w:line="277" w:lineRule="auto"/>
        <w:tabs>
          <w:tab w:leader="none" w:pos="2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the year ended June 30, 2016, the Company paid $6,987 to acquire a non-controlling interest in CLPS RC. After the acquisition, CLPS RC became a wholly owned subsidiary of the Company. The payment in excess of carrying value of the non-controlling interest amounted to $5,199, which was charge to additional paid in capital.</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NON-CONTROLLING INTERESTS - continued</w:t>
      </w:r>
    </w:p>
    <w:p>
      <w:pPr>
        <w:spacing w:after="0" w:line="180" w:lineRule="exact"/>
        <w:rPr>
          <w:sz w:val="20"/>
          <w:szCs w:val="20"/>
          <w:color w:val="auto"/>
        </w:rPr>
      </w:pPr>
    </w:p>
    <w:p>
      <w:pPr>
        <w:ind w:left="260" w:hanging="256"/>
        <w:spacing w:after="0"/>
        <w:tabs>
          <w:tab w:leader="none" w:pos="2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the year ended June 30, 2017, the non-controlling shareholder of CLPS Hong Kong contributed $6,438 as capital.</w:t>
      </w:r>
    </w:p>
    <w:p>
      <w:pPr>
        <w:spacing w:after="0" w:line="175" w:lineRule="exact"/>
        <w:rPr>
          <w:rFonts w:ascii="Arial" w:cs="Arial" w:eastAsia="Arial" w:hAnsi="Arial"/>
          <w:sz w:val="14"/>
          <w:szCs w:val="14"/>
          <w:color w:val="auto"/>
        </w:rPr>
      </w:pPr>
    </w:p>
    <w:p>
      <w:pPr>
        <w:ind w:left="260" w:right="160" w:hanging="256"/>
        <w:spacing w:after="0" w:line="277" w:lineRule="auto"/>
        <w:tabs>
          <w:tab w:leader="none" w:pos="2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 November 9, 2016, CLPS Shanghai acquired 60% of Judge China and its 70% owned subsidiary Judge HR from Judge Asia. As a result, the fair value of non-controlling interests was $290,994 (Note 3).</w:t>
      </w:r>
    </w:p>
    <w:p>
      <w:pPr>
        <w:spacing w:after="0" w:line="133" w:lineRule="exact"/>
        <w:rPr>
          <w:rFonts w:ascii="Arial" w:cs="Arial" w:eastAsia="Arial" w:hAnsi="Arial"/>
          <w:sz w:val="14"/>
          <w:szCs w:val="14"/>
          <w:color w:val="auto"/>
        </w:rPr>
      </w:pPr>
    </w:p>
    <w:p>
      <w:pPr>
        <w:ind w:left="260" w:right="100" w:hanging="256"/>
        <w:spacing w:after="0" w:line="277" w:lineRule="auto"/>
        <w:tabs>
          <w:tab w:leader="none" w:pos="2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 October 17, 2017, the Company acquired 55% of JQ and its 100% owned subsidiary – JL. For the six months ended December 31, 2017, the non-controlling shareholder of JQ contributed $70 to JQ.</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SEGMENT INFORMATION AND REVENUE ANALYSIS</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 has one operating segment. The Company’s revenue and net income are substantially derived from enterprise application services and financial industry IT services.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Company’s operations are primarily based in China, where the Company derives a substantial portion of their revenues. For the year ended June 30, 2017, revenues generated in mainland China, Hong Kong and Australia were $30,822,390, $362,892 and $176,694, respectively. For year ended June 30, 2016, all revenues were generated in mainland China. For the six months ended December 31, 2017, revenues generated in mainland China, Hong Kong, Australia and Taiwan were $21,407,903, $540,837, $138,960 and $112,295, respectively. For six months ended December 31, 2016, revenues generated in mainland China, Hong Kong and Australia were $14,060,682, $231,599 and 31,657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20" w:type="dxa"/>
            <w:vAlign w:val="bottom"/>
          </w:tcPr>
          <w:p>
            <w:pPr>
              <w:spacing w:after="0"/>
              <w:rPr>
                <w:sz w:val="20"/>
                <w:szCs w:val="20"/>
                <w:color w:val="auto"/>
              </w:rPr>
            </w:pPr>
            <w:r>
              <w:rPr>
                <w:rFonts w:ascii="Arial" w:cs="Arial" w:eastAsia="Arial" w:hAnsi="Arial"/>
                <w:sz w:val="14"/>
                <w:szCs w:val="14"/>
                <w:color w:val="auto"/>
              </w:rPr>
              <w:t>The following table presents revenues by the service lines.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22"/>
        </w:trPr>
        <w:tc>
          <w:tcPr>
            <w:tcW w:w="4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7"/>
          </w:tcPr>
          <w:p>
            <w:pPr>
              <w:ind w:left="500"/>
              <w:spacing w:after="0"/>
              <w:rPr>
                <w:sz w:val="20"/>
                <w:szCs w:val="20"/>
                <w:color w:val="auto"/>
              </w:rPr>
            </w:pPr>
            <w:r>
              <w:rPr>
                <w:rFonts w:ascii="Arial" w:cs="Arial" w:eastAsia="Arial" w:hAnsi="Arial"/>
                <w:sz w:val="14"/>
                <w:szCs w:val="14"/>
                <w:b w:val="1"/>
                <w:bCs w:val="1"/>
                <w:color w:val="auto"/>
              </w:rPr>
              <w:t>For the six months ended</w:t>
            </w:r>
          </w:p>
        </w:tc>
      </w:tr>
      <w:tr>
        <w:trPr>
          <w:trHeight w:val="184"/>
        </w:trPr>
        <w:tc>
          <w:tcPr>
            <w:tcW w:w="4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1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9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gridSpan w:val="2"/>
          </w:tcPr>
          <w:p>
            <w:pPr>
              <w:spacing w:after="0"/>
              <w:rPr>
                <w:sz w:val="14"/>
                <w:szCs w:val="14"/>
                <w:color w:val="auto"/>
              </w:rPr>
            </w:pPr>
          </w:p>
        </w:tc>
      </w:tr>
      <w:tr>
        <w:trPr>
          <w:trHeight w:val="168"/>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Fintech IT consulting service</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29,146,470</w:t>
            </w:r>
          </w:p>
        </w:tc>
        <w:tc>
          <w:tcPr>
            <w:tcW w:w="640" w:type="dxa"/>
            <w:vAlign w:val="bottom"/>
            <w:gridSpan w:val="2"/>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28,015,173</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21,632,609</w:t>
            </w:r>
          </w:p>
        </w:tc>
        <w:tc>
          <w:tcPr>
            <w:tcW w:w="200" w:type="dxa"/>
            <w:vAlign w:val="bottom"/>
            <w:gridSpan w:val="2"/>
            <w:shd w:val="clear" w:color="auto" w:fill="CCEEFF"/>
          </w:tcPr>
          <w:p>
            <w:pPr>
              <w:jc w:val="right"/>
              <w:ind w:right="115"/>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13,282,841</w:t>
            </w:r>
          </w:p>
        </w:tc>
        <w:tc>
          <w:tcPr>
            <w:tcW w:w="80" w:type="dxa"/>
            <w:vAlign w:val="bottom"/>
            <w:shd w:val="clear" w:color="auto" w:fill="CCEEFF"/>
          </w:tcPr>
          <w:p>
            <w:pPr>
              <w:spacing w:after="0"/>
              <w:rPr>
                <w:sz w:val="14"/>
                <w:szCs w:val="14"/>
                <w:color w:val="auto"/>
              </w:rPr>
            </w:pPr>
          </w:p>
        </w:tc>
      </w:tr>
      <w:tr>
        <w:trPr>
          <w:trHeight w:val="168"/>
        </w:trPr>
        <w:tc>
          <w:tcPr>
            <w:tcW w:w="4220" w:type="dxa"/>
            <w:vAlign w:val="bottom"/>
          </w:tcPr>
          <w:p>
            <w:pPr>
              <w:spacing w:after="0"/>
              <w:rPr>
                <w:sz w:val="20"/>
                <w:szCs w:val="20"/>
                <w:color w:val="auto"/>
              </w:rPr>
            </w:pPr>
            <w:r>
              <w:rPr>
                <w:rFonts w:ascii="Arial" w:cs="Arial" w:eastAsia="Arial" w:hAnsi="Arial"/>
                <w:sz w:val="14"/>
                <w:szCs w:val="14"/>
                <w:color w:val="auto"/>
              </w:rPr>
              <w:t>Customized IT solution service</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1,846,423</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927,185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524,220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760,599</w:t>
            </w:r>
          </w:p>
        </w:tc>
        <w:tc>
          <w:tcPr>
            <w:tcW w:w="80" w:type="dxa"/>
            <w:vAlign w:val="bottom"/>
          </w:tcPr>
          <w:p>
            <w:pPr>
              <w:spacing w:after="0"/>
              <w:rPr>
                <w:sz w:val="14"/>
                <w:szCs w:val="14"/>
                <w:color w:val="auto"/>
              </w:rPr>
            </w:pPr>
          </w:p>
        </w:tc>
      </w:tr>
      <w:tr>
        <w:trPr>
          <w:trHeight w:val="188"/>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369,083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81,820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43,166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280,498</w:t>
            </w:r>
          </w:p>
        </w:tc>
        <w:tc>
          <w:tcPr>
            <w:tcW w:w="80" w:type="dxa"/>
            <w:vAlign w:val="bottom"/>
            <w:shd w:val="clear" w:color="auto" w:fill="CCEEFF"/>
          </w:tcPr>
          <w:p>
            <w:pPr>
              <w:spacing w:after="0"/>
              <w:rPr>
                <w:sz w:val="16"/>
                <w:szCs w:val="16"/>
                <w:color w:val="auto"/>
              </w:rPr>
            </w:pPr>
          </w:p>
        </w:tc>
      </w:tr>
      <w:tr>
        <w:trPr>
          <w:trHeight w:val="150"/>
        </w:trPr>
        <w:tc>
          <w:tcPr>
            <w:tcW w:w="422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Total</w:t>
            </w:r>
          </w:p>
        </w:tc>
        <w:tc>
          <w:tcPr>
            <w:tcW w:w="960" w:type="dxa"/>
            <w:vAlign w:val="bottom"/>
            <w:tcBorders>
              <w:top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31,361,976</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37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29,024,178</w:t>
            </w: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22,199,995</w:t>
            </w:r>
          </w:p>
        </w:tc>
        <w:tc>
          <w:tcPr>
            <w:tcW w:w="240" w:type="dxa"/>
            <w:vAlign w:val="bottom"/>
            <w:tcBorders>
              <w:top w:val="single" w:sz="8" w:color="CCEEFF"/>
            </w:tcBorders>
          </w:tcPr>
          <w:p>
            <w:pPr>
              <w:spacing w:after="0"/>
              <w:rPr>
                <w:sz w:val="13"/>
                <w:szCs w:val="13"/>
                <w:color w:val="auto"/>
              </w:rPr>
            </w:pPr>
          </w:p>
        </w:tc>
        <w:tc>
          <w:tcPr>
            <w:tcW w:w="20" w:type="dxa"/>
            <w:vAlign w:val="bottom"/>
            <w:tcBorders>
              <w:top w:val="single" w:sz="8" w:color="CCEEFF"/>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14,323,938</w:t>
            </w:r>
          </w:p>
        </w:tc>
        <w:tc>
          <w:tcPr>
            <w:tcW w:w="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22"/>
        </w:trPr>
        <w:tc>
          <w:tcPr>
            <w:tcW w:w="4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SUBSEQUENT EVENTS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On January 10, 2018, the Company contributed capital of $92,370 in Tianjin Huanyu Qinshang network technology Co., Ltd (“Huan Yu”).</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On February 6, 2018, the Company contributed capital of $1,592 in CLPS Shenzhen. On March 1, 2018, the Company injected additional capital of $7,866 in CLPS Shenzhen.</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4"/>
          <w:szCs w:val="14"/>
          <w:color w:val="auto"/>
        </w:rPr>
        <w:t>On January 18, 2018, the Company contributed capital of $7,791 in CLPS Guangzhou. On January 25, 2018, the Company contributed capital of $7,913 in CLPS Guangzhou. On February 27, 2018 and March 20, 2018, the Company contributed additional capital in CLPS Guangzhou of $7,915 and $15,798, respectively.</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4"/>
          <w:szCs w:val="14"/>
          <w:color w:val="auto"/>
        </w:rPr>
        <w:t>The accompanying consolidated financial statements were approved by management and available for issuance on March 27, 2018. The Company evaluated subsequent events through the date these consolidated financial statements were available for issuance.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439420</wp:posOffset>
            </wp:positionV>
            <wp:extent cx="1837690" cy="915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37690" cy="91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277100" cy="13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Prospectus</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[_]</w:t>
      </w:r>
    </w:p>
    <w:p>
      <w:pPr>
        <w:spacing w:after="0" w:line="344" w:lineRule="exact"/>
        <w:rPr>
          <w:sz w:val="20"/>
          <w:szCs w:val="20"/>
          <w:color w:val="auto"/>
        </w:rPr>
      </w:pPr>
    </w:p>
    <w:p>
      <w:pPr>
        <w:spacing w:after="0" w:line="371" w:lineRule="auto"/>
        <w:rPr>
          <w:sz w:val="20"/>
          <w:szCs w:val="20"/>
          <w:color w:val="auto"/>
        </w:rPr>
      </w:pPr>
      <w:r>
        <w:rPr>
          <w:rFonts w:ascii="Arial" w:cs="Arial" w:eastAsia="Arial" w:hAnsi="Arial"/>
          <w:sz w:val="12"/>
          <w:szCs w:val="12"/>
          <w:b w:val="1"/>
          <w:bCs w:val="1"/>
          <w:color w:val="auto"/>
        </w:rPr>
        <w:t>Until [_], [_] (25 days after commencement of our initial public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713740</wp:posOffset>
            </wp:positionV>
            <wp:extent cx="7277100" cy="13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213" w:right="29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Indemnification of Directors and Officers</w:t>
      </w:r>
    </w:p>
    <w:p>
      <w:pPr>
        <w:spacing w:after="0" w:line="180" w:lineRule="exact"/>
        <w:rPr>
          <w:sz w:val="20"/>
          <w:szCs w:val="20"/>
          <w:color w:val="auto"/>
        </w:rPr>
      </w:pPr>
    </w:p>
    <w:p>
      <w:pPr>
        <w:ind w:right="40" w:firstLine="505"/>
        <w:spacing w:after="0" w:line="316" w:lineRule="auto"/>
        <w:rPr>
          <w:sz w:val="20"/>
          <w:szCs w:val="20"/>
          <w:color w:val="auto"/>
        </w:rPr>
      </w:pPr>
      <w:r>
        <w:rPr>
          <w:rFonts w:ascii="Arial" w:cs="Arial" w:eastAsia="Arial" w:hAnsi="Arial"/>
          <w:sz w:val="12"/>
          <w:szCs w:val="12"/>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15" w:lineRule="exact"/>
        <w:rPr>
          <w:sz w:val="20"/>
          <w:szCs w:val="20"/>
          <w:color w:val="auto"/>
        </w:rPr>
      </w:pPr>
    </w:p>
    <w:p>
      <w:pPr>
        <w:ind w:right="480" w:firstLine="505"/>
        <w:spacing w:after="0" w:line="277"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9"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Recent Sales of Unregistered Securities</w:t>
      </w:r>
    </w:p>
    <w:p>
      <w:pPr>
        <w:spacing w:after="0" w:line="180" w:lineRule="exact"/>
        <w:rPr>
          <w:sz w:val="20"/>
          <w:szCs w:val="20"/>
          <w:color w:val="auto"/>
        </w:rPr>
      </w:pPr>
    </w:p>
    <w:p>
      <w:pPr>
        <w:ind w:right="220" w:firstLine="505"/>
        <w:spacing w:after="0" w:line="286" w:lineRule="auto"/>
        <w:rPr>
          <w:sz w:val="20"/>
          <w:szCs w:val="20"/>
          <w:color w:val="auto"/>
        </w:rPr>
      </w:pPr>
      <w:r>
        <w:rPr>
          <w:rFonts w:ascii="Arial" w:cs="Arial" w:eastAsia="Arial" w:hAnsi="Arial"/>
          <w:sz w:val="13"/>
          <w:szCs w:val="13"/>
          <w:color w:val="auto"/>
        </w:rPr>
        <w:t>Since our inception, we issued [●] shares in the aggregate to [●] shareholders upon the reorganization of our company and in transactions that were not required to be registered under the Securities Act. All such share issuances were deemed to be exempt under the Securities Act by virtue of Section 4(2) thereof as transactions not involving any public offering. In addition, certain share issuances were deemed not to fall within Section 5 under the Securities Act and to be further exempt under Rule 901 and 903 of Regulation S promulgated thereunder by virtue of being issuances of securities by non-U.S. companies to non-U.S. citizens or residents, conducted outside the United States and not using any element of interstate commerce.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information below lists all of the securities related to CLPS Shanghai since CLPS Shanghai was registered: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ChinaLink Professional Services Co., Ltd.</w:t>
      </w:r>
    </w:p>
    <w:p>
      <w:pPr>
        <w:spacing w:after="0" w:line="176" w:lineRule="exact"/>
        <w:rPr>
          <w:sz w:val="20"/>
          <w:szCs w:val="20"/>
          <w:color w:val="auto"/>
        </w:rPr>
      </w:pPr>
    </w:p>
    <w:p>
      <w:pPr>
        <w:ind w:right="180" w:firstLine="505"/>
        <w:spacing w:after="0" w:line="264" w:lineRule="auto"/>
        <w:rPr>
          <w:sz w:val="20"/>
          <w:szCs w:val="20"/>
          <w:color w:val="auto"/>
        </w:rPr>
      </w:pPr>
      <w:r>
        <w:rPr>
          <w:rFonts w:ascii="Arial" w:cs="Arial" w:eastAsia="Arial" w:hAnsi="Arial"/>
          <w:sz w:val="14"/>
          <w:szCs w:val="14"/>
          <w:color w:val="auto"/>
        </w:rPr>
        <w:t>On August 30, 2005, Jingsu Pan and Xiaochun Deng agreed to establish ChinaLink Professional Services Co., Ltd. (“CLPS Shanghai”) and signed CLPS Shanghai’s Articles of Association. Pursuant to the Articles of Association, Jingsu Pan and Xiaochun Deng agreed to invested RMB250,000 (approximately US$30,881) in cash for 50% of equity interests in CLPS Shanghai, and the total registered capital of CLPS Shanghai was RMB500,000 (approximately US$61,763).</w:t>
      </w:r>
    </w:p>
    <w:p>
      <w:pPr>
        <w:spacing w:after="0" w:line="142" w:lineRule="exact"/>
        <w:rPr>
          <w:sz w:val="20"/>
          <w:szCs w:val="20"/>
          <w:color w:val="auto"/>
        </w:rPr>
      </w:pPr>
    </w:p>
    <w:p>
      <w:pPr>
        <w:ind w:right="600" w:firstLine="505"/>
        <w:spacing w:after="0" w:line="317" w:lineRule="auto"/>
        <w:rPr>
          <w:sz w:val="20"/>
          <w:szCs w:val="20"/>
          <w:color w:val="auto"/>
        </w:rPr>
      </w:pPr>
      <w:r>
        <w:rPr>
          <w:rFonts w:ascii="Arial" w:cs="Arial" w:eastAsia="Arial" w:hAnsi="Arial"/>
          <w:sz w:val="13"/>
          <w:szCs w:val="13"/>
          <w:color w:val="auto"/>
        </w:rPr>
        <w:t>On December 5, 2005, Jingsu Pan and Xiaochun Deng signed the Resolution of the Board of Shareholders and agreed to increase CLPS Shanghai’s registered capital to RMB1,000,000 (approximately US$123,671). Jingsu Pan and Xiaochun Deng respectively made full payment for their subscribed capital to RMB500,000 (approximately US$61,835).</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March 29, 2010, Yan Pan entered into a Share Purchase Agreement with Jingsu Pan pursuant to which Yan Pan purchased all of Jingsu Pan’s shares in CLPS Shanghai.</w:t>
      </w:r>
    </w:p>
    <w:p>
      <w:pPr>
        <w:spacing w:after="0" w:line="17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On October 19, 2010, Raymond Ming Hui Lin entered into a Share Purchase Agreement with Xiaochun Deng pursuant to which Raymond Ming Hui Lin purchased all of Xiaochun Deng’s shares in CLPS Shanghai.</w:t>
      </w:r>
    </w:p>
    <w:p>
      <w:pPr>
        <w:spacing w:after="0" w:line="133" w:lineRule="exact"/>
        <w:rPr>
          <w:sz w:val="20"/>
          <w:szCs w:val="20"/>
          <w:color w:val="auto"/>
        </w:rPr>
      </w:pPr>
    </w:p>
    <w:p>
      <w:pPr>
        <w:ind w:right="160" w:firstLine="505"/>
        <w:spacing w:after="0" w:line="277" w:lineRule="auto"/>
        <w:rPr>
          <w:sz w:val="20"/>
          <w:szCs w:val="20"/>
          <w:color w:val="auto"/>
        </w:rPr>
      </w:pPr>
      <w:r>
        <w:rPr>
          <w:rFonts w:ascii="Arial" w:cs="Arial" w:eastAsia="Arial" w:hAnsi="Arial"/>
          <w:sz w:val="14"/>
          <w:szCs w:val="14"/>
          <w:color w:val="auto"/>
        </w:rPr>
        <w:t>On October 31, 2012, CLPS Shanghai increased its registered capital to RMB5,000,000 (approximately US$799,987). Yan Pan and Raymond Ming Hui Lin respectively made full payment for their subscribed capital to RMB2,500,000 (approximately US$399,993).</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On October 30, 2013, Xiao Feng Yang entered into a Share Purchase Agreement with Yan Pan pursuant to which Xiao Feng Yang purchased all of Yan Pan’s shares in CLPS Shanghai.</w:t>
      </w:r>
    </w:p>
    <w:p>
      <w:pPr>
        <w:spacing w:after="0" w:line="187" w:lineRule="exact"/>
        <w:rPr>
          <w:sz w:val="20"/>
          <w:szCs w:val="20"/>
          <w:color w:val="auto"/>
        </w:rPr>
      </w:pPr>
    </w:p>
    <w:p>
      <w:pPr>
        <w:ind w:right="440" w:firstLine="505"/>
        <w:spacing w:after="0" w:line="277" w:lineRule="auto"/>
        <w:rPr>
          <w:sz w:val="20"/>
          <w:szCs w:val="20"/>
          <w:color w:val="auto"/>
        </w:rPr>
      </w:pPr>
      <w:r>
        <w:rPr>
          <w:rFonts w:ascii="Arial" w:cs="Arial" w:eastAsia="Arial" w:hAnsi="Arial"/>
          <w:sz w:val="14"/>
          <w:szCs w:val="14"/>
          <w:color w:val="auto"/>
        </w:rPr>
        <w:t>On June 24, 2014, CLPS Shanghai increased its registered capital to RMB30,000,000 (approximately US$4,759,004). Xiao Feng Yang and Raymond Ming Hui Lin respectively made full payment for their subscribed capital to RMB15,000,000 (approximately US$2,379,502).</w:t>
      </w:r>
    </w:p>
    <w:p>
      <w:pPr>
        <w:spacing w:after="0" w:line="133"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On December 15, 2015, CLPS Shanghai changed its form into a PRC joint stock limited company. The share capital of CLPS Shanghai was RMB30,000,000, which was divided into 30,000,000 shares of RMB1.00 per share. Xiao Feng Yang and Raymond Ming Hui Lin respectively held 15,000,000 shares of CLPS Shanghai.</w:t>
      </w:r>
    </w:p>
    <w:p>
      <w:pPr>
        <w:spacing w:after="0" w:line="133" w:lineRule="exact"/>
        <w:rPr>
          <w:sz w:val="20"/>
          <w:szCs w:val="20"/>
          <w:color w:val="auto"/>
        </w:rPr>
      </w:pPr>
    </w:p>
    <w:p>
      <w:pPr>
        <w:ind w:right="240" w:firstLine="505"/>
        <w:spacing w:after="0" w:line="264" w:lineRule="auto"/>
        <w:rPr>
          <w:sz w:val="20"/>
          <w:szCs w:val="20"/>
          <w:color w:val="auto"/>
        </w:rPr>
      </w:pPr>
      <w:r>
        <w:rPr>
          <w:rFonts w:ascii="Arial" w:cs="Arial" w:eastAsia="Arial" w:hAnsi="Arial"/>
          <w:sz w:val="14"/>
          <w:szCs w:val="14"/>
          <w:color w:val="auto"/>
        </w:rPr>
        <w:t>On May 16, 2016, CLPS Shanghai issued 3,870,000 shares to three limited partnerships (hereinto: 1,700,000 shares to Shanghai Qinyao Investment Partnership, 1,270,000 shares to Shanghai Qinzhi Investment Partnership, and 900,000 shares to Shanghai Qinshang Software Technology Counsel Partnership) of RMB1.00 per share. CLPS Shanghai’s registered capital was increased to RMB33,870,000.</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07" w:right="239" w:bottom="1440" w:gutter="0" w:footer="0" w:header="0"/>
        </w:sectPr>
      </w:pPr>
    </w:p>
    <w:bookmarkStart w:id="148" w:name="page149"/>
    <w:bookmarkEnd w:id="148"/>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37" w:lineRule="exact"/>
        <w:rPr>
          <w:sz w:val="20"/>
          <w:szCs w:val="20"/>
          <w:color w:val="auto"/>
        </w:rPr>
      </w:pPr>
    </w:p>
    <w:p>
      <w:pPr>
        <w:ind w:right="400" w:firstLine="505"/>
        <w:spacing w:after="0" w:line="277" w:lineRule="auto"/>
        <w:rPr>
          <w:sz w:val="20"/>
          <w:szCs w:val="20"/>
          <w:color w:val="auto"/>
        </w:rPr>
      </w:pPr>
      <w:r>
        <w:rPr>
          <w:rFonts w:ascii="Arial" w:cs="Arial" w:eastAsia="Arial" w:hAnsi="Arial"/>
          <w:sz w:val="14"/>
          <w:szCs w:val="14"/>
          <w:color w:val="auto"/>
        </w:rPr>
        <w:t>On July 18, 2017, three abovementioned limited partnerships transferred all their shares of CLPS Shanghai to their individual partners according to the proportion of each partner’s capital contribution. Total 47 individuals became shareholders of CLPS Shanghai.</w:t>
      </w:r>
    </w:p>
    <w:p>
      <w:pPr>
        <w:spacing w:after="0" w:line="133" w:lineRule="exact"/>
        <w:rPr>
          <w:sz w:val="20"/>
          <w:szCs w:val="20"/>
          <w:color w:val="auto"/>
        </w:rPr>
      </w:pPr>
    </w:p>
    <w:p>
      <w:pPr>
        <w:ind w:right="340" w:firstLine="505"/>
        <w:spacing w:after="0" w:line="277" w:lineRule="auto"/>
        <w:rPr>
          <w:sz w:val="20"/>
          <w:szCs w:val="20"/>
          <w:color w:val="auto"/>
        </w:rPr>
      </w:pPr>
      <w:r>
        <w:rPr>
          <w:rFonts w:ascii="Arial" w:cs="Arial" w:eastAsia="Arial" w:hAnsi="Arial"/>
          <w:sz w:val="14"/>
          <w:szCs w:val="14"/>
          <w:color w:val="auto"/>
        </w:rPr>
        <w:t>In August 2017, Qiner Co., Ltd. (“Qiner”) entered into three Share Purchase Agreement with three non-Chinese individual shareholders of CLPS Shanghai pursuant to which the three non-Chinese individual shareholders of CLPS Shanghai were to sell all their shares of CLPS Shanghai to Qiner. The share transfer price was RMB1.00 per share.</w:t>
      </w:r>
    </w:p>
    <w:p>
      <w:pPr>
        <w:spacing w:after="0" w:line="133" w:lineRule="exact"/>
        <w:rPr>
          <w:sz w:val="20"/>
          <w:szCs w:val="20"/>
          <w:color w:val="auto"/>
        </w:rPr>
      </w:pPr>
    </w:p>
    <w:p>
      <w:pPr>
        <w:ind w:right="160" w:firstLine="505"/>
        <w:spacing w:after="0" w:line="364" w:lineRule="auto"/>
        <w:rPr>
          <w:sz w:val="20"/>
          <w:szCs w:val="20"/>
          <w:color w:val="auto"/>
        </w:rPr>
      </w:pPr>
      <w:r>
        <w:rPr>
          <w:rFonts w:ascii="Arial" w:cs="Arial" w:eastAsia="Arial" w:hAnsi="Arial"/>
          <w:sz w:val="12"/>
          <w:szCs w:val="12"/>
          <w:color w:val="auto"/>
        </w:rPr>
        <w:t>In November 2017, Shanghai Qincheng Information Technology Co., Ltd(“WOFE”) entered into 46 Share Purchase Agreement with all 46 Chinese individual shareholders of CLPS Shanghai pursuant to which the 46 non-Chinese individual shareholders of CLPS Shanghai were to sell all their shares of CLPS Shanghai to WOFE. The share transfer price was RMB1.00 per share.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Ruicheng Co., Ltd.</w:t>
      </w:r>
    </w:p>
    <w:p>
      <w:pPr>
        <w:spacing w:after="0" w:line="176"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On May 10, 2013, CLPS Ruicheng Co., Ltd. (“CLPS RC”) was established by Wenbin Li and CLPS Shanghai. Wenbin Li invested RMB45,000 (US$7,321) in cash for 45% of equity interests in CLPS RC, and CLPS Shanghai invested RMB55,000 (US$8,948) in cash for 55% of equity interests in CLPS RC. The total registered capital of CLPS RC was RMB100,000 (US$16,269).</w:t>
      </w:r>
    </w:p>
    <w:p>
      <w:pPr>
        <w:spacing w:after="0" w:line="110" w:lineRule="exact"/>
        <w:rPr>
          <w:sz w:val="20"/>
          <w:szCs w:val="20"/>
          <w:color w:val="auto"/>
        </w:rPr>
      </w:pPr>
    </w:p>
    <w:p>
      <w:pPr>
        <w:ind w:right="720" w:firstLine="505"/>
        <w:spacing w:after="0" w:line="364" w:lineRule="auto"/>
        <w:rPr>
          <w:sz w:val="20"/>
          <w:szCs w:val="20"/>
          <w:color w:val="auto"/>
        </w:rPr>
      </w:pPr>
      <w:r>
        <w:rPr>
          <w:rFonts w:ascii="Arial" w:cs="Arial" w:eastAsia="Arial" w:hAnsi="Arial"/>
          <w:sz w:val="12"/>
          <w:szCs w:val="12"/>
          <w:color w:val="auto"/>
        </w:rPr>
        <w:t>On April 2, 2014, Wenbin Li and CLPS Shanghai signed/sealed the Resolution of the Board of Shareholders and agreed to increase CLPS RC’s registered capital to RMB10,000,000 (US$1,611,500). Wenbin Li increased his subscribed capital to RMB4,500,000 (US$725,175), and CLPS Shanghai increased its subscribed capital to RMB5,500,000 (US$886,325).</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On November 17, 2015, Wenbin Li entered into a Share Purchase Agreement with CLPS Shanghai pursuant to which CLPS Shanghai purchased all of Wenbin Li’s shares in CLPS RC.</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Dalian Co., Ltd.</w:t>
      </w:r>
    </w:p>
    <w:p>
      <w:pPr>
        <w:spacing w:after="0" w:line="176" w:lineRule="exact"/>
        <w:rPr>
          <w:sz w:val="20"/>
          <w:szCs w:val="20"/>
          <w:color w:val="auto"/>
        </w:rPr>
      </w:pPr>
    </w:p>
    <w:p>
      <w:pPr>
        <w:ind w:right="200" w:firstLine="505"/>
        <w:spacing w:after="0" w:line="277" w:lineRule="auto"/>
        <w:rPr>
          <w:sz w:val="20"/>
          <w:szCs w:val="20"/>
          <w:color w:val="auto"/>
        </w:rPr>
      </w:pPr>
      <w:r>
        <w:rPr>
          <w:rFonts w:ascii="Arial" w:cs="Arial" w:eastAsia="Arial" w:hAnsi="Arial"/>
          <w:sz w:val="14"/>
          <w:szCs w:val="14"/>
          <w:color w:val="auto"/>
        </w:rPr>
        <w:t>On May 28, 2011, CLPS Shanghai decided to establish CLPS Dalian Co., Ltd. (“CLPS Dalian”) and sealed its Articles of Association. CLPS Shanghai invested RMB100,000 (US$15,234) in cash for 100% of equity interests in CLPS Dalian, and the total registered capital of CLPS Dalian was RMB100,000 (US$15,234).</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On June 13, 2012, CLPS Dalian increased its registered capital to RMB1,000,000 (US$157,023). CLPS Shanghai made full payment for its subscribed capital to RMB1,000,000 (US$157,023).</w:t>
      </w:r>
    </w:p>
    <w:p>
      <w:pPr>
        <w:spacing w:after="0" w:line="199" w:lineRule="exact"/>
        <w:rPr>
          <w:sz w:val="20"/>
          <w:szCs w:val="20"/>
          <w:color w:val="auto"/>
        </w:rPr>
      </w:pPr>
    </w:p>
    <w:p>
      <w:pPr>
        <w:ind w:right="420" w:firstLine="505"/>
        <w:spacing w:after="0" w:line="277" w:lineRule="auto"/>
        <w:rPr>
          <w:sz w:val="20"/>
          <w:szCs w:val="20"/>
          <w:color w:val="auto"/>
        </w:rPr>
      </w:pPr>
      <w:r>
        <w:rPr>
          <w:rFonts w:ascii="Arial" w:cs="Arial" w:eastAsia="Arial" w:hAnsi="Arial"/>
          <w:sz w:val="14"/>
          <w:szCs w:val="14"/>
          <w:color w:val="auto"/>
        </w:rPr>
        <w:t>On March 5, 2014, CLPS Dalian increased its registered capital to RMB2,000,000 (US$326,371). CLPS Shanghai increased its subscribed capital from RMB1,000,000 to RMB2,000,000 (US$326,371).</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Beijing Hengtong Co., Ltd.</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On March 30, 2015, CLPS Beijing Hengtong Co., Ltd. (“CLPS Beijing”) was established by Jingwei Sun and CLPS Shanghai. Jingwei Sun subscribed RMB3,000,000 (US$483,364) in cash for 30% of equity interests in CLPS Beijing, and CLPS Shanghai subscribed RMB7,000,000 (US$1,127,850) in cash for 70% of equity interests in CLPS Beijing. The total registered capital of CLPS Beijing was RMB10,000,000 (US$1,611,214).</w:t>
      </w:r>
    </w:p>
    <w:p>
      <w:pPr>
        <w:spacing w:after="0" w:line="142" w:lineRule="exact"/>
        <w:rPr>
          <w:sz w:val="20"/>
          <w:szCs w:val="20"/>
          <w:color w:val="auto"/>
        </w:rPr>
      </w:pPr>
    </w:p>
    <w:p>
      <w:pPr>
        <w:ind w:right="420" w:firstLine="505"/>
        <w:spacing w:after="0" w:line="317" w:lineRule="auto"/>
        <w:rPr>
          <w:sz w:val="20"/>
          <w:szCs w:val="20"/>
          <w:color w:val="auto"/>
        </w:rPr>
      </w:pPr>
      <w:r>
        <w:rPr>
          <w:rFonts w:ascii="Arial" w:cs="Arial" w:eastAsia="Arial" w:hAnsi="Arial"/>
          <w:sz w:val="13"/>
          <w:szCs w:val="13"/>
          <w:color w:val="auto"/>
        </w:rPr>
        <w:t>On March 20, 2016, Jingwei Sun and CLPS Shanghai signed/sealed the Resolution of the Board of Shareholders and agreed to reduce CLPS Beijing’s registered capital to RMB1,000,000 (US$154,603). Jingwei Sun reduced his subscribed capitial to RMB300,000 (US$46,381) and CLPS Shanghai reduced its subscribed capital to RMB700,000 (US$108,222).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Judge China &amp; Judge HR</w:t>
      </w:r>
    </w:p>
    <w:p>
      <w:pPr>
        <w:spacing w:after="0" w:line="176" w:lineRule="exact"/>
        <w:rPr>
          <w:sz w:val="20"/>
          <w:szCs w:val="20"/>
          <w:color w:val="auto"/>
        </w:rPr>
      </w:pPr>
    </w:p>
    <w:p>
      <w:pPr>
        <w:ind w:right="60" w:firstLine="505"/>
        <w:spacing w:after="0" w:line="264" w:lineRule="auto"/>
        <w:rPr>
          <w:sz w:val="20"/>
          <w:szCs w:val="20"/>
          <w:color w:val="auto"/>
        </w:rPr>
      </w:pPr>
      <w:r>
        <w:rPr>
          <w:rFonts w:ascii="Arial" w:cs="Arial" w:eastAsia="Arial" w:hAnsi="Arial"/>
          <w:sz w:val="14"/>
          <w:szCs w:val="14"/>
          <w:color w:val="auto"/>
        </w:rPr>
        <w:t>On November 9, 2016, CLPS Shanghai entered into a Share Purchase Agreement with JUDGE GROUP ASIA LIMITED pursuant to which CLPS Shanghai purchased 60% of JUDGE GROUP ASIA LIMITED’s shares in Judge (Shanghai) Co., Ltd. (“Judge China”) which is established by JUDGE GROUP ASIA LIMITED in November 23, 2010. The registered capital of Judge China was RMB18,630,000 (US$2,804,329).</w:t>
      </w:r>
    </w:p>
    <w:p>
      <w:pPr>
        <w:spacing w:after="0" w:line="142" w:lineRule="exact"/>
        <w:rPr>
          <w:sz w:val="20"/>
          <w:szCs w:val="20"/>
          <w:color w:val="auto"/>
        </w:rPr>
      </w:pPr>
    </w:p>
    <w:p>
      <w:pPr>
        <w:ind w:right="640" w:firstLine="505"/>
        <w:spacing w:after="0" w:line="277" w:lineRule="auto"/>
        <w:rPr>
          <w:sz w:val="20"/>
          <w:szCs w:val="20"/>
          <w:color w:val="auto"/>
        </w:rPr>
      </w:pPr>
      <w:r>
        <w:rPr>
          <w:rFonts w:ascii="Arial" w:cs="Arial" w:eastAsia="Arial" w:hAnsi="Arial"/>
          <w:sz w:val="14"/>
          <w:szCs w:val="14"/>
          <w:color w:val="auto"/>
        </w:rPr>
        <w:t>On September 20, 2012, Judge China and an unrelated company agreed to establish Judge (Shanghai) Human Resource Co., Ltd. (“Judge HR”). Judge China subscribed RMB700,000 (US$111,048) for 70% of equity interests in Judge HR.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Shenzhen Co., Ltd.</w:t>
      </w:r>
    </w:p>
    <w:p>
      <w:pPr>
        <w:spacing w:after="0" w:line="176" w:lineRule="exact"/>
        <w:rPr>
          <w:sz w:val="20"/>
          <w:szCs w:val="20"/>
          <w:color w:val="auto"/>
        </w:rPr>
      </w:pPr>
    </w:p>
    <w:p>
      <w:pPr>
        <w:ind w:right="160" w:firstLine="337"/>
        <w:spacing w:after="0" w:line="264" w:lineRule="auto"/>
        <w:rPr>
          <w:sz w:val="20"/>
          <w:szCs w:val="20"/>
          <w:color w:val="auto"/>
        </w:rPr>
      </w:pPr>
      <w:r>
        <w:rPr>
          <w:rFonts w:ascii="Arial" w:cs="Arial" w:eastAsia="Arial" w:hAnsi="Arial"/>
          <w:sz w:val="14"/>
          <w:szCs w:val="14"/>
          <w:color w:val="auto"/>
        </w:rPr>
        <w:t>On April 7, 2017, CLPS Shenzhen Co., Ltd. (“CLPS Shenzhen”) was established by CLPS Shanghai and CLPS Technology (HK) Co., Ltd. (“CLPS Hong Kong”). CLPS Shanghai subscribed RMB3,500,000 (US$507,408) for 70% of equity interests in CLPS Shenzhen, and CLPS Hong Kong subscribed RMB1,500,000 (US$217,461) for 30% of equity interests in CLPS Shenzhen. The total registered capital of CLPS Hong Kong was RMB5,000,000 (US$724,869).</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207" w:right="279" w:bottom="1440" w:gutter="0" w:footer="0" w:header="0"/>
        </w:sectPr>
      </w:pPr>
    </w:p>
    <w:bookmarkStart w:id="149" w:name="page150"/>
    <w:bookmarkEnd w:id="149"/>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Tianjin Huanyu Qinshang Network Technology Co., Ltd.</w:t>
      </w:r>
    </w:p>
    <w:p>
      <w:pPr>
        <w:spacing w:after="0" w:line="176" w:lineRule="exact"/>
        <w:rPr>
          <w:sz w:val="20"/>
          <w:szCs w:val="20"/>
          <w:color w:val="auto"/>
        </w:rPr>
      </w:pPr>
    </w:p>
    <w:p>
      <w:pPr>
        <w:ind w:right="320" w:firstLine="337"/>
        <w:spacing w:after="0" w:line="264" w:lineRule="auto"/>
        <w:rPr>
          <w:sz w:val="20"/>
          <w:szCs w:val="20"/>
          <w:color w:val="auto"/>
        </w:rPr>
      </w:pPr>
      <w:r>
        <w:rPr>
          <w:rFonts w:ascii="Arial" w:cs="Arial" w:eastAsia="Arial" w:hAnsi="Arial"/>
          <w:sz w:val="14"/>
          <w:szCs w:val="14"/>
          <w:color w:val="auto"/>
        </w:rPr>
        <w:t>On September 27, 2017, Tianjin Huanyu Qinshang Network Technology Co., Ltd. (“Huanyu”) was established by CLPS Shanghai and Jingwei Sun. CLPS Shanghai subscribed RMB3,000,000 (US$451,807) for 30% of equity interests in Huanyu, and Jingwei Sun subscribed RMB7,000,000 (US$1,054,217) for 70% of equity interests in Huanyu. The total registered capital of Huanyu was RMB10,000,000 (US$1,506,024).</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Guangzhou Co., Ltd.</w:t>
      </w:r>
    </w:p>
    <w:p>
      <w:pPr>
        <w:spacing w:after="0" w:line="176" w:lineRule="exact"/>
        <w:rPr>
          <w:sz w:val="20"/>
          <w:szCs w:val="20"/>
          <w:color w:val="auto"/>
        </w:rPr>
      </w:pPr>
    </w:p>
    <w:p>
      <w:pPr>
        <w:jc w:val="both"/>
        <w:ind w:right="340" w:firstLine="505"/>
        <w:spacing w:after="0" w:line="264" w:lineRule="auto"/>
        <w:rPr>
          <w:sz w:val="20"/>
          <w:szCs w:val="20"/>
          <w:color w:val="auto"/>
        </w:rPr>
      </w:pPr>
      <w:r>
        <w:rPr>
          <w:rFonts w:ascii="Arial" w:cs="Arial" w:eastAsia="Arial" w:hAnsi="Arial"/>
          <w:sz w:val="14"/>
          <w:szCs w:val="14"/>
          <w:color w:val="auto"/>
        </w:rPr>
        <w:t>On September 27, 2017, CLPS Guangzhou Co., Ltd. (“CLPS Guangzhou”) was established by CLPS Shanghai and Qiner Co., Limited (“Qiner”). CLPS Shanghai subscribed RMB510,000 (US$76,807) for 51% of equity interests in CLPS Guangzhou, and Qiner subscribed RMB490,000 (US$73,795) for 49% of equity interests in CLPS Guangzhou. The total registered capital of CLPS Guangzhou was RMB1,000,000 (US$150,602).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Technology (Australia) Pty. Ltd.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On November 10, 2015, CLPS Shanghai invested AUD200,000 (US$140,600) to establish CLPS Technology (Australia) Pty. Ltd. and CLPS held 100% of equity interests in CLPS AU.</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Technology (Singapore) Pte. Ltd.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On August 18, 2015, CLPS Shanghai invested SGD100,000 (US$71,149) to establish CLPS Technology (Singapore) Pte. Ltd. and CLPS held 100% of equity interests in CLPS SG.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On June 21, 2016, CLPS Shanghai decided to increase investment to SGD500,000 (US$372,606) and CLPS kept holding 100% of equity interests in CLPS SG.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CLPS Technology (HK) Co., Ltd.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On January 7, 2016, CLPS Shanghai invested HKD200,000 (US$25,793) to establish CLPS Technology (HK) Co., Ltd. and CLPS held 100% of equity interests in CLPS Hong Kong.</w:t>
      </w:r>
    </w:p>
    <w:p>
      <w:pPr>
        <w:spacing w:after="0" w:line="187" w:lineRule="exact"/>
        <w:rPr>
          <w:sz w:val="20"/>
          <w:szCs w:val="20"/>
          <w:color w:val="auto"/>
        </w:rPr>
      </w:pPr>
    </w:p>
    <w:p>
      <w:pPr>
        <w:ind w:firstLine="337"/>
        <w:spacing w:after="0" w:line="277" w:lineRule="auto"/>
        <w:rPr>
          <w:sz w:val="20"/>
          <w:szCs w:val="20"/>
          <w:color w:val="auto"/>
        </w:rPr>
      </w:pPr>
      <w:r>
        <w:rPr>
          <w:rFonts w:ascii="Arial" w:cs="Arial" w:eastAsia="Arial" w:hAnsi="Arial"/>
          <w:sz w:val="14"/>
          <w:szCs w:val="14"/>
          <w:color w:val="auto"/>
        </w:rPr>
        <w:t>On November 24, 2016, Zhaolong Zhang invested HKD50,000 (US$6,447) in CLPS Hong Kong, and got 20% of equity interests in CLPS Hong Kong correspondingly. CLPS Shanghai held 80% of equity interests after the investment.</w:t>
      </w:r>
    </w:p>
    <w:p>
      <w:pPr>
        <w:spacing w:after="0" w:line="133" w:lineRule="exact"/>
        <w:rPr>
          <w:sz w:val="20"/>
          <w:szCs w:val="20"/>
          <w:color w:val="auto"/>
        </w:rPr>
      </w:pPr>
    </w:p>
    <w:p>
      <w:pPr>
        <w:ind w:right="80" w:firstLine="505"/>
        <w:spacing w:after="0" w:line="264" w:lineRule="auto"/>
        <w:rPr>
          <w:sz w:val="20"/>
          <w:szCs w:val="20"/>
          <w:color w:val="auto"/>
        </w:rPr>
      </w:pPr>
      <w:r>
        <w:rPr>
          <w:rFonts w:ascii="Arial" w:cs="Arial" w:eastAsia="Arial" w:hAnsi="Arial"/>
          <w:sz w:val="14"/>
          <w:szCs w:val="14"/>
          <w:color w:val="auto"/>
        </w:rPr>
        <w:t>On December 27, 2017, the Company entered into a one-year agreement with Ascent Investor Relations LLC (“Ascent”) pursuant to which Ascent was to provide certain investor relations consulting services to the Company. In addition to the cash fee of $6,000 per month, the Company agreed to issue to Ascent a five-year common share purchase warrant to purchase 107,000 shares of the Company’s common shares.</w:t>
      </w:r>
    </w:p>
    <w:p>
      <w:pPr>
        <w:spacing w:after="0" w:line="142"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On December 1, 2017, the Company entered into a financial advisory agreement with Gear Ltd. (“Gear”) pursuant to which Gear was to provide certain due diligence support, advisory, consulting, investor relations and other related services to the Company. In addition to the cash retainer fee of RMB 400,000 (US$59,003), the Company also agreed to issue to Gear a five-year common share purchase warrant to purchase 0.7% of the number of the common shares of the Company at closing of the contemplated IPO.</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07" w:right="239" w:bottom="1440" w:gutter="0" w:footer="0" w:header="0"/>
        </w:sectPr>
      </w:pPr>
    </w:p>
    <w:bookmarkStart w:id="150" w:name="page151"/>
    <w:bookmarkEnd w:id="150"/>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33"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Exhibits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are filed herewith or incorporated by reference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660" w:type="dxa"/>
            <w:vAlign w:val="bottom"/>
            <w:gridSpan w:val="15"/>
          </w:tcPr>
          <w:p>
            <w:pPr>
              <w:spacing w:after="0"/>
              <w:rPr>
                <w:sz w:val="20"/>
                <w:szCs w:val="20"/>
                <w:color w:val="auto"/>
              </w:rPr>
            </w:pPr>
            <w:r>
              <w:rPr>
                <w:rFonts w:ascii="Arial" w:cs="Arial" w:eastAsia="Arial" w:hAnsi="Arial"/>
                <w:sz w:val="14"/>
                <w:szCs w:val="14"/>
                <w:color w:val="auto"/>
              </w:rPr>
              <w:t>Exhibit title</w:t>
            </w:r>
          </w:p>
        </w:tc>
      </w:tr>
      <w:tr>
        <w:trPr>
          <w:trHeight w:val="168"/>
        </w:trPr>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0" w:type="dxa"/>
            <w:vAlign w:val="bottom"/>
            <w:tcBorders>
              <w:top w:val="single" w:sz="8" w:color="auto"/>
            </w:tcBorders>
          </w:tcPr>
          <w:p>
            <w:pPr>
              <w:spacing w:after="0"/>
              <w:rPr>
                <w:sz w:val="14"/>
                <w:szCs w:val="14"/>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106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Form of Underwriting Agreement (*).</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Memorandum and Articles of Association</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Specimen Share Certificate</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4"/>
                <w:szCs w:val="14"/>
                <w:color w:val="auto"/>
              </w:rPr>
            </w:pPr>
          </w:p>
        </w:tc>
        <w:tc>
          <w:tcPr>
            <w:tcW w:w="106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Opinion of Ogier (*)</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Pr>
          <w:p>
            <w:pPr>
              <w:spacing w:after="0"/>
              <w:rPr>
                <w:sz w:val="14"/>
                <w:szCs w:val="14"/>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4"/>
                <w:szCs w:val="14"/>
                <w:color w:val="auto"/>
              </w:rPr>
            </w:pPr>
          </w:p>
        </w:tc>
        <w:tc>
          <w:tcPr>
            <w:tcW w:w="106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Opinion of Hansen &amp; Partners (*).</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Pr>
          <w:p>
            <w:pPr>
              <w:spacing w:after="0"/>
              <w:rPr>
                <w:sz w:val="14"/>
                <w:szCs w:val="14"/>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4"/>
                <w:szCs w:val="14"/>
                <w:color w:val="auto"/>
              </w:rPr>
            </w:pPr>
          </w:p>
        </w:tc>
        <w:tc>
          <w:tcPr>
            <w:tcW w:w="106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Opinion of Schiff Hardin LLP (*).</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2017 Equity Incentive Plan</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Form independent director agreement</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Employment Agreement between the Company and Xiao Feng Yang</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Employment Agreement between the Company and Raymond Ming Hui Lin</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Employment Agreement between the Company and Tian van Acken</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ANZ Global Services and Operations (Chengdu) Company Limited Agreement</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Master Lease Agreement - Shanghai Pudong Software Park Co., Ltd</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Form of Framework Contract for Subcontracting</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Code of Conduct and Ethics</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List of Subsidiaries of the Registrant</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Consent of Friedman LLP.</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4"/>
                <w:szCs w:val="14"/>
                <w:color w:val="auto"/>
              </w:rPr>
            </w:pPr>
          </w:p>
        </w:tc>
        <w:tc>
          <w:tcPr>
            <w:tcW w:w="106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Consent of Ogier (included in Exhibit 5.1) (*).</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Pr>
          <w:p>
            <w:pPr>
              <w:spacing w:after="0"/>
              <w:rPr>
                <w:sz w:val="14"/>
                <w:szCs w:val="14"/>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4"/>
                <w:szCs w:val="14"/>
                <w:color w:val="auto"/>
              </w:rPr>
            </w:pPr>
          </w:p>
        </w:tc>
        <w:tc>
          <w:tcPr>
            <w:tcW w:w="106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Consent of Hansen &amp; Partners (included in Exhibit 8.1) (*).</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Pr>
          <w:p>
            <w:pPr>
              <w:spacing w:after="0"/>
              <w:rPr>
                <w:sz w:val="14"/>
                <w:szCs w:val="14"/>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4"/>
                <w:szCs w:val="14"/>
                <w:color w:val="auto"/>
              </w:rPr>
            </w:pPr>
          </w:p>
        </w:tc>
        <w:tc>
          <w:tcPr>
            <w:tcW w:w="106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Consent of Schiff Hardin LLP (included in Exhibit 8.2) (*).</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rFonts w:ascii="Arial" w:cs="Arial" w:eastAsia="Arial" w:hAnsi="Arial"/>
                <w:sz w:val="14"/>
                <w:szCs w:val="14"/>
                <w:color w:val="0000EE"/>
              </w:rPr>
            </w:pPr>
            <w:hyperlink w:anchor="page153">
              <w:r>
                <w:rPr>
                  <w:rFonts w:ascii="Arial" w:cs="Arial" w:eastAsia="Arial" w:hAnsi="Arial"/>
                  <w:sz w:val="14"/>
                  <w:szCs w:val="14"/>
                  <w:color w:val="0000EE"/>
                </w:rPr>
                <w:t>Power of Attorney (included on signature page)</w:t>
              </w:r>
            </w:hyperlink>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Charter of the Audit Committee</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48"/>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12"/>
                <w:szCs w:val="12"/>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Charter of the Compensation Committee</w:t>
            </w:r>
          </w:p>
        </w:tc>
      </w:tr>
      <w:tr>
        <w:trPr>
          <w:trHeight w:val="168"/>
        </w:trPr>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0" w:type="dxa"/>
            <w:vAlign w:val="bottom"/>
            <w:tcBorders>
              <w:top w:val="single" w:sz="8" w:color="CCEEFF"/>
            </w:tcBorders>
          </w:tcPr>
          <w:p>
            <w:pPr>
              <w:spacing w:after="0"/>
              <w:rPr>
                <w:sz w:val="14"/>
                <w:szCs w:val="14"/>
                <w:color w:val="auto"/>
              </w:rPr>
            </w:pPr>
          </w:p>
        </w:tc>
      </w:tr>
      <w:tr>
        <w:trPr>
          <w:trHeight w:val="137"/>
        </w:trPr>
        <w:tc>
          <w:tcPr>
            <w:tcW w:w="7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1"/>
                <w:szCs w:val="11"/>
                <w:color w:val="auto"/>
              </w:rPr>
            </w:pPr>
          </w:p>
        </w:tc>
        <w:tc>
          <w:tcPr>
            <w:tcW w:w="10660" w:type="dxa"/>
            <w:vAlign w:val="bottom"/>
            <w:gridSpan w:val="15"/>
            <w:shd w:val="clear" w:color="auto" w:fill="CCEEFF"/>
          </w:tcPr>
          <w:p>
            <w:pPr>
              <w:spacing w:after="0" w:line="137" w:lineRule="exact"/>
              <w:rPr>
                <w:sz w:val="20"/>
                <w:szCs w:val="20"/>
                <w:color w:val="auto"/>
              </w:rPr>
            </w:pPr>
            <w:r>
              <w:rPr>
                <w:rFonts w:ascii="Arial" w:cs="Arial" w:eastAsia="Arial" w:hAnsi="Arial"/>
                <w:sz w:val="14"/>
                <w:szCs w:val="14"/>
                <w:color w:val="0000EE"/>
              </w:rPr>
              <w:t>Charter of the Nominating Committee</w:t>
            </w:r>
          </w:p>
        </w:tc>
      </w:tr>
      <w:tr>
        <w:trPr>
          <w:trHeight w:val="32"/>
        </w:trPr>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r>
    </w:tbl>
    <w:p>
      <w:pPr>
        <w:spacing w:after="0" w:line="158" w:lineRule="exact"/>
        <w:rPr>
          <w:sz w:val="20"/>
          <w:szCs w:val="20"/>
          <w:color w:val="auto"/>
        </w:rPr>
      </w:pPr>
    </w:p>
    <w:p>
      <w:pPr>
        <w:ind w:left="460" w:hanging="456"/>
        <w:spacing w:after="0"/>
        <w:tabs>
          <w:tab w:leader="none" w:pos="4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76" w:lineRule="exact"/>
        <w:rPr>
          <w:sz w:val="20"/>
          <w:szCs w:val="20"/>
          <w:color w:val="auto"/>
        </w:rPr>
      </w:pPr>
    </w:p>
    <w:p>
      <w:pPr>
        <w:ind w:left="500" w:right="9460" w:hanging="496"/>
        <w:spacing w:after="0" w:line="528" w:lineRule="auto"/>
        <w:tabs>
          <w:tab w:leader="none" w:pos="194" w:val="left"/>
        </w:tabs>
        <w:numPr>
          <w:ilvl w:val="0"/>
          <w:numId w:val="6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Financial Statement Schedules </w:t>
      </w:r>
      <w:r>
        <w:rPr>
          <w:rFonts w:ascii="Arial" w:cs="Arial" w:eastAsia="Arial" w:hAnsi="Arial"/>
          <w:sz w:val="14"/>
          <w:szCs w:val="14"/>
          <w:color w:val="auto"/>
        </w:rPr>
        <w:t>None.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207" w:right="219" w:bottom="1440" w:gutter="0" w:footer="0" w:header="0"/>
        </w:sectPr>
      </w:pPr>
    </w:p>
    <w:bookmarkStart w:id="151" w:name="page152"/>
    <w:bookmarkEnd w:id="151"/>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33"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Undertakings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undersigned registrant hereby undertakes: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176" w:lineRule="exact"/>
        <w:rPr>
          <w:sz w:val="20"/>
          <w:szCs w:val="20"/>
          <w:color w:val="auto"/>
        </w:rPr>
      </w:pPr>
    </w:p>
    <w:p>
      <w:pPr>
        <w:ind w:left="160" w:hanging="156"/>
        <w:spacing w:after="0"/>
        <w:tabs>
          <w:tab w:leader="none" w:pos="1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w:t>
      </w:r>
    </w:p>
    <w:p>
      <w:pPr>
        <w:spacing w:after="0" w:line="175" w:lineRule="exact"/>
        <w:rPr>
          <w:rFonts w:ascii="Arial" w:cs="Arial" w:eastAsia="Arial" w:hAnsi="Arial"/>
          <w:sz w:val="14"/>
          <w:szCs w:val="14"/>
          <w:color w:val="auto"/>
        </w:rPr>
      </w:pPr>
    </w:p>
    <w:p>
      <w:pPr>
        <w:jc w:val="both"/>
        <w:ind w:firstLine="4"/>
        <w:spacing w:after="0" w:line="257" w:lineRule="auto"/>
        <w:tabs>
          <w:tab w:leader="none" w:pos="204"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48" w:lineRule="exact"/>
        <w:rPr>
          <w:rFonts w:ascii="Arial" w:cs="Arial" w:eastAsia="Arial" w:hAnsi="Arial"/>
          <w:sz w:val="14"/>
          <w:szCs w:val="14"/>
          <w:color w:val="auto"/>
        </w:rPr>
      </w:pPr>
    </w:p>
    <w:p>
      <w:pPr>
        <w:ind w:right="520" w:firstLine="4"/>
        <w:spacing w:after="0" w:line="277" w:lineRule="auto"/>
        <w:tabs>
          <w:tab w:leader="none" w:pos="243"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4"/>
          <w:szCs w:val="14"/>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160" w:hanging="156"/>
        <w:spacing w:after="0"/>
        <w:tabs>
          <w:tab w:leader="none" w:pos="1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424 (§230.424 of this chapter);</w:t>
      </w:r>
    </w:p>
    <w:p>
      <w:pPr>
        <w:spacing w:after="0" w:line="175" w:lineRule="exact"/>
        <w:rPr>
          <w:rFonts w:ascii="Arial" w:cs="Arial" w:eastAsia="Arial" w:hAnsi="Arial"/>
          <w:sz w:val="14"/>
          <w:szCs w:val="14"/>
          <w:color w:val="auto"/>
        </w:rPr>
      </w:pPr>
    </w:p>
    <w:p>
      <w:pPr>
        <w:ind w:left="200" w:hanging="196"/>
        <w:spacing w:after="0"/>
        <w:tabs>
          <w:tab w:leader="none" w:pos="2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175" w:lineRule="exact"/>
        <w:rPr>
          <w:rFonts w:ascii="Arial" w:cs="Arial" w:eastAsia="Arial" w:hAnsi="Arial"/>
          <w:sz w:val="14"/>
          <w:szCs w:val="14"/>
          <w:color w:val="auto"/>
        </w:rPr>
      </w:pPr>
    </w:p>
    <w:p>
      <w:pPr>
        <w:ind w:right="160" w:firstLine="4"/>
        <w:spacing w:after="0" w:line="277" w:lineRule="auto"/>
        <w:tabs>
          <w:tab w:leader="none" w:pos="243"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3" w:lineRule="exact"/>
        <w:rPr>
          <w:rFonts w:ascii="Arial" w:cs="Arial" w:eastAsia="Arial" w:hAnsi="Arial"/>
          <w:sz w:val="14"/>
          <w:szCs w:val="14"/>
          <w:color w:val="auto"/>
        </w:rPr>
      </w:pPr>
    </w:p>
    <w:p>
      <w:pPr>
        <w:ind w:left="240" w:hanging="236"/>
        <w:spacing w:after="0"/>
        <w:tabs>
          <w:tab w:leader="none" w:pos="2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207" w:right="239" w:bottom="1440" w:gutter="0" w:footer="0" w:header="0"/>
        </w:sectPr>
      </w:pPr>
    </w:p>
    <w:bookmarkStart w:id="152" w:name="page153"/>
    <w:bookmarkEnd w:id="152"/>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0" w:lineRule="exact"/>
        <w:rPr>
          <w:sz w:val="20"/>
          <w:szCs w:val="20"/>
          <w:color w:val="auto"/>
        </w:rPr>
      </w:pPr>
    </w:p>
    <w:p>
      <w:pPr>
        <w:ind w:right="80" w:firstLine="505"/>
        <w:spacing w:after="0" w:line="317" w:lineRule="auto"/>
        <w:rPr>
          <w:sz w:val="20"/>
          <w:szCs w:val="20"/>
          <w:color w:val="auto"/>
        </w:rPr>
      </w:pPr>
      <w:r>
        <w:rPr>
          <w:rFonts w:ascii="Arial" w:cs="Arial" w:eastAsia="Arial" w:hAnsi="Arial"/>
          <w:sz w:val="13"/>
          <w:szCs w:val="13"/>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People’s Republic of China, on March 27, 2018.</w:t>
      </w:r>
    </w:p>
    <w:p>
      <w:pPr>
        <w:spacing w:after="0" w:line="106"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CLPS Incorporation</w:t>
      </w:r>
    </w:p>
    <w:p>
      <w:pPr>
        <w:spacing w:after="0" w:line="180" w:lineRule="exact"/>
        <w:rPr>
          <w:sz w:val="20"/>
          <w:szCs w:val="20"/>
          <w:color w:val="auto"/>
        </w:rPr>
      </w:pPr>
    </w:p>
    <w:tbl>
      <w:tblPr>
        <w:tblLayout w:type="fixed"/>
        <w:tblInd w:w="6880" w:type="dxa"/>
        <w:tblCellMar>
          <w:top w:w="0" w:type="dxa"/>
          <w:left w:w="0" w:type="dxa"/>
          <w:bottom w:w="0" w:type="dxa"/>
          <w:right w:w="0" w:type="dxa"/>
        </w:tblCellMar>
      </w:tblP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Raymond Ming Hui Lin</w:t>
            </w:r>
          </w:p>
        </w:tc>
      </w:tr>
      <w:tr>
        <w:trPr>
          <w:trHeight w:val="154"/>
        </w:trPr>
        <w:tc>
          <w:tcPr>
            <w:tcW w:w="580" w:type="dxa"/>
            <w:vAlign w:val="bottom"/>
          </w:tcPr>
          <w:p>
            <w:pPr>
              <w:spacing w:after="0" w:line="154" w:lineRule="exact"/>
              <w:rPr>
                <w:sz w:val="20"/>
                <w:szCs w:val="20"/>
                <w:color w:val="auto"/>
              </w:rPr>
            </w:pPr>
            <w:r>
              <w:rPr>
                <w:rFonts w:ascii="Arial" w:cs="Arial" w:eastAsia="Arial" w:hAnsi="Arial"/>
                <w:sz w:val="14"/>
                <w:szCs w:val="14"/>
                <w:color w:val="auto"/>
              </w:rPr>
              <w:t>Name:</w:t>
            </w:r>
          </w:p>
        </w:tc>
        <w:tc>
          <w:tcPr>
            <w:tcW w:w="4000" w:type="dxa"/>
            <w:vAlign w:val="bottom"/>
          </w:tcPr>
          <w:p>
            <w:pPr>
              <w:spacing w:after="0" w:line="154" w:lineRule="exact"/>
              <w:rPr>
                <w:sz w:val="20"/>
                <w:szCs w:val="20"/>
                <w:color w:val="auto"/>
              </w:rPr>
            </w:pPr>
            <w:r>
              <w:rPr>
                <w:rFonts w:ascii="Arial" w:cs="Arial" w:eastAsia="Arial" w:hAnsi="Arial"/>
                <w:sz w:val="14"/>
                <w:szCs w:val="14"/>
                <w:b w:val="1"/>
                <w:bCs w:val="1"/>
                <w:color w:val="auto"/>
              </w:rPr>
              <w:t>Raymond Ming Hui Lin</w:t>
            </w:r>
          </w:p>
        </w:tc>
      </w:tr>
      <w:tr>
        <w:trPr>
          <w:trHeight w:val="168"/>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spacing w:after="0"/>
              <w:rPr>
                <w:sz w:val="20"/>
                <w:szCs w:val="20"/>
                <w:color w:val="auto"/>
              </w:rPr>
            </w:pPr>
            <w:r>
              <w:rPr>
                <w:rFonts w:ascii="Arial" w:cs="Arial" w:eastAsia="Arial" w:hAnsi="Arial"/>
                <w:sz w:val="14"/>
                <w:szCs w:val="14"/>
                <w:b w:val="1"/>
                <w:bCs w:val="1"/>
                <w:color w:val="auto"/>
              </w:rPr>
              <w:t>Chief Executive Officer</w:t>
            </w:r>
          </w:p>
        </w:tc>
      </w:tr>
      <w:tr>
        <w:trPr>
          <w:trHeight w:val="183"/>
        </w:trPr>
        <w:tc>
          <w:tcPr>
            <w:tcW w:w="58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4"/>
                <w:szCs w:val="14"/>
                <w:b w:val="1"/>
                <w:bCs w:val="1"/>
                <w:color w:val="auto"/>
              </w:rPr>
              <w:t>(Principal Executive Officer)</w:t>
            </w:r>
          </w:p>
        </w:tc>
      </w:tr>
      <w:tr>
        <w:trPr>
          <w:trHeight w:val="337"/>
        </w:trPr>
        <w:tc>
          <w:tcPr>
            <w:tcW w:w="580" w:type="dxa"/>
            <w:vAlign w:val="bottom"/>
          </w:tcPr>
          <w:p>
            <w:pPr>
              <w:spacing w:after="0"/>
              <w:rPr>
                <w:sz w:val="20"/>
                <w:szCs w:val="20"/>
                <w:color w:val="auto"/>
              </w:rPr>
            </w:pPr>
            <w:r>
              <w:rPr>
                <w:rFonts w:ascii="Arial" w:cs="Arial" w:eastAsia="Arial" w:hAnsi="Arial"/>
                <w:sz w:val="14"/>
                <w:szCs w:val="14"/>
                <w:color w:val="auto"/>
              </w:rPr>
              <w:t>Dated:</w:t>
            </w:r>
          </w:p>
        </w:tc>
        <w:tc>
          <w:tcPr>
            <w:tcW w:w="4000" w:type="dxa"/>
            <w:vAlign w:val="bottom"/>
          </w:tcPr>
          <w:p>
            <w:pPr>
              <w:spacing w:after="0"/>
              <w:rPr>
                <w:sz w:val="20"/>
                <w:szCs w:val="20"/>
                <w:color w:val="auto"/>
              </w:rPr>
            </w:pPr>
            <w:r>
              <w:rPr>
                <w:rFonts w:ascii="Arial" w:cs="Arial" w:eastAsia="Arial" w:hAnsi="Arial"/>
                <w:sz w:val="14"/>
                <w:szCs w:val="14"/>
                <w:color w:val="auto"/>
              </w:rPr>
              <w:t>March 27, 2018</w:t>
            </w:r>
          </w:p>
        </w:tc>
      </w:tr>
    </w:tbl>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each of Raymond Ming Hui Lin and Xiao Feng Yang as an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by the following persons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3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 Xiao Feng Yang</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Chairman, President and Director</w:t>
            </w:r>
          </w:p>
        </w:tc>
        <w:tc>
          <w:tcPr>
            <w:tcW w:w="1820" w:type="dxa"/>
            <w:vAlign w:val="bottom"/>
          </w:tcPr>
          <w:p>
            <w:pPr>
              <w:jc w:val="center"/>
              <w:spacing w:after="0"/>
              <w:rPr>
                <w:sz w:val="20"/>
                <w:szCs w:val="20"/>
                <w:color w:val="auto"/>
              </w:rPr>
            </w:pPr>
            <w:r>
              <w:rPr>
                <w:rFonts w:ascii="Arial" w:cs="Arial" w:eastAsia="Arial" w:hAnsi="Arial"/>
                <w:sz w:val="14"/>
                <w:szCs w:val="14"/>
                <w:color w:val="auto"/>
                <w:w w:val="92"/>
              </w:rPr>
              <w:t>March 27, 2018</w:t>
            </w:r>
          </w:p>
        </w:tc>
        <w:tc>
          <w:tcPr>
            <w:tcW w:w="0" w:type="dxa"/>
            <w:vAlign w:val="bottom"/>
          </w:tcPr>
          <w:p>
            <w:pPr>
              <w:spacing w:after="0"/>
              <w:rPr>
                <w:sz w:val="1"/>
                <w:szCs w:val="1"/>
                <w:color w:val="auto"/>
              </w:rPr>
            </w:pPr>
          </w:p>
        </w:tc>
      </w:tr>
      <w:tr>
        <w:trPr>
          <w:trHeight w:val="183"/>
        </w:trPr>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1"/>
              </w:rPr>
              <w:t>Xiao Feng Yang</w:t>
            </w:r>
          </w:p>
        </w:tc>
        <w:tc>
          <w:tcPr>
            <w:tcW w:w="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600" w:type="dxa"/>
            <w:vAlign w:val="bottom"/>
            <w:vMerge w:val="restart"/>
          </w:tcPr>
          <w:p>
            <w:pPr>
              <w:jc w:val="center"/>
              <w:spacing w:after="0"/>
              <w:rPr>
                <w:sz w:val="20"/>
                <w:szCs w:val="20"/>
                <w:color w:val="auto"/>
              </w:rPr>
            </w:pPr>
            <w:r>
              <w:rPr>
                <w:rFonts w:ascii="Arial" w:cs="Arial" w:eastAsia="Arial" w:hAnsi="Arial"/>
                <w:sz w:val="14"/>
                <w:szCs w:val="14"/>
                <w:color w:val="auto"/>
                <w:w w:val="94"/>
              </w:rPr>
              <w:t>/s/ Raymond Ming Hui Lin</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Chief Executive Officer and Director</w:t>
            </w:r>
          </w:p>
        </w:tc>
        <w:tc>
          <w:tcPr>
            <w:tcW w:w="1820" w:type="dxa"/>
            <w:vAlign w:val="bottom"/>
          </w:tcPr>
          <w:p>
            <w:pPr>
              <w:jc w:val="center"/>
              <w:spacing w:after="0"/>
              <w:rPr>
                <w:sz w:val="20"/>
                <w:szCs w:val="20"/>
                <w:color w:val="auto"/>
              </w:rPr>
            </w:pPr>
            <w:r>
              <w:rPr>
                <w:rFonts w:ascii="Arial" w:cs="Arial" w:eastAsia="Arial" w:hAnsi="Arial"/>
                <w:sz w:val="14"/>
                <w:szCs w:val="14"/>
                <w:color w:val="auto"/>
                <w:w w:val="92"/>
              </w:rPr>
              <w:t>March 27, 2018</w:t>
            </w:r>
          </w:p>
        </w:tc>
        <w:tc>
          <w:tcPr>
            <w:tcW w:w="0" w:type="dxa"/>
            <w:vAlign w:val="bottom"/>
          </w:tcPr>
          <w:p>
            <w:pPr>
              <w:spacing w:after="0"/>
              <w:rPr>
                <w:sz w:val="1"/>
                <w:szCs w:val="1"/>
                <w:color w:val="auto"/>
              </w:rPr>
            </w:pPr>
          </w:p>
        </w:tc>
      </w:tr>
      <w:tr>
        <w:trPr>
          <w:trHeight w:val="175"/>
        </w:trPr>
        <w:tc>
          <w:tcPr>
            <w:tcW w:w="4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(Principal Executive Officer)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4"/>
              </w:rPr>
              <w:t>Raymond Ming Hui Lin</w:t>
            </w:r>
          </w:p>
        </w:tc>
        <w:tc>
          <w:tcPr>
            <w:tcW w:w="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600" w:type="dxa"/>
            <w:vAlign w:val="bottom"/>
            <w:vMerge w:val="restart"/>
          </w:tcPr>
          <w:p>
            <w:pPr>
              <w:jc w:val="center"/>
              <w:spacing w:after="0"/>
              <w:rPr>
                <w:sz w:val="20"/>
                <w:szCs w:val="20"/>
                <w:color w:val="auto"/>
              </w:rPr>
            </w:pPr>
            <w:r>
              <w:rPr>
                <w:rFonts w:ascii="Arial" w:cs="Arial" w:eastAsia="Arial" w:hAnsi="Arial"/>
                <w:sz w:val="14"/>
                <w:szCs w:val="14"/>
                <w:color w:val="auto"/>
                <w:w w:val="92"/>
              </w:rPr>
              <w:t>/s/ Tian van Acken</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4"/>
                <w:szCs w:val="14"/>
                <w:color w:val="auto"/>
                <w:w w:val="92"/>
              </w:rPr>
              <w:t>March 27, 2018</w:t>
            </w:r>
          </w:p>
        </w:tc>
        <w:tc>
          <w:tcPr>
            <w:tcW w:w="0" w:type="dxa"/>
            <w:vAlign w:val="bottom"/>
          </w:tcPr>
          <w:p>
            <w:pPr>
              <w:spacing w:after="0"/>
              <w:rPr>
                <w:sz w:val="1"/>
                <w:szCs w:val="1"/>
                <w:color w:val="auto"/>
              </w:rPr>
            </w:pPr>
          </w:p>
        </w:tc>
      </w:tr>
      <w:tr>
        <w:trPr>
          <w:trHeight w:val="175"/>
        </w:trPr>
        <w:tc>
          <w:tcPr>
            <w:tcW w:w="4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(Principal Accounting and Financial Officer)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3"/>
              </w:rPr>
              <w:t>Tian van Acken</w:t>
            </w:r>
          </w:p>
        </w:tc>
        <w:tc>
          <w:tcPr>
            <w:tcW w:w="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 Jin He Shao</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4"/>
                <w:szCs w:val="14"/>
                <w:color w:val="auto"/>
                <w:w w:val="92"/>
              </w:rPr>
              <w:t>March 27, 2018</w:t>
            </w:r>
          </w:p>
        </w:tc>
        <w:tc>
          <w:tcPr>
            <w:tcW w:w="0" w:type="dxa"/>
            <w:vAlign w:val="bottom"/>
          </w:tcPr>
          <w:p>
            <w:pPr>
              <w:spacing w:after="0"/>
              <w:rPr>
                <w:sz w:val="1"/>
                <w:szCs w:val="1"/>
                <w:color w:val="auto"/>
              </w:rPr>
            </w:pPr>
          </w:p>
        </w:tc>
      </w:tr>
      <w:tr>
        <w:trPr>
          <w:trHeight w:val="183"/>
        </w:trPr>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89"/>
              </w:rPr>
              <w:t>Jin He Shao</w:t>
            </w:r>
          </w:p>
        </w:tc>
        <w:tc>
          <w:tcPr>
            <w:tcW w:w="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Kewei Huang</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4"/>
                <w:szCs w:val="14"/>
                <w:color w:val="auto"/>
                <w:w w:val="92"/>
              </w:rPr>
              <w:t>March 27, 2018</w:t>
            </w:r>
          </w:p>
        </w:tc>
        <w:tc>
          <w:tcPr>
            <w:tcW w:w="0" w:type="dxa"/>
            <w:vAlign w:val="bottom"/>
          </w:tcPr>
          <w:p>
            <w:pPr>
              <w:spacing w:after="0"/>
              <w:rPr>
                <w:sz w:val="1"/>
                <w:szCs w:val="1"/>
                <w:color w:val="auto"/>
              </w:rPr>
            </w:pPr>
          </w:p>
        </w:tc>
      </w:tr>
      <w:tr>
        <w:trPr>
          <w:trHeight w:val="183"/>
        </w:trPr>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0"/>
              </w:rPr>
              <w:t>Kewei Huang</w:t>
            </w:r>
          </w:p>
        </w:tc>
        <w:tc>
          <w:tcPr>
            <w:tcW w:w="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Kathryn Amooi</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4"/>
                <w:szCs w:val="14"/>
                <w:color w:val="auto"/>
                <w:w w:val="92"/>
              </w:rPr>
              <w:t>March 27, 2018</w:t>
            </w:r>
          </w:p>
        </w:tc>
        <w:tc>
          <w:tcPr>
            <w:tcW w:w="0" w:type="dxa"/>
            <w:vAlign w:val="bottom"/>
          </w:tcPr>
          <w:p>
            <w:pPr>
              <w:spacing w:after="0"/>
              <w:rPr>
                <w:sz w:val="1"/>
                <w:szCs w:val="1"/>
                <w:color w:val="auto"/>
              </w:rPr>
            </w:pPr>
          </w:p>
        </w:tc>
      </w:tr>
      <w:tr>
        <w:trPr>
          <w:trHeight w:val="183"/>
        </w:trPr>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5"/>
              </w:rPr>
              <w:t>Kathryn Amooi</w:t>
            </w:r>
          </w:p>
        </w:tc>
        <w:tc>
          <w:tcPr>
            <w:tcW w:w="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4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II-6</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07" w:right="219" w:bottom="1440" w:gutter="0" w:footer="0" w:header="0"/>
        </w:sectPr>
      </w:pPr>
    </w:p>
    <w:bookmarkStart w:id="153" w:name="page154"/>
    <w:bookmarkEnd w:id="153"/>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SIGNATURE OF AUTHORIZED REPRESENTATIVE IN THE UNITED STATES</w:t>
      </w:r>
    </w:p>
    <w:p>
      <w:pPr>
        <w:spacing w:after="0" w:line="18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Pursuant to the Securities Act of 1933, the undersigned, the duly authorized representative in the United States of the Company has signed this registration statement or amendment thereto in New York on March 27, 2018.</w:t>
      </w:r>
    </w:p>
    <w:p>
      <w:pPr>
        <w:spacing w:after="0" w:line="129"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Authorized U.S. Representative</w:t>
      </w:r>
    </w:p>
    <w:p>
      <w:pPr>
        <w:spacing w:after="0" w:line="2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VCorp Services, LLC</w:t>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25 Robert Pitt Drive, Suite 204</w:t>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Monsey, NY 10952</w:t>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Telephone: (888) 528-2677</w:t>
      </w:r>
    </w:p>
    <w:p>
      <w:pPr>
        <w:spacing w:after="0" w:line="165" w:lineRule="exact"/>
        <w:rPr>
          <w:sz w:val="20"/>
          <w:szCs w:val="20"/>
          <w:color w:val="auto"/>
        </w:rPr>
      </w:pPr>
    </w:p>
    <w:p>
      <w:pPr>
        <w:ind w:left="6880"/>
        <w:spacing w:after="0"/>
        <w:tabs>
          <w:tab w:leader="none" w:pos="73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Isaac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18415</wp:posOffset>
            </wp:positionV>
            <wp:extent cx="2619375"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19375" cy="13335"/>
                    </a:xfrm>
                    <a:prstGeom prst="rect">
                      <a:avLst/>
                    </a:prstGeom>
                    <a:noFill/>
                  </pic:spPr>
                </pic:pic>
              </a:graphicData>
            </a:graphic>
          </wp:anchor>
        </w:drawing>
      </w:r>
    </w:p>
    <w:p>
      <w:pPr>
        <w:spacing w:after="0" w:line="19"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Name: Isaac Muller</w:t>
      </w:r>
    </w:p>
    <w:p>
      <w:pPr>
        <w:spacing w:after="0" w:line="18"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Title: Authorized Person</w:t>
      </w:r>
    </w:p>
    <w:p>
      <w:pPr>
        <w:spacing w:after="0" w:line="334"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180"/>
          </w:cols>
          <w:pgMar w:left="220" w:top="207" w:right="4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3.1</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Number: 322728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CAYMAN ISLANDS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COMPANIES LAW (AS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MEMORANDUM AND ARTICLES OF ASSOCIATION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(adopted by special resolutions dated 7 December 2017)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5" w:name="page156"/>
    <w:bookmarkEnd w:id="155"/>
    <w:p>
      <w:pPr>
        <w:jc w:val="center"/>
        <w:ind w:right="-195"/>
        <w:spacing w:after="0"/>
        <w:rPr>
          <w:sz w:val="20"/>
          <w:szCs w:val="20"/>
          <w:color w:val="auto"/>
        </w:rPr>
      </w:pPr>
      <w:r>
        <w:rPr>
          <w:rFonts w:ascii="Arial" w:cs="Arial" w:eastAsia="Arial" w:hAnsi="Arial"/>
          <w:sz w:val="14"/>
          <w:szCs w:val="14"/>
          <w:b w:val="1"/>
          <w:bCs w:val="1"/>
          <w:color w:val="auto"/>
        </w:rPr>
        <w:t>COMPANIES LAW (REVISED)</w:t>
      </w:r>
    </w:p>
    <w:p>
      <w:pPr>
        <w:spacing w:after="0" w:line="176" w:lineRule="exact"/>
        <w:rPr>
          <w:sz w:val="20"/>
          <w:szCs w:val="20"/>
          <w:color w:val="auto"/>
        </w:rPr>
      </w:pPr>
    </w:p>
    <w:p>
      <w:pPr>
        <w:jc w:val="center"/>
        <w:ind w:right="-195"/>
        <w:spacing w:after="0"/>
        <w:rPr>
          <w:sz w:val="20"/>
          <w:szCs w:val="20"/>
          <w:color w:val="auto"/>
        </w:rPr>
      </w:pPr>
      <w:r>
        <w:rPr>
          <w:rFonts w:ascii="Arial" w:cs="Arial" w:eastAsia="Arial" w:hAnsi="Arial"/>
          <w:sz w:val="14"/>
          <w:szCs w:val="14"/>
          <w:b w:val="1"/>
          <w:bCs w:val="1"/>
          <w:color w:val="auto"/>
        </w:rPr>
        <w:t>COMPANY LIMITED BY SHARES</w:t>
      </w:r>
    </w:p>
    <w:p>
      <w:pPr>
        <w:spacing w:after="0" w:line="176" w:lineRule="exact"/>
        <w:rPr>
          <w:sz w:val="20"/>
          <w:szCs w:val="20"/>
          <w:color w:val="auto"/>
        </w:rPr>
      </w:pPr>
    </w:p>
    <w:p>
      <w:pPr>
        <w:jc w:val="center"/>
        <w:ind w:right="-195"/>
        <w:spacing w:after="0"/>
        <w:rPr>
          <w:sz w:val="20"/>
          <w:szCs w:val="20"/>
          <w:color w:val="auto"/>
        </w:rPr>
      </w:pPr>
      <w:r>
        <w:rPr>
          <w:rFonts w:ascii="Arial" w:cs="Arial" w:eastAsia="Arial" w:hAnsi="Arial"/>
          <w:sz w:val="14"/>
          <w:szCs w:val="14"/>
          <w:b w:val="1"/>
          <w:bCs w:val="1"/>
          <w:color w:val="auto"/>
        </w:rPr>
        <w:t>AMENDED AND RESTATED MEMORANDUM OF ASSOCIATION</w:t>
      </w:r>
    </w:p>
    <w:p>
      <w:pPr>
        <w:spacing w:after="0" w:line="176" w:lineRule="exact"/>
        <w:rPr>
          <w:sz w:val="20"/>
          <w:szCs w:val="20"/>
          <w:color w:val="auto"/>
        </w:rPr>
      </w:pPr>
    </w:p>
    <w:p>
      <w:pPr>
        <w:jc w:val="center"/>
        <w:ind w:right="-195"/>
        <w:spacing w:after="0"/>
        <w:rPr>
          <w:sz w:val="20"/>
          <w:szCs w:val="20"/>
          <w:color w:val="auto"/>
        </w:rPr>
      </w:pPr>
      <w:r>
        <w:rPr>
          <w:rFonts w:ascii="Arial" w:cs="Arial" w:eastAsia="Arial" w:hAnsi="Arial"/>
          <w:sz w:val="14"/>
          <w:szCs w:val="14"/>
          <w:b w:val="1"/>
          <w:bCs w:val="1"/>
          <w:color w:val="auto"/>
        </w:rPr>
        <w:t>OF</w:t>
      </w:r>
    </w:p>
    <w:p>
      <w:pPr>
        <w:spacing w:after="0" w:line="176" w:lineRule="exact"/>
        <w:rPr>
          <w:sz w:val="20"/>
          <w:szCs w:val="20"/>
          <w:color w:val="auto"/>
        </w:rPr>
      </w:pPr>
    </w:p>
    <w:p>
      <w:pPr>
        <w:jc w:val="center"/>
        <w:ind w:right="-195"/>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center"/>
        <w:ind w:right="-195"/>
        <w:spacing w:after="0"/>
        <w:rPr>
          <w:sz w:val="20"/>
          <w:szCs w:val="20"/>
          <w:color w:val="auto"/>
        </w:rPr>
      </w:pPr>
      <w:r>
        <w:rPr>
          <w:rFonts w:ascii="Arial" w:cs="Arial" w:eastAsia="Arial" w:hAnsi="Arial"/>
          <w:sz w:val="14"/>
          <w:szCs w:val="14"/>
          <w:b w:val="1"/>
          <w:bCs w:val="1"/>
          <w:color w:val="auto"/>
        </w:rPr>
        <w:t>(adopted by special resolution dated 7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277100" cy="13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356" w:lineRule="exact"/>
        <w:rPr>
          <w:sz w:val="20"/>
          <w:szCs w:val="20"/>
          <w:color w:val="auto"/>
        </w:rPr>
      </w:pPr>
    </w:p>
    <w:p>
      <w:pPr>
        <w:ind w:left="496" w:hanging="496"/>
        <w:spacing w:after="0"/>
        <w:tabs>
          <w:tab w:leader="none" w:pos="496"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The name of the Company is </w:t>
      </w:r>
      <w:r>
        <w:rPr>
          <w:rFonts w:ascii="Arial" w:cs="Arial" w:eastAsia="Arial" w:hAnsi="Arial"/>
          <w:sz w:val="14"/>
          <w:szCs w:val="14"/>
          <w:b w:val="1"/>
          <w:bCs w:val="1"/>
          <w:color w:val="auto"/>
        </w:rPr>
        <w:t>CLPS INCORPORATION</w:t>
      </w:r>
      <w:r>
        <w:rPr>
          <w:rFonts w:ascii="Arial" w:cs="Arial" w:eastAsia="Arial" w:hAnsi="Arial"/>
          <w:sz w:val="14"/>
          <w:szCs w:val="14"/>
          <w:color w:val="auto"/>
        </w:rPr>
        <w:t>.</w:t>
      </w:r>
    </w:p>
    <w:p>
      <w:pPr>
        <w:spacing w:after="0" w:line="180" w:lineRule="exact"/>
        <w:rPr>
          <w:sz w:val="20"/>
          <w:szCs w:val="20"/>
          <w:color w:val="auto"/>
        </w:rPr>
      </w:pPr>
    </w:p>
    <w:p>
      <w:pPr>
        <w:ind w:left="496" w:hanging="496"/>
        <w:spacing w:after="0" w:line="277"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Company’s registered office will be situated at the office of Ogier Global (Cayman) Limited, 89 Nexus Way, Camana Bay, Grand Cayman KY1-9009, Grand Cayman KY1-9009, Cayman Islands or at such other place in the Cayman Islands as the directors may at any time decide.</w:t>
      </w:r>
    </w:p>
    <w:p>
      <w:pPr>
        <w:spacing w:after="0" w:line="133" w:lineRule="exact"/>
        <w:rPr>
          <w:sz w:val="20"/>
          <w:szCs w:val="20"/>
          <w:color w:val="auto"/>
        </w:rPr>
      </w:pPr>
    </w:p>
    <w:p>
      <w:pPr>
        <w:ind w:left="496" w:right="20" w:hanging="496"/>
        <w:spacing w:after="0" w:line="277"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Company’s objects are unrestricted. As provided by section 7(4) of the Companies Law (Revised), the Company has full power and authority to carry out any object not prohibited by any law of the Cayman Islands.</w:t>
      </w:r>
    </w:p>
    <w:p>
      <w:pPr>
        <w:spacing w:after="0" w:line="133" w:lineRule="exact"/>
        <w:rPr>
          <w:sz w:val="20"/>
          <w:szCs w:val="20"/>
          <w:color w:val="auto"/>
        </w:rPr>
      </w:pPr>
    </w:p>
    <w:p>
      <w:pPr>
        <w:ind w:left="496" w:right="320" w:hanging="496"/>
        <w:spacing w:after="0" w:line="277" w:lineRule="auto"/>
        <w:tabs>
          <w:tab w:leader="none" w:pos="496"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133" w:lineRule="exact"/>
        <w:rPr>
          <w:sz w:val="20"/>
          <w:szCs w:val="20"/>
          <w:color w:val="auto"/>
        </w:rPr>
      </w:pPr>
    </w:p>
    <w:p>
      <w:pPr>
        <w:ind w:left="496" w:hanging="496"/>
        <w:spacing w:after="0"/>
        <w:tabs>
          <w:tab w:leader="none" w:pos="496"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Nothing in any of the preceding paragraphs permits the Company to carry on any of the following businesses without being duly licensed, namely:</w:t>
      </w:r>
    </w:p>
    <w:p>
      <w:pPr>
        <w:spacing w:after="0" w:line="175" w:lineRule="exact"/>
        <w:rPr>
          <w:rFonts w:ascii="Arial" w:cs="Arial" w:eastAsia="Arial" w:hAnsi="Arial"/>
          <w:sz w:val="14"/>
          <w:szCs w:val="14"/>
          <w:color w:val="auto"/>
        </w:rPr>
      </w:pPr>
    </w:p>
    <w:p>
      <w:pPr>
        <w:ind w:left="1016" w:hanging="511"/>
        <w:spacing w:after="0"/>
        <w:tabs>
          <w:tab w:leader="none" w:pos="1016" w:val="left"/>
        </w:tabs>
        <w:numPr>
          <w:ilvl w:val="1"/>
          <w:numId w:val="76"/>
        </w:numPr>
        <w:rPr>
          <w:rFonts w:ascii="Arial" w:cs="Arial" w:eastAsia="Arial" w:hAnsi="Arial"/>
          <w:sz w:val="14"/>
          <w:szCs w:val="14"/>
          <w:color w:val="auto"/>
        </w:rPr>
      </w:pPr>
      <w:r>
        <w:rPr>
          <w:rFonts w:ascii="Arial" w:cs="Arial" w:eastAsia="Arial" w:hAnsi="Arial"/>
          <w:sz w:val="14"/>
          <w:szCs w:val="14"/>
          <w:color w:val="auto"/>
        </w:rPr>
        <w:t>the business of a bank or trust company without being licensed in that behalf under the Banks and Trust Companies Law (Revised); or</w:t>
      </w:r>
    </w:p>
    <w:p>
      <w:pPr>
        <w:spacing w:after="0" w:line="175" w:lineRule="exact"/>
        <w:rPr>
          <w:rFonts w:ascii="Arial" w:cs="Arial" w:eastAsia="Arial" w:hAnsi="Arial"/>
          <w:sz w:val="14"/>
          <w:szCs w:val="14"/>
          <w:color w:val="auto"/>
        </w:rPr>
      </w:pPr>
    </w:p>
    <w:p>
      <w:pPr>
        <w:ind w:left="1016" w:right="40" w:hanging="511"/>
        <w:spacing w:after="0" w:line="277" w:lineRule="auto"/>
        <w:tabs>
          <w:tab w:leader="none" w:pos="1016" w:val="left"/>
        </w:tabs>
        <w:numPr>
          <w:ilvl w:val="1"/>
          <w:numId w:val="76"/>
        </w:numPr>
        <w:rPr>
          <w:rFonts w:ascii="Arial" w:cs="Arial" w:eastAsia="Arial" w:hAnsi="Arial"/>
          <w:sz w:val="14"/>
          <w:szCs w:val="14"/>
          <w:color w:val="auto"/>
        </w:rPr>
      </w:pPr>
      <w:r>
        <w:rPr>
          <w:rFonts w:ascii="Arial" w:cs="Arial" w:eastAsia="Arial" w:hAnsi="Arial"/>
          <w:sz w:val="14"/>
          <w:szCs w:val="14"/>
          <w:color w:val="auto"/>
        </w:rPr>
        <w:t>insurance business from within the Cayman Islands or the business of an insurance manager, agent, sub-agent or broker without being licensed in that behalf under the Insurance Law (Revised);or</w:t>
      </w:r>
    </w:p>
    <w:p>
      <w:pPr>
        <w:spacing w:after="0" w:line="133" w:lineRule="exact"/>
        <w:rPr>
          <w:rFonts w:ascii="Arial" w:cs="Arial" w:eastAsia="Arial" w:hAnsi="Arial"/>
          <w:sz w:val="14"/>
          <w:szCs w:val="14"/>
          <w:color w:val="auto"/>
        </w:rPr>
      </w:pPr>
    </w:p>
    <w:p>
      <w:pPr>
        <w:ind w:left="1016" w:hanging="511"/>
        <w:spacing w:after="0"/>
        <w:tabs>
          <w:tab w:leader="none" w:pos="1016" w:val="left"/>
        </w:tabs>
        <w:numPr>
          <w:ilvl w:val="1"/>
          <w:numId w:val="76"/>
        </w:numPr>
        <w:rPr>
          <w:rFonts w:ascii="Arial" w:cs="Arial" w:eastAsia="Arial" w:hAnsi="Arial"/>
          <w:sz w:val="14"/>
          <w:szCs w:val="14"/>
          <w:color w:val="auto"/>
        </w:rPr>
      </w:pPr>
      <w:r>
        <w:rPr>
          <w:rFonts w:ascii="Arial" w:cs="Arial" w:eastAsia="Arial" w:hAnsi="Arial"/>
          <w:sz w:val="14"/>
          <w:szCs w:val="14"/>
          <w:color w:val="auto"/>
        </w:rPr>
        <w:t>the business of company management without being licensed in that behalf under the Companies Management Law (Revised).</w:t>
      </w:r>
    </w:p>
    <w:p>
      <w:pPr>
        <w:spacing w:after="0" w:line="176" w:lineRule="exact"/>
        <w:rPr>
          <w:sz w:val="20"/>
          <w:szCs w:val="20"/>
          <w:color w:val="auto"/>
        </w:rPr>
      </w:pPr>
    </w:p>
    <w:p>
      <w:pPr>
        <w:ind w:left="496" w:right="20" w:hanging="496"/>
        <w:spacing w:after="0" w:line="364" w:lineRule="auto"/>
        <w:tabs>
          <w:tab w:leader="none" w:pos="496"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255" w:lineRule="exact"/>
        <w:rPr>
          <w:sz w:val="20"/>
          <w:szCs w:val="20"/>
          <w:color w:val="auto"/>
        </w:rPr>
      </w:pPr>
    </w:p>
    <w:p>
      <w:pPr>
        <w:jc w:val="center"/>
        <w:ind w:right="-215"/>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256"/>
          </w:cols>
          <w:pgMar w:left="224" w:top="777" w:right="419" w:bottom="1440" w:gutter="0" w:footer="0" w:header="0"/>
        </w:sectPr>
      </w:pPr>
    </w:p>
    <w:bookmarkStart w:id="156" w:name="page157"/>
    <w:bookmarkEnd w:id="156"/>
    <w:p>
      <w:pPr>
        <w:ind w:left="496" w:hanging="496"/>
        <w:spacing w:after="0"/>
        <w:tabs>
          <w:tab w:leader="none" w:pos="496"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Company is a company limited by shares and accordingly the liability of each member is limited to the amount (if any) unpaid on that member's shares.</w:t>
      </w:r>
    </w:p>
    <w:p>
      <w:pPr>
        <w:spacing w:after="0" w:line="176" w:lineRule="exact"/>
        <w:rPr>
          <w:sz w:val="20"/>
          <w:szCs w:val="20"/>
          <w:color w:val="auto"/>
        </w:rPr>
      </w:pPr>
    </w:p>
    <w:p>
      <w:pPr>
        <w:ind w:left="496" w:hanging="496"/>
        <w:spacing w:after="0" w:line="317" w:lineRule="auto"/>
        <w:tabs>
          <w:tab w:leader="none" w:pos="496"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share capital of the Company is US$10,000 divided into 100,000,000 shares of US$0.0001 par value each in accordance with Article 2.3 of the Articles of Association of the Company. However, subject to the Companies Law (Revised) and the Company’s articles of association, the Company has power to do any one or more of the following:</w:t>
      </w:r>
    </w:p>
    <w:p>
      <w:pPr>
        <w:spacing w:after="0" w:line="110" w:lineRule="exact"/>
        <w:rPr>
          <w:rFonts w:ascii="Arial" w:cs="Arial" w:eastAsia="Arial" w:hAnsi="Arial"/>
          <w:sz w:val="13"/>
          <w:szCs w:val="13"/>
          <w:color w:val="auto"/>
        </w:rPr>
      </w:pPr>
    </w:p>
    <w:p>
      <w:pPr>
        <w:ind w:left="1016" w:hanging="511"/>
        <w:spacing w:after="0"/>
        <w:tabs>
          <w:tab w:leader="none" w:pos="1016" w:val="left"/>
        </w:tabs>
        <w:numPr>
          <w:ilvl w:val="1"/>
          <w:numId w:val="79"/>
        </w:numPr>
        <w:rPr>
          <w:rFonts w:ascii="Arial" w:cs="Arial" w:eastAsia="Arial" w:hAnsi="Arial"/>
          <w:sz w:val="14"/>
          <w:szCs w:val="14"/>
          <w:color w:val="auto"/>
        </w:rPr>
      </w:pPr>
      <w:r>
        <w:rPr>
          <w:rFonts w:ascii="Arial" w:cs="Arial" w:eastAsia="Arial" w:hAnsi="Arial"/>
          <w:sz w:val="14"/>
          <w:szCs w:val="14"/>
          <w:color w:val="auto"/>
        </w:rPr>
        <w:t>to redeem or repurchase any of its shares; and</w:t>
      </w:r>
    </w:p>
    <w:p>
      <w:pPr>
        <w:spacing w:after="0" w:line="175" w:lineRule="exact"/>
        <w:rPr>
          <w:rFonts w:ascii="Arial" w:cs="Arial" w:eastAsia="Arial" w:hAnsi="Arial"/>
          <w:sz w:val="14"/>
          <w:szCs w:val="14"/>
          <w:color w:val="auto"/>
        </w:rPr>
      </w:pPr>
    </w:p>
    <w:p>
      <w:pPr>
        <w:ind w:left="1016" w:hanging="511"/>
        <w:spacing w:after="0"/>
        <w:tabs>
          <w:tab w:leader="none" w:pos="1016" w:val="left"/>
        </w:tabs>
        <w:numPr>
          <w:ilvl w:val="1"/>
          <w:numId w:val="79"/>
        </w:numPr>
        <w:rPr>
          <w:rFonts w:ascii="Arial" w:cs="Arial" w:eastAsia="Arial" w:hAnsi="Arial"/>
          <w:sz w:val="14"/>
          <w:szCs w:val="14"/>
          <w:color w:val="auto"/>
        </w:rPr>
      </w:pPr>
      <w:r>
        <w:rPr>
          <w:rFonts w:ascii="Arial" w:cs="Arial" w:eastAsia="Arial" w:hAnsi="Arial"/>
          <w:sz w:val="14"/>
          <w:szCs w:val="14"/>
          <w:color w:val="auto"/>
        </w:rPr>
        <w:t>to increase or reduce its capital; and</w:t>
      </w:r>
    </w:p>
    <w:p>
      <w:pPr>
        <w:spacing w:after="0" w:line="175" w:lineRule="exact"/>
        <w:rPr>
          <w:rFonts w:ascii="Arial" w:cs="Arial" w:eastAsia="Arial" w:hAnsi="Arial"/>
          <w:sz w:val="14"/>
          <w:szCs w:val="14"/>
          <w:color w:val="auto"/>
        </w:rPr>
      </w:pPr>
    </w:p>
    <w:p>
      <w:pPr>
        <w:ind w:left="1016" w:hanging="511"/>
        <w:spacing w:after="0"/>
        <w:tabs>
          <w:tab w:leader="none" w:pos="1016" w:val="left"/>
        </w:tabs>
        <w:numPr>
          <w:ilvl w:val="1"/>
          <w:numId w:val="79"/>
        </w:numPr>
        <w:rPr>
          <w:rFonts w:ascii="Arial" w:cs="Arial" w:eastAsia="Arial" w:hAnsi="Arial"/>
          <w:sz w:val="14"/>
          <w:szCs w:val="14"/>
          <w:color w:val="auto"/>
        </w:rPr>
      </w:pPr>
      <w:r>
        <w:rPr>
          <w:rFonts w:ascii="Arial" w:cs="Arial" w:eastAsia="Arial" w:hAnsi="Arial"/>
          <w:sz w:val="14"/>
          <w:szCs w:val="14"/>
          <w:color w:val="auto"/>
        </w:rPr>
        <w:t>to issue any part of its capital (whether original, redeemed, increased or reduced):</w:t>
      </w:r>
    </w:p>
    <w:p>
      <w:pPr>
        <w:spacing w:after="0" w:line="175" w:lineRule="exact"/>
        <w:rPr>
          <w:rFonts w:ascii="Arial" w:cs="Arial" w:eastAsia="Arial" w:hAnsi="Arial"/>
          <w:sz w:val="14"/>
          <w:szCs w:val="14"/>
          <w:color w:val="auto"/>
        </w:rPr>
      </w:pPr>
    </w:p>
    <w:p>
      <w:pPr>
        <w:ind w:left="1016" w:hanging="511"/>
        <w:spacing w:after="0"/>
        <w:tabs>
          <w:tab w:leader="none" w:pos="1016" w:val="left"/>
        </w:tabs>
        <w:numPr>
          <w:ilvl w:val="1"/>
          <w:numId w:val="79"/>
        </w:numPr>
        <w:rPr>
          <w:rFonts w:ascii="Arial" w:cs="Arial" w:eastAsia="Arial" w:hAnsi="Arial"/>
          <w:sz w:val="14"/>
          <w:szCs w:val="14"/>
          <w:color w:val="auto"/>
        </w:rPr>
      </w:pPr>
      <w:r>
        <w:rPr>
          <w:rFonts w:ascii="Arial" w:cs="Arial" w:eastAsia="Arial" w:hAnsi="Arial"/>
          <w:sz w:val="14"/>
          <w:szCs w:val="14"/>
          <w:color w:val="auto"/>
        </w:rPr>
        <w:t>with or without any preferential, deferred, qualified or special rights, privileges or conditions; or</w:t>
      </w:r>
    </w:p>
    <w:p>
      <w:pPr>
        <w:spacing w:after="0" w:line="175" w:lineRule="exact"/>
        <w:rPr>
          <w:rFonts w:ascii="Arial" w:cs="Arial" w:eastAsia="Arial" w:hAnsi="Arial"/>
          <w:sz w:val="14"/>
          <w:szCs w:val="14"/>
          <w:color w:val="auto"/>
        </w:rPr>
      </w:pPr>
    </w:p>
    <w:p>
      <w:pPr>
        <w:ind w:left="1016" w:hanging="511"/>
        <w:spacing w:after="0"/>
        <w:tabs>
          <w:tab w:leader="none" w:pos="1016" w:val="left"/>
        </w:tabs>
        <w:numPr>
          <w:ilvl w:val="1"/>
          <w:numId w:val="79"/>
        </w:numPr>
        <w:rPr>
          <w:rFonts w:ascii="Arial" w:cs="Arial" w:eastAsia="Arial" w:hAnsi="Arial"/>
          <w:sz w:val="14"/>
          <w:szCs w:val="14"/>
          <w:color w:val="auto"/>
        </w:rPr>
      </w:pPr>
      <w:r>
        <w:rPr>
          <w:rFonts w:ascii="Arial" w:cs="Arial" w:eastAsia="Arial" w:hAnsi="Arial"/>
          <w:sz w:val="14"/>
          <w:szCs w:val="14"/>
          <w:color w:val="auto"/>
        </w:rPr>
        <w:t>subject to any limitations or restrictions</w:t>
      </w:r>
    </w:p>
    <w:p>
      <w:pPr>
        <w:spacing w:after="0" w:line="175" w:lineRule="exact"/>
        <w:rPr>
          <w:rFonts w:ascii="Arial" w:cs="Arial" w:eastAsia="Arial" w:hAnsi="Arial"/>
          <w:sz w:val="14"/>
          <w:szCs w:val="14"/>
          <w:color w:val="auto"/>
        </w:rPr>
      </w:pPr>
    </w:p>
    <w:p>
      <w:pPr>
        <w:ind w:left="1016" w:hanging="511"/>
        <w:spacing w:after="0"/>
        <w:tabs>
          <w:tab w:leader="none" w:pos="1016"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and unless the condition of issue expressly declares otherwise, every issue of shares (whether declared to be ordinary, preference or otherwise) is subject to this power; or</w:t>
      </w:r>
    </w:p>
    <w:p>
      <w:pPr>
        <w:spacing w:after="0" w:line="187" w:lineRule="exact"/>
        <w:rPr>
          <w:rFonts w:ascii="Arial" w:cs="Arial" w:eastAsia="Arial" w:hAnsi="Arial"/>
          <w:sz w:val="13"/>
          <w:szCs w:val="13"/>
          <w:color w:val="auto"/>
        </w:rPr>
      </w:pPr>
    </w:p>
    <w:p>
      <w:pPr>
        <w:ind w:left="1016" w:hanging="511"/>
        <w:spacing w:after="0"/>
        <w:tabs>
          <w:tab w:leader="none" w:pos="1016" w:val="left"/>
        </w:tabs>
        <w:numPr>
          <w:ilvl w:val="1"/>
          <w:numId w:val="79"/>
        </w:numPr>
        <w:rPr>
          <w:rFonts w:ascii="Arial" w:cs="Arial" w:eastAsia="Arial" w:hAnsi="Arial"/>
          <w:sz w:val="14"/>
          <w:szCs w:val="14"/>
          <w:color w:val="auto"/>
        </w:rPr>
      </w:pPr>
      <w:r>
        <w:rPr>
          <w:rFonts w:ascii="Arial" w:cs="Arial" w:eastAsia="Arial" w:hAnsi="Arial"/>
          <w:sz w:val="14"/>
          <w:szCs w:val="14"/>
          <w:color w:val="auto"/>
        </w:rPr>
        <w:t>to alter any of those rights, privileges, conditions, limitations or restrictions.</w:t>
      </w:r>
    </w:p>
    <w:p>
      <w:pPr>
        <w:spacing w:after="0" w:line="176" w:lineRule="exact"/>
        <w:rPr>
          <w:sz w:val="20"/>
          <w:szCs w:val="20"/>
          <w:color w:val="auto"/>
        </w:rPr>
      </w:pPr>
    </w:p>
    <w:p>
      <w:pPr>
        <w:ind w:left="496" w:hanging="496"/>
        <w:spacing w:after="0" w:line="277" w:lineRule="auto"/>
        <w:tabs>
          <w:tab w:leader="none" w:pos="4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Company has power to register by way of continuation as a body corporate limited by shares under the laws of any jurisdiction outside the Cayman Islands and to be deregistered in the Cayman Islands.</w:t>
      </w:r>
    </w:p>
    <w:p>
      <w:pPr>
        <w:spacing w:after="0" w:line="302" w:lineRule="exact"/>
        <w:rPr>
          <w:sz w:val="20"/>
          <w:szCs w:val="20"/>
          <w:color w:val="auto"/>
        </w:rPr>
      </w:pPr>
    </w:p>
    <w:p>
      <w:pPr>
        <w:jc w:val="center"/>
        <w:ind w:right="-395"/>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13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076"/>
          </w:cols>
          <w:pgMar w:left="224" w:top="782" w:right="599" w:bottom="1440" w:gutter="0" w:footer="0" w:header="0"/>
        </w:sectPr>
      </w:pPr>
    </w:p>
    <w:bookmarkStart w:id="157" w:name="page158"/>
    <w:bookmarkEnd w:id="157"/>
    <w:p>
      <w:pPr>
        <w:jc w:val="center"/>
        <w:ind w:right="-79"/>
        <w:spacing w:after="0"/>
        <w:rPr>
          <w:sz w:val="20"/>
          <w:szCs w:val="20"/>
          <w:color w:val="auto"/>
        </w:rPr>
      </w:pPr>
      <w:r>
        <w:rPr>
          <w:rFonts w:ascii="Arial" w:cs="Arial" w:eastAsia="Arial" w:hAnsi="Arial"/>
          <w:sz w:val="14"/>
          <w:szCs w:val="14"/>
          <w:b w:val="1"/>
          <w:bCs w:val="1"/>
          <w:color w:val="auto"/>
        </w:rPr>
        <w:t>COMPANIES LAW (REVISED)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COMPANY LIMITED BY SHARES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AMENDED AND RESTATED ARTICLES OF ASSOCIATION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OF</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(adopted by special resolution dated 7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277100"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356" w:lineRule="exact"/>
        <w:rPr>
          <w:sz w:val="20"/>
          <w:szCs w:val="20"/>
          <w:color w:val="auto"/>
        </w:rPr>
      </w:pPr>
    </w:p>
    <w:p>
      <w:pPr>
        <w:ind w:right="7820" w:firstLine="4"/>
        <w:spacing w:after="0" w:line="504" w:lineRule="auto"/>
        <w:tabs>
          <w:tab w:leader="none" w:pos="505"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 interpretation and exclusion of Table A Definitions</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In these Articles, the following definitions apply:</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Articles </w:t>
      </w:r>
      <w:r>
        <w:rPr>
          <w:rFonts w:ascii="Arial" w:cs="Arial" w:eastAsia="Arial" w:hAnsi="Arial"/>
          <w:sz w:val="14"/>
          <w:szCs w:val="14"/>
          <w:color w:val="auto"/>
        </w:rPr>
        <w:t>means, as appropriate:</w:t>
      </w:r>
    </w:p>
    <w:p>
      <w:pPr>
        <w:spacing w:after="0" w:line="180" w:lineRule="exact"/>
        <w:rPr>
          <w:sz w:val="20"/>
          <w:szCs w:val="20"/>
          <w:color w:val="auto"/>
        </w:rPr>
      </w:pPr>
    </w:p>
    <w:p>
      <w:pPr>
        <w:ind w:left="1020" w:hanging="511"/>
        <w:spacing w:after="0"/>
        <w:tabs>
          <w:tab w:leader="none" w:pos="10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Articles of Association as amended from time to time: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two or more particular Articles of these Articles;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and </w:t>
      </w:r>
      <w:r>
        <w:rPr>
          <w:rFonts w:ascii="Arial" w:cs="Arial" w:eastAsia="Arial" w:hAnsi="Arial"/>
          <w:sz w:val="14"/>
          <w:szCs w:val="14"/>
          <w:b w:val="1"/>
          <w:bCs w:val="1"/>
          <w:color w:val="auto"/>
        </w:rPr>
        <w:t>Article</w:t>
      </w:r>
      <w:r>
        <w:rPr>
          <w:rFonts w:ascii="Arial" w:cs="Arial" w:eastAsia="Arial" w:hAnsi="Arial"/>
          <w:sz w:val="14"/>
          <w:szCs w:val="14"/>
          <w:color w:val="auto"/>
        </w:rPr>
        <w:t xml:space="preserve"> refers to a particular Article of these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hanging="511"/>
        <w:spacing w:after="0"/>
        <w:tabs>
          <w:tab w:leader="none" w:pos="10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day when the notice is given or deemed to be given; and</w:t>
      </w:r>
    </w:p>
    <w:p>
      <w:pPr>
        <w:spacing w:after="0" w:line="175" w:lineRule="exact"/>
        <w:rPr>
          <w:rFonts w:ascii="Arial" w:cs="Arial" w:eastAsia="Arial" w:hAnsi="Arial"/>
          <w:sz w:val="14"/>
          <w:szCs w:val="14"/>
          <w:color w:val="auto"/>
        </w:rPr>
      </w:pPr>
    </w:p>
    <w:p>
      <w:pPr>
        <w:ind w:left="1000" w:hanging="470"/>
        <w:spacing w:after="0"/>
        <w:tabs>
          <w:tab w:leader="none" w:pos="1000" w:val="left"/>
        </w:tabs>
        <w:numPr>
          <w:ilvl w:val="1"/>
          <w:numId w:val="83"/>
        </w:numPr>
        <w:rPr>
          <w:rFonts w:ascii="Arial" w:cs="Arial" w:eastAsia="Arial" w:hAnsi="Arial"/>
          <w:sz w:val="14"/>
          <w:szCs w:val="14"/>
          <w:color w:val="auto"/>
        </w:rPr>
      </w:pPr>
      <w:r>
        <w:rPr>
          <w:rFonts w:ascii="Arial" w:cs="Arial" w:eastAsia="Arial" w:hAnsi="Arial"/>
          <w:sz w:val="14"/>
          <w:szCs w:val="14"/>
          <w:color w:val="auto"/>
        </w:rPr>
        <w:t>the day for which it is given or on which it is to take effect;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Commission </w:t>
      </w:r>
      <w:r>
        <w:rPr>
          <w:rFonts w:ascii="Arial" w:cs="Arial" w:eastAsia="Arial" w:hAnsi="Arial"/>
          <w:sz w:val="14"/>
          <w:szCs w:val="14"/>
          <w:color w:val="auto"/>
        </w:rPr>
        <w:t>means the Securities and Exchange Commission of the United States of America or any other federal agency for the time being administering the Securities Act;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4"/>
          <w:szCs w:val="14"/>
          <w:color w:val="auto"/>
        </w:rPr>
        <w:t>means the above-named company;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14"/>
          <w:szCs w:val="14"/>
          <w:color w:val="auto"/>
        </w:rPr>
        <w:t>means 10% (ten per cent) per annum;</w:t>
      </w:r>
    </w:p>
    <w:p>
      <w:pPr>
        <w:spacing w:after="0" w:line="176" w:lineRule="exact"/>
        <w:rPr>
          <w:sz w:val="20"/>
          <w:szCs w:val="20"/>
          <w:color w:val="auto"/>
        </w:rPr>
      </w:pPr>
    </w:p>
    <w:p>
      <w:pPr>
        <w:ind w:left="500" w:right="120"/>
        <w:spacing w:after="0" w:line="283" w:lineRule="auto"/>
        <w:rPr>
          <w:sz w:val="20"/>
          <w:szCs w:val="20"/>
          <w:color w:val="auto"/>
        </w:rPr>
      </w:pPr>
      <w:r>
        <w:rPr>
          <w:rFonts w:ascii="Arial" w:cs="Arial" w:eastAsia="Arial" w:hAnsi="Arial"/>
          <w:sz w:val="14"/>
          <w:szCs w:val="14"/>
          <w:b w:val="1"/>
          <w:bCs w:val="1"/>
          <w:color w:val="auto"/>
        </w:rPr>
        <w:t xml:space="preserve">Designated Stock Exchanges </w:t>
      </w:r>
      <w:r>
        <w:rPr>
          <w:rFonts w:ascii="Arial" w:cs="Arial" w:eastAsia="Arial" w:hAnsi="Arial"/>
          <w:sz w:val="14"/>
          <w:szCs w:val="14"/>
          <w:color w:val="auto"/>
        </w:rPr>
        <w:t>means The Nasdaq Stock Market in the United States for so long as the Company's Shares are there listed and any other stock exchange on which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Shares are listed for trading;</w:t>
      </w:r>
    </w:p>
    <w:p>
      <w:pPr>
        <w:spacing w:after="0" w:line="125" w:lineRule="exact"/>
        <w:rPr>
          <w:sz w:val="20"/>
          <w:szCs w:val="20"/>
          <w:color w:val="auto"/>
        </w:rPr>
      </w:pPr>
    </w:p>
    <w:p>
      <w:pPr>
        <w:ind w:left="500"/>
        <w:spacing w:after="0" w:line="283" w:lineRule="auto"/>
        <w:rPr>
          <w:sz w:val="20"/>
          <w:szCs w:val="20"/>
          <w:color w:val="auto"/>
        </w:rPr>
      </w:pPr>
      <w:r>
        <w:rPr>
          <w:rFonts w:ascii="Arial" w:cs="Arial" w:eastAsia="Arial" w:hAnsi="Arial"/>
          <w:sz w:val="14"/>
          <w:szCs w:val="14"/>
          <w:b w:val="1"/>
          <w:bCs w:val="1"/>
          <w:color w:val="auto"/>
        </w:rPr>
        <w:t xml:space="preserve">Designated Stock Exchange Rules </w:t>
      </w:r>
      <w:r>
        <w:rPr>
          <w:rFonts w:ascii="Arial" w:cs="Arial" w:eastAsia="Arial" w:hAnsi="Arial"/>
          <w:sz w:val="14"/>
          <w:szCs w:val="14"/>
          <w:color w:val="auto"/>
        </w:rPr>
        <w:t>means the relevant code, rules and regulations, as amended, from time to time, applicable as a result of the original and continued listing of any Shares on the</w:t>
      </w:r>
      <w:r>
        <w:rPr>
          <w:rFonts w:ascii="Arial" w:cs="Arial" w:eastAsia="Arial" w:hAnsi="Arial"/>
          <w:sz w:val="14"/>
          <w:szCs w:val="14"/>
          <w:b w:val="1"/>
          <w:bCs w:val="1"/>
          <w:color w:val="auto"/>
        </w:rPr>
        <w:t xml:space="preserve"> </w:t>
      </w:r>
      <w:r>
        <w:rPr>
          <w:rFonts w:ascii="Arial" w:cs="Arial" w:eastAsia="Arial" w:hAnsi="Arial"/>
          <w:sz w:val="14"/>
          <w:szCs w:val="14"/>
          <w:color w:val="auto"/>
        </w:rPr>
        <w:t>Designated Stock Exchanges;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Electronic </w:t>
      </w:r>
      <w:r>
        <w:rPr>
          <w:rFonts w:ascii="Arial" w:cs="Arial" w:eastAsia="Arial" w:hAnsi="Arial"/>
          <w:sz w:val="14"/>
          <w:szCs w:val="14"/>
          <w:color w:val="auto"/>
        </w:rPr>
        <w:t>has the meaning given to that term in the Electronic Transactions Law (Revised);</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777" w:right="27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color w:val="auto"/>
        </w:rPr>
        <w:t xml:space="preserve">Electronic Record </w:t>
      </w:r>
      <w:r>
        <w:rPr>
          <w:rFonts w:ascii="Arial" w:cs="Arial" w:eastAsia="Arial" w:hAnsi="Arial"/>
          <w:sz w:val="14"/>
          <w:szCs w:val="14"/>
          <w:color w:val="auto"/>
        </w:rPr>
        <w:t>has the meaning given to that term in the Electronic Transactions Law (Revised);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Electronic Signature </w:t>
      </w:r>
      <w:r>
        <w:rPr>
          <w:rFonts w:ascii="Arial" w:cs="Arial" w:eastAsia="Arial" w:hAnsi="Arial"/>
          <w:sz w:val="14"/>
          <w:szCs w:val="14"/>
          <w:color w:val="auto"/>
        </w:rPr>
        <w:t>has the meaning given to that term in the Electronic Transactions Law (Revised);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Fully Paid </w:t>
      </w:r>
      <w:r>
        <w:rPr>
          <w:rFonts w:ascii="Arial" w:cs="Arial" w:eastAsia="Arial" w:hAnsi="Arial"/>
          <w:sz w:val="14"/>
          <w:szCs w:val="14"/>
          <w:color w:val="auto"/>
        </w:rPr>
        <w:t>and</w:t>
      </w:r>
      <w:r>
        <w:rPr>
          <w:rFonts w:ascii="Arial" w:cs="Arial" w:eastAsia="Arial" w:hAnsi="Arial"/>
          <w:sz w:val="14"/>
          <w:szCs w:val="14"/>
          <w:b w:val="1"/>
          <w:bCs w:val="1"/>
          <w:color w:val="auto"/>
        </w:rPr>
        <w:t xml:space="preserve"> Paid Up</w:t>
      </w:r>
      <w:r>
        <w:rPr>
          <w:rFonts w:ascii="Arial" w:cs="Arial" w:eastAsia="Arial" w:hAnsi="Arial"/>
          <w:sz w:val="14"/>
          <w:szCs w:val="14"/>
          <w:color w:val="auto"/>
        </w:rPr>
        <w:t>:</w:t>
      </w:r>
    </w:p>
    <w:p>
      <w:pPr>
        <w:spacing w:after="0" w:line="180" w:lineRule="exact"/>
        <w:rPr>
          <w:sz w:val="20"/>
          <w:szCs w:val="20"/>
          <w:color w:val="auto"/>
        </w:rPr>
      </w:pPr>
    </w:p>
    <w:p>
      <w:pPr>
        <w:ind w:left="520" w:right="200" w:hanging="511"/>
        <w:spacing w:after="0" w:line="277"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relation to a Share with par value, means that the par value for that Share and any premium payable in respect of the issue of that Share, has been fully paid or credited as paid in money or money's worth;</w:t>
      </w:r>
    </w:p>
    <w:p>
      <w:pPr>
        <w:spacing w:after="0" w:line="133" w:lineRule="exact"/>
        <w:rPr>
          <w:rFonts w:ascii="Arial" w:cs="Arial" w:eastAsia="Arial" w:hAnsi="Arial"/>
          <w:sz w:val="14"/>
          <w:szCs w:val="14"/>
          <w:color w:val="auto"/>
        </w:rPr>
      </w:pPr>
    </w:p>
    <w:p>
      <w:pPr>
        <w:ind w:left="500" w:hanging="470"/>
        <w:spacing w:after="0"/>
        <w:tabs>
          <w:tab w:leader="none" w:pos="5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in relation to a Share without par value, means that the agreed issue price for that Share has been fully paid or credited as paid in money or money's worth;</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Islands </w:t>
      </w:r>
      <w:r>
        <w:rPr>
          <w:rFonts w:ascii="Arial" w:cs="Arial" w:eastAsia="Arial" w:hAnsi="Arial"/>
          <w:sz w:val="14"/>
          <w:szCs w:val="14"/>
          <w:color w:val="auto"/>
        </w:rPr>
        <w:t>means the British Overseas Territory of the Cayman Islands;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Law </w:t>
      </w:r>
      <w:r>
        <w:rPr>
          <w:rFonts w:ascii="Arial" w:cs="Arial" w:eastAsia="Arial" w:hAnsi="Arial"/>
          <w:sz w:val="14"/>
          <w:szCs w:val="14"/>
          <w:color w:val="auto"/>
        </w:rPr>
        <w:t>means the Companies Law (Revised);</w:t>
      </w:r>
    </w:p>
    <w:p>
      <w:pPr>
        <w:spacing w:after="0" w:line="176" w:lineRule="exact"/>
        <w:rPr>
          <w:sz w:val="20"/>
          <w:szCs w:val="20"/>
          <w:color w:val="auto"/>
        </w:rPr>
      </w:pPr>
    </w:p>
    <w:p>
      <w:pPr>
        <w:ind w:right="4200"/>
        <w:spacing w:after="0" w:line="540" w:lineRule="auto"/>
        <w:rPr>
          <w:sz w:val="20"/>
          <w:szCs w:val="20"/>
          <w:color w:val="auto"/>
        </w:rPr>
      </w:pPr>
      <w:r>
        <w:rPr>
          <w:rFonts w:ascii="Arial" w:cs="Arial" w:eastAsia="Arial" w:hAnsi="Arial"/>
          <w:sz w:val="13"/>
          <w:szCs w:val="13"/>
          <w:b w:val="1"/>
          <w:bCs w:val="1"/>
          <w:color w:val="auto"/>
        </w:rPr>
        <w:t xml:space="preserve">Member </w:t>
      </w:r>
      <w:r>
        <w:rPr>
          <w:rFonts w:ascii="Arial" w:cs="Arial" w:eastAsia="Arial" w:hAnsi="Arial"/>
          <w:sz w:val="13"/>
          <w:szCs w:val="13"/>
          <w:color w:val="auto"/>
        </w:rPr>
        <w:t>means any person or persons entered on the register of members from time to time as the holder of a Share;</w:t>
      </w:r>
      <w:r>
        <w:rPr>
          <w:rFonts w:ascii="Arial" w:cs="Arial" w:eastAsia="Arial" w:hAnsi="Arial"/>
          <w:sz w:val="13"/>
          <w:szCs w:val="13"/>
          <w:b w:val="1"/>
          <w:bCs w:val="1"/>
          <w:color w:val="auto"/>
        </w:rPr>
        <w:t xml:space="preserve"> Memorandum </w:t>
      </w:r>
      <w:r>
        <w:rPr>
          <w:rFonts w:ascii="Arial" w:cs="Arial" w:eastAsia="Arial" w:hAnsi="Arial"/>
          <w:sz w:val="13"/>
          <w:szCs w:val="13"/>
          <w:color w:val="auto"/>
        </w:rPr>
        <w:t>means the Memorandum of Association of the Company as amended from time to time;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Officer </w:t>
      </w:r>
      <w:r>
        <w:rPr>
          <w:rFonts w:ascii="Arial" w:cs="Arial" w:eastAsia="Arial" w:hAnsi="Arial"/>
          <w:sz w:val="14"/>
          <w:szCs w:val="14"/>
          <w:color w:val="auto"/>
        </w:rPr>
        <w:t>means a person appointed to hold an office in the Company; and the expression includes a director or liquidator, but does not include the Secretary;</w:t>
      </w:r>
    </w:p>
    <w:p>
      <w:pPr>
        <w:spacing w:after="0" w:line="176"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b w:val="1"/>
          <w:bCs w:val="1"/>
          <w:color w:val="auto"/>
        </w:rPr>
        <w:t xml:space="preserve">Ordinary Resolution </w:t>
      </w:r>
      <w:r>
        <w:rPr>
          <w:rFonts w:ascii="Arial" w:cs="Arial" w:eastAsia="Arial" w:hAnsi="Arial"/>
          <w:sz w:val="14"/>
          <w:szCs w:val="14"/>
          <w:color w:val="auto"/>
        </w:rPr>
        <w:t>means a resolution of a duly constituted general meeting of the Company passed by a simple majority of the votes cast by, or on behalf of, the Members entitled to vote.</w:t>
      </w:r>
      <w:r>
        <w:rPr>
          <w:rFonts w:ascii="Arial" w:cs="Arial" w:eastAsia="Arial" w:hAnsi="Arial"/>
          <w:sz w:val="14"/>
          <w:szCs w:val="14"/>
          <w:b w:val="1"/>
          <w:bCs w:val="1"/>
          <w:color w:val="auto"/>
        </w:rPr>
        <w:t xml:space="preserve"> </w:t>
      </w:r>
      <w:r>
        <w:rPr>
          <w:rFonts w:ascii="Arial" w:cs="Arial" w:eastAsia="Arial" w:hAnsi="Arial"/>
          <w:sz w:val="14"/>
          <w:szCs w:val="14"/>
          <w:color w:val="auto"/>
        </w:rPr>
        <w:t>The expression also includes a unanimous written resolution;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Secretary </w:t>
      </w:r>
      <w:r>
        <w:rPr>
          <w:rFonts w:ascii="Arial" w:cs="Arial" w:eastAsia="Arial" w:hAnsi="Arial"/>
          <w:sz w:val="14"/>
          <w:szCs w:val="14"/>
          <w:color w:val="auto"/>
        </w:rPr>
        <w:t>means a person appointed to perform the duties of the secretary of the Company, including a joint, assistant or deputy secretary;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4"/>
          <w:szCs w:val="14"/>
          <w:color w:val="auto"/>
        </w:rPr>
        <w:t>means a share in the share capital of the Company; and the expression:</w:t>
      </w:r>
    </w:p>
    <w:p>
      <w:pPr>
        <w:spacing w:after="0" w:line="180" w:lineRule="exact"/>
        <w:rPr>
          <w:sz w:val="20"/>
          <w:szCs w:val="20"/>
          <w:color w:val="auto"/>
        </w:rPr>
      </w:pPr>
    </w:p>
    <w:p>
      <w:pPr>
        <w:ind w:left="520" w:hanging="511"/>
        <w:spacing w:after="0"/>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stock (except where a distinction between shares and stock is expressed or implied); and</w:t>
      </w:r>
    </w:p>
    <w:p>
      <w:pPr>
        <w:spacing w:after="0" w:line="175" w:lineRule="exact"/>
        <w:rPr>
          <w:rFonts w:ascii="Arial" w:cs="Arial" w:eastAsia="Arial" w:hAnsi="Arial"/>
          <w:sz w:val="14"/>
          <w:szCs w:val="14"/>
          <w:color w:val="auto"/>
        </w:rPr>
      </w:pPr>
    </w:p>
    <w:p>
      <w:pPr>
        <w:ind w:left="500" w:hanging="470"/>
        <w:spacing w:after="0"/>
        <w:tabs>
          <w:tab w:leader="none" w:pos="500" w:val="left"/>
        </w:tabs>
        <w:numPr>
          <w:ilvl w:val="1"/>
          <w:numId w:val="85"/>
        </w:numPr>
        <w:rPr>
          <w:rFonts w:ascii="Arial" w:cs="Arial" w:eastAsia="Arial" w:hAnsi="Arial"/>
          <w:sz w:val="14"/>
          <w:szCs w:val="14"/>
          <w:color w:val="auto"/>
        </w:rPr>
      </w:pPr>
      <w:r>
        <w:rPr>
          <w:rFonts w:ascii="Arial" w:cs="Arial" w:eastAsia="Arial" w:hAnsi="Arial"/>
          <w:sz w:val="14"/>
          <w:szCs w:val="14"/>
          <w:color w:val="auto"/>
        </w:rPr>
        <w:t>where the context permits, also includes a fraction of a share;</w:t>
      </w:r>
    </w:p>
    <w:p>
      <w:pPr>
        <w:spacing w:after="0" w:line="172" w:lineRule="exact"/>
        <w:rPr>
          <w:sz w:val="20"/>
          <w:szCs w:val="20"/>
          <w:color w:val="auto"/>
        </w:rPr>
      </w:pPr>
    </w:p>
    <w:p>
      <w:pPr>
        <w:ind w:right="3640"/>
        <w:spacing w:after="0" w:line="540" w:lineRule="auto"/>
        <w:rPr>
          <w:sz w:val="20"/>
          <w:szCs w:val="20"/>
          <w:color w:val="auto"/>
        </w:rPr>
      </w:pPr>
      <w:r>
        <w:rPr>
          <w:rFonts w:ascii="Arial" w:cs="Arial" w:eastAsia="Arial" w:hAnsi="Arial"/>
          <w:sz w:val="13"/>
          <w:szCs w:val="13"/>
          <w:b w:val="1"/>
          <w:bCs w:val="1"/>
          <w:color w:val="auto"/>
        </w:rPr>
        <w:t xml:space="preserve">Special Resolution </w:t>
      </w:r>
      <w:r>
        <w:rPr>
          <w:rFonts w:ascii="Arial" w:cs="Arial" w:eastAsia="Arial" w:hAnsi="Arial"/>
          <w:sz w:val="13"/>
          <w:szCs w:val="13"/>
          <w:color w:val="auto"/>
        </w:rPr>
        <w:t>has the meaning given to that term in the Law; and the expression includes a unanimous written resolution;</w:t>
      </w:r>
      <w:r>
        <w:rPr>
          <w:rFonts w:ascii="Arial" w:cs="Arial" w:eastAsia="Arial" w:hAnsi="Arial"/>
          <w:sz w:val="13"/>
          <w:szCs w:val="13"/>
          <w:b w:val="1"/>
          <w:bCs w:val="1"/>
          <w:color w:val="auto"/>
        </w:rPr>
        <w:t xml:space="preserve"> Treasury Shares </w:t>
      </w:r>
      <w:r>
        <w:rPr>
          <w:rFonts w:ascii="Arial" w:cs="Arial" w:eastAsia="Arial" w:hAnsi="Arial"/>
          <w:sz w:val="13"/>
          <w:szCs w:val="13"/>
          <w:color w:val="auto"/>
        </w:rPr>
        <w:t>means Shares of the Company held in treasury pursuant to the Law and Article 2.13.</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color w:val="auto"/>
        </w:rPr>
        <w:t xml:space="preserve">U.S. Securities Act </w:t>
      </w:r>
      <w:r>
        <w:rPr>
          <w:rFonts w:ascii="Arial" w:cs="Arial" w:eastAsia="Arial" w:hAnsi="Arial"/>
          <w:sz w:val="14"/>
          <w:szCs w:val="14"/>
          <w:color w:val="auto"/>
        </w:rPr>
        <w:t>means the Securities Act of 1933 of the United States, as amended, or any similar federal statue and the rules and regulations of the Commission thereunder, all as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in effect at the time;</w:t>
      </w:r>
    </w:p>
    <w:p>
      <w:pPr>
        <w:spacing w:after="0" w:line="298"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780"/>
          </w:cols>
          <w:pgMar w:left="720" w:top="777" w:right="399" w:bottom="1440" w:gutter="0" w:footer="0" w:header="0"/>
        </w:sectPr>
      </w:pPr>
    </w:p>
    <w:bookmarkStart w:id="159" w:name="page160"/>
    <w:bookmarkEnd w:id="159"/>
    <w:p>
      <w:pPr>
        <w:ind w:left="500"/>
        <w:spacing w:after="0"/>
        <w:rPr>
          <w:sz w:val="20"/>
          <w:szCs w:val="20"/>
          <w:color w:val="auto"/>
        </w:rPr>
      </w:pPr>
      <w:r>
        <w:rPr>
          <w:rFonts w:ascii="Arial" w:cs="Arial" w:eastAsia="Arial" w:hAnsi="Arial"/>
          <w:sz w:val="14"/>
          <w:szCs w:val="14"/>
          <w:b w:val="1"/>
          <w:bCs w:val="1"/>
          <w:color w:val="auto"/>
        </w:rPr>
        <w:t xml:space="preserve">United States </w:t>
      </w:r>
      <w:r>
        <w:rPr>
          <w:rFonts w:ascii="Arial" w:cs="Arial" w:eastAsia="Arial" w:hAnsi="Arial"/>
          <w:sz w:val="14"/>
          <w:szCs w:val="14"/>
          <w:color w:val="auto"/>
        </w:rPr>
        <w:t>means the United States of America, its territories, its possessions and all areas subject to tits jurisdiction;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Interpretation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In the interpretation of these Articles, the following provisions apply unless the context otherwise requires:</w:t>
      </w:r>
    </w:p>
    <w:p>
      <w:pPr>
        <w:spacing w:after="0" w:line="176" w:lineRule="exact"/>
        <w:rPr>
          <w:sz w:val="20"/>
          <w:szCs w:val="20"/>
          <w:color w:val="auto"/>
        </w:rPr>
      </w:pPr>
    </w:p>
    <w:p>
      <w:pPr>
        <w:ind w:left="1020" w:hanging="511"/>
        <w:spacing w:after="0"/>
        <w:tabs>
          <w:tab w:leader="none" w:pos="10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 reference in these Articles to a statute is a reference to a statute of the Islands as known by its short title, and includes:</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86"/>
        </w:numPr>
        <w:rPr>
          <w:rFonts w:ascii="Arial" w:cs="Arial" w:eastAsia="Arial" w:hAnsi="Arial"/>
          <w:sz w:val="14"/>
          <w:szCs w:val="14"/>
          <w:color w:val="auto"/>
        </w:rPr>
      </w:pPr>
      <w:r>
        <w:rPr>
          <w:rFonts w:ascii="Arial" w:cs="Arial" w:eastAsia="Arial" w:hAnsi="Arial"/>
          <w:sz w:val="14"/>
          <w:szCs w:val="14"/>
          <w:color w:val="auto"/>
        </w:rPr>
        <w:t>any statutory modification, amendment or re-enactment; and</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86"/>
        </w:numPr>
        <w:rPr>
          <w:rFonts w:ascii="Arial" w:cs="Arial" w:eastAsia="Arial" w:hAnsi="Arial"/>
          <w:sz w:val="14"/>
          <w:szCs w:val="14"/>
          <w:color w:val="auto"/>
        </w:rPr>
      </w:pPr>
      <w:r>
        <w:rPr>
          <w:rFonts w:ascii="Arial" w:cs="Arial" w:eastAsia="Arial" w:hAnsi="Arial"/>
          <w:sz w:val="14"/>
          <w:szCs w:val="14"/>
          <w:color w:val="auto"/>
        </w:rPr>
        <w:t>any subordinate legislation or regulations issued under that statute.</w:t>
      </w:r>
    </w:p>
    <w:p>
      <w:pPr>
        <w:spacing w:after="0" w:line="176" w:lineRule="exact"/>
        <w:rPr>
          <w:sz w:val="20"/>
          <w:szCs w:val="20"/>
          <w:color w:val="auto"/>
        </w:rPr>
      </w:pPr>
    </w:p>
    <w:p>
      <w:pPr>
        <w:ind w:left="1000" w:right="320"/>
        <w:spacing w:after="0" w:line="277" w:lineRule="auto"/>
        <w:rPr>
          <w:sz w:val="20"/>
          <w:szCs w:val="20"/>
          <w:color w:val="auto"/>
        </w:rPr>
      </w:pPr>
      <w:r>
        <w:rPr>
          <w:rFonts w:ascii="Arial" w:cs="Arial" w:eastAsia="Arial" w:hAnsi="Arial"/>
          <w:sz w:val="14"/>
          <w:szCs w:val="14"/>
          <w:color w:val="auto"/>
        </w:rPr>
        <w:t>Without limitation to the preceding sentence, a reference to a revised Law of the Cayman Islands is taken to be a reference to the revision of that Law in force from time to time as amended from time to time.</w:t>
      </w:r>
    </w:p>
    <w:p>
      <w:pPr>
        <w:spacing w:after="0" w:line="133" w:lineRule="exact"/>
        <w:rPr>
          <w:sz w:val="20"/>
          <w:szCs w:val="20"/>
          <w:color w:val="auto"/>
        </w:rPr>
      </w:pPr>
    </w:p>
    <w:p>
      <w:pPr>
        <w:ind w:left="1020" w:hanging="511"/>
        <w:spacing w:after="0"/>
        <w:tabs>
          <w:tab w:leader="none" w:pos="10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Headings are inserted for convenience only and do not affect the interpretation of these Articles, unless there is ambiguity.</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If a day on which any act, matter or thing is to be done under these Articles is not a Business Day, the act, matter or thing must be done on the next Business Day.</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A word which denotes the singular also denotes the plural, a word which denotes the plural also denotes the singular, and a reference to any gender also denotes the other genders.</w:t>
      </w:r>
    </w:p>
    <w:p>
      <w:pPr>
        <w:spacing w:after="0" w:line="194" w:lineRule="exact"/>
        <w:rPr>
          <w:rFonts w:ascii="Arial" w:cs="Arial" w:eastAsia="Arial" w:hAnsi="Arial"/>
          <w:sz w:val="12"/>
          <w:szCs w:val="12"/>
          <w:color w:val="auto"/>
        </w:rPr>
      </w:pPr>
    </w:p>
    <w:p>
      <w:pPr>
        <w:ind w:left="1020" w:hanging="511"/>
        <w:spacing w:after="0"/>
        <w:tabs>
          <w:tab w:leader="none" w:pos="10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A reference to a </w:t>
      </w:r>
      <w:r>
        <w:rPr>
          <w:rFonts w:ascii="Arial" w:cs="Arial" w:eastAsia="Arial" w:hAnsi="Arial"/>
          <w:sz w:val="14"/>
          <w:szCs w:val="14"/>
          <w:b w:val="1"/>
          <w:bCs w:val="1"/>
          <w:color w:val="auto"/>
        </w:rPr>
        <w:t>person</w:t>
      </w:r>
      <w:r>
        <w:rPr>
          <w:rFonts w:ascii="Arial" w:cs="Arial" w:eastAsia="Arial" w:hAnsi="Arial"/>
          <w:sz w:val="14"/>
          <w:szCs w:val="14"/>
          <w:color w:val="auto"/>
        </w:rPr>
        <w:t xml:space="preserve"> includes, as appropriate, a company, trust, partnership, joint venture, association, body corporate or government agency.</w:t>
      </w:r>
    </w:p>
    <w:p>
      <w:pPr>
        <w:spacing w:after="0" w:line="179" w:lineRule="exact"/>
        <w:rPr>
          <w:rFonts w:ascii="Arial" w:cs="Arial" w:eastAsia="Arial" w:hAnsi="Arial"/>
          <w:sz w:val="14"/>
          <w:szCs w:val="14"/>
          <w:color w:val="auto"/>
        </w:rPr>
      </w:pPr>
    </w:p>
    <w:p>
      <w:pPr>
        <w:ind w:left="1020" w:hanging="511"/>
        <w:spacing w:after="0"/>
        <w:tabs>
          <w:tab w:leader="none" w:pos="10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Where a word or phrase is given a defined meaning another part of speech or grammatical form in respect to that word or phrase has a corresponding meaning.</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All references to time are to be calculated by reference to time in the place where the Company's registered office is located.</w:t>
      </w:r>
    </w:p>
    <w:p>
      <w:pPr>
        <w:spacing w:after="0" w:line="171" w:lineRule="exact"/>
        <w:rPr>
          <w:rFonts w:ascii="Arial" w:cs="Arial" w:eastAsia="Arial" w:hAnsi="Arial"/>
          <w:sz w:val="14"/>
          <w:szCs w:val="14"/>
          <w:color w:val="auto"/>
        </w:rPr>
      </w:pPr>
    </w:p>
    <w:p>
      <w:pPr>
        <w:ind w:left="1020" w:right="180" w:hanging="511"/>
        <w:spacing w:after="0" w:line="283" w:lineRule="auto"/>
        <w:tabs>
          <w:tab w:leader="none" w:pos="10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The words </w:t>
      </w:r>
      <w:r>
        <w:rPr>
          <w:rFonts w:ascii="Arial" w:cs="Arial" w:eastAsia="Arial" w:hAnsi="Arial"/>
          <w:sz w:val="14"/>
          <w:szCs w:val="14"/>
          <w:b w:val="1"/>
          <w:bCs w:val="1"/>
          <w:color w:val="auto"/>
        </w:rPr>
        <w:t>written</w:t>
      </w:r>
      <w:r>
        <w:rPr>
          <w:rFonts w:ascii="Arial" w:cs="Arial" w:eastAsia="Arial" w:hAnsi="Arial"/>
          <w:sz w:val="14"/>
          <w:szCs w:val="14"/>
          <w:color w:val="auto"/>
        </w:rPr>
        <w:t xml:space="preserve"> and </w:t>
      </w:r>
      <w:r>
        <w:rPr>
          <w:rFonts w:ascii="Arial" w:cs="Arial" w:eastAsia="Arial" w:hAnsi="Arial"/>
          <w:sz w:val="14"/>
          <w:szCs w:val="14"/>
          <w:b w:val="1"/>
          <w:bCs w:val="1"/>
          <w:color w:val="auto"/>
        </w:rPr>
        <w:t>in writing</w:t>
      </w:r>
      <w:r>
        <w:rPr>
          <w:rFonts w:ascii="Arial" w:cs="Arial" w:eastAsia="Arial" w:hAnsi="Arial"/>
          <w:sz w:val="14"/>
          <w:szCs w:val="14"/>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25" w:lineRule="exact"/>
        <w:rPr>
          <w:rFonts w:ascii="Arial" w:cs="Arial" w:eastAsia="Arial" w:hAnsi="Arial"/>
          <w:sz w:val="14"/>
          <w:szCs w:val="14"/>
          <w:color w:val="auto"/>
        </w:rPr>
      </w:pPr>
    </w:p>
    <w:p>
      <w:pPr>
        <w:ind w:left="1020" w:hanging="511"/>
        <w:spacing w:after="0"/>
        <w:tabs>
          <w:tab w:leader="none" w:pos="10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The words </w:t>
      </w:r>
      <w:r>
        <w:rPr>
          <w:rFonts w:ascii="Arial" w:cs="Arial" w:eastAsia="Arial" w:hAnsi="Arial"/>
          <w:sz w:val="14"/>
          <w:szCs w:val="14"/>
          <w:b w:val="1"/>
          <w:bCs w:val="1"/>
          <w:color w:val="auto"/>
        </w:rPr>
        <w:t>including</w:t>
      </w:r>
      <w:r>
        <w:rPr>
          <w:rFonts w:ascii="Arial" w:cs="Arial" w:eastAsia="Arial" w:hAnsi="Arial"/>
          <w:sz w:val="14"/>
          <w:szCs w:val="14"/>
          <w:color w:val="auto"/>
        </w:rPr>
        <w:t xml:space="preserve">, </w:t>
      </w:r>
      <w:r>
        <w:rPr>
          <w:rFonts w:ascii="Arial" w:cs="Arial" w:eastAsia="Arial" w:hAnsi="Arial"/>
          <w:sz w:val="14"/>
          <w:szCs w:val="14"/>
          <w:b w:val="1"/>
          <w:bCs w:val="1"/>
          <w:color w:val="auto"/>
        </w:rPr>
        <w:t>include</w:t>
      </w:r>
      <w:r>
        <w:rPr>
          <w:rFonts w:ascii="Arial" w:cs="Arial" w:eastAsia="Arial" w:hAnsi="Arial"/>
          <w:sz w:val="14"/>
          <w:szCs w:val="14"/>
          <w:color w:val="auto"/>
        </w:rPr>
        <w:t xml:space="preserve"> and </w:t>
      </w:r>
      <w:r>
        <w:rPr>
          <w:rFonts w:ascii="Arial" w:cs="Arial" w:eastAsia="Arial" w:hAnsi="Arial"/>
          <w:sz w:val="14"/>
          <w:szCs w:val="14"/>
          <w:b w:val="1"/>
          <w:bCs w:val="1"/>
          <w:color w:val="auto"/>
        </w:rPr>
        <w:t>in particular</w:t>
      </w:r>
      <w:r>
        <w:rPr>
          <w:rFonts w:ascii="Arial" w:cs="Arial" w:eastAsia="Arial" w:hAnsi="Arial"/>
          <w:sz w:val="14"/>
          <w:szCs w:val="14"/>
          <w:color w:val="auto"/>
        </w:rPr>
        <w:t xml:space="preserve"> or any similar expression are to be construed without limitation.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Exclusion of Table A articles</w:t>
      </w:r>
    </w:p>
    <w:p>
      <w:pPr>
        <w:spacing w:after="0" w:line="180"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The regulations contained in Table A in the First Schedule of the Law and any other regulations contained in any statute or subordinate legislation are expressly excluded and do not apply to the Company.</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40"/>
          </w:cols>
          <w:pgMar w:left="220" w:top="777" w:right="339" w:bottom="1440" w:gutter="0" w:footer="0" w:header="0"/>
        </w:sectPr>
      </w:pPr>
    </w:p>
    <w:bookmarkStart w:id="160" w:name="page161"/>
    <w:bookmarkEnd w:id="160"/>
    <w:p>
      <w:pPr>
        <w:ind w:left="500" w:hanging="496"/>
        <w:spacing w:after="0"/>
        <w:tabs>
          <w:tab w:leader="none" w:pos="50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Shares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issue Shares and options, with or without special rights</w:t>
      </w:r>
    </w:p>
    <w:p>
      <w:pPr>
        <w:spacing w:after="0" w:line="180" w:lineRule="exact"/>
        <w:rPr>
          <w:sz w:val="20"/>
          <w:szCs w:val="20"/>
          <w:color w:val="auto"/>
        </w:rPr>
      </w:pPr>
    </w:p>
    <w:p>
      <w:pPr>
        <w:ind w:left="500" w:hanging="504"/>
        <w:spacing w:after="0" w:line="264" w:lineRule="auto"/>
        <w:tabs>
          <w:tab w:leader="none" w:pos="4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Subject to the provisions of the Law and the Articles about the redemption and purchase of the Company's own Shares, the directors have general and unconditional authority to allot (with or without confirming rights of renunciation), grant options over or otherwise deal with any unissued Shares of the Company to such persons, at such times and on such terms and conditions as they may decide. No Share may be issued at a discount except in accordance with the provisions of the Law.</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2"/>
          <w:szCs w:val="12"/>
          <w:color w:val="auto"/>
        </w:rPr>
        <w:t>Without limitation to the preceding Article, the directors may so deal with the unissued Shares of the Company:</w:t>
      </w:r>
    </w:p>
    <w:p>
      <w:pPr>
        <w:spacing w:after="0" w:line="176" w:lineRule="exact"/>
        <w:rPr>
          <w:sz w:val="20"/>
          <w:szCs w:val="20"/>
          <w:color w:val="auto"/>
        </w:rPr>
      </w:pPr>
    </w:p>
    <w:p>
      <w:pPr>
        <w:ind w:left="1020" w:hanging="511"/>
        <w:spacing w:after="0"/>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either at a premium or at par;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with or without preferred, deferred or other special rights or restrictions whether in regard to dividend, voting, return of capital or otherwise.</w:t>
      </w:r>
    </w:p>
    <w:p>
      <w:pPr>
        <w:spacing w:after="0" w:line="176" w:lineRule="exact"/>
        <w:rPr>
          <w:sz w:val="20"/>
          <w:szCs w:val="20"/>
          <w:color w:val="auto"/>
        </w:rPr>
      </w:pPr>
    </w:p>
    <w:p>
      <w:pPr>
        <w:jc w:val="both"/>
        <w:ind w:left="500" w:right="120" w:hanging="504"/>
        <w:spacing w:after="0" w:line="264" w:lineRule="auto"/>
        <w:tabs>
          <w:tab w:leader="none" w:pos="48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Subject to Article 2.8, the directors may authorise the division of Shares into any number of classes and the different classes shall be authorised, established and designated (or re-designated, as the case may be) and the difference in the relative rights (including, without limitation, voting, dividend and redemption rights), restrictions, preferences, privileges and payment obligations as between the different classes (if any) may be fixed and determined by the directors or by a Special Resolution.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issue fractions of a Share</w:t>
      </w:r>
    </w:p>
    <w:p>
      <w:pPr>
        <w:spacing w:after="0" w:line="180" w:lineRule="exact"/>
        <w:rPr>
          <w:sz w:val="20"/>
          <w:szCs w:val="20"/>
          <w:color w:val="auto"/>
        </w:rPr>
      </w:pPr>
    </w:p>
    <w:p>
      <w:pPr>
        <w:ind w:left="500" w:right="160" w:hanging="504"/>
        <w:spacing w:after="0" w:line="277" w:lineRule="auto"/>
        <w:tabs>
          <w:tab w:leader="none" w:pos="48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pay commissions and brokerage fees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2"/>
          <w:szCs w:val="12"/>
          <w:color w:val="auto"/>
        </w:rPr>
        <w:t>The Company may pay a commission to any person in consideration of that person:</w:t>
      </w:r>
    </w:p>
    <w:p>
      <w:pPr>
        <w:spacing w:after="0" w:line="176" w:lineRule="exact"/>
        <w:rPr>
          <w:sz w:val="20"/>
          <w:szCs w:val="20"/>
          <w:color w:val="auto"/>
        </w:rPr>
      </w:pPr>
    </w:p>
    <w:p>
      <w:pPr>
        <w:ind w:left="1020" w:hanging="511"/>
        <w:spacing w:after="0"/>
        <w:tabs>
          <w:tab w:leader="none" w:pos="10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subscribing or agreeing to subscribe, whether absolutely or conditionally;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procuring or agreeing to procure subscriptions, whether absolute or conditional</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for any Shares in the Company. That commission may be satisfied by the payment of cash or the allotment of Fully Paid or partly-paid Shares or partly in one way and partly in another.</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color w:val="auto"/>
        </w:rPr>
        <w:t>The Company may employ a broker in the issue of its capital and pay him any proper commission or brokerage.</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78" w:right="25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color w:val="auto"/>
        </w:rPr>
        <w:t>Trusts not recognised</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2"/>
          <w:szCs w:val="12"/>
          <w:color w:val="auto"/>
        </w:rPr>
        <w:t>Except as required by law:</w:t>
      </w:r>
    </w:p>
    <w:p>
      <w:pPr>
        <w:spacing w:after="0" w:line="176" w:lineRule="exact"/>
        <w:rPr>
          <w:sz w:val="20"/>
          <w:szCs w:val="20"/>
          <w:color w:val="auto"/>
        </w:rPr>
      </w:pPr>
    </w:p>
    <w:p>
      <w:pPr>
        <w:ind w:left="1020" w:hanging="511"/>
        <w:spacing w:after="0"/>
        <w:tabs>
          <w:tab w:leader="none" w:pos="10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 person shall be recognised by the Company as holding any Share on any trust;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 person other than the Member shall be recognised by the Company as having any right in a Share.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vary class rights</w:t>
      </w:r>
    </w:p>
    <w:p>
      <w:pPr>
        <w:spacing w:after="0" w:line="180" w:lineRule="exact"/>
        <w:rPr>
          <w:sz w:val="20"/>
          <w:szCs w:val="20"/>
          <w:color w:val="auto"/>
        </w:rPr>
      </w:pPr>
    </w:p>
    <w:p>
      <w:pPr>
        <w:ind w:left="500" w:right="280" w:hanging="504"/>
        <w:spacing w:after="0" w:line="277" w:lineRule="auto"/>
        <w:tabs>
          <w:tab w:leader="none" w:pos="48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33" w:lineRule="exact"/>
        <w:rPr>
          <w:sz w:val="20"/>
          <w:szCs w:val="20"/>
          <w:color w:val="auto"/>
        </w:rPr>
      </w:pPr>
    </w:p>
    <w:p>
      <w:pPr>
        <w:ind w:left="1020" w:hanging="511"/>
        <w:spacing w:after="0"/>
        <w:tabs>
          <w:tab w:leader="none" w:pos="10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Members holding two thirds of the issued Shares of that class consent in writing to the variation;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variation is made with the sanction of a Special Resolution passed at a separate general meeting of the Members holding the issued Shares of that class.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2"/>
          <w:szCs w:val="12"/>
          <w:color w:val="auto"/>
        </w:rPr>
        <w:t>For the purpose of paragraph 2.8(b), all the provisions of these Articles relating to general meetings apply, mutatis mutandis, to every such separate meeting except that:</w:t>
      </w:r>
    </w:p>
    <w:p>
      <w:pPr>
        <w:spacing w:after="0" w:line="176" w:lineRule="exact"/>
        <w:rPr>
          <w:sz w:val="20"/>
          <w:szCs w:val="20"/>
          <w:color w:val="auto"/>
        </w:rPr>
      </w:pPr>
    </w:p>
    <w:p>
      <w:pPr>
        <w:ind w:left="1020" w:hanging="511"/>
        <w:spacing w:after="0"/>
        <w:tabs>
          <w:tab w:leader="none" w:pos="10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necessary quorum shall be one or more persons holding, or representing by proxy, not less than one third of the issued Shares of the class;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any Member holding issued Shares of the class, present in person or by proxy or, in the case of a corporate Member, by its duly authorised representative, may demand a poll.</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of new Share issue on existing class rights</w:t>
      </w:r>
    </w:p>
    <w:p>
      <w:pPr>
        <w:spacing w:after="0" w:line="180"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2.10</w:t>
      </w:r>
      <w:r>
        <w:rPr>
          <w:sz w:val="20"/>
          <w:szCs w:val="20"/>
          <w:color w:val="auto"/>
        </w:rPr>
        <w:tab/>
      </w:r>
      <w:r>
        <w:rPr>
          <w:rFonts w:ascii="Arial" w:cs="Arial" w:eastAsia="Arial" w:hAnsi="Arial"/>
          <w:sz w:val="14"/>
          <w:szCs w:val="14"/>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contributions without issue of further Shares</w:t>
      </w:r>
    </w:p>
    <w:p>
      <w:pPr>
        <w:spacing w:after="0" w:line="180" w:lineRule="exact"/>
        <w:rPr>
          <w:sz w:val="20"/>
          <w:szCs w:val="20"/>
          <w:color w:val="auto"/>
        </w:rPr>
      </w:pPr>
    </w:p>
    <w:p>
      <w:pPr>
        <w:ind w:left="500" w:right="60" w:hanging="504"/>
        <w:spacing w:after="0" w:line="277" w:lineRule="auto"/>
        <w:tabs>
          <w:tab w:leader="none" w:pos="480"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4"/>
          <w:szCs w:val="14"/>
          <w:color w:val="auto"/>
        </w:rPr>
        <w:t>With the consent of a Member, the directors may accept a voluntary contribution to the capital of the Company from that Member without issuing Shares in consideration for that contribution. In that event, the contribution shall be dealt with in the following manner:</w:t>
      </w:r>
    </w:p>
    <w:p>
      <w:pPr>
        <w:spacing w:after="0" w:line="133" w:lineRule="exact"/>
        <w:rPr>
          <w:sz w:val="20"/>
          <w:szCs w:val="20"/>
          <w:color w:val="auto"/>
        </w:rPr>
      </w:pPr>
    </w:p>
    <w:p>
      <w:pPr>
        <w:ind w:left="1020" w:hanging="511"/>
        <w:spacing w:after="0"/>
        <w:tabs>
          <w:tab w:leader="none" w:pos="10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It shall be treated as if it were a share premium.</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Unless the Member agrees otherwise:</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if the Member holds Shares in a single class of Shares - it shall be credited to the share premium account for that class of Shares;</w:t>
      </w:r>
    </w:p>
    <w:p>
      <w:pPr>
        <w:spacing w:after="0" w:line="175" w:lineRule="exact"/>
        <w:rPr>
          <w:rFonts w:ascii="Arial" w:cs="Arial" w:eastAsia="Arial" w:hAnsi="Arial"/>
          <w:sz w:val="14"/>
          <w:szCs w:val="14"/>
          <w:color w:val="auto"/>
        </w:rPr>
      </w:pPr>
    </w:p>
    <w:p>
      <w:pPr>
        <w:ind w:left="1480" w:right="100" w:hanging="487"/>
        <w:spacing w:after="0" w:line="277" w:lineRule="auto"/>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77" w:right="239" w:bottom="1440" w:gutter="0" w:footer="0" w:header="0"/>
        </w:sectPr>
      </w:pPr>
    </w:p>
    <w:bookmarkStart w:id="162" w:name="page163"/>
    <w:bookmarkEnd w:id="162"/>
    <w:p>
      <w:pPr>
        <w:ind w:left="1020" w:hanging="511"/>
        <w:spacing w:after="0"/>
        <w:tabs>
          <w:tab w:leader="none" w:pos="10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It shall be subject to the provisions of the Law and these Articles applicable to share premiums.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bearer Shares or warrants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2"/>
          <w:szCs w:val="12"/>
          <w:color w:val="auto"/>
        </w:rPr>
        <w:t>The Company shall not issue Shares or warrants to bearers.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Treasury Shares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2.13</w:t>
      </w:r>
      <w:r>
        <w:rPr>
          <w:sz w:val="20"/>
          <w:szCs w:val="20"/>
          <w:color w:val="auto"/>
        </w:rPr>
        <w:tab/>
      </w:r>
      <w:r>
        <w:rPr>
          <w:rFonts w:ascii="Arial" w:cs="Arial" w:eastAsia="Arial" w:hAnsi="Arial"/>
          <w:sz w:val="12"/>
          <w:szCs w:val="12"/>
          <w:color w:val="auto"/>
        </w:rPr>
        <w:t>Shares that the Company purchases, redeems or acquires by way of surrender in accordance with the Law shall be held as Treasury Shares and not treated as cancelled if:</w:t>
      </w:r>
    </w:p>
    <w:p>
      <w:pPr>
        <w:spacing w:after="0" w:line="176" w:lineRule="exact"/>
        <w:rPr>
          <w:sz w:val="20"/>
          <w:szCs w:val="20"/>
          <w:color w:val="auto"/>
        </w:rPr>
      </w:pPr>
    </w:p>
    <w:p>
      <w:pPr>
        <w:ind w:left="1020" w:hanging="511"/>
        <w:spacing w:after="0"/>
        <w:tabs>
          <w:tab w:leader="none" w:pos="10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directors so determine prior to the purchase, redemption or surrender of those shares;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relevant provisions of the Memorandum and Articles and the Law are otherwise complied with.</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attaching to Treasury Shares and related matters</w:t>
      </w:r>
    </w:p>
    <w:p>
      <w:pPr>
        <w:spacing w:after="0" w:line="180" w:lineRule="exact"/>
        <w:rPr>
          <w:sz w:val="20"/>
          <w:szCs w:val="20"/>
          <w:color w:val="auto"/>
        </w:rPr>
      </w:pPr>
    </w:p>
    <w:p>
      <w:pPr>
        <w:ind w:left="500" w:right="60" w:hanging="504"/>
        <w:spacing w:after="0" w:line="277" w:lineRule="auto"/>
        <w:tabs>
          <w:tab w:leader="none" w:pos="48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4"/>
          <w:szCs w:val="14"/>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2"/>
          <w:szCs w:val="12"/>
          <w:color w:val="auto"/>
        </w:rPr>
        <w:t>The Company shall be entered in the Register as the holder of the Treasury Shares. However:</w:t>
      </w:r>
    </w:p>
    <w:p>
      <w:pPr>
        <w:spacing w:after="0" w:line="176" w:lineRule="exact"/>
        <w:rPr>
          <w:sz w:val="20"/>
          <w:szCs w:val="20"/>
          <w:color w:val="auto"/>
        </w:rPr>
      </w:pPr>
    </w:p>
    <w:p>
      <w:pPr>
        <w:ind w:left="1020" w:hanging="511"/>
        <w:spacing w:after="0"/>
        <w:tabs>
          <w:tab w:leader="none" w:pos="10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Company shall not be treated as a member for any purpose and shall not exercise any right in respect of the Treasury Shares, and any purported exercise of such a right shall be void;</w:t>
      </w:r>
    </w:p>
    <w:p>
      <w:pPr>
        <w:spacing w:after="0" w:line="198" w:lineRule="exact"/>
        <w:rPr>
          <w:rFonts w:ascii="Arial" w:cs="Arial" w:eastAsia="Arial" w:hAnsi="Arial"/>
          <w:sz w:val="12"/>
          <w:szCs w:val="12"/>
          <w:color w:val="auto"/>
        </w:rPr>
      </w:pPr>
    </w:p>
    <w:p>
      <w:pPr>
        <w:ind w:left="1020" w:right="200" w:hanging="511"/>
        <w:spacing w:after="0" w:line="277" w:lineRule="auto"/>
        <w:tabs>
          <w:tab w:leader="none" w:pos="10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33" w:lineRule="exact"/>
        <w:rPr>
          <w:sz w:val="20"/>
          <w:szCs w:val="20"/>
          <w:color w:val="auto"/>
        </w:rPr>
      </w:pPr>
    </w:p>
    <w:p>
      <w:pPr>
        <w:ind w:left="500" w:right="140" w:hanging="504"/>
        <w:spacing w:after="0" w:line="277" w:lineRule="auto"/>
        <w:tabs>
          <w:tab w:leader="none" w:pos="480" w:val="left"/>
        </w:tabs>
        <w:rPr>
          <w:sz w:val="20"/>
          <w:szCs w:val="20"/>
          <w:color w:val="auto"/>
        </w:rPr>
      </w:pPr>
      <w:r>
        <w:rPr>
          <w:rFonts w:ascii="Arial" w:cs="Arial" w:eastAsia="Arial" w:hAnsi="Arial"/>
          <w:sz w:val="14"/>
          <w:szCs w:val="14"/>
          <w:color w:val="auto"/>
        </w:rPr>
        <w:t>2.16</w:t>
      </w:r>
      <w:r>
        <w:rPr>
          <w:sz w:val="20"/>
          <w:szCs w:val="20"/>
          <w:color w:val="auto"/>
        </w:rPr>
        <w:tab/>
      </w:r>
      <w:r>
        <w:rPr>
          <w:rFonts w:ascii="Arial" w:cs="Arial" w:eastAsia="Arial" w:hAnsi="Arial"/>
          <w:sz w:val="14"/>
          <w:szCs w:val="14"/>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2.17</w:t>
      </w:r>
      <w:r>
        <w:rPr>
          <w:sz w:val="20"/>
          <w:szCs w:val="20"/>
          <w:color w:val="auto"/>
        </w:rPr>
        <w:tab/>
      </w:r>
      <w:r>
        <w:rPr>
          <w:rFonts w:ascii="Arial" w:cs="Arial" w:eastAsia="Arial" w:hAnsi="Arial"/>
          <w:sz w:val="12"/>
          <w:szCs w:val="12"/>
          <w:color w:val="auto"/>
        </w:rPr>
        <w:t>Treasury Shares may be disposed of by the Company in accordance with the Law and otherwise on such terms and conditions as the directors determine.</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781" w:right="279" w:bottom="1440" w:gutter="0" w:footer="0" w:header="0"/>
        </w:sectPr>
      </w:pPr>
    </w:p>
    <w:bookmarkStart w:id="163" w:name="page164"/>
    <w:bookmarkEnd w:id="163"/>
    <w:p>
      <w:pPr>
        <w:jc w:val="both"/>
        <w:ind w:right="9880" w:firstLine="4"/>
        <w:spacing w:after="0" w:line="589" w:lineRule="auto"/>
        <w:tabs>
          <w:tab w:leader="none" w:pos="505"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Share certificates Issue of share certificates</w:t>
      </w: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The directors may determine that Shares may be represented by book-entry only without the need for a certificate. Subject to such determination, upon being entered in the register of members as the holder of a Share, a Member shall be entitled:</w:t>
      </w:r>
    </w:p>
    <w:p>
      <w:pPr>
        <w:spacing w:after="0" w:line="133" w:lineRule="exact"/>
        <w:rPr>
          <w:sz w:val="20"/>
          <w:szCs w:val="20"/>
          <w:color w:val="auto"/>
        </w:rPr>
      </w:pPr>
    </w:p>
    <w:p>
      <w:pPr>
        <w:ind w:left="1020" w:right="80" w:hanging="511"/>
        <w:spacing w:after="0" w:line="277" w:lineRule="auto"/>
        <w:tabs>
          <w:tab w:leader="none" w:pos="10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without payment, to one certificate for all the Shares of each class held by that Member (and, upon transferring a part of the Member's holding of Shares of any class, to a certificate for the balance of that holding); and</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upon payment of such reasonable sum as the directors may determine for every certificate after the first, to several certificates each for one or more of that Member's Shares.</w:t>
      </w:r>
    </w:p>
    <w:p>
      <w:pPr>
        <w:spacing w:after="0" w:line="187" w:lineRule="exact"/>
        <w:rPr>
          <w:sz w:val="20"/>
          <w:szCs w:val="20"/>
          <w:color w:val="auto"/>
        </w:rPr>
      </w:pPr>
    </w:p>
    <w:p>
      <w:pPr>
        <w:ind w:left="500" w:right="400" w:hanging="504"/>
        <w:spacing w:after="0" w:line="277" w:lineRule="auto"/>
        <w:tabs>
          <w:tab w:leader="none" w:pos="4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color w:val="auto"/>
        </w:rPr>
        <w:t>Every certificate shall bear legends required under the applicable laws, including the U.S. Securities Act.</w:t>
      </w:r>
    </w:p>
    <w:p>
      <w:pPr>
        <w:spacing w:after="0" w:line="176" w:lineRule="exact"/>
        <w:rPr>
          <w:sz w:val="20"/>
          <w:szCs w:val="20"/>
          <w:color w:val="auto"/>
        </w:rPr>
      </w:pPr>
    </w:p>
    <w:p>
      <w:pPr>
        <w:ind w:left="500" w:right="380" w:hanging="504"/>
        <w:spacing w:after="0" w:line="277" w:lineRule="auto"/>
        <w:tabs>
          <w:tab w:leader="none" w:pos="48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Renewal of lost or damaged share certificates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2"/>
          <w:szCs w:val="12"/>
          <w:color w:val="auto"/>
        </w:rPr>
        <w:t>If a share certificate is defaced, worn-out, lost or destroyed, it may be renewed on such terms (if any) as to:</w:t>
      </w:r>
    </w:p>
    <w:p>
      <w:pPr>
        <w:spacing w:after="0" w:line="176" w:lineRule="exact"/>
        <w:rPr>
          <w:sz w:val="20"/>
          <w:szCs w:val="20"/>
          <w:color w:val="auto"/>
        </w:rPr>
      </w:pPr>
    </w:p>
    <w:p>
      <w:pPr>
        <w:ind w:left="1020" w:hanging="511"/>
        <w:spacing w:after="0"/>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evidence;</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indemnity;</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payment of the expenses reasonably incurred by the Company in investigating the evidence;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payment of a reasonable fee, if any, for issuing a replacement share certificate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the directors may determine, and (in the case of defacement or wearing-out) on delivery to the Company of the old certificate.</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77" w:right="259" w:bottom="1440" w:gutter="0" w:footer="0" w:header="0"/>
        </w:sectPr>
      </w:pPr>
    </w:p>
    <w:bookmarkStart w:id="164" w:name="page165"/>
    <w:bookmarkEnd w:id="164"/>
    <w:p>
      <w:pPr>
        <w:jc w:val="both"/>
        <w:ind w:right="9760" w:firstLine="4"/>
        <w:spacing w:after="0" w:line="589" w:lineRule="auto"/>
        <w:tabs>
          <w:tab w:leader="none" w:pos="505"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Lien on Shares Nature and scope of lien</w:t>
      </w:r>
    </w:p>
    <w:p>
      <w:pPr>
        <w:ind w:left="500" w:right="180" w:hanging="504"/>
        <w:spacing w:after="0" w:line="277" w:lineRule="auto"/>
        <w:tabs>
          <w:tab w:leader="none" w:pos="4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133" w:lineRule="exact"/>
        <w:rPr>
          <w:sz w:val="20"/>
          <w:szCs w:val="20"/>
          <w:color w:val="auto"/>
        </w:rPr>
      </w:pPr>
    </w:p>
    <w:p>
      <w:pPr>
        <w:ind w:left="1020" w:hanging="511"/>
        <w:spacing w:after="0"/>
        <w:tabs>
          <w:tab w:leader="none" w:pos="10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either alone or jointly with any other person, whether or not that other person is a Member;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whether or not those moneys are presently payable.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color w:val="auto"/>
        </w:rPr>
        <w:t>At any time the directors may declare any Share to be wholly or partly exempt from the provisions of this Article.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may sell Shares to satisfy lien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2"/>
          <w:szCs w:val="12"/>
          <w:color w:val="auto"/>
        </w:rPr>
        <w:t>The Company may sell any Shares over which it has a lien if all of the following conditions are met:</w:t>
      </w:r>
    </w:p>
    <w:p>
      <w:pPr>
        <w:spacing w:after="0" w:line="176" w:lineRule="exact"/>
        <w:rPr>
          <w:sz w:val="20"/>
          <w:szCs w:val="20"/>
          <w:color w:val="auto"/>
        </w:rPr>
      </w:pPr>
    </w:p>
    <w:p>
      <w:pPr>
        <w:ind w:left="1020" w:hanging="511"/>
        <w:spacing w:after="0"/>
        <w:tabs>
          <w:tab w:leader="none" w:pos="10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sum in respect of which the lien exists is presently payable;</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that sum is not paid within 14 Clear Days after that notice is deemed to be given under these Articles.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2"/>
          <w:szCs w:val="12"/>
          <w:color w:val="auto"/>
        </w:rPr>
        <w:t>The Shares may be sold in such manner as the directors determine.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2"/>
          <w:szCs w:val="12"/>
          <w:color w:val="auto"/>
        </w:rPr>
        <w:t>To the maximum extent permitted by law, the directors shall incur no personal liability to the Member concerned in respect of the sale.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Authority to execute instrument of transfer</w:t>
      </w:r>
    </w:p>
    <w:p>
      <w:pPr>
        <w:spacing w:after="0" w:line="180" w:lineRule="exact"/>
        <w:rPr>
          <w:sz w:val="20"/>
          <w:szCs w:val="20"/>
          <w:color w:val="auto"/>
        </w:rPr>
      </w:pPr>
    </w:p>
    <w:p>
      <w:pPr>
        <w:ind w:left="500" w:right="60" w:hanging="504"/>
        <w:spacing w:after="0" w:line="277" w:lineRule="auto"/>
        <w:tabs>
          <w:tab w:leader="none" w:pos="48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Consequences of sale of Shares to satisfy lien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2"/>
          <w:szCs w:val="12"/>
          <w:color w:val="auto"/>
        </w:rPr>
        <w:t>On sale pursuant to the preceding Articles:</w:t>
      </w:r>
    </w:p>
    <w:p>
      <w:pPr>
        <w:spacing w:after="0" w:line="176" w:lineRule="exact"/>
        <w:rPr>
          <w:sz w:val="20"/>
          <w:szCs w:val="20"/>
          <w:color w:val="auto"/>
        </w:rPr>
      </w:pPr>
    </w:p>
    <w:p>
      <w:pPr>
        <w:ind w:left="5680" w:right="3640" w:hanging="5171"/>
        <w:spacing w:after="0" w:line="779" w:lineRule="auto"/>
        <w:tabs>
          <w:tab w:leader="none" w:pos="1023"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name of the Member concerned shall be removed from the register of members as the holder of those Shares;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-228600</wp:posOffset>
            </wp:positionV>
            <wp:extent cx="7277100" cy="13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220"/>
          </w:cols>
          <w:pgMar w:left="220" w:top="777" w:right="459" w:bottom="1440" w:gutter="0" w:footer="0" w:header="0"/>
        </w:sectPr>
      </w:pPr>
    </w:p>
    <w:bookmarkStart w:id="165" w:name="page166"/>
    <w:bookmarkEnd w:id="165"/>
    <w:p>
      <w:pPr>
        <w:ind w:left="1020" w:hanging="511"/>
        <w:spacing w:after="0"/>
        <w:tabs>
          <w:tab w:leader="none" w:pos="10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that person shall deliver to the Company for cancellation the certificate for those Shares.</w:t>
      </w:r>
    </w:p>
    <w:p>
      <w:pPr>
        <w:spacing w:after="0" w:line="176" w:lineRule="exact"/>
        <w:rPr>
          <w:sz w:val="20"/>
          <w:szCs w:val="20"/>
          <w:color w:val="auto"/>
        </w:rPr>
      </w:pPr>
    </w:p>
    <w:p>
      <w:pPr>
        <w:ind w:left="500" w:right="120"/>
        <w:spacing w:after="0" w:line="293" w:lineRule="auto"/>
        <w:rPr>
          <w:sz w:val="20"/>
          <w:szCs w:val="20"/>
          <w:color w:val="auto"/>
        </w:rPr>
      </w:pPr>
      <w:r>
        <w:rPr>
          <w:rFonts w:ascii="Arial" w:cs="Arial" w:eastAsia="Arial" w:hAnsi="Arial"/>
          <w:sz w:val="13"/>
          <w:szCs w:val="13"/>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Application of proceeds of sale</w:t>
      </w:r>
    </w:p>
    <w:p>
      <w:pPr>
        <w:spacing w:after="0" w:line="180"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33" w:lineRule="exact"/>
        <w:rPr>
          <w:sz w:val="20"/>
          <w:szCs w:val="20"/>
          <w:color w:val="auto"/>
        </w:rPr>
      </w:pPr>
    </w:p>
    <w:p>
      <w:pPr>
        <w:ind w:left="1020" w:hanging="511"/>
        <w:spacing w:after="0"/>
        <w:tabs>
          <w:tab w:leader="none" w:pos="10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if no certificate for the Shares was issued, at the date of the sale;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if a certificate for the Shares was issued, upon surrender to the Company of that certificate for cancellation.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but, in either case, subject to the Company retaining a like lien for all sums not presently payable as existed on the Shares before the sale.</w:t>
      </w:r>
    </w:p>
    <w:p>
      <w:pPr>
        <w:spacing w:after="0" w:line="172" w:lineRule="exact"/>
        <w:rPr>
          <w:sz w:val="20"/>
          <w:szCs w:val="20"/>
          <w:color w:val="auto"/>
        </w:rPr>
      </w:pPr>
    </w:p>
    <w:p>
      <w:pPr>
        <w:jc w:val="both"/>
        <w:ind w:right="9140" w:firstLine="4"/>
        <w:spacing w:after="0" w:line="589" w:lineRule="auto"/>
        <w:tabs>
          <w:tab w:leader="none" w:pos="505"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Calls on Shares and forfeiture Power to make calls and effect of calls</w:t>
      </w:r>
    </w:p>
    <w:p>
      <w:pPr>
        <w:jc w:val="both"/>
        <w:ind w:left="500" w:right="100" w:hanging="504"/>
        <w:spacing w:after="0" w:line="264" w:lineRule="auto"/>
        <w:tabs>
          <w:tab w:leader="none" w:pos="48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42" w:lineRule="exact"/>
        <w:rPr>
          <w:sz w:val="20"/>
          <w:szCs w:val="20"/>
          <w:color w:val="auto"/>
        </w:rPr>
      </w:pPr>
    </w:p>
    <w:p>
      <w:pPr>
        <w:jc w:val="both"/>
        <w:ind w:left="500" w:right="60" w:hanging="504"/>
        <w:spacing w:after="0" w:line="264" w:lineRule="auto"/>
        <w:tabs>
          <w:tab w:leader="none" w:pos="4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42" w:lineRule="exact"/>
        <w:rPr>
          <w:sz w:val="20"/>
          <w:szCs w:val="20"/>
          <w:color w:val="auto"/>
        </w:rPr>
      </w:pPr>
    </w:p>
    <w:p>
      <w:pPr>
        <w:ind w:left="500" w:right="280" w:hanging="504"/>
        <w:spacing w:after="0" w:line="277" w:lineRule="auto"/>
        <w:tabs>
          <w:tab w:leader="none" w:pos="48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Time when call made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2"/>
          <w:szCs w:val="12"/>
          <w:color w:val="auto"/>
        </w:rPr>
        <w:t>A call shall be deemed to have been made at the time when the resolution of the directors authorising the call was passed.</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81" w:right="23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color w:val="auto"/>
        </w:rPr>
        <w:t>Liability of joint holders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2"/>
          <w:szCs w:val="12"/>
          <w:color w:val="auto"/>
        </w:rPr>
        <w:t>Members registered as the joint holders of a Share shall be jointly and severally liable to pay all calls in respect of the Share.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on unpaid calls</w:t>
      </w:r>
    </w:p>
    <w:p>
      <w:pPr>
        <w:spacing w:after="0" w:line="180" w:lineRule="exact"/>
        <w:rPr>
          <w:sz w:val="20"/>
          <w:szCs w:val="20"/>
          <w:color w:val="auto"/>
        </w:rPr>
      </w:pPr>
    </w:p>
    <w:p>
      <w:pPr>
        <w:ind w:left="500" w:right="20" w:hanging="504"/>
        <w:spacing w:after="0" w:line="277" w:lineRule="auto"/>
        <w:tabs>
          <w:tab w:leader="none" w:pos="48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If a call remains unpaid after it has become due and payable the person from whom it is due and payable shall pay interest on the amount unpaid from the day it became due and payable until it is paid:</w:t>
      </w:r>
    </w:p>
    <w:p>
      <w:pPr>
        <w:spacing w:after="0" w:line="133" w:lineRule="exact"/>
        <w:rPr>
          <w:sz w:val="20"/>
          <w:szCs w:val="20"/>
          <w:color w:val="auto"/>
        </w:rPr>
      </w:pPr>
    </w:p>
    <w:p>
      <w:pPr>
        <w:ind w:left="1020" w:hanging="511"/>
        <w:spacing w:after="0"/>
        <w:tabs>
          <w:tab w:leader="none" w:pos="10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at the rate fixed by the terms of allotment of the Share or in the notice of the call;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if no rate is fixed, at the Default Rate.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directors may waive payment of the interest wholly or in part.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Deemed calls</w:t>
      </w:r>
    </w:p>
    <w:p>
      <w:pPr>
        <w:spacing w:after="0" w:line="180"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accept early payment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2"/>
          <w:szCs w:val="12"/>
          <w:color w:val="auto"/>
        </w:rPr>
        <w:t>The Company may accept from a Member the whole or a part of the amount remaining unpaid on Shares held by him although no part of that amount has been called up.</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make different arrangements at time of issue of Shares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2"/>
          <w:szCs w:val="12"/>
          <w:color w:val="auto"/>
        </w:rPr>
        <w:t>Subject to the terms of allotment, the directors may make arrangements on the issue of Shares to distinguish between Members in the amounts and times of payment of calls on their Shares.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of default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5.10</w:t>
      </w:r>
      <w:r>
        <w:rPr>
          <w:sz w:val="20"/>
          <w:szCs w:val="20"/>
          <w:color w:val="auto"/>
        </w:rPr>
        <w:tab/>
      </w:r>
      <w:r>
        <w:rPr>
          <w:rFonts w:ascii="Arial" w:cs="Arial" w:eastAsia="Arial" w:hAnsi="Arial"/>
          <w:sz w:val="12"/>
          <w:szCs w:val="12"/>
          <w:color w:val="auto"/>
        </w:rPr>
        <w:t>If a call remains unpaid after it has become due and payable the directors may give to the person from whom it is due not less than 14 Clear Days' notice requiring payment of:</w:t>
      </w:r>
    </w:p>
    <w:p>
      <w:pPr>
        <w:spacing w:after="0" w:line="176" w:lineRule="exact"/>
        <w:rPr>
          <w:sz w:val="20"/>
          <w:szCs w:val="20"/>
          <w:color w:val="auto"/>
        </w:rPr>
      </w:pPr>
    </w:p>
    <w:p>
      <w:pPr>
        <w:ind w:left="1020" w:hanging="511"/>
        <w:spacing w:after="0"/>
        <w:tabs>
          <w:tab w:leader="none" w:pos="10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amount unpaid;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any interest which may have accrued;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any expenses which have been incurred by the Company due to that person's default.</w:t>
      </w:r>
    </w:p>
    <w:p>
      <w:pPr>
        <w:spacing w:after="0" w:line="17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5.11</w:t>
      </w:r>
      <w:r>
        <w:rPr>
          <w:rFonts w:ascii="Arial" w:cs="Arial" w:eastAsia="Arial" w:hAnsi="Arial"/>
          <w:sz w:val="12"/>
          <w:szCs w:val="12"/>
          <w:color w:val="auto"/>
        </w:rPr>
        <w:t>The notice shall state the following:</w:t>
      </w:r>
    </w:p>
    <w:p>
      <w:pPr>
        <w:spacing w:after="0" w:line="176" w:lineRule="exact"/>
        <w:rPr>
          <w:sz w:val="20"/>
          <w:szCs w:val="20"/>
          <w:color w:val="auto"/>
        </w:rPr>
      </w:pPr>
    </w:p>
    <w:p>
      <w:pPr>
        <w:ind w:left="1020" w:hanging="511"/>
        <w:spacing w:after="0"/>
        <w:tabs>
          <w:tab w:leader="none" w:pos="10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place where payment is to be made; and</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77" w:right="239" w:bottom="1440" w:gutter="0" w:footer="0" w:header="0"/>
        </w:sectPr>
      </w:pPr>
    </w:p>
    <w:bookmarkStart w:id="167" w:name="page168"/>
    <w:bookmarkEnd w:id="167"/>
    <w:p>
      <w:pPr>
        <w:ind w:left="1020" w:hanging="511"/>
        <w:spacing w:after="0"/>
        <w:tabs>
          <w:tab w:leader="none" w:pos="10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 warning that if the notice is not complied with the Shares in respect of which the call is made will be liable to be forfeited.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Forfeiture or surrender of Shares</w:t>
      </w:r>
    </w:p>
    <w:p>
      <w:pPr>
        <w:spacing w:after="0" w:line="180" w:lineRule="exact"/>
        <w:rPr>
          <w:sz w:val="20"/>
          <w:szCs w:val="20"/>
          <w:color w:val="auto"/>
        </w:rPr>
      </w:pPr>
    </w:p>
    <w:p>
      <w:pPr>
        <w:ind w:left="500" w:right="60" w:hanging="504"/>
        <w:spacing w:after="0" w:line="293" w:lineRule="auto"/>
        <w:tabs>
          <w:tab w:leader="none" w:pos="480" w:val="left"/>
        </w:tabs>
        <w:rPr>
          <w:sz w:val="20"/>
          <w:szCs w:val="20"/>
          <w:color w:val="auto"/>
        </w:rPr>
      </w:pPr>
      <w:r>
        <w:rPr>
          <w:rFonts w:ascii="Arial" w:cs="Arial" w:eastAsia="Arial" w:hAnsi="Arial"/>
          <w:sz w:val="14"/>
          <w:szCs w:val="14"/>
          <w:color w:val="auto"/>
        </w:rPr>
        <w:t>5.12</w:t>
      </w:r>
      <w:r>
        <w:rPr>
          <w:sz w:val="20"/>
          <w:szCs w:val="20"/>
          <w:color w:val="auto"/>
        </w:rPr>
        <w:tab/>
      </w:r>
      <w:r>
        <w:rPr>
          <w:rFonts w:ascii="Arial" w:cs="Arial" w:eastAsia="Arial" w:hAnsi="Arial"/>
          <w:sz w:val="13"/>
          <w:szCs w:val="13"/>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Disposal of forfeited or surrendered Share and power to cancel forfeiture or surrender</w:t>
      </w:r>
    </w:p>
    <w:p>
      <w:pPr>
        <w:spacing w:after="0" w:line="180" w:lineRule="exact"/>
        <w:rPr>
          <w:sz w:val="20"/>
          <w:szCs w:val="20"/>
          <w:color w:val="auto"/>
        </w:rPr>
      </w:pPr>
    </w:p>
    <w:p>
      <w:pPr>
        <w:ind w:left="500" w:hanging="504"/>
        <w:spacing w:after="0" w:line="328" w:lineRule="auto"/>
        <w:tabs>
          <w:tab w:leader="none" w:pos="480" w:val="left"/>
        </w:tabs>
        <w:rPr>
          <w:sz w:val="20"/>
          <w:szCs w:val="20"/>
          <w:color w:val="auto"/>
        </w:rPr>
      </w:pPr>
      <w:r>
        <w:rPr>
          <w:rFonts w:ascii="Arial" w:cs="Arial" w:eastAsia="Arial" w:hAnsi="Arial"/>
          <w:sz w:val="14"/>
          <w:szCs w:val="14"/>
          <w:color w:val="auto"/>
        </w:rPr>
        <w:t>5.13</w:t>
      </w:r>
      <w:r>
        <w:rPr>
          <w:sz w:val="20"/>
          <w:szCs w:val="20"/>
          <w:color w:val="auto"/>
        </w:rPr>
        <w:tab/>
      </w:r>
      <w:r>
        <w:rPr>
          <w:rFonts w:ascii="Arial" w:cs="Arial" w:eastAsia="Arial" w:hAnsi="Arial"/>
          <w:sz w:val="12"/>
          <w:szCs w:val="12"/>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of forfeiture or surrender on former Member</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5.14</w:t>
      </w:r>
      <w:r>
        <w:rPr>
          <w:sz w:val="20"/>
          <w:szCs w:val="20"/>
          <w:color w:val="auto"/>
        </w:rPr>
        <w:tab/>
      </w:r>
      <w:r>
        <w:rPr>
          <w:rFonts w:ascii="Arial" w:cs="Arial" w:eastAsia="Arial" w:hAnsi="Arial"/>
          <w:sz w:val="12"/>
          <w:szCs w:val="12"/>
          <w:color w:val="auto"/>
        </w:rPr>
        <w:t>On forfeiture or surrender:</w:t>
      </w:r>
    </w:p>
    <w:p>
      <w:pPr>
        <w:spacing w:after="0" w:line="176" w:lineRule="exact"/>
        <w:rPr>
          <w:sz w:val="20"/>
          <w:szCs w:val="20"/>
          <w:color w:val="auto"/>
        </w:rPr>
      </w:pPr>
    </w:p>
    <w:p>
      <w:pPr>
        <w:ind w:left="1020" w:right="200" w:hanging="511"/>
        <w:spacing w:after="0" w:line="277" w:lineRule="auto"/>
        <w:tabs>
          <w:tab w:leader="none" w:pos="10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name of the Member concerned shall be removed from the register of members as the holder of those Shares and that person shall cease to be a Member in respect of those Shares; and</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that person shall surrender to the Company for cancellation the certificate (if any) for the forfeited or surrendered Shares.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5.15</w:t>
      </w:r>
      <w:r>
        <w:rPr>
          <w:sz w:val="20"/>
          <w:szCs w:val="20"/>
          <w:color w:val="auto"/>
        </w:rPr>
        <w:tab/>
      </w:r>
      <w:r>
        <w:rPr>
          <w:rFonts w:ascii="Arial" w:cs="Arial" w:eastAsia="Arial" w:hAnsi="Arial"/>
          <w:sz w:val="12"/>
          <w:szCs w:val="12"/>
          <w:color w:val="auto"/>
        </w:rPr>
        <w:t>Despite the forfeiture or surrender of his Shares, that person shall remain liable to the Company for all moneys which at the date of forfeiture or surrender were presently payable by him to the</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Company in respect of those Shares together with:</w:t>
      </w:r>
    </w:p>
    <w:p>
      <w:pPr>
        <w:spacing w:after="0" w:line="165" w:lineRule="exact"/>
        <w:rPr>
          <w:sz w:val="20"/>
          <w:szCs w:val="20"/>
          <w:color w:val="auto"/>
        </w:rPr>
      </w:pPr>
    </w:p>
    <w:p>
      <w:pPr>
        <w:ind w:left="1020" w:hanging="511"/>
        <w:spacing w:after="0"/>
        <w:tabs>
          <w:tab w:leader="none" w:pos="10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all expenses;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interest from the date of forfeiture or surrender until payment:</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at the rate of which interest was payable on those moneys before forfeiture; or</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if no interest was so payable, at the Default Rate.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directors, however, may waive payment wholly or in part.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81" w:right="21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b w:val="1"/>
          <w:bCs w:val="1"/>
          <w:color w:val="auto"/>
        </w:rPr>
        <w:t>Evidence of forfeiture or surrender</w:t>
      </w:r>
    </w:p>
    <w:p>
      <w:pPr>
        <w:spacing w:after="0" w:line="180"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5.16</w:t>
      </w:r>
      <w:r>
        <w:rPr>
          <w:sz w:val="20"/>
          <w:szCs w:val="20"/>
          <w:color w:val="auto"/>
        </w:rPr>
        <w:tab/>
      </w:r>
      <w:r>
        <w:rPr>
          <w:rFonts w:ascii="Arial" w:cs="Arial" w:eastAsia="Arial" w:hAnsi="Arial"/>
          <w:sz w:val="14"/>
          <w:szCs w:val="14"/>
          <w:color w:val="auto"/>
        </w:rPr>
        <w:t>A declaration, whether statutory or under oath, made by a director or the Secretary shall be conclusive evidence of the following matters stated in it as against all persons claiming to be entitled to forfeited Shares:</w:t>
      </w:r>
    </w:p>
    <w:p>
      <w:pPr>
        <w:spacing w:after="0" w:line="133" w:lineRule="exact"/>
        <w:rPr>
          <w:sz w:val="20"/>
          <w:szCs w:val="20"/>
          <w:color w:val="auto"/>
        </w:rPr>
      </w:pPr>
    </w:p>
    <w:p>
      <w:pPr>
        <w:ind w:left="1020" w:hanging="511"/>
        <w:spacing w:after="0"/>
        <w:tabs>
          <w:tab w:leader="none" w:pos="10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that the person making the declaration is a director or Secretary of the Company,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that the particular Shares have been forfeited or surrendered on a particular date.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Subject to the execution of an instrument of transfer, if necessary, the declaration shall constitute good title to the Shares.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forfeited or surrendered Shares</w:t>
      </w:r>
    </w:p>
    <w:p>
      <w:pPr>
        <w:spacing w:after="0" w:line="180" w:lineRule="exact"/>
        <w:rPr>
          <w:sz w:val="20"/>
          <w:szCs w:val="20"/>
          <w:color w:val="auto"/>
        </w:rPr>
      </w:pPr>
    </w:p>
    <w:p>
      <w:pPr>
        <w:ind w:left="500" w:right="80" w:hanging="504"/>
        <w:spacing w:after="0" w:line="277" w:lineRule="auto"/>
        <w:tabs>
          <w:tab w:leader="none" w:pos="480" w:val="left"/>
        </w:tabs>
        <w:rPr>
          <w:sz w:val="20"/>
          <w:szCs w:val="20"/>
          <w:color w:val="auto"/>
        </w:rPr>
      </w:pPr>
      <w:r>
        <w:rPr>
          <w:rFonts w:ascii="Arial" w:cs="Arial" w:eastAsia="Arial" w:hAnsi="Arial"/>
          <w:sz w:val="14"/>
          <w:szCs w:val="14"/>
          <w:color w:val="auto"/>
        </w:rPr>
        <w:t>5.17</w:t>
      </w:r>
      <w:r>
        <w:rPr>
          <w:sz w:val="20"/>
          <w:szCs w:val="20"/>
          <w:color w:val="auto"/>
        </w:rPr>
        <w:tab/>
      </w:r>
      <w:r>
        <w:rPr>
          <w:rFonts w:ascii="Arial" w:cs="Arial" w:eastAsia="Arial" w:hAnsi="Arial"/>
          <w:sz w:val="14"/>
          <w:szCs w:val="14"/>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29" w:lineRule="exact"/>
        <w:rPr>
          <w:sz w:val="20"/>
          <w:szCs w:val="20"/>
          <w:color w:val="auto"/>
        </w:rPr>
      </w:pPr>
    </w:p>
    <w:p>
      <w:pPr>
        <w:ind w:right="9820" w:firstLine="4"/>
        <w:spacing w:after="0" w:line="504" w:lineRule="auto"/>
        <w:tabs>
          <w:tab w:leader="none" w:pos="505"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Transfer of Shares Form of transfer</w:t>
      </w:r>
    </w:p>
    <w:p>
      <w:pPr>
        <w:spacing w:after="0" w:line="1" w:lineRule="exact"/>
        <w:rPr>
          <w:sz w:val="20"/>
          <w:szCs w:val="20"/>
          <w:color w:val="auto"/>
        </w:rPr>
      </w:pPr>
    </w:p>
    <w:p>
      <w:pPr>
        <w:ind w:left="500" w:right="100" w:hanging="504"/>
        <w:spacing w:after="0" w:line="277" w:lineRule="auto"/>
        <w:tabs>
          <w:tab w:leader="none" w:pos="48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Subject to the following Articles about the transfer of Shares, a Member may transfer Shares to another person by completing an instrument of transfer, in a common form or in a form approved by the directors, executed:</w:t>
      </w:r>
    </w:p>
    <w:p>
      <w:pPr>
        <w:spacing w:after="0" w:line="133" w:lineRule="exact"/>
        <w:rPr>
          <w:sz w:val="20"/>
          <w:szCs w:val="20"/>
          <w:color w:val="auto"/>
        </w:rPr>
      </w:pPr>
    </w:p>
    <w:p>
      <w:pPr>
        <w:ind w:left="1020" w:hanging="511"/>
        <w:spacing w:after="0"/>
        <w:tabs>
          <w:tab w:leader="none" w:pos="10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where the Shares are Fully Paid, by or on behalf of that Member;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where the Shares are partly paid, by or on behalf of that Member and the transferee.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refuse registration</w:t>
      </w:r>
    </w:p>
    <w:p>
      <w:pPr>
        <w:spacing w:after="0" w:line="180" w:lineRule="exact"/>
        <w:rPr>
          <w:sz w:val="20"/>
          <w:szCs w:val="20"/>
          <w:color w:val="auto"/>
        </w:rPr>
      </w:pPr>
    </w:p>
    <w:p>
      <w:pPr>
        <w:ind w:left="500" w:right="120" w:hanging="504"/>
        <w:spacing w:after="0" w:line="277" w:lineRule="auto"/>
        <w:tabs>
          <w:tab w:leader="none" w:pos="48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The directors may refuse to register the transfer of a Share to any person. They may do so in their absolute discretion, without giving any reason for their refusal, and irrespective of whether the Share is Fully Paid or the Company has no lien over it.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of refusal to register</w:t>
      </w:r>
    </w:p>
    <w:p>
      <w:pPr>
        <w:spacing w:after="0" w:line="180" w:lineRule="exact"/>
        <w:rPr>
          <w:sz w:val="20"/>
          <w:szCs w:val="20"/>
          <w:color w:val="auto"/>
        </w:rPr>
      </w:pPr>
    </w:p>
    <w:p>
      <w:pPr>
        <w:ind w:left="500" w:right="240" w:hanging="504"/>
        <w:spacing w:after="0" w:line="277" w:lineRule="auto"/>
        <w:tabs>
          <w:tab w:leader="none" w:pos="48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If the directors refuse to register a transfer of a Share, they must send notice of their refusal to the existing Member within two months after the date on which the transfer was lodged with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suspend registration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color w:val="auto"/>
        </w:rPr>
        <w:t>The directors may suspend registration of the transfer of Shares at such times and for such periods, not exceeding 30 days in any calendar year, as they determine.</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78" w:right="23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color w:val="auto"/>
        </w:rPr>
        <w:t>Fee, if any, payable for registration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2"/>
          <w:szCs w:val="12"/>
          <w:color w:val="auto"/>
        </w:rPr>
        <w:t>If the directors so decide, the Company may charge a reasonable fee for the registration of any instrument of transfer or other document relating to the title to a Share.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may retain instrument of transfer</w:t>
      </w:r>
    </w:p>
    <w:p>
      <w:pPr>
        <w:spacing w:after="0" w:line="180"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29" w:lineRule="exact"/>
        <w:rPr>
          <w:sz w:val="20"/>
          <w:szCs w:val="20"/>
          <w:color w:val="auto"/>
        </w:rPr>
      </w:pPr>
    </w:p>
    <w:p>
      <w:pPr>
        <w:ind w:right="9060" w:firstLine="4"/>
        <w:spacing w:after="0" w:line="589" w:lineRule="auto"/>
        <w:tabs>
          <w:tab w:leader="none" w:pos="505"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Transmission of Shares Persons entitled on death of a Member</w:t>
      </w:r>
    </w:p>
    <w:p>
      <w:pPr>
        <w:spacing w:after="0"/>
        <w:tabs>
          <w:tab w:leader="none" w:pos="48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2"/>
          <w:szCs w:val="12"/>
          <w:color w:val="auto"/>
        </w:rPr>
        <w:t>If a Member dies, the only persons recognised by the Company as having any title to the deceased Members' interest are the following:</w:t>
      </w:r>
    </w:p>
    <w:p>
      <w:pPr>
        <w:spacing w:after="0" w:line="176" w:lineRule="exact"/>
        <w:rPr>
          <w:sz w:val="20"/>
          <w:szCs w:val="20"/>
          <w:color w:val="auto"/>
        </w:rPr>
      </w:pPr>
    </w:p>
    <w:p>
      <w:pPr>
        <w:ind w:left="1020" w:hanging="511"/>
        <w:spacing w:after="0"/>
        <w:tabs>
          <w:tab w:leader="none" w:pos="10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where the deceased Member was a joint holder, the survivor or survivors;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where the deceased Member was a sole holder, that Member's personal representative or representatives.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color w:val="auto"/>
        </w:rPr>
        <w:t>Nothing in these Articles shall release the deceased Member's estate from any liability in respect of any Share, whether the deceased was a sole holder or a joint holder.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of transfer of a Share following death or bankruptcy</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2"/>
          <w:szCs w:val="12"/>
          <w:color w:val="auto"/>
        </w:rPr>
        <w:t>A person becoming entitled to a Share in consequence of the death or bankruptcy of a Member may elect to do either of the following:</w:t>
      </w:r>
    </w:p>
    <w:p>
      <w:pPr>
        <w:spacing w:after="0" w:line="176" w:lineRule="exact"/>
        <w:rPr>
          <w:sz w:val="20"/>
          <w:szCs w:val="20"/>
          <w:color w:val="auto"/>
        </w:rPr>
      </w:pPr>
    </w:p>
    <w:p>
      <w:pPr>
        <w:ind w:left="1020" w:hanging="511"/>
        <w:spacing w:after="0"/>
        <w:tabs>
          <w:tab w:leader="none" w:pos="10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to become the holder of the Share;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to transfer the Share to another person.</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2"/>
          <w:szCs w:val="12"/>
          <w:color w:val="auto"/>
        </w:rPr>
        <w:t>That person must produce such evidence of his entitlement as the directors may properly require.</w:t>
      </w:r>
    </w:p>
    <w:p>
      <w:pPr>
        <w:spacing w:after="0" w:line="176" w:lineRule="exact"/>
        <w:rPr>
          <w:sz w:val="20"/>
          <w:szCs w:val="20"/>
          <w:color w:val="auto"/>
        </w:rPr>
      </w:pPr>
    </w:p>
    <w:p>
      <w:pPr>
        <w:ind w:left="500" w:right="380" w:hanging="504"/>
        <w:spacing w:after="0" w:line="277" w:lineRule="auto"/>
        <w:tabs>
          <w:tab w:leader="none" w:pos="48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2"/>
          <w:szCs w:val="12"/>
          <w:color w:val="auto"/>
        </w:rPr>
        <w:t>If the person elects to transfer the Share to another person then:</w:t>
      </w:r>
    </w:p>
    <w:p>
      <w:pPr>
        <w:spacing w:after="0" w:line="176" w:lineRule="exact"/>
        <w:rPr>
          <w:sz w:val="20"/>
          <w:szCs w:val="20"/>
          <w:color w:val="auto"/>
        </w:rPr>
      </w:pPr>
    </w:p>
    <w:p>
      <w:pPr>
        <w:ind w:left="1020" w:hanging="511"/>
        <w:spacing w:after="0"/>
        <w:tabs>
          <w:tab w:leader="none" w:pos="10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if the Share is Fully Paid, the transferor must execute an instrument of transfer;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if the Share is partly paid, the transferor and the transferee must execute an instrument of transfer.</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778" w:right="299" w:bottom="1440" w:gutter="0" w:footer="0" w:header="0"/>
        </w:sectPr>
      </w:pPr>
    </w:p>
    <w:bookmarkStart w:id="170" w:name="page171"/>
    <w:bookmarkEnd w:id="170"/>
    <w:p>
      <w:pPr>
        <w:spacing w:after="0"/>
        <w:tabs>
          <w:tab w:leader="none" w:pos="48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2"/>
          <w:szCs w:val="12"/>
          <w:color w:val="auto"/>
        </w:rPr>
        <w:t>All the Articles relating to the transfer of Shares shall apply to the notice or, as appropriate, the instrument of transfer.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Indemnity</w:t>
      </w:r>
    </w:p>
    <w:p>
      <w:pPr>
        <w:spacing w:after="0" w:line="180" w:lineRule="exact"/>
        <w:rPr>
          <w:sz w:val="20"/>
          <w:szCs w:val="20"/>
          <w:color w:val="auto"/>
        </w:rPr>
      </w:pPr>
    </w:p>
    <w:p>
      <w:pPr>
        <w:ind w:left="500" w:right="20" w:hanging="504"/>
        <w:spacing w:after="0" w:line="277" w:lineRule="auto"/>
        <w:tabs>
          <w:tab w:leader="none" w:pos="48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person entitled to a Share following death or bankruptcy</w:t>
      </w:r>
    </w:p>
    <w:p>
      <w:pPr>
        <w:spacing w:after="0" w:line="180" w:lineRule="exact"/>
        <w:rPr>
          <w:sz w:val="20"/>
          <w:szCs w:val="20"/>
          <w:color w:val="auto"/>
        </w:rPr>
      </w:pPr>
    </w:p>
    <w:p>
      <w:pPr>
        <w:ind w:left="500" w:hanging="504"/>
        <w:spacing w:after="0" w:line="264" w:lineRule="auto"/>
        <w:tabs>
          <w:tab w:leader="none" w:pos="480" w:val="left"/>
        </w:tabs>
        <w:rPr>
          <w:sz w:val="20"/>
          <w:szCs w:val="20"/>
          <w:color w:val="auto"/>
        </w:rPr>
      </w:pP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 in the Company.</w:t>
      </w:r>
    </w:p>
    <w:p>
      <w:pPr>
        <w:spacing w:after="0" w:line="138" w:lineRule="exact"/>
        <w:rPr>
          <w:sz w:val="20"/>
          <w:szCs w:val="20"/>
          <w:color w:val="auto"/>
        </w:rPr>
      </w:pPr>
    </w:p>
    <w:p>
      <w:pPr>
        <w:ind w:left="500" w:hanging="496"/>
        <w:spacing w:after="0"/>
        <w:tabs>
          <w:tab w:leader="none" w:pos="500"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Alteration of capital</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Increasing, consolidating, converting, dividing and cancelling share capital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2"/>
          <w:szCs w:val="12"/>
          <w:color w:val="auto"/>
        </w:rPr>
        <w:t>To the fullest extent permitted by the Law, the Company may by Ordinary Resolution do any of the following and amend its Memorandum for that purpose:</w:t>
      </w:r>
    </w:p>
    <w:p>
      <w:pPr>
        <w:spacing w:after="0" w:line="176" w:lineRule="exact"/>
        <w:rPr>
          <w:sz w:val="20"/>
          <w:szCs w:val="20"/>
          <w:color w:val="auto"/>
        </w:rPr>
      </w:pPr>
    </w:p>
    <w:p>
      <w:pPr>
        <w:ind w:left="1020" w:hanging="511"/>
        <w:spacing w:after="0"/>
        <w:tabs>
          <w:tab w:leader="none" w:pos="10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increase its share capital by new Shares of the amount fixed by that Ordinary Resolution and with the attached rights, priorities and privileges set out in that Ordinary Resolution;</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consolidate and divide all or any of its share capital into Shares of larger amount than its existing Shares;</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convert all or any of its Paid Up Shares into stock, and reconvert that stock into Paid Up Shares of any denomination;</w:t>
      </w:r>
    </w:p>
    <w:p>
      <w:pPr>
        <w:spacing w:after="0" w:line="175" w:lineRule="exact"/>
        <w:rPr>
          <w:rFonts w:ascii="Arial" w:cs="Arial" w:eastAsia="Arial" w:hAnsi="Arial"/>
          <w:sz w:val="14"/>
          <w:szCs w:val="14"/>
          <w:color w:val="auto"/>
        </w:rPr>
      </w:pPr>
    </w:p>
    <w:p>
      <w:pPr>
        <w:ind w:left="1020" w:right="20" w:hanging="511"/>
        <w:spacing w:after="0" w:line="317" w:lineRule="auto"/>
        <w:tabs>
          <w:tab w:leader="none" w:pos="10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10" w:lineRule="exact"/>
        <w:rPr>
          <w:rFonts w:ascii="Arial" w:cs="Arial" w:eastAsia="Arial" w:hAnsi="Arial"/>
          <w:sz w:val="13"/>
          <w:szCs w:val="13"/>
          <w:color w:val="auto"/>
        </w:rPr>
      </w:pPr>
    </w:p>
    <w:p>
      <w:pPr>
        <w:ind w:left="1020" w:right="100" w:hanging="511"/>
        <w:spacing w:after="0" w:line="317" w:lineRule="auto"/>
        <w:tabs>
          <w:tab w:leader="none" w:pos="10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81" w:right="25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b w:val="1"/>
          <w:bCs w:val="1"/>
          <w:color w:val="auto"/>
        </w:rPr>
        <w:t>Dealing with fractions resulting from consolidation of Shares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2"/>
          <w:szCs w:val="12"/>
          <w:color w:val="auto"/>
        </w:rPr>
        <w:t>Whenever, as a result of a consolidation of Shares, any Members would become entitled to fractions of a Share the directors may on behalf of those Members:</w:t>
      </w:r>
    </w:p>
    <w:p>
      <w:pPr>
        <w:spacing w:after="0" w:line="176" w:lineRule="exact"/>
        <w:rPr>
          <w:sz w:val="20"/>
          <w:szCs w:val="20"/>
          <w:color w:val="auto"/>
        </w:rPr>
      </w:pPr>
    </w:p>
    <w:p>
      <w:pPr>
        <w:ind w:left="1020" w:hanging="511"/>
        <w:spacing w:after="0"/>
        <w:tabs>
          <w:tab w:leader="none" w:pos="10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sell the Shares representing the fractions for the best price reasonably obtainable to any person (including, subject to the provisions of the Law, the Company);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distribute the net proceeds in due proportion among those Members.</w:t>
      </w:r>
    </w:p>
    <w:p>
      <w:pPr>
        <w:spacing w:after="0" w:line="176" w:lineRule="exact"/>
        <w:rPr>
          <w:sz w:val="20"/>
          <w:szCs w:val="20"/>
          <w:color w:val="auto"/>
        </w:rPr>
      </w:pPr>
    </w:p>
    <w:p>
      <w:pPr>
        <w:ind w:left="500" w:right="120"/>
        <w:spacing w:after="0" w:line="364" w:lineRule="auto"/>
        <w:rPr>
          <w:sz w:val="20"/>
          <w:szCs w:val="20"/>
          <w:color w:val="auto"/>
        </w:rPr>
      </w:pPr>
      <w:r>
        <w:rPr>
          <w:rFonts w:ascii="Arial" w:cs="Arial" w:eastAsia="Arial" w:hAnsi="Arial"/>
          <w:sz w:val="12"/>
          <w:szCs w:val="12"/>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Reducing share capital</w:t>
      </w:r>
    </w:p>
    <w:p>
      <w:pPr>
        <w:spacing w:after="0" w:line="180" w:lineRule="exact"/>
        <w:rPr>
          <w:sz w:val="20"/>
          <w:szCs w:val="20"/>
          <w:color w:val="auto"/>
        </w:rPr>
      </w:pPr>
    </w:p>
    <w:p>
      <w:pPr>
        <w:ind w:left="500" w:right="180" w:hanging="504"/>
        <w:spacing w:after="0" w:line="277" w:lineRule="auto"/>
        <w:tabs>
          <w:tab w:leader="none" w:pos="48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Subject to the Law and to any rights for the time being conferred on the Members holding a particular class of Shares, the Company may, by Special Resolution, reduce its share capital in any way.</w:t>
      </w:r>
    </w:p>
    <w:p>
      <w:pPr>
        <w:spacing w:after="0" w:line="129" w:lineRule="exact"/>
        <w:rPr>
          <w:sz w:val="20"/>
          <w:szCs w:val="20"/>
          <w:color w:val="auto"/>
        </w:rPr>
      </w:pPr>
    </w:p>
    <w:p>
      <w:pPr>
        <w:ind w:left="500" w:hanging="496"/>
        <w:spacing w:after="0"/>
        <w:tabs>
          <w:tab w:leader="none" w:pos="500" w:val="left"/>
        </w:tabs>
        <w:numPr>
          <w:ilvl w:val="0"/>
          <w:numId w:val="124"/>
        </w:numPr>
        <w:rPr>
          <w:rFonts w:ascii="Arial" w:cs="Arial" w:eastAsia="Arial" w:hAnsi="Arial"/>
          <w:sz w:val="14"/>
          <w:szCs w:val="14"/>
          <w:b w:val="1"/>
          <w:bCs w:val="1"/>
          <w:color w:val="auto"/>
        </w:rPr>
      </w:pPr>
      <w:r>
        <w:rPr>
          <w:rFonts w:ascii="Arial" w:cs="Arial" w:eastAsia="Arial" w:hAnsi="Arial"/>
          <w:sz w:val="14"/>
          <w:szCs w:val="14"/>
          <w:b w:val="1"/>
          <w:bCs w:val="1"/>
          <w:color w:val="auto"/>
        </w:rPr>
        <w:t>Redemption and purchase of own Shares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issue redeemable Shares and to purchase own Shares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2"/>
          <w:szCs w:val="12"/>
          <w:color w:val="auto"/>
        </w:rPr>
        <w:t>Subject to the Law, and to any rights for the time being conferred on the Members holding a particular class of Shares, the Company may by its directors:</w:t>
      </w:r>
    </w:p>
    <w:p>
      <w:pPr>
        <w:spacing w:after="0" w:line="176" w:lineRule="exact"/>
        <w:rPr>
          <w:sz w:val="20"/>
          <w:szCs w:val="20"/>
          <w:color w:val="auto"/>
        </w:rPr>
      </w:pPr>
    </w:p>
    <w:p>
      <w:pPr>
        <w:ind w:left="1020" w:hanging="511"/>
        <w:spacing w:after="0" w:line="277" w:lineRule="auto"/>
        <w:tabs>
          <w:tab w:leader="none" w:pos="10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33" w:lineRule="exact"/>
        <w:rPr>
          <w:rFonts w:ascii="Arial" w:cs="Arial" w:eastAsia="Arial" w:hAnsi="Arial"/>
          <w:sz w:val="14"/>
          <w:szCs w:val="14"/>
          <w:color w:val="auto"/>
        </w:rPr>
      </w:pPr>
    </w:p>
    <w:p>
      <w:pPr>
        <w:ind w:left="1020" w:right="160" w:hanging="511"/>
        <w:spacing w:after="0" w:line="317" w:lineRule="auto"/>
        <w:tabs>
          <w:tab w:leader="none" w:pos="10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10" w:lineRule="exact"/>
        <w:rPr>
          <w:rFonts w:ascii="Arial" w:cs="Arial" w:eastAsia="Arial" w:hAnsi="Arial"/>
          <w:sz w:val="13"/>
          <w:szCs w:val="13"/>
          <w:color w:val="auto"/>
        </w:rPr>
      </w:pPr>
    </w:p>
    <w:p>
      <w:pPr>
        <w:ind w:left="1020" w:hanging="511"/>
        <w:spacing w:after="0"/>
        <w:tabs>
          <w:tab w:leader="none" w:pos="10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purchase all or any of its own Shares of any class including any redeemable Shares on the terms and in the manner which the directors determine at the time of such purchase.</w:t>
      </w:r>
    </w:p>
    <w:p>
      <w:pPr>
        <w:spacing w:after="0" w:line="187" w:lineRule="exact"/>
        <w:rPr>
          <w:sz w:val="20"/>
          <w:szCs w:val="20"/>
          <w:color w:val="auto"/>
        </w:rPr>
      </w:pPr>
    </w:p>
    <w:p>
      <w:pPr>
        <w:ind w:left="500" w:right="100"/>
        <w:spacing w:after="0" w:line="277" w:lineRule="auto"/>
        <w:rPr>
          <w:sz w:val="20"/>
          <w:szCs w:val="20"/>
          <w:color w:val="auto"/>
        </w:rPr>
      </w:pPr>
      <w:r>
        <w:rPr>
          <w:rFonts w:ascii="Arial" w:cs="Arial" w:eastAsia="Arial" w:hAnsi="Arial"/>
          <w:sz w:val="14"/>
          <w:szCs w:val="14"/>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pay for redemption or purchase in cash or in specie</w:t>
      </w:r>
    </w:p>
    <w:p>
      <w:pPr>
        <w:spacing w:after="0" w:line="180" w:lineRule="exact"/>
        <w:rPr>
          <w:sz w:val="20"/>
          <w:szCs w:val="20"/>
          <w:color w:val="auto"/>
        </w:rPr>
      </w:pPr>
    </w:p>
    <w:p>
      <w:pPr>
        <w:ind w:left="500" w:right="80" w:hanging="504"/>
        <w:spacing w:after="0" w:line="364" w:lineRule="auto"/>
        <w:tabs>
          <w:tab w:leader="none" w:pos="4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2"/>
          <w:szCs w:val="12"/>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9.1, or otherwise by agreement with the Member holding those Shares.</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777" w:right="27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color w:val="auto"/>
        </w:rPr>
        <w:t>Effect of redemption or purchase of a Share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2"/>
          <w:szCs w:val="12"/>
          <w:color w:val="auto"/>
        </w:rPr>
        <w:t>Upon the date of redemption or purchase of a Share:</w:t>
      </w:r>
    </w:p>
    <w:p>
      <w:pPr>
        <w:spacing w:after="0" w:line="176" w:lineRule="exact"/>
        <w:rPr>
          <w:sz w:val="20"/>
          <w:szCs w:val="20"/>
          <w:color w:val="auto"/>
        </w:rPr>
      </w:pPr>
    </w:p>
    <w:p>
      <w:pPr>
        <w:ind w:left="1020" w:hanging="511"/>
        <w:spacing w:after="0"/>
        <w:tabs>
          <w:tab w:leader="none" w:pos="10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Member holding that Share shall cease to be entitled to any rights in respect of the Share other than the right to receive:</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the price for the Share; and</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any dividend declared in respect of the Share prior to the date of redemption or purchase;</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Member's name shall be removed from the register of members with respect to the Share;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Share shall be cancelled or held as a Treasury Share, as the directors may determine.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the purpose of this Article, the date of redemption or purchase is the date when the redemption or purchase falls due.</w:t>
      </w:r>
    </w:p>
    <w:p>
      <w:pPr>
        <w:spacing w:after="0" w:line="172" w:lineRule="exact"/>
        <w:rPr>
          <w:sz w:val="20"/>
          <w:szCs w:val="20"/>
          <w:color w:val="auto"/>
        </w:rPr>
      </w:pPr>
    </w:p>
    <w:p>
      <w:pPr>
        <w:ind w:left="500" w:hanging="496"/>
        <w:spacing w:after="0"/>
        <w:tabs>
          <w:tab w:leader="none" w:pos="500"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Meetings of Members</w:t>
      </w:r>
    </w:p>
    <w:p>
      <w:pPr>
        <w:spacing w:after="0" w:line="17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Power to call meetings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2"/>
          <w:szCs w:val="12"/>
          <w:color w:val="auto"/>
        </w:rPr>
        <w:t>The directors may call a general meeting at any time.</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2"/>
          <w:szCs w:val="12"/>
          <w:color w:val="auto"/>
        </w:rPr>
        <w:t>The directors must also call a general meeting if requisitioned in the manner set out in the next two Articles.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2"/>
          <w:szCs w:val="12"/>
          <w:color w:val="auto"/>
        </w:rPr>
        <w:t>The requisition must be in writing and given by one or more Members who together hold at least 40% of the rights to vote at such general meeting.</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2"/>
          <w:szCs w:val="12"/>
          <w:color w:val="auto"/>
        </w:rPr>
        <w:t>The requisition must also:</w:t>
      </w:r>
    </w:p>
    <w:p>
      <w:pPr>
        <w:spacing w:after="0" w:line="176" w:lineRule="exact"/>
        <w:rPr>
          <w:sz w:val="20"/>
          <w:szCs w:val="20"/>
          <w:color w:val="auto"/>
        </w:rPr>
      </w:pPr>
    </w:p>
    <w:p>
      <w:pPr>
        <w:ind w:left="1020" w:hanging="511"/>
        <w:spacing w:after="0"/>
        <w:tabs>
          <w:tab w:leader="none" w:pos="10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specify the specific purpose of the meeting, including the specific resolutions to be considered at such meeting.</w:t>
      </w:r>
    </w:p>
    <w:p>
      <w:pPr>
        <w:spacing w:after="0" w:line="175" w:lineRule="exact"/>
        <w:rPr>
          <w:rFonts w:ascii="Arial" w:cs="Arial" w:eastAsia="Arial" w:hAnsi="Arial"/>
          <w:sz w:val="14"/>
          <w:szCs w:val="14"/>
          <w:color w:val="auto"/>
        </w:rPr>
      </w:pPr>
    </w:p>
    <w:p>
      <w:pPr>
        <w:ind w:left="1020" w:right="120" w:hanging="511"/>
        <w:spacing w:after="0" w:line="277" w:lineRule="auto"/>
        <w:tabs>
          <w:tab w:leader="none" w:pos="10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33" w:lineRule="exact"/>
        <w:rPr>
          <w:rFonts w:ascii="Arial" w:cs="Arial" w:eastAsia="Arial" w:hAnsi="Arial"/>
          <w:sz w:val="14"/>
          <w:szCs w:val="14"/>
          <w:color w:val="auto"/>
        </w:rPr>
      </w:pPr>
    </w:p>
    <w:p>
      <w:pPr>
        <w:ind w:left="1020" w:right="100" w:hanging="511"/>
        <w:spacing w:after="0" w:line="317" w:lineRule="auto"/>
        <w:tabs>
          <w:tab w:leader="none" w:pos="10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be delivered in accordance with the notice provisions, provided that commencing upon completion of an offering of Shares pursuant to which the Shares shall be listed on a Designated Stock Exchange, such notice must be provided to the Company at least 120 days prior to the anniversary date of the previous year’s annual general meeting.</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77" w:right="259" w:bottom="1440" w:gutter="0" w:footer="0" w:header="0"/>
        </w:sectPr>
      </w:pPr>
    </w:p>
    <w:bookmarkStart w:id="173" w:name="page174"/>
    <w:bookmarkEnd w:id="173"/>
    <w:p>
      <w:pPr>
        <w:ind w:left="500" w:right="40" w:hanging="504"/>
        <w:spacing w:after="0" w:line="277" w:lineRule="auto"/>
        <w:tabs>
          <w:tab w:leader="none" w:pos="48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Should the directors fail to call a general meeting within 120 Clear Days from the date of receipt of a requisition, the requisitioners or any of them may call a general meeting within three months after the end of that period.</w:t>
      </w:r>
    </w:p>
    <w:p>
      <w:pPr>
        <w:spacing w:after="0" w:line="133" w:lineRule="exact"/>
        <w:rPr>
          <w:sz w:val="20"/>
          <w:szCs w:val="20"/>
          <w:color w:val="auto"/>
        </w:rPr>
      </w:pPr>
    </w:p>
    <w:p>
      <w:pPr>
        <w:jc w:val="both"/>
        <w:ind w:left="500" w:right="100" w:hanging="504"/>
        <w:spacing w:after="0" w:line="264" w:lineRule="auto"/>
        <w:tabs>
          <w:tab w:leader="none" w:pos="48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Without limitation to the foregoing, if there are insufficient directors to constitute a quorum and the remaining directors are unable to agree on the appointment of additional directors, any one or more Members who together hold at least 10% of the rights to vote at a general meeting may call a general meeting for the purpose of considering the business specified in the notice of meeting which shall include as an item of business the appointment of additional directors.</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2"/>
          <w:szCs w:val="12"/>
          <w:color w:val="auto"/>
        </w:rPr>
        <w:t>If the Members call a meeting under the above provisions, the Company shall reimburse their reasonable expenses.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Content of notice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2"/>
          <w:szCs w:val="12"/>
          <w:color w:val="auto"/>
        </w:rPr>
        <w:t>Notice of a general meeting shall specify each of the following:</w:t>
      </w:r>
    </w:p>
    <w:p>
      <w:pPr>
        <w:spacing w:after="0" w:line="176" w:lineRule="exact"/>
        <w:rPr>
          <w:sz w:val="20"/>
          <w:szCs w:val="20"/>
          <w:color w:val="auto"/>
        </w:rPr>
      </w:pPr>
    </w:p>
    <w:p>
      <w:pPr>
        <w:ind w:left="1020" w:hanging="511"/>
        <w:spacing w:after="0"/>
        <w:tabs>
          <w:tab w:leader="none" w:pos="10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place, the date and the hour of the meeting;</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the meeting is to be held in two or more places, the technology that will be used to facilitate the meeting;</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subject to paragraph 10.9(d), the general nature of the business to be transacted;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a resolution is proposed as a Special Resolution, the text of that resolution.</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2"/>
          <w:szCs w:val="12"/>
          <w:color w:val="auto"/>
        </w:rPr>
        <w:t>In each notice there shall appear with reasonable prominence the following statements:</w:t>
      </w:r>
    </w:p>
    <w:p>
      <w:pPr>
        <w:spacing w:after="0" w:line="176" w:lineRule="exact"/>
        <w:rPr>
          <w:sz w:val="20"/>
          <w:szCs w:val="20"/>
          <w:color w:val="auto"/>
        </w:rPr>
      </w:pPr>
    </w:p>
    <w:p>
      <w:pPr>
        <w:ind w:left="1020" w:hanging="511"/>
        <w:spacing w:after="0"/>
        <w:tabs>
          <w:tab w:leader="none" w:pos="10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that a Member who is entitled to attend and vote is entitled to appoint one or more proxies to attend and vote instead of that Member;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that a proxyholder need not be a Member.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 of notice</w:t>
      </w:r>
    </w:p>
    <w:p>
      <w:pPr>
        <w:spacing w:after="0" w:line="180"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10.11</w:t>
        <w:tab/>
        <w:t>At least 10 Clear Days' notice of a general meeting must be given to Members. But a meeting may be convened on shorter notice with the consent of the Member or Members who, individually or collectively, hold at least 90% of the voting rights of all those who have a right to vote at that meeting.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Persons entitled to receive notice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2"/>
          <w:szCs w:val="12"/>
          <w:color w:val="auto"/>
        </w:rPr>
        <w:t>Subject to the provisions of these Articles and to any restrictions imposed on any Shares, the notice shall be given to the following people:</w:t>
      </w:r>
    </w:p>
    <w:p>
      <w:pPr>
        <w:spacing w:after="0" w:line="176" w:lineRule="exact"/>
        <w:rPr>
          <w:sz w:val="20"/>
          <w:szCs w:val="20"/>
          <w:color w:val="auto"/>
        </w:rPr>
      </w:pPr>
    </w:p>
    <w:p>
      <w:pPr>
        <w:ind w:left="1020" w:hanging="511"/>
        <w:spacing w:after="0"/>
        <w:tabs>
          <w:tab w:leader="none" w:pos="10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Members;</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persons entitled to a Share in consequence of the death or bankruptcy of a Member; and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82" w:right="219" w:bottom="1440" w:gutter="0" w:footer="0" w:header="0"/>
        </w:sectPr>
      </w:pPr>
    </w:p>
    <w:bookmarkStart w:id="174" w:name="page175"/>
    <w:bookmarkEnd w:id="174"/>
    <w:p>
      <w:pPr>
        <w:ind w:left="1020" w:hanging="511"/>
        <w:spacing w:after="0"/>
        <w:tabs>
          <w:tab w:leader="none" w:pos="10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Publication of notice on a website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2"/>
          <w:szCs w:val="12"/>
          <w:color w:val="auto"/>
        </w:rPr>
        <w:t>Subject to the Law, a notice of a general meeting may be published on a website providing the recipient is given separate notice of:</w:t>
      </w:r>
    </w:p>
    <w:p>
      <w:pPr>
        <w:spacing w:after="0" w:line="176" w:lineRule="exact"/>
        <w:rPr>
          <w:sz w:val="20"/>
          <w:szCs w:val="20"/>
          <w:color w:val="auto"/>
        </w:rPr>
      </w:pPr>
    </w:p>
    <w:p>
      <w:pPr>
        <w:ind w:left="1020" w:hanging="511"/>
        <w:spacing w:after="0"/>
        <w:tabs>
          <w:tab w:leader="none" w:pos="10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publication of the notice on the website;</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place on the website where the notice may be accessed;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how it may be accessed;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place, date and time of the general meeting.</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10.14</w:t>
        <w:tab/>
        <w:t>If a Member notifies the Company that he is unable for any reason to access the website, the Company must as soon as practicable give notice of the meeting to that Member by any other means permitted by these Articles. But this will not affect when that Member is deemed to have received notice of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Time a website notice is deemed to be given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10.15</w:t>
      </w:r>
      <w:r>
        <w:rPr>
          <w:sz w:val="20"/>
          <w:szCs w:val="20"/>
          <w:color w:val="auto"/>
        </w:rPr>
        <w:tab/>
      </w:r>
      <w:r>
        <w:rPr>
          <w:rFonts w:ascii="Arial" w:cs="Arial" w:eastAsia="Arial" w:hAnsi="Arial"/>
          <w:sz w:val="12"/>
          <w:szCs w:val="12"/>
          <w:color w:val="auto"/>
        </w:rPr>
        <w:t>A website notice is deemed to be given when the Member is given notice of its publication.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Required duration of publication on a website</w:t>
      </w:r>
    </w:p>
    <w:p>
      <w:pPr>
        <w:spacing w:after="0" w:line="180" w:lineRule="exact"/>
        <w:rPr>
          <w:sz w:val="20"/>
          <w:szCs w:val="20"/>
          <w:color w:val="auto"/>
        </w:rPr>
      </w:pPr>
    </w:p>
    <w:p>
      <w:pPr>
        <w:ind w:left="500" w:right="100" w:hanging="504"/>
        <w:spacing w:after="0" w:line="277" w:lineRule="auto"/>
        <w:tabs>
          <w:tab w:leader="none" w:pos="480" w:val="left"/>
        </w:tabs>
        <w:rPr>
          <w:sz w:val="20"/>
          <w:szCs w:val="20"/>
          <w:color w:val="auto"/>
        </w:rPr>
      </w:pPr>
      <w:r>
        <w:rPr>
          <w:rFonts w:ascii="Arial" w:cs="Arial" w:eastAsia="Arial" w:hAnsi="Arial"/>
          <w:sz w:val="14"/>
          <w:szCs w:val="14"/>
          <w:color w:val="auto"/>
        </w:rPr>
        <w:t>10.16</w:t>
        <w:tab/>
        <w:t>Where the notice of meeting is published on a website, it shall continue to be published in the same place on that website from the date of the notification until the conclusion of the meeting to which the notice relates.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Accidental omission to give notice or non-receipt of notice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10.17</w:t>
      </w:r>
      <w:r>
        <w:rPr>
          <w:sz w:val="20"/>
          <w:szCs w:val="20"/>
          <w:color w:val="auto"/>
        </w:rPr>
        <w:tab/>
      </w:r>
      <w:r>
        <w:rPr>
          <w:rFonts w:ascii="Arial" w:cs="Arial" w:eastAsia="Arial" w:hAnsi="Arial"/>
          <w:sz w:val="12"/>
          <w:szCs w:val="12"/>
          <w:color w:val="auto"/>
        </w:rPr>
        <w:t>Proceedings at a meeting shall not be invalidated by the following:</w:t>
      </w:r>
    </w:p>
    <w:p>
      <w:pPr>
        <w:spacing w:after="0" w:line="176" w:lineRule="exact"/>
        <w:rPr>
          <w:sz w:val="20"/>
          <w:szCs w:val="20"/>
          <w:color w:val="auto"/>
        </w:rPr>
      </w:pPr>
    </w:p>
    <w:p>
      <w:pPr>
        <w:ind w:left="1020" w:hanging="511"/>
        <w:spacing w:after="0"/>
        <w:tabs>
          <w:tab w:leader="none" w:pos="10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an accidental failure to give notice of the meeting to any person entitled to notice;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non-receipt of notice of the meeting by any person entitled to notice.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10.18</w:t>
      </w:r>
      <w:r>
        <w:rPr>
          <w:sz w:val="20"/>
          <w:szCs w:val="20"/>
          <w:color w:val="auto"/>
        </w:rPr>
        <w:tab/>
      </w:r>
      <w:r>
        <w:rPr>
          <w:rFonts w:ascii="Arial" w:cs="Arial" w:eastAsia="Arial" w:hAnsi="Arial"/>
          <w:sz w:val="12"/>
          <w:szCs w:val="12"/>
          <w:color w:val="auto"/>
        </w:rPr>
        <w:t>In addition, where a notice of meeting is published on a website, proceedings at the meeting shall not be invalidated merely because it is accidentally published:</w:t>
      </w:r>
    </w:p>
    <w:p>
      <w:pPr>
        <w:spacing w:after="0" w:line="176" w:lineRule="exact"/>
        <w:rPr>
          <w:sz w:val="20"/>
          <w:szCs w:val="20"/>
          <w:color w:val="auto"/>
        </w:rPr>
      </w:pPr>
    </w:p>
    <w:p>
      <w:pPr>
        <w:ind w:left="1020" w:hanging="511"/>
        <w:spacing w:after="0"/>
        <w:tabs>
          <w:tab w:leader="none" w:pos="10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 a different place on the website;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for part only of the period from the date of the notification until the conclusion of the meeting to which the notice relates.</w:t>
      </w: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60"/>
          </w:cols>
          <w:pgMar w:left="220" w:top="781" w:right="319" w:bottom="1440" w:gutter="0" w:footer="0" w:header="0"/>
        </w:sectPr>
      </w:pPr>
    </w:p>
    <w:bookmarkStart w:id="175" w:name="page176"/>
    <w:bookmarkEnd w:id="175"/>
    <w:p>
      <w:pPr>
        <w:ind w:right="8760" w:firstLine="4"/>
        <w:spacing w:after="0" w:line="504" w:lineRule="auto"/>
        <w:tabs>
          <w:tab w:leader="none" w:pos="505"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Proceedings at meetings of Members Quorum</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2"/>
          <w:szCs w:val="12"/>
          <w:color w:val="auto"/>
        </w:rPr>
        <w:t>Save as provided in the following Article, no business shall be transacted at any meeting unless a quorum is present in person or by proxy. A quorum is as follows:</w:t>
      </w:r>
    </w:p>
    <w:p>
      <w:pPr>
        <w:spacing w:after="0" w:line="176" w:lineRule="exact"/>
        <w:rPr>
          <w:sz w:val="20"/>
          <w:szCs w:val="20"/>
          <w:color w:val="auto"/>
        </w:rPr>
      </w:pPr>
    </w:p>
    <w:p>
      <w:pPr>
        <w:ind w:left="1020" w:hanging="511"/>
        <w:spacing w:after="0"/>
        <w:tabs>
          <w:tab w:leader="none" w:pos="10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if the Company has only one Member: that Member;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if the Company has more than one Member: one or more Members who together hold at least one-third of the rights to vote at such general meeting.</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Lack of quorum</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2"/>
          <w:szCs w:val="12"/>
          <w:color w:val="auto"/>
        </w:rPr>
        <w:t>If a quorum is not present within 15 minutes of the time appointed for the meeting, or if at any time during the meeting it becomes inquorate, then the following provisions apply:</w:t>
      </w:r>
    </w:p>
    <w:p>
      <w:pPr>
        <w:spacing w:after="0" w:line="176" w:lineRule="exact"/>
        <w:rPr>
          <w:sz w:val="20"/>
          <w:szCs w:val="20"/>
          <w:color w:val="auto"/>
        </w:rPr>
      </w:pPr>
    </w:p>
    <w:p>
      <w:pPr>
        <w:ind w:left="1020" w:hanging="511"/>
        <w:spacing w:after="0"/>
        <w:tabs>
          <w:tab w:leader="none" w:pos="10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If the meeting was requisitioned by Members, it shall be cancelled.</w:t>
      </w:r>
    </w:p>
    <w:p>
      <w:pPr>
        <w:spacing w:after="0" w:line="175" w:lineRule="exact"/>
        <w:rPr>
          <w:rFonts w:ascii="Arial" w:cs="Arial" w:eastAsia="Arial" w:hAnsi="Arial"/>
          <w:sz w:val="14"/>
          <w:szCs w:val="14"/>
          <w:color w:val="auto"/>
        </w:rPr>
      </w:pPr>
    </w:p>
    <w:p>
      <w:pPr>
        <w:ind w:left="1020" w:right="360" w:hanging="511"/>
        <w:spacing w:after="0" w:line="317" w:lineRule="auto"/>
        <w:tabs>
          <w:tab w:leader="none" w:pos="10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Members present in person or by proxy shall constitute a quorum.</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technology</w:t>
      </w:r>
    </w:p>
    <w:p>
      <w:pPr>
        <w:spacing w:after="0" w:line="180" w:lineRule="exact"/>
        <w:rPr>
          <w:sz w:val="20"/>
          <w:szCs w:val="20"/>
          <w:color w:val="auto"/>
        </w:rPr>
      </w:pPr>
    </w:p>
    <w:p>
      <w:pPr>
        <w:ind w:left="500" w:right="340" w:hanging="504"/>
        <w:spacing w:after="0" w:line="317" w:lineRule="auto"/>
        <w:tabs>
          <w:tab w:leader="none" w:pos="48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2"/>
          <w:szCs w:val="12"/>
          <w:color w:val="auto"/>
        </w:rPr>
        <w:t>The chairman of a general meeting shall be the chairman of the board or such other director as the directors have nominated to chair board meetings in the absence of the chairman of the board.</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Absent any such person being present within 15 minutes of the time appointed for the meeting, the directors present shall elect one of their number to chair the meeting.</w:t>
      </w:r>
    </w:p>
    <w:p>
      <w:pPr>
        <w:spacing w:after="0" w:line="165"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4"/>
          <w:szCs w:val="14"/>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of a director to attend and speak</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2"/>
          <w:szCs w:val="12"/>
          <w:color w:val="auto"/>
        </w:rPr>
        <w:t>Even if a director is not a Member, he shall be entitled to attend and speak at any general meeting and at any separate meeting of Members holding a particular class of Shares in the Company.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77" w:right="21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b w:val="1"/>
          <w:bCs w:val="1"/>
          <w:color w:val="auto"/>
        </w:rPr>
        <w:t>Adjournment</w:t>
      </w:r>
    </w:p>
    <w:p>
      <w:pPr>
        <w:spacing w:after="0" w:line="180" w:lineRule="exact"/>
        <w:rPr>
          <w:sz w:val="20"/>
          <w:szCs w:val="20"/>
          <w:color w:val="auto"/>
        </w:rPr>
      </w:pPr>
    </w:p>
    <w:p>
      <w:pPr>
        <w:ind w:left="500" w:right="280" w:hanging="504"/>
        <w:spacing w:after="0" w:line="277" w:lineRule="auto"/>
        <w:tabs>
          <w:tab w:leader="none" w:pos="48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4"/>
          <w:szCs w:val="14"/>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33" w:lineRule="exact"/>
        <w:rPr>
          <w:sz w:val="20"/>
          <w:szCs w:val="20"/>
          <w:color w:val="auto"/>
        </w:rPr>
      </w:pPr>
    </w:p>
    <w:p>
      <w:pPr>
        <w:ind w:left="500" w:right="40" w:hanging="504"/>
        <w:spacing w:after="0" w:line="317" w:lineRule="auto"/>
        <w:tabs>
          <w:tab w:leader="none" w:pos="48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3"/>
          <w:szCs w:val="13"/>
          <w:color w:val="auto"/>
        </w:rPr>
        <w:t>Should a meeting be adjourned for more than seven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voting</w:t>
      </w:r>
    </w:p>
    <w:p>
      <w:pPr>
        <w:spacing w:after="0" w:line="180" w:lineRule="exact"/>
        <w:rPr>
          <w:sz w:val="20"/>
          <w:szCs w:val="20"/>
          <w:color w:val="auto"/>
        </w:rPr>
      </w:pPr>
    </w:p>
    <w:p>
      <w:pPr>
        <w:ind w:left="500" w:right="280" w:hanging="504"/>
        <w:spacing w:after="0" w:line="277" w:lineRule="auto"/>
        <w:tabs>
          <w:tab w:leader="none" w:pos="48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4"/>
          <w:szCs w:val="14"/>
          <w:color w:val="auto"/>
        </w:rPr>
        <w:t>A resolution put to the vote of the meeting shall be decided on a show of hands unless before, or on the declaration of the result of the show of hands, a poll is duly demanded. A poll may be demanded:</w:t>
      </w:r>
    </w:p>
    <w:p>
      <w:pPr>
        <w:spacing w:after="0" w:line="133" w:lineRule="exact"/>
        <w:rPr>
          <w:sz w:val="20"/>
          <w:szCs w:val="20"/>
          <w:color w:val="auto"/>
        </w:rPr>
      </w:pPr>
    </w:p>
    <w:p>
      <w:pPr>
        <w:ind w:left="1020" w:hanging="511"/>
        <w:spacing w:after="0"/>
        <w:tabs>
          <w:tab w:leader="none" w:pos="10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by the chairman;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by any Member or Members present who, individually or collectively, hold at least 10% of the voting rights of all those who have a right to vote on the resolution.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Outcome of vote by show of hands</w:t>
      </w:r>
    </w:p>
    <w:p>
      <w:pPr>
        <w:spacing w:after="0" w:line="180" w:lineRule="exact"/>
        <w:rPr>
          <w:sz w:val="20"/>
          <w:szCs w:val="20"/>
          <w:color w:val="auto"/>
        </w:rPr>
      </w:pPr>
    </w:p>
    <w:p>
      <w:pPr>
        <w:ind w:left="500" w:right="80" w:hanging="504"/>
        <w:spacing w:after="0" w:line="277" w:lineRule="auto"/>
        <w:tabs>
          <w:tab w:leader="none" w:pos="480" w:val="left"/>
        </w:tabs>
        <w:rPr>
          <w:sz w:val="20"/>
          <w:szCs w:val="20"/>
          <w:color w:val="auto"/>
        </w:rPr>
      </w:pPr>
      <w:r>
        <w:rPr>
          <w:rFonts w:ascii="Arial" w:cs="Arial" w:eastAsia="Arial" w:hAnsi="Arial"/>
          <w:sz w:val="14"/>
          <w:szCs w:val="14"/>
          <w:color w:val="auto"/>
        </w:rPr>
        <w:t>11.10</w:t>
        <w:tab/>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Withdrawal of demand for a poll</w:t>
      </w:r>
    </w:p>
    <w:p>
      <w:pPr>
        <w:spacing w:after="0" w:line="180" w:lineRule="exact"/>
        <w:rPr>
          <w:sz w:val="20"/>
          <w:szCs w:val="20"/>
          <w:color w:val="auto"/>
        </w:rPr>
      </w:pPr>
    </w:p>
    <w:p>
      <w:pPr>
        <w:jc w:val="both"/>
        <w:ind w:left="500" w:hanging="504"/>
        <w:spacing w:after="0" w:line="264" w:lineRule="auto"/>
        <w:tabs>
          <w:tab w:leader="none" w:pos="480" w:val="left"/>
        </w:tabs>
        <w:rPr>
          <w:sz w:val="20"/>
          <w:szCs w:val="20"/>
          <w:color w:val="auto"/>
        </w:rPr>
      </w:pPr>
      <w:r>
        <w:rPr>
          <w:rFonts w:ascii="Arial" w:cs="Arial" w:eastAsia="Arial" w:hAnsi="Arial"/>
          <w:sz w:val="14"/>
          <w:szCs w:val="14"/>
          <w:color w:val="auto"/>
        </w:rPr>
        <w:t>11.11</w:t>
        <w:tab/>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Taking of a poll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2"/>
          <w:szCs w:val="12"/>
          <w:color w:val="auto"/>
        </w:rPr>
        <w:t>A poll demanded on the question of adjournment shall be taken immediately.</w:t>
      </w:r>
    </w:p>
    <w:p>
      <w:pPr>
        <w:spacing w:after="0" w:line="176" w:lineRule="exact"/>
        <w:rPr>
          <w:sz w:val="20"/>
          <w:szCs w:val="20"/>
          <w:color w:val="auto"/>
        </w:rPr>
      </w:pPr>
    </w:p>
    <w:p>
      <w:pPr>
        <w:ind w:left="500" w:right="120" w:hanging="504"/>
        <w:spacing w:after="0" w:line="277" w:lineRule="auto"/>
        <w:tabs>
          <w:tab w:leader="none" w:pos="480" w:val="left"/>
        </w:tabs>
        <w:rPr>
          <w:sz w:val="20"/>
          <w:szCs w:val="20"/>
          <w:color w:val="auto"/>
        </w:rPr>
      </w:pPr>
      <w:r>
        <w:rPr>
          <w:rFonts w:ascii="Arial" w:cs="Arial" w:eastAsia="Arial" w:hAnsi="Arial"/>
          <w:sz w:val="14"/>
          <w:szCs w:val="14"/>
          <w:color w:val="auto"/>
        </w:rPr>
        <w:t>11.13</w:t>
        <w:tab/>
        <w:t>A poll demanded on any other question shall be taken either immediately or at an adjourned meeting at such time and place as the chairman directs, not being more than 30 Clear Days after the poll was demanded.</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11.14</w:t>
      </w:r>
      <w:r>
        <w:rPr>
          <w:sz w:val="20"/>
          <w:szCs w:val="20"/>
          <w:color w:val="auto"/>
        </w:rPr>
        <w:tab/>
      </w:r>
      <w:r>
        <w:rPr>
          <w:rFonts w:ascii="Arial" w:cs="Arial" w:eastAsia="Arial" w:hAnsi="Arial"/>
          <w:sz w:val="12"/>
          <w:szCs w:val="12"/>
          <w:color w:val="auto"/>
        </w:rPr>
        <w:t>The demand for a poll shall not prevent the meeting continuing to transact any business other than the question on which the poll was demanded.</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77" w:right="259" w:bottom="1440" w:gutter="0" w:footer="0" w:header="0"/>
        </w:sectPr>
      </w:pPr>
    </w:p>
    <w:bookmarkStart w:id="177" w:name="page178"/>
    <w:bookmarkEnd w:id="177"/>
    <w:p>
      <w:pPr>
        <w:ind w:left="500" w:right="60" w:hanging="504"/>
        <w:spacing w:after="0" w:line="264" w:lineRule="auto"/>
        <w:tabs>
          <w:tab w:leader="none" w:pos="480" w:val="left"/>
        </w:tabs>
        <w:rPr>
          <w:sz w:val="20"/>
          <w:szCs w:val="20"/>
          <w:color w:val="auto"/>
        </w:rPr>
      </w:pPr>
      <w:r>
        <w:rPr>
          <w:rFonts w:ascii="Arial" w:cs="Arial" w:eastAsia="Arial" w:hAnsi="Arial"/>
          <w:sz w:val="14"/>
          <w:szCs w:val="14"/>
          <w:color w:val="auto"/>
        </w:rPr>
        <w:t>11.15</w:t>
        <w:tab/>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Chairman's casting vote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11.16</w:t>
      </w:r>
      <w:r>
        <w:rPr>
          <w:sz w:val="20"/>
          <w:szCs w:val="20"/>
          <w:color w:val="auto"/>
        </w:rPr>
        <w:tab/>
      </w:r>
      <w:r>
        <w:rPr>
          <w:rFonts w:ascii="Arial" w:cs="Arial" w:eastAsia="Arial" w:hAnsi="Arial"/>
          <w:sz w:val="12"/>
          <w:szCs w:val="12"/>
          <w:color w:val="auto"/>
        </w:rPr>
        <w:t>If the votes on a resolution, whether on a show of hands or on a poll, are equal the chairman may if he wishes exercise a casting vote.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to resolutions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11.17</w:t>
      </w:r>
      <w:r>
        <w:rPr>
          <w:sz w:val="20"/>
          <w:szCs w:val="20"/>
          <w:color w:val="auto"/>
        </w:rPr>
        <w:tab/>
      </w:r>
      <w:r>
        <w:rPr>
          <w:rFonts w:ascii="Arial" w:cs="Arial" w:eastAsia="Arial" w:hAnsi="Arial"/>
          <w:sz w:val="12"/>
          <w:szCs w:val="12"/>
          <w:color w:val="auto"/>
        </w:rPr>
        <w:t>An Ordinary Resolution to be proposed at a general meeting may be amended by Ordinary Resolution if:</w:t>
      </w:r>
    </w:p>
    <w:p>
      <w:pPr>
        <w:spacing w:after="0" w:line="176" w:lineRule="exact"/>
        <w:rPr>
          <w:sz w:val="20"/>
          <w:szCs w:val="20"/>
          <w:color w:val="auto"/>
        </w:rPr>
      </w:pPr>
    </w:p>
    <w:p>
      <w:pPr>
        <w:ind w:left="1000" w:hanging="501"/>
        <w:spacing w:after="0" w:line="277" w:lineRule="auto"/>
        <w:tabs>
          <w:tab w:leader="none" w:pos="100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133" w:lineRule="exact"/>
        <w:rPr>
          <w:rFonts w:ascii="Arial" w:cs="Arial" w:eastAsia="Arial" w:hAnsi="Arial"/>
          <w:sz w:val="14"/>
          <w:szCs w:val="14"/>
          <w:color w:val="auto"/>
        </w:rPr>
      </w:pPr>
    </w:p>
    <w:p>
      <w:pPr>
        <w:ind w:left="1000" w:hanging="501"/>
        <w:spacing w:after="0"/>
        <w:tabs>
          <w:tab w:leader="none" w:pos="100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proposed amendment does not, in the reasonable opinion of the chairman of the meeting, materially alter the scope of the resolution.</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11.18</w:t>
      </w:r>
      <w:r>
        <w:rPr>
          <w:sz w:val="20"/>
          <w:szCs w:val="20"/>
          <w:color w:val="auto"/>
        </w:rPr>
        <w:tab/>
      </w:r>
      <w:r>
        <w:rPr>
          <w:rFonts w:ascii="Arial" w:cs="Arial" w:eastAsia="Arial" w:hAnsi="Arial"/>
          <w:sz w:val="12"/>
          <w:szCs w:val="12"/>
          <w:color w:val="auto"/>
        </w:rPr>
        <w:t>A Special Resolution to be proposed at a general meeting may be amended by Ordinary Resolution, if:</w:t>
      </w:r>
    </w:p>
    <w:p>
      <w:pPr>
        <w:spacing w:after="0" w:line="176" w:lineRule="exact"/>
        <w:rPr>
          <w:sz w:val="20"/>
          <w:szCs w:val="20"/>
          <w:color w:val="auto"/>
        </w:rPr>
      </w:pPr>
    </w:p>
    <w:p>
      <w:pPr>
        <w:ind w:left="1000" w:hanging="501"/>
        <w:spacing w:after="0"/>
        <w:tabs>
          <w:tab w:leader="none" w:pos="10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chairman of the meeting proposes the amendment at the general meeting at which the resolution is to be proposed;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amendment does not go beyond what the chairman considers is necessary to correct a grammatical or other non-substantive error in the resolution.</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11.19</w:t>
      </w:r>
      <w:r>
        <w:rPr>
          <w:sz w:val="20"/>
          <w:szCs w:val="20"/>
          <w:color w:val="auto"/>
        </w:rPr>
        <w:tab/>
      </w:r>
      <w:r>
        <w:rPr>
          <w:rFonts w:ascii="Arial" w:cs="Arial" w:eastAsia="Arial" w:hAnsi="Arial"/>
          <w:sz w:val="12"/>
          <w:szCs w:val="12"/>
          <w:color w:val="auto"/>
        </w:rPr>
        <w:t>If the chairman of the meeting, acting in good faith, wrongly decides that an amendment to a resolution is out of order, the chairman's error does not invalidate the vote on that resolution.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Written resolutions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11.20</w:t>
      </w:r>
      <w:r>
        <w:rPr>
          <w:sz w:val="20"/>
          <w:szCs w:val="20"/>
          <w:color w:val="auto"/>
        </w:rPr>
        <w:tab/>
      </w:r>
      <w:r>
        <w:rPr>
          <w:rFonts w:ascii="Arial" w:cs="Arial" w:eastAsia="Arial" w:hAnsi="Arial"/>
          <w:sz w:val="12"/>
          <w:szCs w:val="12"/>
          <w:color w:val="auto"/>
        </w:rPr>
        <w:t>Members may pass a resolution in writing without holding a meeting if the following conditions are met:</w:t>
      </w:r>
    </w:p>
    <w:p>
      <w:pPr>
        <w:spacing w:after="0" w:line="176" w:lineRule="exact"/>
        <w:rPr>
          <w:sz w:val="20"/>
          <w:szCs w:val="20"/>
          <w:color w:val="auto"/>
        </w:rPr>
      </w:pPr>
    </w:p>
    <w:p>
      <w:pPr>
        <w:ind w:left="1000" w:hanging="501"/>
        <w:spacing w:after="0"/>
        <w:tabs>
          <w:tab w:leader="none" w:pos="10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all Members entitled to vote are given notice of the resolution as if the same were being proposed at a meeting of Members;</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all Members entitled so to vote :</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sign a document; or</w:t>
      </w: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40"/>
          </w:cols>
          <w:pgMar w:left="220" w:top="781" w:right="339" w:bottom="1440" w:gutter="0" w:footer="0" w:header="0"/>
        </w:sectPr>
      </w:pPr>
    </w:p>
    <w:bookmarkStart w:id="178" w:name="page179"/>
    <w:bookmarkEnd w:id="178"/>
    <w:p>
      <w:pPr>
        <w:ind w:left="1480" w:hanging="487"/>
        <w:spacing w:after="0"/>
        <w:tabs>
          <w:tab w:leader="none" w:pos="148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sign several documents in the like form each signed by one or more of those Members; and</w:t>
      </w:r>
    </w:p>
    <w:p>
      <w:pPr>
        <w:spacing w:after="0" w:line="175" w:lineRule="exact"/>
        <w:rPr>
          <w:rFonts w:ascii="Arial" w:cs="Arial" w:eastAsia="Arial" w:hAnsi="Arial"/>
          <w:sz w:val="14"/>
          <w:szCs w:val="14"/>
          <w:color w:val="auto"/>
        </w:rPr>
      </w:pPr>
    </w:p>
    <w:p>
      <w:pPr>
        <w:ind w:left="1000" w:right="80" w:hanging="501"/>
        <w:spacing w:after="0" w:line="277" w:lineRule="auto"/>
        <w:tabs>
          <w:tab w:leader="none" w:pos="100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signed document or documents is or are delivered to the Company, including, if the Company so nominates, by delivery of an Electronic Record by Electronic means to the address specified for that purpose.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Such written resolution shall be as effective as if it had been passed at a meeting of the Members entitled to vote duly convened and held.</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11.21</w:t>
      </w:r>
      <w:r>
        <w:rPr>
          <w:sz w:val="20"/>
          <w:szCs w:val="20"/>
          <w:color w:val="auto"/>
        </w:rPr>
        <w:tab/>
      </w:r>
      <w:r>
        <w:rPr>
          <w:rFonts w:ascii="Arial" w:cs="Arial" w:eastAsia="Arial" w:hAnsi="Arial"/>
          <w:sz w:val="12"/>
          <w:szCs w:val="12"/>
          <w:color w:val="auto"/>
        </w:rPr>
        <w:t>If a written resolution is described as a Special Resolution or as an Ordinary Resolution, it has effect accordingly.</w:t>
      </w:r>
    </w:p>
    <w:p>
      <w:pPr>
        <w:spacing w:after="0" w:line="176" w:lineRule="exact"/>
        <w:rPr>
          <w:sz w:val="20"/>
          <w:szCs w:val="20"/>
          <w:color w:val="auto"/>
        </w:rPr>
      </w:pPr>
    </w:p>
    <w:p>
      <w:pPr>
        <w:ind w:left="500" w:hanging="494"/>
        <w:spacing w:after="0" w:line="293" w:lineRule="auto"/>
        <w:tabs>
          <w:tab w:leader="none" w:pos="480" w:val="left"/>
        </w:tabs>
        <w:rPr>
          <w:sz w:val="20"/>
          <w:szCs w:val="20"/>
          <w:color w:val="auto"/>
        </w:rPr>
      </w:pPr>
      <w:r>
        <w:rPr>
          <w:rFonts w:ascii="Arial" w:cs="Arial" w:eastAsia="Arial" w:hAnsi="Arial"/>
          <w:sz w:val="14"/>
          <w:szCs w:val="14"/>
          <w:color w:val="auto"/>
        </w:rPr>
        <w:t>11.22</w:t>
      </w:r>
      <w:r>
        <w:rPr>
          <w:sz w:val="20"/>
          <w:szCs w:val="20"/>
          <w:color w:val="auto"/>
        </w:rPr>
        <w:tab/>
      </w:r>
      <w:r>
        <w:rPr>
          <w:rFonts w:ascii="Arial" w:cs="Arial" w:eastAsia="Arial" w:hAnsi="Arial"/>
          <w:sz w:val="13"/>
          <w:szCs w:val="13"/>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Sole-member company</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11.23</w:t>
      </w:r>
      <w:r>
        <w:rPr>
          <w:sz w:val="20"/>
          <w:szCs w:val="20"/>
          <w:color w:val="auto"/>
        </w:rPr>
        <w:tab/>
      </w:r>
      <w:r>
        <w:rPr>
          <w:rFonts w:ascii="Arial" w:cs="Arial" w:eastAsia="Arial" w:hAnsi="Arial"/>
          <w:sz w:val="12"/>
          <w:szCs w:val="12"/>
          <w:color w:val="auto"/>
        </w:rPr>
        <w:t>If the Company has only one Member, and the Member records in writing his decision on a question, that record shall constitute both the passing of a resolution and the minute of it.</w:t>
      </w:r>
    </w:p>
    <w:p>
      <w:pPr>
        <w:spacing w:after="0" w:line="172" w:lineRule="exact"/>
        <w:rPr>
          <w:sz w:val="20"/>
          <w:szCs w:val="20"/>
          <w:color w:val="auto"/>
        </w:rPr>
      </w:pPr>
    </w:p>
    <w:p>
      <w:pPr>
        <w:ind w:right="9340" w:firstLine="4"/>
        <w:spacing w:after="0" w:line="504" w:lineRule="auto"/>
        <w:tabs>
          <w:tab w:leader="none" w:pos="495"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Voting rights of Members Right to vote</w:t>
      </w:r>
    </w:p>
    <w:p>
      <w:pPr>
        <w:spacing w:after="0" w:line="1" w:lineRule="exact"/>
        <w:rPr>
          <w:sz w:val="20"/>
          <w:szCs w:val="20"/>
          <w:color w:val="auto"/>
        </w:rPr>
      </w:pPr>
    </w:p>
    <w:p>
      <w:pPr>
        <w:ind w:left="500" w:right="40" w:hanging="494"/>
        <w:spacing w:after="0" w:line="277" w:lineRule="auto"/>
        <w:tabs>
          <w:tab w:leader="none" w:pos="48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4"/>
          <w:szCs w:val="14"/>
          <w:color w:val="auto"/>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2"/>
          <w:szCs w:val="12"/>
          <w:color w:val="auto"/>
        </w:rPr>
        <w:t>Members may vote in person or by proxy.</w:t>
      </w:r>
    </w:p>
    <w:p>
      <w:pPr>
        <w:spacing w:after="0" w:line="176" w:lineRule="exact"/>
        <w:rPr>
          <w:sz w:val="20"/>
          <w:szCs w:val="20"/>
          <w:color w:val="auto"/>
        </w:rPr>
      </w:pPr>
    </w:p>
    <w:p>
      <w:pPr>
        <w:ind w:left="500" w:right="80" w:hanging="494"/>
        <w:spacing w:after="0" w:line="277" w:lineRule="auto"/>
        <w:tabs>
          <w:tab w:leader="none" w:pos="48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color w:val="auto"/>
        </w:rPr>
        <w:t>On a show of hands, every Member shall have one vote. For the avoidance of doubt, an individual who represents two or more Members, including a Member in that individual's own right, that individual shall be entitled to a separate vote for each Member.</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2"/>
          <w:szCs w:val="12"/>
          <w:color w:val="auto"/>
        </w:rPr>
        <w:t>On a poll a Member shall have one vote for each Share he holds, unless any Share carries special voting rights.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2"/>
          <w:szCs w:val="12"/>
          <w:color w:val="auto"/>
        </w:rPr>
        <w:t>A fraction of a Share shall entitle its holder to an equivalent fraction of one vote.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2"/>
          <w:szCs w:val="12"/>
          <w:color w:val="auto"/>
        </w:rPr>
        <w:t>No Member is bound to vote on his Shares or any of them; nor is he bound to vote each of his Shares in the same way.</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781" w:right="29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color w:val="auto"/>
        </w:rPr>
        <w:t>Rights of joint holders</w:t>
      </w:r>
    </w:p>
    <w:p>
      <w:pPr>
        <w:spacing w:after="0" w:line="180" w:lineRule="exact"/>
        <w:rPr>
          <w:sz w:val="20"/>
          <w:szCs w:val="20"/>
          <w:color w:val="auto"/>
        </w:rPr>
      </w:pPr>
    </w:p>
    <w:p>
      <w:pPr>
        <w:ind w:left="500" w:right="40" w:hanging="494"/>
        <w:spacing w:after="0" w:line="277" w:lineRule="auto"/>
        <w:tabs>
          <w:tab w:leader="none" w:pos="48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4"/>
          <w:szCs w:val="14"/>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Representation of corporate Members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2"/>
          <w:szCs w:val="12"/>
          <w:color w:val="auto"/>
        </w:rPr>
        <w:t>Save where otherwise provided, a corporate Member must act by a duly authorised representative.</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2"/>
          <w:szCs w:val="12"/>
          <w:color w:val="auto"/>
        </w:rPr>
        <w:t>A corporate Member wishing to act by a duly authorised representative must identify that person to the Company by notice in writing</w:t>
      </w:r>
      <w:r>
        <w:rPr>
          <w:rFonts w:ascii="Arial" w:cs="Arial" w:eastAsia="Arial" w:hAnsi="Arial"/>
          <w:sz w:val="12"/>
          <w:szCs w:val="12"/>
          <w:b w:val="1"/>
          <w:bCs w:val="1"/>
          <w:color w:val="auto"/>
        </w:rPr>
        <w: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12.10</w:t>
      </w:r>
      <w:r>
        <w:rPr>
          <w:sz w:val="20"/>
          <w:szCs w:val="20"/>
          <w:color w:val="auto"/>
        </w:rPr>
        <w:tab/>
      </w:r>
      <w:r>
        <w:rPr>
          <w:rFonts w:ascii="Arial" w:cs="Arial" w:eastAsia="Arial" w:hAnsi="Arial"/>
          <w:sz w:val="12"/>
          <w:szCs w:val="12"/>
          <w:color w:val="auto"/>
        </w:rPr>
        <w:t>The authorisation may be for any period of time, and must be delivered to the Company not less than 48 hours before the commencement of the meeting at which it is first used.</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12.11</w:t>
      </w:r>
      <w:r>
        <w:rPr>
          <w:sz w:val="20"/>
          <w:szCs w:val="20"/>
          <w:color w:val="auto"/>
        </w:rPr>
        <w:tab/>
      </w:r>
      <w:r>
        <w:rPr>
          <w:rFonts w:ascii="Arial" w:cs="Arial" w:eastAsia="Arial" w:hAnsi="Arial"/>
          <w:sz w:val="12"/>
          <w:szCs w:val="12"/>
          <w:color w:val="auto"/>
        </w:rPr>
        <w:t>The directors of the Company may require the production of any evidence which they consider necessary to determine the validity of the notice.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12.12</w:t>
      </w:r>
      <w:r>
        <w:rPr>
          <w:sz w:val="20"/>
          <w:szCs w:val="20"/>
          <w:color w:val="auto"/>
        </w:rPr>
        <w:tab/>
      </w:r>
      <w:r>
        <w:rPr>
          <w:rFonts w:ascii="Arial" w:cs="Arial" w:eastAsia="Arial" w:hAnsi="Arial"/>
          <w:sz w:val="12"/>
          <w:szCs w:val="12"/>
          <w:color w:val="auto"/>
        </w:rPr>
        <w:t>Where a duly authorised representative is present at a meeting that Member is deemed to be present in person; and the acts of the duly authorised representative are personal acts of that Member.</w:t>
      </w:r>
    </w:p>
    <w:p>
      <w:pPr>
        <w:spacing w:after="0" w:line="176"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12.13</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Member with mental disorder</w:t>
      </w:r>
    </w:p>
    <w:p>
      <w:pPr>
        <w:spacing w:after="0" w:line="180" w:lineRule="exact"/>
        <w:rPr>
          <w:sz w:val="20"/>
          <w:szCs w:val="20"/>
          <w:color w:val="auto"/>
        </w:rPr>
      </w:pPr>
    </w:p>
    <w:p>
      <w:pPr>
        <w:ind w:left="500" w:right="20" w:hanging="494"/>
        <w:spacing w:after="0" w:line="277" w:lineRule="auto"/>
        <w:tabs>
          <w:tab w:leader="none" w:pos="480" w:val="left"/>
        </w:tabs>
        <w:rPr>
          <w:sz w:val="20"/>
          <w:szCs w:val="20"/>
          <w:color w:val="auto"/>
        </w:rPr>
      </w:pPr>
      <w:r>
        <w:rPr>
          <w:rFonts w:ascii="Arial" w:cs="Arial" w:eastAsia="Arial" w:hAnsi="Arial"/>
          <w:sz w:val="14"/>
          <w:szCs w:val="14"/>
          <w:color w:val="auto"/>
        </w:rPr>
        <w:t>12.14</w:t>
        <w:tab/>
        <w:t>A Member in respect of whom an order has been made by any court having jurisdiction (whether in the Islands or elsewhere) in matters concerning mental disorder may vote, whether on a show of hands or on a poll, by that Member's receiver, curator bonis or other person authorised in that behalf appointed by that court.</w:t>
      </w:r>
    </w:p>
    <w:p>
      <w:pPr>
        <w:spacing w:after="0" w:line="133" w:lineRule="exact"/>
        <w:rPr>
          <w:sz w:val="20"/>
          <w:szCs w:val="20"/>
          <w:color w:val="auto"/>
        </w:rPr>
      </w:pPr>
    </w:p>
    <w:p>
      <w:pPr>
        <w:ind w:left="500" w:right="80" w:hanging="494"/>
        <w:spacing w:after="0" w:line="264" w:lineRule="auto"/>
        <w:tabs>
          <w:tab w:leader="none" w:pos="480" w:val="left"/>
        </w:tabs>
        <w:rPr>
          <w:sz w:val="20"/>
          <w:szCs w:val="20"/>
          <w:color w:val="auto"/>
        </w:rPr>
      </w:pPr>
      <w:r>
        <w:rPr>
          <w:rFonts w:ascii="Arial" w:cs="Arial" w:eastAsia="Arial" w:hAnsi="Arial"/>
          <w:sz w:val="14"/>
          <w:szCs w:val="14"/>
          <w:color w:val="auto"/>
        </w:rPr>
        <w:t>12.15</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Objections to admissibility of votes</w:t>
      </w:r>
    </w:p>
    <w:p>
      <w:pPr>
        <w:spacing w:after="0" w:line="180" w:lineRule="exact"/>
        <w:rPr>
          <w:sz w:val="20"/>
          <w:szCs w:val="20"/>
          <w:color w:val="auto"/>
        </w:rPr>
      </w:pPr>
    </w:p>
    <w:p>
      <w:pPr>
        <w:ind w:left="500" w:right="20" w:hanging="494"/>
        <w:spacing w:after="0" w:line="277" w:lineRule="auto"/>
        <w:tabs>
          <w:tab w:leader="none" w:pos="480" w:val="left"/>
        </w:tabs>
        <w:rPr>
          <w:sz w:val="20"/>
          <w:szCs w:val="20"/>
          <w:color w:val="auto"/>
        </w:rPr>
      </w:pPr>
      <w:r>
        <w:rPr>
          <w:rFonts w:ascii="Arial" w:cs="Arial" w:eastAsia="Arial" w:hAnsi="Arial"/>
          <w:sz w:val="14"/>
          <w:szCs w:val="14"/>
          <w:color w:val="auto"/>
        </w:rPr>
        <w:t>12.16</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777" w:right="29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b w:val="1"/>
          <w:bCs w:val="1"/>
          <w:color w:val="auto"/>
        </w:rPr>
        <w:t>Form of proxy</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12.17</w:t>
      </w:r>
      <w:r>
        <w:rPr>
          <w:sz w:val="20"/>
          <w:szCs w:val="20"/>
          <w:color w:val="auto"/>
        </w:rPr>
        <w:tab/>
      </w:r>
      <w:r>
        <w:rPr>
          <w:rFonts w:ascii="Arial" w:cs="Arial" w:eastAsia="Arial" w:hAnsi="Arial"/>
          <w:sz w:val="12"/>
          <w:szCs w:val="12"/>
          <w:color w:val="auto"/>
        </w:rPr>
        <w:t>An instrument appointing a proxy shall be in any common form or in any other form approved by the directors.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12.18</w:t>
      </w:r>
      <w:r>
        <w:rPr>
          <w:sz w:val="20"/>
          <w:szCs w:val="20"/>
          <w:color w:val="auto"/>
        </w:rPr>
        <w:tab/>
      </w:r>
      <w:r>
        <w:rPr>
          <w:rFonts w:ascii="Arial" w:cs="Arial" w:eastAsia="Arial" w:hAnsi="Arial"/>
          <w:sz w:val="12"/>
          <w:szCs w:val="12"/>
          <w:color w:val="auto"/>
        </w:rPr>
        <w:t>The instrument must be in writing and signed in one of the following ways:</w:t>
      </w:r>
    </w:p>
    <w:p>
      <w:pPr>
        <w:spacing w:after="0" w:line="176" w:lineRule="exact"/>
        <w:rPr>
          <w:sz w:val="20"/>
          <w:szCs w:val="20"/>
          <w:color w:val="auto"/>
        </w:rPr>
      </w:pPr>
    </w:p>
    <w:p>
      <w:pPr>
        <w:ind w:left="1000" w:hanging="501"/>
        <w:spacing w:after="0"/>
        <w:tabs>
          <w:tab w:leader="none" w:pos="100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by the Member;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by the Member's authorised attorney;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if the Member is a corporation or other body corporate, under seal or signed by an authorised officer, secretary or attorney.</w:t>
      </w:r>
    </w:p>
    <w:p>
      <w:pPr>
        <w:spacing w:after="0" w:line="176" w:lineRule="exact"/>
        <w:rPr>
          <w:sz w:val="20"/>
          <w:szCs w:val="20"/>
          <w:color w:val="auto"/>
        </w:rPr>
      </w:pPr>
    </w:p>
    <w:p>
      <w:pPr>
        <w:ind w:left="500" w:right="60"/>
        <w:spacing w:after="0" w:line="277" w:lineRule="auto"/>
        <w:rPr>
          <w:sz w:val="20"/>
          <w:szCs w:val="20"/>
          <w:color w:val="auto"/>
        </w:rPr>
      </w:pPr>
      <w:r>
        <w:rPr>
          <w:rFonts w:ascii="Arial" w:cs="Arial" w:eastAsia="Arial" w:hAnsi="Arial"/>
          <w:sz w:val="14"/>
          <w:szCs w:val="14"/>
          <w:color w:val="auto"/>
        </w:rPr>
        <w:t>If the directors so resolve, the Company may accept an Electronic Record of that instrument delivered in the manner specified below and otherwise satisfying the Articles about authentication of Electronic Records.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12.19</w:t>
      </w:r>
      <w:r>
        <w:rPr>
          <w:sz w:val="20"/>
          <w:szCs w:val="20"/>
          <w:color w:val="auto"/>
        </w:rPr>
        <w:tab/>
      </w:r>
      <w:r>
        <w:rPr>
          <w:rFonts w:ascii="Arial" w:cs="Arial" w:eastAsia="Arial" w:hAnsi="Arial"/>
          <w:sz w:val="12"/>
          <w:szCs w:val="12"/>
          <w:color w:val="auto"/>
        </w:rPr>
        <w:t>The directors may require the production of any evidence which they consider necessary to determine the validity of any appointment of a proxy.</w:t>
      </w:r>
    </w:p>
    <w:p>
      <w:pPr>
        <w:spacing w:after="0" w:line="176" w:lineRule="exact"/>
        <w:rPr>
          <w:sz w:val="20"/>
          <w:szCs w:val="20"/>
          <w:color w:val="auto"/>
        </w:rPr>
      </w:pPr>
    </w:p>
    <w:p>
      <w:pPr>
        <w:ind w:left="500" w:right="260" w:hanging="494"/>
        <w:spacing w:after="0" w:line="277" w:lineRule="auto"/>
        <w:tabs>
          <w:tab w:leader="none" w:pos="480" w:val="left"/>
        </w:tabs>
        <w:rPr>
          <w:sz w:val="20"/>
          <w:szCs w:val="20"/>
          <w:color w:val="auto"/>
        </w:rPr>
      </w:pPr>
      <w:r>
        <w:rPr>
          <w:rFonts w:ascii="Arial" w:cs="Arial" w:eastAsia="Arial" w:hAnsi="Arial"/>
          <w:sz w:val="14"/>
          <w:szCs w:val="14"/>
          <w:color w:val="auto"/>
        </w:rPr>
        <w:t>12.20</w:t>
        <w:tab/>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and when proxy is to be delivered</w:t>
      </w:r>
    </w:p>
    <w:p>
      <w:pPr>
        <w:spacing w:after="0" w:line="180" w:lineRule="exact"/>
        <w:rPr>
          <w:sz w:val="20"/>
          <w:szCs w:val="20"/>
          <w:color w:val="auto"/>
        </w:rPr>
      </w:pPr>
    </w:p>
    <w:p>
      <w:pPr>
        <w:jc w:val="both"/>
        <w:ind w:left="500" w:hanging="494"/>
        <w:spacing w:after="0" w:line="264" w:lineRule="auto"/>
        <w:tabs>
          <w:tab w:leader="none" w:pos="480" w:val="left"/>
        </w:tabs>
        <w:rPr>
          <w:sz w:val="20"/>
          <w:szCs w:val="20"/>
          <w:color w:val="auto"/>
        </w:rPr>
      </w:pPr>
      <w:r>
        <w:rPr>
          <w:rFonts w:ascii="Arial" w:cs="Arial" w:eastAsia="Arial" w:hAnsi="Arial"/>
          <w:sz w:val="14"/>
          <w:szCs w:val="14"/>
          <w:color w:val="auto"/>
        </w:rPr>
        <w:t>12.21</w:t>
        <w:tab/>
        <w:t>Subject to the following Articles, the form of appointment of a proxy and any authority under which it is signed (or a copy of the authority certified notarially or in any other way approved by the directors) must be delivered so that it is received by the Company at any time before the time for holding the meeting or adjourned meeting at which the person named in the form of appointment of proxy proposes to vote. They must be delivered in either of the following ways:</w:t>
      </w:r>
    </w:p>
    <w:p>
      <w:pPr>
        <w:spacing w:after="0" w:line="142" w:lineRule="exact"/>
        <w:rPr>
          <w:sz w:val="20"/>
          <w:szCs w:val="20"/>
          <w:color w:val="auto"/>
        </w:rPr>
      </w:pPr>
    </w:p>
    <w:p>
      <w:pPr>
        <w:ind w:left="1000" w:hanging="501"/>
        <w:spacing w:after="0"/>
        <w:tabs>
          <w:tab w:leader="none" w:pos="10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In the case of an instrument in writing, it must be left at or sent by post:</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47"/>
        </w:numPr>
        <w:rPr>
          <w:rFonts w:ascii="Arial" w:cs="Arial" w:eastAsia="Arial" w:hAnsi="Arial"/>
          <w:sz w:val="14"/>
          <w:szCs w:val="14"/>
          <w:color w:val="auto"/>
        </w:rPr>
      </w:pPr>
      <w:r>
        <w:rPr>
          <w:rFonts w:ascii="Arial" w:cs="Arial" w:eastAsia="Arial" w:hAnsi="Arial"/>
          <w:sz w:val="14"/>
          <w:szCs w:val="14"/>
          <w:color w:val="auto"/>
        </w:rPr>
        <w:t>to the registered office of the Company; or</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to such other place within the Islands specified in the notice convening the meeting or in any form of appointment of proxy sent out by the Company in relation to the meeting.</w:t>
      </w:r>
    </w:p>
    <w:p>
      <w:pPr>
        <w:spacing w:after="0" w:line="198" w:lineRule="exact"/>
        <w:rPr>
          <w:rFonts w:ascii="Arial" w:cs="Arial" w:eastAsia="Arial" w:hAnsi="Arial"/>
          <w:sz w:val="12"/>
          <w:szCs w:val="12"/>
          <w:color w:val="auto"/>
        </w:rPr>
      </w:pPr>
    </w:p>
    <w:p>
      <w:pPr>
        <w:ind w:left="1000" w:right="380" w:hanging="501"/>
        <w:spacing w:after="0" w:line="277" w:lineRule="auto"/>
        <w:tabs>
          <w:tab w:leader="none" w:pos="10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33" w:lineRule="exact"/>
        <w:rPr>
          <w:rFonts w:ascii="Arial" w:cs="Arial" w:eastAsia="Arial" w:hAnsi="Arial"/>
          <w:sz w:val="14"/>
          <w:szCs w:val="14"/>
          <w:color w:val="auto"/>
        </w:rPr>
      </w:pPr>
    </w:p>
    <w:p>
      <w:pPr>
        <w:ind w:left="1480" w:hanging="487"/>
        <w:spacing w:after="0"/>
        <w:tabs>
          <w:tab w:leader="none" w:pos="1480" w:val="left"/>
        </w:tabs>
        <w:numPr>
          <w:ilvl w:val="1"/>
          <w:numId w:val="147"/>
        </w:numPr>
        <w:rPr>
          <w:rFonts w:ascii="Arial" w:cs="Arial" w:eastAsia="Arial" w:hAnsi="Arial"/>
          <w:sz w:val="14"/>
          <w:szCs w:val="14"/>
          <w:color w:val="auto"/>
        </w:rPr>
      </w:pPr>
      <w:r>
        <w:rPr>
          <w:rFonts w:ascii="Arial" w:cs="Arial" w:eastAsia="Arial" w:hAnsi="Arial"/>
          <w:sz w:val="14"/>
          <w:szCs w:val="14"/>
          <w:color w:val="auto"/>
        </w:rPr>
        <w:t>in the notice convening the meeting; or</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78" w:right="259" w:bottom="1440" w:gutter="0" w:footer="0" w:header="0"/>
        </w:sectPr>
      </w:pPr>
    </w:p>
    <w:bookmarkStart w:id="181" w:name="page182"/>
    <w:bookmarkEnd w:id="181"/>
    <w:p>
      <w:pPr>
        <w:ind w:left="1480" w:hanging="487"/>
        <w:spacing w:after="0"/>
        <w:tabs>
          <w:tab w:leader="none" w:pos="14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in any form of appointment of a proxy sent out by the Company in relation to the meeting; or</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in any invitation to appoint a proxy issued by the Company in relation to the meeting.</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12.22</w:t>
      </w:r>
      <w:r>
        <w:rPr>
          <w:sz w:val="20"/>
          <w:szCs w:val="20"/>
          <w:color w:val="auto"/>
        </w:rPr>
        <w:tab/>
      </w:r>
      <w:r>
        <w:rPr>
          <w:rFonts w:ascii="Arial" w:cs="Arial" w:eastAsia="Arial" w:hAnsi="Arial"/>
          <w:sz w:val="12"/>
          <w:szCs w:val="12"/>
          <w:color w:val="auto"/>
        </w:rPr>
        <w:t>Where a poll is taken:</w:t>
      </w:r>
    </w:p>
    <w:p>
      <w:pPr>
        <w:spacing w:after="0" w:line="176" w:lineRule="exact"/>
        <w:rPr>
          <w:sz w:val="20"/>
          <w:szCs w:val="20"/>
          <w:color w:val="auto"/>
        </w:rPr>
      </w:pPr>
    </w:p>
    <w:p>
      <w:pPr>
        <w:ind w:left="1000" w:right="500" w:hanging="501"/>
        <w:spacing w:after="0" w:line="277" w:lineRule="auto"/>
        <w:tabs>
          <w:tab w:leader="none" w:pos="10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if it is taken more than seven Clear Days after it is demanded, the form of appointment of a proxy and any accompanying authority (or an Electronic Record of the same) must be delivered as required under the preceding Article not less than 48 hours before the time appointed for the taking of the poll;</w:t>
      </w:r>
    </w:p>
    <w:p>
      <w:pPr>
        <w:spacing w:after="0" w:line="133" w:lineRule="exact"/>
        <w:rPr>
          <w:rFonts w:ascii="Arial" w:cs="Arial" w:eastAsia="Arial" w:hAnsi="Arial"/>
          <w:sz w:val="14"/>
          <w:szCs w:val="14"/>
          <w:color w:val="auto"/>
        </w:rPr>
      </w:pPr>
    </w:p>
    <w:p>
      <w:pPr>
        <w:ind w:left="1000" w:right="80" w:hanging="501"/>
        <w:spacing w:after="0" w:line="277" w:lineRule="auto"/>
        <w:tabs>
          <w:tab w:leader="none" w:pos="10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12.23</w:t>
      </w:r>
      <w:r>
        <w:rPr>
          <w:sz w:val="20"/>
          <w:szCs w:val="20"/>
          <w:color w:val="auto"/>
        </w:rPr>
        <w:tab/>
      </w:r>
      <w:r>
        <w:rPr>
          <w:rFonts w:ascii="Arial" w:cs="Arial" w:eastAsia="Arial" w:hAnsi="Arial"/>
          <w:sz w:val="13"/>
          <w:szCs w:val="13"/>
          <w:color w:val="auto"/>
        </w:rPr>
        <w:t>If the form of appointment of proxy is not delivered on time, it is invalid.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 by proxy</w:t>
      </w:r>
    </w:p>
    <w:p>
      <w:pPr>
        <w:spacing w:after="0" w:line="180" w:lineRule="exact"/>
        <w:rPr>
          <w:sz w:val="20"/>
          <w:szCs w:val="20"/>
          <w:color w:val="auto"/>
        </w:rPr>
      </w:pPr>
    </w:p>
    <w:p>
      <w:pPr>
        <w:ind w:left="500" w:right="160" w:hanging="494"/>
        <w:spacing w:after="0" w:line="264" w:lineRule="auto"/>
        <w:tabs>
          <w:tab w:leader="none" w:pos="480" w:val="left"/>
        </w:tabs>
        <w:rPr>
          <w:sz w:val="20"/>
          <w:szCs w:val="20"/>
          <w:color w:val="auto"/>
        </w:rPr>
      </w:pPr>
      <w:r>
        <w:rPr>
          <w:rFonts w:ascii="Arial" w:cs="Arial" w:eastAsia="Arial" w:hAnsi="Arial"/>
          <w:sz w:val="14"/>
          <w:szCs w:val="14"/>
          <w:color w:val="auto"/>
        </w:rPr>
        <w:t>12.24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38" w:lineRule="exact"/>
        <w:rPr>
          <w:sz w:val="20"/>
          <w:szCs w:val="20"/>
          <w:color w:val="auto"/>
        </w:rPr>
      </w:pPr>
    </w:p>
    <w:p>
      <w:pPr>
        <w:ind w:left="500" w:hanging="496"/>
        <w:spacing w:after="0"/>
        <w:tabs>
          <w:tab w:leader="none" w:pos="500"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Number of directors</w:t>
      </w:r>
    </w:p>
    <w:p>
      <w:pPr>
        <w:spacing w:after="0" w:line="179" w:lineRule="exact"/>
        <w:rPr>
          <w:rFonts w:ascii="Arial" w:cs="Arial" w:eastAsia="Arial" w:hAnsi="Arial"/>
          <w:sz w:val="14"/>
          <w:szCs w:val="14"/>
          <w:b w:val="1"/>
          <w:bCs w:val="1"/>
          <w:color w:val="auto"/>
        </w:rPr>
      </w:pPr>
    </w:p>
    <w:p>
      <w:pPr>
        <w:ind w:left="500" w:right="200"/>
        <w:spacing w:after="0" w:line="277" w:lineRule="auto"/>
        <w:rPr>
          <w:rFonts w:ascii="Arial" w:cs="Arial" w:eastAsia="Arial" w:hAnsi="Arial"/>
          <w:sz w:val="14"/>
          <w:szCs w:val="14"/>
          <w:b w:val="1"/>
          <w:bCs w:val="1"/>
          <w:color w:val="auto"/>
        </w:rPr>
      </w:pPr>
      <w:r>
        <w:rPr>
          <w:rFonts w:ascii="Arial" w:cs="Arial" w:eastAsia="Arial" w:hAnsi="Arial"/>
          <w:sz w:val="14"/>
          <w:szCs w:val="14"/>
          <w:color w:val="auto"/>
        </w:rPr>
        <w:t>Unless otherwise determined by Ordinary Resolution, the minimum number of directors shall be one and the maximum number shall be ten. There shall be no directors, however, until the first director is or the first directors are appointed by the subscriber or subscribers to the Memorandum.</w:t>
      </w:r>
    </w:p>
    <w:p>
      <w:pPr>
        <w:spacing w:after="0" w:line="129" w:lineRule="exact"/>
        <w:rPr>
          <w:rFonts w:ascii="Arial" w:cs="Arial" w:eastAsia="Arial" w:hAnsi="Arial"/>
          <w:sz w:val="14"/>
          <w:szCs w:val="14"/>
          <w:b w:val="1"/>
          <w:bCs w:val="1"/>
          <w:color w:val="auto"/>
        </w:rPr>
      </w:pPr>
    </w:p>
    <w:p>
      <w:pPr>
        <w:ind w:left="500" w:hanging="496"/>
        <w:spacing w:after="0"/>
        <w:tabs>
          <w:tab w:leader="none" w:pos="500"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Appointment, disqualification and removal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First directors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2"/>
          <w:szCs w:val="12"/>
          <w:color w:val="auto"/>
        </w:rPr>
        <w:t>The first directors shall be appointed in writing by the subscriber or subscribers to the Memorandum.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age limit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2"/>
          <w:szCs w:val="12"/>
          <w:color w:val="auto"/>
        </w:rPr>
        <w:t>There is no age limit for directors save that they must be aged at least 18 years.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directors</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14.3</w:t>
      </w:r>
      <w:r>
        <w:rPr>
          <w:sz w:val="20"/>
          <w:szCs w:val="20"/>
          <w:color w:val="auto"/>
        </w:rPr>
        <w:tab/>
      </w:r>
      <w:r>
        <w:rPr>
          <w:rFonts w:ascii="Arial" w:cs="Arial" w:eastAsia="Arial" w:hAnsi="Arial"/>
          <w:sz w:val="14"/>
          <w:szCs w:val="14"/>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82" w:right="2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b w:val="1"/>
          <w:bCs w:val="1"/>
          <w:color w:val="auto"/>
        </w:rPr>
        <w:t>No shareholding qualification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14.4</w:t>
      </w:r>
      <w:r>
        <w:rPr>
          <w:sz w:val="20"/>
          <w:szCs w:val="20"/>
          <w:color w:val="auto"/>
        </w:rPr>
        <w:tab/>
      </w:r>
      <w:r>
        <w:rPr>
          <w:rFonts w:ascii="Arial" w:cs="Arial" w:eastAsia="Arial" w:hAnsi="Arial"/>
          <w:sz w:val="12"/>
          <w:szCs w:val="12"/>
          <w:color w:val="auto"/>
        </w:rPr>
        <w:t>Unless a shareholding qualification for directors is fixed by Ordinary Resolution, no director shall be required to own Shares as a condition of his appointment.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Appointment of directors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2"/>
          <w:szCs w:val="12"/>
          <w:color w:val="auto"/>
        </w:rPr>
        <w:t>A director may be appointed by Ordinary Resolution or by the directors. Any appointment may be to fill a vacancy or as an additional director.</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2"/>
          <w:szCs w:val="12"/>
          <w:color w:val="auto"/>
        </w:rPr>
        <w:t>A remaining director may appoint a director even though there is not a quorum of directors.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14.7</w:t>
      </w:r>
      <w:r>
        <w:rPr>
          <w:sz w:val="20"/>
          <w:szCs w:val="20"/>
          <w:color w:val="auto"/>
        </w:rPr>
        <w:tab/>
      </w:r>
      <w:r>
        <w:rPr>
          <w:rFonts w:ascii="Arial" w:cs="Arial" w:eastAsia="Arial" w:hAnsi="Arial"/>
          <w:sz w:val="12"/>
          <w:szCs w:val="12"/>
          <w:color w:val="auto"/>
        </w:rPr>
        <w:t>No appointment can cause the number of directors to exceed the maximum; and any such appointment shall be invalid.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Removal of directors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2"/>
          <w:szCs w:val="12"/>
          <w:color w:val="auto"/>
        </w:rPr>
        <w:t>A director may be removed by Ordinary Resolution.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directors</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14.9</w:t>
      </w:r>
      <w:r>
        <w:rPr>
          <w:sz w:val="20"/>
          <w:szCs w:val="20"/>
          <w:color w:val="auto"/>
        </w:rPr>
        <w:tab/>
      </w:r>
      <w:r>
        <w:rPr>
          <w:rFonts w:ascii="Arial" w:cs="Arial" w:eastAsia="Arial" w:hAnsi="Arial"/>
          <w:sz w:val="14"/>
          <w:szCs w:val="14"/>
          <w:color w:val="auto"/>
        </w:rPr>
        <w:t>A director may at any time resign office by giving to the Company notice in writing or, if permitted pursuant to the notice provisions, in an Electronic Record delivered in either case in accordance with those provisions.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14.10</w:t>
      </w:r>
      <w:r>
        <w:rPr>
          <w:sz w:val="20"/>
          <w:szCs w:val="20"/>
          <w:color w:val="auto"/>
        </w:rPr>
        <w:tab/>
      </w:r>
      <w:r>
        <w:rPr>
          <w:rFonts w:ascii="Arial" w:cs="Arial" w:eastAsia="Arial" w:hAnsi="Arial"/>
          <w:sz w:val="12"/>
          <w:szCs w:val="12"/>
          <w:color w:val="auto"/>
        </w:rPr>
        <w:t>Unless the notice specifies a different date, the director shall be deemed to have resigned on the date that the notice is delivered to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 of the office of director</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14.11</w:t>
      </w:r>
      <w:r>
        <w:rPr>
          <w:sz w:val="20"/>
          <w:szCs w:val="20"/>
          <w:color w:val="auto"/>
        </w:rPr>
        <w:tab/>
      </w:r>
      <w:r>
        <w:rPr>
          <w:rFonts w:ascii="Arial" w:cs="Arial" w:eastAsia="Arial" w:hAnsi="Arial"/>
          <w:sz w:val="13"/>
          <w:szCs w:val="13"/>
          <w:color w:val="auto"/>
        </w:rPr>
        <w:t>A director's office shall be terminated forthwith if:</w:t>
      </w:r>
    </w:p>
    <w:p>
      <w:pPr>
        <w:spacing w:after="0" w:line="176" w:lineRule="exact"/>
        <w:rPr>
          <w:sz w:val="20"/>
          <w:szCs w:val="20"/>
          <w:color w:val="auto"/>
        </w:rPr>
      </w:pPr>
    </w:p>
    <w:p>
      <w:pPr>
        <w:ind w:left="1000" w:hanging="501"/>
        <w:spacing w:after="0"/>
        <w:tabs>
          <w:tab w:leader="none" w:pos="10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he is prohibited by the law of the Islands from acting as a director;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he is made bankrupt or makes an arrangement or composition with his creditors generally;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in the opinion of a registered medical practitioner by whom he is being treated he becomes physically or mentally incapable of acting as a director;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he is made subject to any law relating to mental health or incompetence, whether by court order or otherwise;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without the consent of the other directors, he is absent from meetings of directors for a continuous period of six months.</w:t>
      </w:r>
    </w:p>
    <w:p>
      <w:pPr>
        <w:spacing w:after="0" w:line="34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820"/>
          </w:cols>
          <w:pgMar w:left="220" w:top="778" w:right="859" w:bottom="1440" w:gutter="0" w:footer="0" w:header="0"/>
        </w:sectPr>
      </w:pPr>
    </w:p>
    <w:bookmarkStart w:id="183" w:name="page184"/>
    <w:bookmarkEnd w:id="183"/>
    <w:p>
      <w:pPr>
        <w:ind w:left="500" w:hanging="496"/>
        <w:spacing w:after="0"/>
        <w:tabs>
          <w:tab w:leader="none" w:pos="500" w:val="left"/>
        </w:tabs>
        <w:numPr>
          <w:ilvl w:val="0"/>
          <w:numId w:val="152"/>
        </w:numPr>
        <w:rPr>
          <w:rFonts w:ascii="Arial" w:cs="Arial" w:eastAsia="Arial" w:hAnsi="Arial"/>
          <w:sz w:val="14"/>
          <w:szCs w:val="14"/>
          <w:b w:val="1"/>
          <w:bCs w:val="1"/>
          <w:color w:val="auto"/>
        </w:rPr>
      </w:pPr>
      <w:r>
        <w:rPr>
          <w:rFonts w:ascii="Arial" w:cs="Arial" w:eastAsia="Arial" w:hAnsi="Arial"/>
          <w:sz w:val="14"/>
          <w:szCs w:val="14"/>
          <w:b w:val="1"/>
          <w:bCs w:val="1"/>
          <w:color w:val="auto"/>
        </w:rPr>
        <w:t>Powers of directors</w:t>
      </w:r>
    </w:p>
    <w:p>
      <w:pPr>
        <w:spacing w:after="0" w:line="17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Powers of directors</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4"/>
          <w:szCs w:val="14"/>
          <w:color w:val="auto"/>
        </w:rPr>
        <w:t>Subject to the provisions of the Law, the Memorandum and these Articles, the business of the Company shall be managed by the directors who may for that purpose exercise all the powers of the Company.</w:t>
      </w:r>
    </w:p>
    <w:p>
      <w:pPr>
        <w:spacing w:after="0" w:line="133" w:lineRule="exact"/>
        <w:rPr>
          <w:sz w:val="20"/>
          <w:szCs w:val="20"/>
          <w:color w:val="auto"/>
        </w:rPr>
      </w:pPr>
    </w:p>
    <w:p>
      <w:pPr>
        <w:ind w:left="500" w:right="460" w:hanging="494"/>
        <w:spacing w:after="0" w:line="277" w:lineRule="auto"/>
        <w:tabs>
          <w:tab w:leader="none" w:pos="480"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4"/>
          <w:szCs w:val="14"/>
          <w:color w:val="auto"/>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Appointments to office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15.3</w:t>
      </w:r>
      <w:r>
        <w:rPr>
          <w:sz w:val="20"/>
          <w:szCs w:val="20"/>
          <w:color w:val="auto"/>
        </w:rPr>
        <w:tab/>
      </w:r>
      <w:r>
        <w:rPr>
          <w:rFonts w:ascii="Arial" w:cs="Arial" w:eastAsia="Arial" w:hAnsi="Arial"/>
          <w:sz w:val="12"/>
          <w:szCs w:val="12"/>
          <w:color w:val="auto"/>
        </w:rPr>
        <w:t>The directors may appoint a director:</w:t>
      </w:r>
    </w:p>
    <w:p>
      <w:pPr>
        <w:spacing w:after="0" w:line="176" w:lineRule="exact"/>
        <w:rPr>
          <w:sz w:val="20"/>
          <w:szCs w:val="20"/>
          <w:color w:val="auto"/>
        </w:rPr>
      </w:pPr>
    </w:p>
    <w:p>
      <w:pPr>
        <w:ind w:left="1000" w:hanging="501"/>
        <w:spacing w:after="0"/>
        <w:tabs>
          <w:tab w:leader="none" w:pos="10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as chairman of the board of directors;</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as managing director;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to any other executive office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such period and on such terms, including as to remuneration, as they think fit.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2"/>
          <w:szCs w:val="12"/>
          <w:color w:val="auto"/>
        </w:rPr>
        <w:t>The appointee must consent in writing to holding that office.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15.5</w:t>
      </w:r>
      <w:r>
        <w:rPr>
          <w:sz w:val="20"/>
          <w:szCs w:val="20"/>
          <w:color w:val="auto"/>
        </w:rPr>
        <w:tab/>
      </w:r>
      <w:r>
        <w:rPr>
          <w:rFonts w:ascii="Arial" w:cs="Arial" w:eastAsia="Arial" w:hAnsi="Arial"/>
          <w:sz w:val="12"/>
          <w:szCs w:val="12"/>
          <w:color w:val="auto"/>
        </w:rPr>
        <w:t>Where a chairman is appointed he shall, unless unable to do so, preside at every meeting of directors.</w:t>
      </w:r>
    </w:p>
    <w:p>
      <w:pPr>
        <w:spacing w:after="0" w:line="176" w:lineRule="exact"/>
        <w:rPr>
          <w:sz w:val="20"/>
          <w:szCs w:val="20"/>
          <w:color w:val="auto"/>
        </w:rPr>
      </w:pPr>
    </w:p>
    <w:p>
      <w:pPr>
        <w:ind w:left="500" w:right="240" w:hanging="494"/>
        <w:spacing w:after="0" w:line="277" w:lineRule="auto"/>
        <w:tabs>
          <w:tab w:leader="none" w:pos="480" w:val="left"/>
        </w:tabs>
        <w:rPr>
          <w:sz w:val="20"/>
          <w:szCs w:val="20"/>
          <w:color w:val="auto"/>
        </w:rPr>
      </w:pPr>
      <w:r>
        <w:rPr>
          <w:rFonts w:ascii="Arial" w:cs="Arial" w:eastAsia="Arial" w:hAnsi="Arial"/>
          <w:sz w:val="14"/>
          <w:szCs w:val="14"/>
          <w:color w:val="auto"/>
        </w:rPr>
        <w:t>15.6</w:t>
      </w:r>
      <w:r>
        <w:rPr>
          <w:sz w:val="20"/>
          <w:szCs w:val="20"/>
          <w:color w:val="auto"/>
        </w:rPr>
        <w:tab/>
      </w:r>
      <w:r>
        <w:rPr>
          <w:rFonts w:ascii="Arial" w:cs="Arial" w:eastAsia="Arial" w:hAnsi="Arial"/>
          <w:sz w:val="14"/>
          <w:szCs w:val="14"/>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15.7</w:t>
      </w:r>
      <w:r>
        <w:rPr>
          <w:sz w:val="20"/>
          <w:szCs w:val="20"/>
          <w:color w:val="auto"/>
        </w:rPr>
        <w:tab/>
      </w:r>
      <w:r>
        <w:rPr>
          <w:rFonts w:ascii="Arial" w:cs="Arial" w:eastAsia="Arial" w:hAnsi="Arial"/>
          <w:sz w:val="12"/>
          <w:szCs w:val="12"/>
          <w:color w:val="auto"/>
        </w:rPr>
        <w:t>Subject to the provisions of the Law, the directors may also appoint any person, who need not be a director:</w:t>
      </w:r>
    </w:p>
    <w:p>
      <w:pPr>
        <w:spacing w:after="0" w:line="176" w:lineRule="exact"/>
        <w:rPr>
          <w:sz w:val="20"/>
          <w:szCs w:val="20"/>
          <w:color w:val="auto"/>
        </w:rPr>
      </w:pPr>
    </w:p>
    <w:p>
      <w:pPr>
        <w:ind w:left="1000" w:hanging="501"/>
        <w:spacing w:after="0"/>
        <w:tabs>
          <w:tab w:leader="none" w:pos="10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as Secretary;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to any office that may be required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such period and on such terms, including as to remuneration, as they think fit. In the case of an Officer, that Officer may be given any title the directors decide.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15.8</w:t>
      </w:r>
      <w:r>
        <w:rPr>
          <w:sz w:val="20"/>
          <w:szCs w:val="20"/>
          <w:color w:val="auto"/>
        </w:rPr>
        <w:tab/>
      </w:r>
      <w:r>
        <w:rPr>
          <w:rFonts w:ascii="Arial" w:cs="Arial" w:eastAsia="Arial" w:hAnsi="Arial"/>
          <w:sz w:val="12"/>
          <w:szCs w:val="12"/>
          <w:color w:val="auto"/>
        </w:rPr>
        <w:t>The Secretary or Officer must consent in writing to holding that office.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15.9</w:t>
      </w:r>
      <w:r>
        <w:rPr>
          <w:sz w:val="20"/>
          <w:szCs w:val="20"/>
          <w:color w:val="auto"/>
        </w:rPr>
        <w:tab/>
      </w:r>
      <w:r>
        <w:rPr>
          <w:rFonts w:ascii="Arial" w:cs="Arial" w:eastAsia="Arial" w:hAnsi="Arial"/>
          <w:sz w:val="12"/>
          <w:szCs w:val="12"/>
          <w:color w:val="auto"/>
        </w:rPr>
        <w:t>A director, Secretary or other Officer of the Company may not the hold the office, or perform the services, of auditor.</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777" w:right="27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b w:val="1"/>
          <w:bCs w:val="1"/>
          <w:color w:val="auto"/>
        </w:rPr>
        <w:t>Remuneration</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15.10</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15.11</w:t>
      </w:r>
      <w:r>
        <w:rPr>
          <w:sz w:val="20"/>
          <w:szCs w:val="20"/>
          <w:color w:val="auto"/>
        </w:rPr>
        <w:tab/>
      </w:r>
      <w:r>
        <w:rPr>
          <w:rFonts w:ascii="Arial" w:cs="Arial" w:eastAsia="Arial" w:hAnsi="Arial"/>
          <w:sz w:val="12"/>
          <w:szCs w:val="12"/>
          <w:color w:val="auto"/>
        </w:rPr>
        <w:t>A director's remuneration shall be fixed by the Company by Ordinary Resolution. Unless that resolution provides otherwise, the remuneration shall be deemed to accrue from day to day.</w:t>
      </w:r>
    </w:p>
    <w:p>
      <w:pPr>
        <w:spacing w:after="0" w:line="176"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15.12</w:t>
        <w:tab/>
        <w:t>Remuneration may take any form and may include arrangements to pay pensions, health insurance, death or sickness benefits, whether to the director or to any other person connected to or related to him.</w:t>
      </w:r>
    </w:p>
    <w:p>
      <w:pPr>
        <w:spacing w:after="0" w:line="133" w:lineRule="exact"/>
        <w:rPr>
          <w:sz w:val="20"/>
          <w:szCs w:val="20"/>
          <w:color w:val="auto"/>
        </w:rPr>
      </w:pPr>
    </w:p>
    <w:p>
      <w:pPr>
        <w:ind w:left="500" w:right="140" w:hanging="494"/>
        <w:spacing w:after="0" w:line="277" w:lineRule="auto"/>
        <w:tabs>
          <w:tab w:leader="none" w:pos="480" w:val="left"/>
        </w:tabs>
        <w:rPr>
          <w:sz w:val="20"/>
          <w:szCs w:val="20"/>
          <w:color w:val="auto"/>
        </w:rPr>
      </w:pPr>
      <w:r>
        <w:rPr>
          <w:rFonts w:ascii="Arial" w:cs="Arial" w:eastAsia="Arial" w:hAnsi="Arial"/>
          <w:sz w:val="14"/>
          <w:szCs w:val="14"/>
          <w:color w:val="auto"/>
        </w:rPr>
        <w:t>15.13</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of information</w:t>
      </w:r>
    </w:p>
    <w:p>
      <w:pPr>
        <w:spacing w:after="0" w:line="180" w:lineRule="exact"/>
        <w:rPr>
          <w:sz w:val="20"/>
          <w:szCs w:val="20"/>
          <w:color w:val="auto"/>
        </w:rPr>
      </w:pPr>
    </w:p>
    <w:p>
      <w:pPr>
        <w:ind w:left="500" w:right="120" w:hanging="494"/>
        <w:spacing w:after="0" w:line="317" w:lineRule="auto"/>
        <w:tabs>
          <w:tab w:leader="none" w:pos="480" w:val="left"/>
        </w:tabs>
        <w:rPr>
          <w:sz w:val="20"/>
          <w:szCs w:val="20"/>
          <w:color w:val="auto"/>
        </w:rPr>
      </w:pPr>
      <w:r>
        <w:rPr>
          <w:rFonts w:ascii="Arial" w:cs="Arial" w:eastAsia="Arial" w:hAnsi="Arial"/>
          <w:sz w:val="14"/>
          <w:szCs w:val="14"/>
          <w:color w:val="auto"/>
        </w:rPr>
        <w:t>15.14</w:t>
      </w:r>
      <w:r>
        <w:rPr>
          <w:sz w:val="20"/>
          <w:szCs w:val="20"/>
          <w:color w:val="auto"/>
        </w:rPr>
        <w:tab/>
      </w:r>
      <w:r>
        <w:rPr>
          <w:rFonts w:ascii="Arial" w:cs="Arial" w:eastAsia="Arial" w:hAnsi="Arial"/>
          <w:sz w:val="13"/>
          <w:szCs w:val="13"/>
          <w:color w:val="auto"/>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10" w:lineRule="exact"/>
        <w:rPr>
          <w:sz w:val="20"/>
          <w:szCs w:val="20"/>
          <w:color w:val="auto"/>
        </w:rPr>
      </w:pPr>
    </w:p>
    <w:p>
      <w:pPr>
        <w:ind w:left="1000" w:hanging="501"/>
        <w:spacing w:after="0"/>
        <w:tabs>
          <w:tab w:leader="none" w:pos="100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Company or that person, as the case may be, is lawfully required to do so under the laws of any jurisdiction to which the Company is subject;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such disclosure is in compliance with the rules of any stock exchange upon which the Company's shares are listed;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such disclosure is in accordance with any contract entered into by the Company;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directors are of the opinion such disclosure would assist or facilitate the Company’s operations.</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b w:val="1"/>
          <w:bCs w:val="1"/>
          <w:color w:val="auto"/>
        </w:rPr>
        <w:t>Delegation of Powers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delegate any of the directors' powers to a committee</w:t>
      </w:r>
    </w:p>
    <w:p>
      <w:pPr>
        <w:spacing w:after="0" w:line="180" w:lineRule="exact"/>
        <w:rPr>
          <w:sz w:val="20"/>
          <w:szCs w:val="20"/>
          <w:color w:val="auto"/>
        </w:rPr>
      </w:pPr>
    </w:p>
    <w:p>
      <w:pPr>
        <w:ind w:left="500" w:right="20" w:hanging="494"/>
        <w:spacing w:after="0" w:line="277" w:lineRule="auto"/>
        <w:tabs>
          <w:tab w:leader="none" w:pos="480" w:val="left"/>
        </w:tabs>
        <w:rPr>
          <w:sz w:val="20"/>
          <w:szCs w:val="20"/>
          <w:color w:val="auto"/>
        </w:rPr>
      </w:pPr>
      <w:r>
        <w:rPr>
          <w:rFonts w:ascii="Arial" w:cs="Arial" w:eastAsia="Arial" w:hAnsi="Arial"/>
          <w:sz w:val="14"/>
          <w:szCs w:val="14"/>
          <w:color w:val="auto"/>
        </w:rPr>
        <w:t>16.1</w:t>
      </w:r>
      <w:r>
        <w:rPr>
          <w:sz w:val="20"/>
          <w:szCs w:val="20"/>
          <w:color w:val="auto"/>
        </w:rPr>
        <w:tab/>
      </w:r>
      <w:r>
        <w:rPr>
          <w:rFonts w:ascii="Arial" w:cs="Arial" w:eastAsia="Arial" w:hAnsi="Arial"/>
          <w:sz w:val="14"/>
          <w:szCs w:val="14"/>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16.2</w:t>
      </w:r>
      <w:r>
        <w:rPr>
          <w:sz w:val="20"/>
          <w:szCs w:val="20"/>
          <w:color w:val="auto"/>
        </w:rPr>
        <w:tab/>
      </w:r>
      <w:r>
        <w:rPr>
          <w:rFonts w:ascii="Arial" w:cs="Arial" w:eastAsia="Arial" w:hAnsi="Arial"/>
          <w:sz w:val="12"/>
          <w:szCs w:val="12"/>
          <w:color w:val="auto"/>
        </w:rPr>
        <w:t>The delegation may be collateral with, or to the exclusion of, the directors' own powers.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77" w:right="219" w:bottom="1440" w:gutter="0" w:footer="0" w:header="0"/>
        </w:sectPr>
      </w:pPr>
    </w:p>
    <w:bookmarkStart w:id="185" w:name="page186"/>
    <w:bookmarkEnd w:id="185"/>
    <w:p>
      <w:pPr>
        <w:ind w:left="500" w:right="280" w:hanging="494"/>
        <w:spacing w:after="0" w:line="277" w:lineRule="auto"/>
        <w:tabs>
          <w:tab w:leader="none" w:pos="480" w:val="left"/>
        </w:tabs>
        <w:rPr>
          <w:sz w:val="20"/>
          <w:szCs w:val="20"/>
          <w:color w:val="auto"/>
        </w:rPr>
      </w:pPr>
      <w:r>
        <w:rPr>
          <w:rFonts w:ascii="Arial" w:cs="Arial" w:eastAsia="Arial" w:hAnsi="Arial"/>
          <w:sz w:val="14"/>
          <w:szCs w:val="14"/>
          <w:color w:val="auto"/>
        </w:rPr>
        <w:t>16.3</w:t>
      </w:r>
      <w:r>
        <w:rPr>
          <w:sz w:val="20"/>
          <w:szCs w:val="20"/>
          <w:color w:val="auto"/>
        </w:rPr>
        <w:tab/>
      </w:r>
      <w:r>
        <w:rPr>
          <w:rFonts w:ascii="Arial" w:cs="Arial" w:eastAsia="Arial" w:hAnsi="Arial"/>
          <w:sz w:val="14"/>
          <w:szCs w:val="14"/>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16.4</w:t>
      </w:r>
      <w:r>
        <w:rPr>
          <w:sz w:val="20"/>
          <w:szCs w:val="20"/>
          <w:color w:val="auto"/>
        </w:rPr>
        <w:tab/>
      </w:r>
      <w:r>
        <w:rPr>
          <w:rFonts w:ascii="Arial" w:cs="Arial" w:eastAsia="Arial" w:hAnsi="Arial"/>
          <w:sz w:val="12"/>
          <w:szCs w:val="12"/>
          <w:color w:val="auto"/>
        </w:rPr>
        <w:t>Unless otherwise permitted by the directors, a committee must follow the procedures prescribed for the taking of decisions by directors.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appoint an agent of the Company</w:t>
      </w:r>
    </w:p>
    <w:p>
      <w:pPr>
        <w:spacing w:after="0" w:line="180" w:lineRule="exact"/>
        <w:rPr>
          <w:sz w:val="20"/>
          <w:szCs w:val="20"/>
          <w:color w:val="auto"/>
        </w:rPr>
      </w:pPr>
    </w:p>
    <w:p>
      <w:pPr>
        <w:ind w:left="500" w:right="100" w:hanging="494"/>
        <w:spacing w:after="0" w:line="277" w:lineRule="auto"/>
        <w:tabs>
          <w:tab w:leader="none" w:pos="480" w:val="left"/>
        </w:tabs>
        <w:rPr>
          <w:sz w:val="20"/>
          <w:szCs w:val="20"/>
          <w:color w:val="auto"/>
        </w:rPr>
      </w:pPr>
      <w:r>
        <w:rPr>
          <w:rFonts w:ascii="Arial" w:cs="Arial" w:eastAsia="Arial" w:hAnsi="Arial"/>
          <w:sz w:val="14"/>
          <w:szCs w:val="14"/>
          <w:color w:val="auto"/>
        </w:rPr>
        <w:t>16.5</w:t>
      </w:r>
      <w:r>
        <w:rPr>
          <w:sz w:val="20"/>
          <w:szCs w:val="20"/>
          <w:color w:val="auto"/>
        </w:rPr>
        <w:tab/>
      </w:r>
      <w:r>
        <w:rPr>
          <w:rFonts w:ascii="Arial" w:cs="Arial" w:eastAsia="Arial" w:hAnsi="Arial"/>
          <w:sz w:val="14"/>
          <w:szCs w:val="14"/>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33" w:lineRule="exact"/>
        <w:rPr>
          <w:sz w:val="20"/>
          <w:szCs w:val="20"/>
          <w:color w:val="auto"/>
        </w:rPr>
      </w:pPr>
    </w:p>
    <w:p>
      <w:pPr>
        <w:ind w:left="1000" w:hanging="501"/>
        <w:spacing w:after="0"/>
        <w:tabs>
          <w:tab w:leader="none" w:pos="100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by causing the Company to enter into a power of attorney or agreement;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 any other manner they determine.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appoint an attorney or authorised signatory of the Company</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16.6</w:t>
      </w:r>
      <w:r>
        <w:rPr>
          <w:sz w:val="20"/>
          <w:szCs w:val="20"/>
          <w:color w:val="auto"/>
        </w:rPr>
        <w:tab/>
      </w:r>
      <w:r>
        <w:rPr>
          <w:rFonts w:ascii="Arial" w:cs="Arial" w:eastAsia="Arial" w:hAnsi="Arial"/>
          <w:sz w:val="12"/>
          <w:szCs w:val="12"/>
          <w:color w:val="auto"/>
        </w:rPr>
        <w:t>The directors may appoint any person, whether nominated directly or indirectly by the directors, to be the attorney or the authorised signatory of the Company. The appointment may be:</w:t>
      </w:r>
    </w:p>
    <w:p>
      <w:pPr>
        <w:spacing w:after="0" w:line="176" w:lineRule="exact"/>
        <w:rPr>
          <w:sz w:val="20"/>
          <w:szCs w:val="20"/>
          <w:color w:val="auto"/>
        </w:rPr>
      </w:pPr>
    </w:p>
    <w:p>
      <w:pPr>
        <w:ind w:left="1000" w:hanging="501"/>
        <w:spacing w:after="0"/>
        <w:tabs>
          <w:tab w:leader="none" w:pos="10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for any purpose;</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with the powers, authorities and discretions;</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for the period;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subject to such conditions</w:t>
      </w:r>
    </w:p>
    <w:p>
      <w:pPr>
        <w:spacing w:after="0" w:line="176" w:lineRule="exact"/>
        <w:rPr>
          <w:sz w:val="20"/>
          <w:szCs w:val="20"/>
          <w:color w:val="auto"/>
        </w:rPr>
      </w:pPr>
    </w:p>
    <w:p>
      <w:pPr>
        <w:ind w:left="500" w:right="240"/>
        <w:spacing w:after="0" w:line="277" w:lineRule="auto"/>
        <w:rPr>
          <w:sz w:val="20"/>
          <w:szCs w:val="20"/>
          <w:color w:val="auto"/>
        </w:rPr>
      </w:pPr>
      <w:r>
        <w:rPr>
          <w:rFonts w:ascii="Arial" w:cs="Arial" w:eastAsia="Arial" w:hAnsi="Arial"/>
          <w:sz w:val="14"/>
          <w:szCs w:val="14"/>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33"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4"/>
          <w:szCs w:val="14"/>
          <w:color w:val="auto"/>
        </w:rPr>
        <w:t>16.7</w:t>
      </w:r>
      <w:r>
        <w:rPr>
          <w:sz w:val="20"/>
          <w:szCs w:val="20"/>
          <w:color w:val="auto"/>
        </w:rPr>
        <w:tab/>
      </w:r>
      <w:r>
        <w:rPr>
          <w:rFonts w:ascii="Arial" w:cs="Arial" w:eastAsia="Arial" w:hAnsi="Arial"/>
          <w:sz w:val="12"/>
          <w:szCs w:val="12"/>
          <w:color w:val="auto"/>
        </w:rPr>
        <w:t>Any power of attorney or other appointment may contain such provision for the protection and convenience for persons dealing with the attorney or authorised signatory as the directors think fit.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Any power of attorney or other appointment may also authorise the attorney or authorised signatory to delegate all or any of the powers, authorities and discretions vested in that person.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appoint a proxy</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16.8</w:t>
      </w:r>
      <w:r>
        <w:rPr>
          <w:sz w:val="20"/>
          <w:szCs w:val="20"/>
          <w:color w:val="auto"/>
        </w:rPr>
        <w:tab/>
      </w:r>
      <w:r>
        <w:rPr>
          <w:rFonts w:ascii="Arial" w:cs="Arial" w:eastAsia="Arial" w:hAnsi="Arial"/>
          <w:sz w:val="14"/>
          <w:szCs w:val="14"/>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16.9</w:t>
      </w:r>
      <w:r>
        <w:rPr>
          <w:sz w:val="20"/>
          <w:szCs w:val="20"/>
          <w:color w:val="auto"/>
        </w:rPr>
        <w:tab/>
      </w:r>
      <w:r>
        <w:rPr>
          <w:rFonts w:ascii="Arial" w:cs="Arial" w:eastAsia="Arial" w:hAnsi="Arial"/>
          <w:sz w:val="12"/>
          <w:szCs w:val="12"/>
          <w:color w:val="auto"/>
        </w:rPr>
        <w:t>A proxy is an agent of the director appointing him and is not an officer of the Company.</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781" w:right="299" w:bottom="1440" w:gutter="0" w:footer="0" w:header="0"/>
        </w:sectPr>
      </w:pPr>
    </w:p>
    <w:bookmarkStart w:id="186" w:name="page187"/>
    <w:bookmarkEnd w:id="186"/>
    <w:p>
      <w:pPr>
        <w:ind w:right="9420" w:firstLine="4"/>
        <w:spacing w:after="0" w:line="589" w:lineRule="auto"/>
        <w:tabs>
          <w:tab w:leader="none" w:pos="495"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Meetings of directors Regulation of directors' meetings</w:t>
      </w:r>
    </w:p>
    <w:p>
      <w:pPr>
        <w:spacing w:after="0"/>
        <w:tabs>
          <w:tab w:leader="none" w:pos="480" w:val="left"/>
        </w:tabs>
        <w:rPr>
          <w:sz w:val="20"/>
          <w:szCs w:val="20"/>
          <w:color w:val="auto"/>
        </w:rPr>
      </w:pPr>
      <w:r>
        <w:rPr>
          <w:rFonts w:ascii="Arial" w:cs="Arial" w:eastAsia="Arial" w:hAnsi="Arial"/>
          <w:sz w:val="14"/>
          <w:szCs w:val="14"/>
          <w:color w:val="auto"/>
        </w:rPr>
        <w:t>17.1</w:t>
      </w:r>
      <w:r>
        <w:rPr>
          <w:sz w:val="20"/>
          <w:szCs w:val="20"/>
          <w:color w:val="auto"/>
        </w:rPr>
        <w:tab/>
      </w:r>
      <w:r>
        <w:rPr>
          <w:rFonts w:ascii="Arial" w:cs="Arial" w:eastAsia="Arial" w:hAnsi="Arial"/>
          <w:sz w:val="12"/>
          <w:szCs w:val="12"/>
          <w:color w:val="auto"/>
        </w:rPr>
        <w:t>Subject to the provisions of these Articles, the directors may regulate their proceedings as they think fit.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Calling meetings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17.2</w:t>
      </w:r>
      <w:r>
        <w:rPr>
          <w:sz w:val="20"/>
          <w:szCs w:val="20"/>
          <w:color w:val="auto"/>
        </w:rPr>
        <w:tab/>
      </w:r>
      <w:r>
        <w:rPr>
          <w:rFonts w:ascii="Arial" w:cs="Arial" w:eastAsia="Arial" w:hAnsi="Arial"/>
          <w:sz w:val="12"/>
          <w:szCs w:val="12"/>
          <w:color w:val="auto"/>
        </w:rPr>
        <w:t>Any director may call a meeting of directors at any time. The Secretary, if any, must call a meeting of the directors if requested to do so by a director.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of meetings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17.3</w:t>
      </w:r>
      <w:r>
        <w:rPr>
          <w:sz w:val="20"/>
          <w:szCs w:val="20"/>
          <w:color w:val="auto"/>
        </w:rPr>
        <w:tab/>
      </w:r>
      <w:r>
        <w:rPr>
          <w:rFonts w:ascii="Arial" w:cs="Arial" w:eastAsia="Arial" w:hAnsi="Arial"/>
          <w:sz w:val="12"/>
          <w:szCs w:val="12"/>
          <w:color w:val="auto"/>
        </w:rPr>
        <w:t>Every director shall be given notice of a meeting, although a director may waive retrospectively the requirement to be given notice. Notice may be oral.</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 of notice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17.4</w:t>
      </w:r>
      <w:r>
        <w:rPr>
          <w:sz w:val="20"/>
          <w:szCs w:val="20"/>
          <w:color w:val="auto"/>
        </w:rPr>
        <w:tab/>
      </w:r>
      <w:r>
        <w:rPr>
          <w:rFonts w:ascii="Arial" w:cs="Arial" w:eastAsia="Arial" w:hAnsi="Arial"/>
          <w:sz w:val="12"/>
          <w:szCs w:val="12"/>
          <w:color w:val="auto"/>
        </w:rPr>
        <w:t>At least one Clear Days’ notice of a meeting of directors must be given to directors. But a meeting may be convened on shorter notice with the consent of all directors.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technology</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17.5</w:t>
      </w:r>
      <w:r>
        <w:rPr>
          <w:sz w:val="20"/>
          <w:szCs w:val="20"/>
          <w:color w:val="auto"/>
        </w:rPr>
        <w:tab/>
      </w:r>
      <w:r>
        <w:rPr>
          <w:rFonts w:ascii="Arial" w:cs="Arial" w:eastAsia="Arial" w:hAnsi="Arial"/>
          <w:sz w:val="14"/>
          <w:szCs w:val="14"/>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17.6</w:t>
      </w:r>
      <w:r>
        <w:rPr>
          <w:sz w:val="20"/>
          <w:szCs w:val="20"/>
          <w:color w:val="auto"/>
        </w:rPr>
        <w:tab/>
      </w:r>
      <w:r>
        <w:rPr>
          <w:rFonts w:ascii="Arial" w:cs="Arial" w:eastAsia="Arial" w:hAnsi="Arial"/>
          <w:sz w:val="12"/>
          <w:szCs w:val="12"/>
          <w:color w:val="auto"/>
        </w:rPr>
        <w:t>A director participating in this way is deemed to be present in person at the meeting.</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Quorum</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17.7</w:t>
      </w:r>
      <w:r>
        <w:rPr>
          <w:sz w:val="20"/>
          <w:szCs w:val="20"/>
          <w:color w:val="auto"/>
        </w:rPr>
        <w:tab/>
      </w:r>
      <w:r>
        <w:rPr>
          <w:rFonts w:ascii="Arial" w:cs="Arial" w:eastAsia="Arial" w:hAnsi="Arial"/>
          <w:sz w:val="12"/>
          <w:szCs w:val="12"/>
          <w:color w:val="auto"/>
        </w:rPr>
        <w:t>The quorum for the transaction of business at a meeting of directors shall be a majority of the directors unless the directors fix some other number or unless the Company has only one director.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17.8</w:t>
      </w:r>
      <w:r>
        <w:rPr>
          <w:sz w:val="20"/>
          <w:szCs w:val="20"/>
          <w:color w:val="auto"/>
        </w:rPr>
        <w:tab/>
      </w:r>
      <w:r>
        <w:rPr>
          <w:rFonts w:ascii="Arial" w:cs="Arial" w:eastAsia="Arial" w:hAnsi="Arial"/>
          <w:sz w:val="12"/>
          <w:szCs w:val="12"/>
          <w:color w:val="auto"/>
        </w:rPr>
        <w:t>A question which arises at a board meeting shall be decided by a majority of votes. If votes are equal the chairman may, if he wishes, exercise a casting vote.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Validity</w:t>
      </w:r>
    </w:p>
    <w:p>
      <w:pPr>
        <w:spacing w:after="0" w:line="180" w:lineRule="exact"/>
        <w:rPr>
          <w:sz w:val="20"/>
          <w:szCs w:val="20"/>
          <w:color w:val="auto"/>
        </w:rPr>
      </w:pPr>
    </w:p>
    <w:p>
      <w:pPr>
        <w:ind w:left="500" w:right="20" w:hanging="494"/>
        <w:spacing w:after="0" w:line="277" w:lineRule="auto"/>
        <w:tabs>
          <w:tab w:leader="none" w:pos="480" w:val="left"/>
        </w:tabs>
        <w:rPr>
          <w:sz w:val="20"/>
          <w:szCs w:val="20"/>
          <w:color w:val="auto"/>
        </w:rPr>
      </w:pPr>
      <w:r>
        <w:rPr>
          <w:rFonts w:ascii="Arial" w:cs="Arial" w:eastAsia="Arial" w:hAnsi="Arial"/>
          <w:sz w:val="14"/>
          <w:szCs w:val="14"/>
          <w:color w:val="auto"/>
        </w:rPr>
        <w:t>17.9</w:t>
      </w:r>
      <w:r>
        <w:rPr>
          <w:sz w:val="20"/>
          <w:szCs w:val="20"/>
          <w:color w:val="auto"/>
        </w:rPr>
        <w:tab/>
      </w:r>
      <w:r>
        <w:rPr>
          <w:rFonts w:ascii="Arial" w:cs="Arial" w:eastAsia="Arial" w:hAnsi="Arial"/>
          <w:sz w:val="14"/>
          <w:szCs w:val="14"/>
          <w:color w:val="auto"/>
        </w:rPr>
        <w:t>Anything done at a meeting of directors is unaffected by the fact that it is later discovered that any person was not properly appointed, or had ceased to be a director, or was otherwise not entitled to vote.</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778" w:right="27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b w:val="1"/>
          <w:bCs w:val="1"/>
          <w:color w:val="auto"/>
        </w:rPr>
        <w:t>Recording of dissent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17.10</w:t>
      </w:r>
      <w:r>
        <w:rPr>
          <w:sz w:val="20"/>
          <w:szCs w:val="20"/>
          <w:color w:val="auto"/>
        </w:rPr>
        <w:tab/>
      </w:r>
      <w:r>
        <w:rPr>
          <w:rFonts w:ascii="Arial" w:cs="Arial" w:eastAsia="Arial" w:hAnsi="Arial"/>
          <w:sz w:val="12"/>
          <w:szCs w:val="12"/>
          <w:color w:val="auto"/>
        </w:rPr>
        <w:t>A director present at a meeting of directors shall be presumed to have assented to any action taken at that meeting unless:</w:t>
      </w:r>
    </w:p>
    <w:p>
      <w:pPr>
        <w:spacing w:after="0" w:line="176" w:lineRule="exact"/>
        <w:rPr>
          <w:sz w:val="20"/>
          <w:szCs w:val="20"/>
          <w:color w:val="auto"/>
        </w:rPr>
      </w:pPr>
    </w:p>
    <w:p>
      <w:pPr>
        <w:ind w:left="1000" w:hanging="501"/>
        <w:spacing w:after="0"/>
        <w:tabs>
          <w:tab w:leader="none" w:pos="100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his dissent is entered in the minutes of the meeting;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he has filed with the meeting before it is concluded signed dissent from that action; or</w:t>
      </w:r>
    </w:p>
    <w:p>
      <w:pPr>
        <w:spacing w:after="0" w:line="175" w:lineRule="exact"/>
        <w:rPr>
          <w:rFonts w:ascii="Arial" w:cs="Arial" w:eastAsia="Arial" w:hAnsi="Arial"/>
          <w:sz w:val="14"/>
          <w:szCs w:val="14"/>
          <w:color w:val="auto"/>
        </w:rPr>
      </w:pPr>
    </w:p>
    <w:p>
      <w:pPr>
        <w:ind w:left="500" w:right="4120" w:hanging="1"/>
        <w:spacing w:after="0" w:line="499" w:lineRule="auto"/>
        <w:tabs>
          <w:tab w:leader="none" w:pos="992" w:val="left"/>
        </w:tabs>
        <w:numPr>
          <w:ilvl w:val="0"/>
          <w:numId w:val="159"/>
        </w:numPr>
        <w:rPr>
          <w:rFonts w:ascii="Arial" w:cs="Arial" w:eastAsia="Arial" w:hAnsi="Arial"/>
          <w:sz w:val="14"/>
          <w:szCs w:val="14"/>
          <w:color w:val="auto"/>
        </w:rPr>
      </w:pPr>
      <w:r>
        <w:rPr>
          <w:rFonts w:ascii="Arial" w:cs="Arial" w:eastAsia="Arial" w:hAnsi="Arial"/>
          <w:sz w:val="14"/>
          <w:szCs w:val="14"/>
          <w:color w:val="auto"/>
        </w:rPr>
        <w:t>he has forwarded to the Company as soon as practical following the conclusion of that meeting signed dissent. A director who votes in favour of an action is not entitled to record his dissent to it.</w:t>
      </w:r>
    </w:p>
    <w:p>
      <w:pPr>
        <w:spacing w:after="0"/>
        <w:rPr>
          <w:sz w:val="20"/>
          <w:szCs w:val="20"/>
          <w:color w:val="auto"/>
        </w:rPr>
      </w:pPr>
      <w:r>
        <w:rPr>
          <w:rFonts w:ascii="Arial" w:cs="Arial" w:eastAsia="Arial" w:hAnsi="Arial"/>
          <w:sz w:val="14"/>
          <w:szCs w:val="14"/>
          <w:b w:val="1"/>
          <w:bCs w:val="1"/>
          <w:color w:val="auto"/>
        </w:rPr>
        <w:t>Written resolutions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17.11</w:t>
      </w:r>
      <w:r>
        <w:rPr>
          <w:sz w:val="20"/>
          <w:szCs w:val="20"/>
          <w:color w:val="auto"/>
        </w:rPr>
        <w:tab/>
      </w:r>
      <w:r>
        <w:rPr>
          <w:rFonts w:ascii="Arial" w:cs="Arial" w:eastAsia="Arial" w:hAnsi="Arial"/>
          <w:sz w:val="12"/>
          <w:szCs w:val="12"/>
          <w:color w:val="auto"/>
        </w:rPr>
        <w:t>The directors may pass a resolution in writing without holding a meeting if the following conditions are met:</w:t>
      </w:r>
    </w:p>
    <w:p>
      <w:pPr>
        <w:spacing w:after="0" w:line="176" w:lineRule="exact"/>
        <w:rPr>
          <w:sz w:val="20"/>
          <w:szCs w:val="20"/>
          <w:color w:val="auto"/>
        </w:rPr>
      </w:pPr>
    </w:p>
    <w:p>
      <w:pPr>
        <w:ind w:left="1000" w:hanging="501"/>
        <w:spacing w:after="0"/>
        <w:tabs>
          <w:tab w:leader="none" w:pos="10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all directors are given notice of the resolution;</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the resolution is set out in a document or documents indicating that it is a unanimous resolution;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all directors:</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60"/>
        </w:numPr>
        <w:rPr>
          <w:rFonts w:ascii="Arial" w:cs="Arial" w:eastAsia="Arial" w:hAnsi="Arial"/>
          <w:sz w:val="14"/>
          <w:szCs w:val="14"/>
          <w:color w:val="auto"/>
        </w:rPr>
      </w:pPr>
      <w:r>
        <w:rPr>
          <w:rFonts w:ascii="Arial" w:cs="Arial" w:eastAsia="Arial" w:hAnsi="Arial"/>
          <w:sz w:val="14"/>
          <w:szCs w:val="14"/>
          <w:color w:val="auto"/>
        </w:rPr>
        <w:t>sign a document; or</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60"/>
        </w:numPr>
        <w:rPr>
          <w:rFonts w:ascii="Arial" w:cs="Arial" w:eastAsia="Arial" w:hAnsi="Arial"/>
          <w:sz w:val="14"/>
          <w:szCs w:val="14"/>
          <w:color w:val="auto"/>
        </w:rPr>
      </w:pPr>
      <w:r>
        <w:rPr>
          <w:rFonts w:ascii="Arial" w:cs="Arial" w:eastAsia="Arial" w:hAnsi="Arial"/>
          <w:sz w:val="14"/>
          <w:szCs w:val="14"/>
          <w:color w:val="auto"/>
        </w:rPr>
        <w:t>sign several documents in the like form each signed by one or more of those directors; and</w:t>
      </w:r>
    </w:p>
    <w:p>
      <w:pPr>
        <w:spacing w:after="0" w:line="175" w:lineRule="exact"/>
        <w:rPr>
          <w:rFonts w:ascii="Arial" w:cs="Arial" w:eastAsia="Arial" w:hAnsi="Arial"/>
          <w:sz w:val="14"/>
          <w:szCs w:val="14"/>
          <w:color w:val="auto"/>
        </w:rPr>
      </w:pPr>
    </w:p>
    <w:p>
      <w:pPr>
        <w:ind w:left="1000" w:right="40" w:hanging="501"/>
        <w:spacing w:after="0" w:line="277" w:lineRule="auto"/>
        <w:tabs>
          <w:tab w:leader="none" w:pos="10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the signed document or documents is or are delivered to the Company, including, if the Company so nominates by delivery of an Electronic Record by Electronic means to the address specified for that purpose.</w:t>
      </w:r>
    </w:p>
    <w:p>
      <w:pPr>
        <w:spacing w:after="0" w:line="133" w:lineRule="exact"/>
        <w:rPr>
          <w:sz w:val="20"/>
          <w:szCs w:val="20"/>
          <w:color w:val="auto"/>
        </w:rPr>
      </w:pPr>
    </w:p>
    <w:p>
      <w:pPr>
        <w:ind w:left="500" w:right="340"/>
        <w:spacing w:after="0" w:line="277" w:lineRule="auto"/>
        <w:rPr>
          <w:sz w:val="20"/>
          <w:szCs w:val="20"/>
          <w:color w:val="auto"/>
        </w:rPr>
      </w:pPr>
      <w:r>
        <w:rPr>
          <w:rFonts w:ascii="Arial" w:cs="Arial" w:eastAsia="Arial" w:hAnsi="Arial"/>
          <w:sz w:val="14"/>
          <w:szCs w:val="14"/>
          <w:color w:val="auto"/>
        </w:rPr>
        <w:t>Despite the foregoing, a resolution in writing signed by a validly appointed proxy need not also be signed by the appointing director. But if a written resolution is signed personally by the appointing director, it need not also be signed by his proxy.</w:t>
      </w:r>
    </w:p>
    <w:p>
      <w:pPr>
        <w:spacing w:after="0" w:line="133"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17.12</w:t>
        <w:tab/>
        <w:t>Such written resolution shall be as effective as if it had been passed at a meeting of the directors duly convened and held; and it shall be treated as having been passed on the day and at the time that the last director signs.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Sole director's minute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17.13</w:t>
      </w:r>
      <w:r>
        <w:rPr>
          <w:sz w:val="20"/>
          <w:szCs w:val="20"/>
          <w:color w:val="auto"/>
        </w:rPr>
        <w:tab/>
      </w:r>
      <w:r>
        <w:rPr>
          <w:rFonts w:ascii="Arial" w:cs="Arial" w:eastAsia="Arial" w:hAnsi="Arial"/>
          <w:sz w:val="12"/>
          <w:szCs w:val="12"/>
          <w:color w:val="auto"/>
        </w:rPr>
        <w:t>Where a sole director signs a minute recording his decision on a question, that record shall constitute the passing of a resolution in those terms.</w:t>
      </w: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00"/>
          </w:cols>
          <w:pgMar w:left="220" w:top="777" w:right="379" w:bottom="1440" w:gutter="0" w:footer="0" w:header="0"/>
        </w:sectPr>
      </w:pPr>
    </w:p>
    <w:bookmarkStart w:id="188" w:name="page189"/>
    <w:bookmarkEnd w:id="188"/>
    <w:p>
      <w:pPr>
        <w:ind w:right="8180" w:firstLine="4"/>
        <w:spacing w:after="0" w:line="589" w:lineRule="auto"/>
        <w:tabs>
          <w:tab w:leader="none" w:pos="495"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Permissible directors' interests and disclosure Permissible interests subject to disclosure</w:t>
      </w:r>
    </w:p>
    <w:p>
      <w:pPr>
        <w:ind w:left="500" w:right="320" w:hanging="494"/>
        <w:spacing w:after="0" w:line="277" w:lineRule="auto"/>
        <w:tabs>
          <w:tab w:leader="none" w:pos="480" w:val="left"/>
        </w:tabs>
        <w:rPr>
          <w:sz w:val="20"/>
          <w:szCs w:val="20"/>
          <w:color w:val="auto"/>
        </w:rPr>
      </w:pPr>
      <w:r>
        <w:rPr>
          <w:rFonts w:ascii="Arial" w:cs="Arial" w:eastAsia="Arial" w:hAnsi="Arial"/>
          <w:sz w:val="14"/>
          <w:szCs w:val="14"/>
          <w:color w:val="auto"/>
        </w:rPr>
        <w:t>18.1</w:t>
      </w:r>
      <w:r>
        <w:rPr>
          <w:sz w:val="20"/>
          <w:szCs w:val="20"/>
          <w:color w:val="auto"/>
        </w:rPr>
        <w:tab/>
      </w:r>
      <w:r>
        <w:rPr>
          <w:rFonts w:ascii="Arial" w:cs="Arial" w:eastAsia="Arial" w:hAnsi="Arial"/>
          <w:sz w:val="14"/>
          <w:szCs w:val="14"/>
          <w:color w:val="auto"/>
        </w:rPr>
        <w:t>Save as expressly permitted by these Articles or as set out below, a director may not have a direct or indirect interest or duty which conflicts or may possibly conflict with the interests of the Company.</w:t>
      </w:r>
    </w:p>
    <w:p>
      <w:pPr>
        <w:spacing w:after="0" w:line="133" w:lineRule="exact"/>
        <w:rPr>
          <w:sz w:val="20"/>
          <w:szCs w:val="20"/>
          <w:color w:val="auto"/>
        </w:rPr>
      </w:pPr>
    </w:p>
    <w:p>
      <w:pPr>
        <w:ind w:left="500" w:right="40" w:hanging="494"/>
        <w:spacing w:after="0" w:line="277" w:lineRule="auto"/>
        <w:tabs>
          <w:tab w:leader="none" w:pos="480" w:val="left"/>
        </w:tabs>
        <w:rPr>
          <w:sz w:val="20"/>
          <w:szCs w:val="20"/>
          <w:color w:val="auto"/>
        </w:rPr>
      </w:pPr>
      <w:r>
        <w:rPr>
          <w:rFonts w:ascii="Arial" w:cs="Arial" w:eastAsia="Arial" w:hAnsi="Arial"/>
          <w:sz w:val="14"/>
          <w:szCs w:val="14"/>
          <w:color w:val="auto"/>
        </w:rPr>
        <w:t>18.2</w:t>
      </w:r>
      <w:r>
        <w:rPr>
          <w:sz w:val="20"/>
          <w:szCs w:val="20"/>
          <w:color w:val="auto"/>
        </w:rPr>
        <w:tab/>
      </w:r>
      <w:r>
        <w:rPr>
          <w:rFonts w:ascii="Arial" w:cs="Arial" w:eastAsia="Arial" w:hAnsi="Arial"/>
          <w:sz w:val="14"/>
          <w:szCs w:val="14"/>
          <w:color w:val="auto"/>
        </w:rPr>
        <w:t>If, notwithstanding the prohibition in the preceding Article, a director discloses to his fellow directors the nature and extent of any material interest or duty in accordance with the next Article, he may:</w:t>
      </w:r>
    </w:p>
    <w:p>
      <w:pPr>
        <w:spacing w:after="0" w:line="133" w:lineRule="exact"/>
        <w:rPr>
          <w:sz w:val="20"/>
          <w:szCs w:val="20"/>
          <w:color w:val="auto"/>
        </w:rPr>
      </w:pPr>
    </w:p>
    <w:p>
      <w:pPr>
        <w:ind w:left="1000" w:hanging="501"/>
        <w:spacing w:after="0"/>
        <w:tabs>
          <w:tab w:leader="none" w:pos="10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be a party to, or otherwise interested in, any transaction or arrangement with the Company or in which the Company is or may otherwise be interested;</w:t>
      </w:r>
    </w:p>
    <w:p>
      <w:pPr>
        <w:spacing w:after="0" w:line="175" w:lineRule="exact"/>
        <w:rPr>
          <w:rFonts w:ascii="Arial" w:cs="Arial" w:eastAsia="Arial" w:hAnsi="Arial"/>
          <w:sz w:val="14"/>
          <w:szCs w:val="14"/>
          <w:color w:val="auto"/>
        </w:rPr>
      </w:pPr>
    </w:p>
    <w:p>
      <w:pPr>
        <w:ind w:left="1000" w:hanging="501"/>
        <w:spacing w:after="0" w:line="277" w:lineRule="auto"/>
        <w:tabs>
          <w:tab w:leader="none" w:pos="10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133" w:lineRule="exact"/>
        <w:rPr>
          <w:sz w:val="20"/>
          <w:szCs w:val="20"/>
          <w:color w:val="auto"/>
        </w:rPr>
      </w:pPr>
    </w:p>
    <w:p>
      <w:pPr>
        <w:ind w:left="500" w:right="400" w:hanging="494"/>
        <w:spacing w:after="0" w:line="317" w:lineRule="auto"/>
        <w:tabs>
          <w:tab w:leader="none" w:pos="480" w:val="left"/>
        </w:tabs>
        <w:rPr>
          <w:sz w:val="20"/>
          <w:szCs w:val="20"/>
          <w:color w:val="auto"/>
        </w:rPr>
      </w:pPr>
      <w:r>
        <w:rPr>
          <w:rFonts w:ascii="Arial" w:cs="Arial" w:eastAsia="Arial" w:hAnsi="Arial"/>
          <w:sz w:val="14"/>
          <w:szCs w:val="14"/>
          <w:color w:val="auto"/>
        </w:rPr>
        <w:t>18.3</w:t>
      </w:r>
      <w:r>
        <w:rPr>
          <w:sz w:val="20"/>
          <w:szCs w:val="20"/>
          <w:color w:val="auto"/>
        </w:rPr>
        <w:tab/>
      </w:r>
      <w:r>
        <w:rPr>
          <w:rFonts w:ascii="Arial" w:cs="Arial" w:eastAsia="Arial" w:hAnsi="Arial"/>
          <w:sz w:val="13"/>
          <w:szCs w:val="13"/>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110" w:lineRule="exact"/>
        <w:rPr>
          <w:sz w:val="20"/>
          <w:szCs w:val="20"/>
          <w:color w:val="auto"/>
        </w:rPr>
      </w:pPr>
    </w:p>
    <w:p>
      <w:pPr>
        <w:jc w:val="both"/>
        <w:ind w:left="500" w:right="80" w:hanging="494"/>
        <w:spacing w:after="0" w:line="264" w:lineRule="auto"/>
        <w:tabs>
          <w:tab w:leader="none" w:pos="480" w:val="left"/>
        </w:tabs>
        <w:rPr>
          <w:sz w:val="20"/>
          <w:szCs w:val="20"/>
          <w:color w:val="auto"/>
        </w:rPr>
      </w:pPr>
      <w:r>
        <w:rPr>
          <w:rFonts w:ascii="Arial" w:cs="Arial" w:eastAsia="Arial" w:hAnsi="Arial"/>
          <w:sz w:val="14"/>
          <w:szCs w:val="14"/>
          <w:color w:val="auto"/>
        </w:rPr>
        <w:t>18.4</w:t>
      </w:r>
      <w:r>
        <w:rPr>
          <w:sz w:val="20"/>
          <w:szCs w:val="20"/>
          <w:color w:val="auto"/>
        </w:rPr>
        <w:tab/>
      </w:r>
      <w:r>
        <w:rPr>
          <w:rFonts w:ascii="Arial" w:cs="Arial" w:eastAsia="Arial" w:hAnsi="Arial"/>
          <w:sz w:val="14"/>
          <w:szCs w:val="14"/>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Notification of interests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18.5</w:t>
      </w:r>
      <w:r>
        <w:rPr>
          <w:sz w:val="20"/>
          <w:szCs w:val="20"/>
          <w:color w:val="auto"/>
        </w:rPr>
        <w:tab/>
      </w:r>
      <w:r>
        <w:rPr>
          <w:rFonts w:ascii="Arial" w:cs="Arial" w:eastAsia="Arial" w:hAnsi="Arial"/>
          <w:sz w:val="12"/>
          <w:szCs w:val="12"/>
          <w:color w:val="auto"/>
        </w:rPr>
        <w:t>For the purposes of the preceding Articles:</w:t>
      </w:r>
    </w:p>
    <w:p>
      <w:pPr>
        <w:spacing w:after="0" w:line="176" w:lineRule="exact"/>
        <w:rPr>
          <w:sz w:val="20"/>
          <w:szCs w:val="20"/>
          <w:color w:val="auto"/>
        </w:rPr>
      </w:pPr>
    </w:p>
    <w:p>
      <w:pPr>
        <w:ind w:left="1000" w:right="80" w:hanging="501"/>
        <w:spacing w:after="0" w:line="317" w:lineRule="auto"/>
        <w:tabs>
          <w:tab w:leader="none" w:pos="100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and</w:t>
      </w:r>
    </w:p>
    <w:p>
      <w:pPr>
        <w:spacing w:after="0" w:line="110" w:lineRule="exact"/>
        <w:rPr>
          <w:rFonts w:ascii="Arial" w:cs="Arial" w:eastAsia="Arial" w:hAnsi="Arial"/>
          <w:sz w:val="13"/>
          <w:szCs w:val="13"/>
          <w:color w:val="auto"/>
        </w:rPr>
      </w:pPr>
    </w:p>
    <w:p>
      <w:pPr>
        <w:ind w:left="1000" w:hanging="501"/>
        <w:spacing w:after="0"/>
        <w:tabs>
          <w:tab w:leader="none" w:pos="100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an interest of which a director has no knowledge and of which it is unreasonable to expect him to have knowledge shall not be treated as an interest of his.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18.6</w:t>
      </w:r>
      <w:r>
        <w:rPr>
          <w:sz w:val="20"/>
          <w:szCs w:val="20"/>
          <w:color w:val="auto"/>
        </w:rPr>
        <w:tab/>
      </w:r>
      <w:r>
        <w:rPr>
          <w:rFonts w:ascii="Arial" w:cs="Arial" w:eastAsia="Arial" w:hAnsi="Arial"/>
          <w:sz w:val="12"/>
          <w:szCs w:val="12"/>
          <w:color w:val="auto"/>
        </w:rPr>
        <w:t>A director shall not be treated as having an interest in a transaction or arrangement if he has no knowledge of that interest and it is unreasonable to expect the director to have that knowledge.</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77" w:right="25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b w:val="1"/>
          <w:bCs w:val="1"/>
          <w:color w:val="auto"/>
        </w:rPr>
        <w:t>Voting where a director is interested in a matter</w:t>
      </w:r>
    </w:p>
    <w:p>
      <w:pPr>
        <w:spacing w:after="0" w:line="180" w:lineRule="exact"/>
        <w:rPr>
          <w:sz w:val="20"/>
          <w:szCs w:val="20"/>
          <w:color w:val="auto"/>
        </w:rPr>
      </w:pPr>
    </w:p>
    <w:p>
      <w:pPr>
        <w:jc w:val="right"/>
        <w:ind w:right="120"/>
        <w:spacing w:after="0" w:line="364" w:lineRule="auto"/>
        <w:rPr>
          <w:sz w:val="20"/>
          <w:szCs w:val="20"/>
          <w:color w:val="auto"/>
        </w:rPr>
      </w:pPr>
      <w:r>
        <w:rPr>
          <w:rFonts w:ascii="Arial" w:cs="Arial" w:eastAsia="Arial" w:hAnsi="Arial"/>
          <w:sz w:val="12"/>
          <w:szCs w:val="12"/>
          <w:color w:val="auto"/>
        </w:rPr>
        <w:t>18.7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87" w:lineRule="exact"/>
        <w:rPr>
          <w:sz w:val="20"/>
          <w:szCs w:val="20"/>
          <w:color w:val="auto"/>
        </w:rPr>
      </w:pPr>
    </w:p>
    <w:p>
      <w:pPr>
        <w:ind w:left="500" w:hanging="494"/>
        <w:spacing w:after="0" w:line="264" w:lineRule="auto"/>
        <w:tabs>
          <w:tab w:leader="none" w:pos="480" w:val="left"/>
        </w:tabs>
        <w:rPr>
          <w:sz w:val="20"/>
          <w:szCs w:val="20"/>
          <w:color w:val="auto"/>
        </w:rPr>
      </w:pPr>
      <w:r>
        <w:rPr>
          <w:rFonts w:ascii="Arial" w:cs="Arial" w:eastAsia="Arial" w:hAnsi="Arial"/>
          <w:sz w:val="14"/>
          <w:szCs w:val="14"/>
          <w:color w:val="auto"/>
        </w:rPr>
        <w:t>18.8</w:t>
      </w:r>
      <w:r>
        <w:rPr>
          <w:sz w:val="20"/>
          <w:szCs w:val="20"/>
          <w:color w:val="auto"/>
        </w:rPr>
        <w:tab/>
      </w:r>
      <w:r>
        <w:rPr>
          <w:rFonts w:ascii="Arial" w:cs="Arial" w:eastAsia="Arial" w:hAnsi="Arial"/>
          <w:sz w:val="14"/>
          <w:szCs w:val="14"/>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13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b w:val="1"/>
          <w:bCs w:val="1"/>
          <w:color w:val="auto"/>
        </w:rPr>
        <w:t>Minutes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w:t>
      </w:r>
      <w:r>
        <w:rPr>
          <w:sz w:val="20"/>
          <w:szCs w:val="20"/>
          <w:color w:val="auto"/>
        </w:rPr>
        <w:tab/>
      </w:r>
      <w:r>
        <w:rPr>
          <w:rFonts w:ascii="Arial" w:cs="Arial" w:eastAsia="Arial" w:hAnsi="Arial"/>
          <w:sz w:val="12"/>
          <w:szCs w:val="12"/>
          <w:color w:val="auto"/>
        </w:rPr>
        <w:t>The Company shall cause minutes to be made in books kept for the purpose in accordance with the Law.</w:t>
      </w:r>
    </w:p>
    <w:p>
      <w:pPr>
        <w:spacing w:after="0" w:line="172" w:lineRule="exact"/>
        <w:rPr>
          <w:sz w:val="20"/>
          <w:szCs w:val="20"/>
          <w:color w:val="auto"/>
        </w:rPr>
      </w:pPr>
    </w:p>
    <w:p>
      <w:pPr>
        <w:ind w:right="9620" w:firstLine="4"/>
        <w:spacing w:after="0" w:line="589" w:lineRule="auto"/>
        <w:tabs>
          <w:tab w:leader="none" w:pos="495"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Accounts and audit Accounting and other records</w:t>
      </w:r>
    </w:p>
    <w:p>
      <w:pPr>
        <w:spacing w:after="0"/>
        <w:tabs>
          <w:tab w:leader="none" w:pos="480" w:val="left"/>
        </w:tabs>
        <w:rPr>
          <w:sz w:val="20"/>
          <w:szCs w:val="20"/>
          <w:color w:val="auto"/>
        </w:rPr>
      </w:pPr>
      <w:r>
        <w:rPr>
          <w:rFonts w:ascii="Arial" w:cs="Arial" w:eastAsia="Arial" w:hAnsi="Arial"/>
          <w:sz w:val="14"/>
          <w:szCs w:val="14"/>
          <w:color w:val="auto"/>
        </w:rPr>
        <w:t>20.1</w:t>
      </w:r>
      <w:r>
        <w:rPr>
          <w:sz w:val="20"/>
          <w:szCs w:val="20"/>
          <w:color w:val="auto"/>
        </w:rPr>
        <w:tab/>
      </w:r>
      <w:r>
        <w:rPr>
          <w:rFonts w:ascii="Arial" w:cs="Arial" w:eastAsia="Arial" w:hAnsi="Arial"/>
          <w:sz w:val="12"/>
          <w:szCs w:val="12"/>
          <w:color w:val="auto"/>
        </w:rPr>
        <w:t>The directors must ensure that proper accounting and other records are kept, and that accounts and associated reports are distributed in accordance with the requirements of the Law.</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automatic right of inspection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20.2</w:t>
      </w:r>
      <w:r>
        <w:rPr>
          <w:sz w:val="20"/>
          <w:szCs w:val="20"/>
          <w:color w:val="auto"/>
        </w:rPr>
        <w:tab/>
      </w:r>
      <w:r>
        <w:rPr>
          <w:rFonts w:ascii="Arial" w:cs="Arial" w:eastAsia="Arial" w:hAnsi="Arial"/>
          <w:sz w:val="12"/>
          <w:szCs w:val="12"/>
          <w:color w:val="auto"/>
        </w:rPr>
        <w:t>Members are only entitled to inspect the Company's records if they are expressly entitled to do so by law, or by resolution made by the directors or passed by Ordinary Resolution.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Sending of accounts and reports</w:t>
      </w:r>
    </w:p>
    <w:p>
      <w:pPr>
        <w:spacing w:after="0" w:line="180" w:lineRule="exact"/>
        <w:rPr>
          <w:sz w:val="20"/>
          <w:szCs w:val="20"/>
          <w:color w:val="auto"/>
        </w:rPr>
      </w:pPr>
    </w:p>
    <w:p>
      <w:pPr>
        <w:ind w:left="500" w:right="320" w:hanging="494"/>
        <w:spacing w:after="0" w:line="277" w:lineRule="auto"/>
        <w:tabs>
          <w:tab w:leader="none" w:pos="480" w:val="left"/>
        </w:tabs>
        <w:rPr>
          <w:sz w:val="20"/>
          <w:szCs w:val="20"/>
          <w:color w:val="auto"/>
        </w:rPr>
      </w:pPr>
      <w:r>
        <w:rPr>
          <w:rFonts w:ascii="Arial" w:cs="Arial" w:eastAsia="Arial" w:hAnsi="Arial"/>
          <w:sz w:val="14"/>
          <w:szCs w:val="14"/>
          <w:color w:val="auto"/>
        </w:rPr>
        <w:t>20.3</w:t>
      </w:r>
      <w:r>
        <w:rPr>
          <w:sz w:val="20"/>
          <w:szCs w:val="20"/>
          <w:color w:val="auto"/>
        </w:rPr>
        <w:tab/>
      </w:r>
      <w:r>
        <w:rPr>
          <w:rFonts w:ascii="Arial" w:cs="Arial" w:eastAsia="Arial" w:hAnsi="Arial"/>
          <w:sz w:val="14"/>
          <w:szCs w:val="14"/>
          <w:color w:val="auto"/>
        </w:rPr>
        <w:t>The Company's accounts and associated directors' report or auditor's report that are required or permitted to be sent to any person pursuant to any law shall be treated as properly sent to that person if:</w:t>
      </w:r>
    </w:p>
    <w:p>
      <w:pPr>
        <w:spacing w:after="0" w:line="133" w:lineRule="exact"/>
        <w:rPr>
          <w:sz w:val="20"/>
          <w:szCs w:val="20"/>
          <w:color w:val="auto"/>
        </w:rPr>
      </w:pPr>
    </w:p>
    <w:p>
      <w:pPr>
        <w:ind w:left="1000" w:hanging="501"/>
        <w:spacing w:after="0"/>
        <w:tabs>
          <w:tab w:leader="none" w:pos="100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they are sent to that person in accordance with the notice provisions: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they are published on a website providing that person is given separate notice of:</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the fact that publication of the documents has been published on the website;</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the address of the website; and</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the place on the website where the documents may be accessed; and</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how they may be accessed.</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777" w:right="279" w:bottom="1440" w:gutter="0" w:footer="0" w:header="0"/>
        </w:sectPr>
      </w:pPr>
    </w:p>
    <w:bookmarkStart w:id="190" w:name="page191"/>
    <w:bookmarkEnd w:id="190"/>
    <w:p>
      <w:pPr>
        <w:ind w:left="500" w:right="520" w:hanging="494"/>
        <w:spacing w:after="0" w:line="277" w:lineRule="auto"/>
        <w:tabs>
          <w:tab w:leader="none" w:pos="480" w:val="left"/>
        </w:tabs>
        <w:rPr>
          <w:sz w:val="20"/>
          <w:szCs w:val="20"/>
          <w:color w:val="auto"/>
        </w:rPr>
      </w:pPr>
      <w:r>
        <w:rPr>
          <w:rFonts w:ascii="Arial" w:cs="Arial" w:eastAsia="Arial" w:hAnsi="Arial"/>
          <w:sz w:val="14"/>
          <w:szCs w:val="14"/>
          <w:color w:val="auto"/>
        </w:rPr>
        <w:t>20.4</w:t>
      </w:r>
      <w:r>
        <w:rPr>
          <w:sz w:val="20"/>
          <w:szCs w:val="20"/>
          <w:color w:val="auto"/>
        </w:rPr>
        <w:tab/>
      </w:r>
      <w:r>
        <w:rPr>
          <w:rFonts w:ascii="Arial" w:cs="Arial" w:eastAsia="Arial" w:hAnsi="Arial"/>
          <w:sz w:val="14"/>
          <w:szCs w:val="14"/>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Time of receipt if documents are published on a website</w:t>
      </w:r>
    </w:p>
    <w:p>
      <w:pPr>
        <w:spacing w:after="0" w:line="180" w:lineRule="exact"/>
        <w:rPr>
          <w:sz w:val="20"/>
          <w:szCs w:val="20"/>
          <w:color w:val="auto"/>
        </w:rPr>
      </w:pPr>
    </w:p>
    <w:p>
      <w:pPr>
        <w:ind w:left="500" w:right="80" w:hanging="494"/>
        <w:spacing w:after="0" w:line="277" w:lineRule="auto"/>
        <w:tabs>
          <w:tab w:leader="none" w:pos="480" w:val="left"/>
        </w:tabs>
        <w:rPr>
          <w:sz w:val="20"/>
          <w:szCs w:val="20"/>
          <w:color w:val="auto"/>
        </w:rPr>
      </w:pPr>
      <w:r>
        <w:rPr>
          <w:rFonts w:ascii="Arial" w:cs="Arial" w:eastAsia="Arial" w:hAnsi="Arial"/>
          <w:sz w:val="14"/>
          <w:szCs w:val="14"/>
          <w:color w:val="auto"/>
        </w:rPr>
        <w:t>20.5</w:t>
      </w:r>
      <w:r>
        <w:rPr>
          <w:sz w:val="20"/>
          <w:szCs w:val="20"/>
          <w:color w:val="auto"/>
        </w:rPr>
        <w:tab/>
      </w:r>
      <w:r>
        <w:rPr>
          <w:rFonts w:ascii="Arial" w:cs="Arial" w:eastAsia="Arial" w:hAnsi="Arial"/>
          <w:sz w:val="14"/>
          <w:szCs w:val="14"/>
          <w:color w:val="auto"/>
        </w:rPr>
        <w:t>Documents sent by being published on a website in accordance with the preceding two Articles are only treated as sent at least five Clear Days before the date of the meeting at which they are to be laid if:</w:t>
      </w:r>
    </w:p>
    <w:p>
      <w:pPr>
        <w:spacing w:after="0" w:line="133" w:lineRule="exact"/>
        <w:rPr>
          <w:sz w:val="20"/>
          <w:szCs w:val="20"/>
          <w:color w:val="auto"/>
        </w:rPr>
      </w:pPr>
    </w:p>
    <w:p>
      <w:pPr>
        <w:ind w:left="1000" w:hanging="501"/>
        <w:spacing w:after="0"/>
        <w:tabs>
          <w:tab w:leader="none" w:pos="100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documents are published on the website throughout a period beginning at least five Clear Days before the date of the meeting and ending with the conclusion of the meeting; and</w:t>
      </w:r>
    </w:p>
    <w:p>
      <w:pPr>
        <w:spacing w:after="0" w:line="187" w:lineRule="exact"/>
        <w:rPr>
          <w:rFonts w:ascii="Arial" w:cs="Arial" w:eastAsia="Arial" w:hAnsi="Arial"/>
          <w:sz w:val="13"/>
          <w:szCs w:val="13"/>
          <w:color w:val="auto"/>
        </w:rPr>
      </w:pPr>
    </w:p>
    <w:p>
      <w:pPr>
        <w:ind w:left="1000" w:hanging="501"/>
        <w:spacing w:after="0"/>
        <w:tabs>
          <w:tab w:leader="none" w:pos="100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person is given at least five Clear Days' notice of the hearing.</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Validity despite accidental error in publication on website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20.6</w:t>
      </w:r>
      <w:r>
        <w:rPr>
          <w:sz w:val="20"/>
          <w:szCs w:val="20"/>
          <w:color w:val="auto"/>
        </w:rPr>
        <w:tab/>
      </w:r>
      <w:r>
        <w:rPr>
          <w:rFonts w:ascii="Arial" w:cs="Arial" w:eastAsia="Arial" w:hAnsi="Arial"/>
          <w:sz w:val="12"/>
          <w:szCs w:val="12"/>
          <w:color w:val="auto"/>
        </w:rPr>
        <w:t>If, for the purpose of a meeting, documents are sent by being published on a website in accordance with the preceding Articles, the proceedings at that meeting are not invalidated merely because:</w:t>
      </w:r>
    </w:p>
    <w:p>
      <w:pPr>
        <w:spacing w:after="0" w:line="176" w:lineRule="exact"/>
        <w:rPr>
          <w:sz w:val="20"/>
          <w:szCs w:val="20"/>
          <w:color w:val="auto"/>
        </w:rPr>
      </w:pPr>
    </w:p>
    <w:p>
      <w:pPr>
        <w:ind w:left="1000" w:hanging="501"/>
        <w:spacing w:after="0"/>
        <w:tabs>
          <w:tab w:leader="none" w:pos="100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those documents are, by accident, published in a different place on the website to the place notified;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they are published for part only of the period from the date of notification until the conclusion of that meeting.</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When accounts are to be audited</w:t>
      </w:r>
    </w:p>
    <w:p>
      <w:pPr>
        <w:spacing w:after="0" w:line="180" w:lineRule="exact"/>
        <w:rPr>
          <w:sz w:val="20"/>
          <w:szCs w:val="20"/>
          <w:color w:val="auto"/>
        </w:rPr>
      </w:pPr>
    </w:p>
    <w:p>
      <w:pPr>
        <w:ind w:left="500" w:right="260" w:hanging="494"/>
        <w:spacing w:after="0" w:line="317" w:lineRule="auto"/>
        <w:tabs>
          <w:tab w:leader="none" w:pos="480" w:val="left"/>
        </w:tabs>
        <w:rPr>
          <w:sz w:val="20"/>
          <w:szCs w:val="20"/>
          <w:color w:val="auto"/>
        </w:rPr>
      </w:pPr>
      <w:r>
        <w:rPr>
          <w:rFonts w:ascii="Arial" w:cs="Arial" w:eastAsia="Arial" w:hAnsi="Arial"/>
          <w:sz w:val="14"/>
          <w:szCs w:val="14"/>
          <w:color w:val="auto"/>
        </w:rPr>
        <w:t>20.7</w:t>
      </w:r>
      <w:r>
        <w:rPr>
          <w:sz w:val="20"/>
          <w:szCs w:val="20"/>
          <w:color w:val="auto"/>
        </w:rPr>
        <w:tab/>
      </w:r>
      <w:r>
        <w:rPr>
          <w:rFonts w:ascii="Arial" w:cs="Arial" w:eastAsia="Arial" w:hAnsi="Arial"/>
          <w:sz w:val="13"/>
          <w:szCs w:val="13"/>
          <w:color w:val="auto"/>
        </w:rPr>
        <w:t>Unless the directors or the Members, by Ordinary Resolution, so resolve or unless the Law so requires, the Company's accounts will not be audited. If the Members so resolve, the Company's accounts shall be audited in the manner determined by Ordinary Resolution. Alternatively, if the directors so resolve, they shall be audited in the manner they determine.</w:t>
      </w:r>
    </w:p>
    <w:p>
      <w:pPr>
        <w:spacing w:after="0" w:line="106" w:lineRule="exact"/>
        <w:rPr>
          <w:sz w:val="20"/>
          <w:szCs w:val="20"/>
          <w:color w:val="auto"/>
        </w:rPr>
      </w:pPr>
    </w:p>
    <w:p>
      <w:pPr>
        <w:ind w:left="500" w:hanging="496"/>
        <w:spacing w:after="0"/>
        <w:tabs>
          <w:tab w:leader="none" w:pos="500" w:val="left"/>
        </w:tabs>
        <w:numPr>
          <w:ilvl w:val="0"/>
          <w:numId w:val="168"/>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year</w:t>
      </w:r>
    </w:p>
    <w:p>
      <w:pPr>
        <w:spacing w:after="0" w:line="179"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Unless the directors otherwise specify, the financial year of the Company:</w:t>
      </w:r>
    </w:p>
    <w:p>
      <w:pPr>
        <w:spacing w:after="0" w:line="175" w:lineRule="exact"/>
        <w:rPr>
          <w:rFonts w:ascii="Arial" w:cs="Arial" w:eastAsia="Arial" w:hAnsi="Arial"/>
          <w:sz w:val="14"/>
          <w:szCs w:val="14"/>
          <w:b w:val="1"/>
          <w:bCs w:val="1"/>
          <w:color w:val="auto"/>
        </w:rPr>
      </w:pPr>
    </w:p>
    <w:p>
      <w:pPr>
        <w:ind w:left="1000" w:hanging="501"/>
        <w:spacing w:after="0"/>
        <w:tabs>
          <w:tab w:leader="none" w:pos="100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shall end on 30th June in the year of its incorporation and each following year;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shall begin when it was incorporated and on 1st July each following year.</w:t>
      </w:r>
    </w:p>
    <w:p>
      <w:pPr>
        <w:spacing w:after="0" w:line="171" w:lineRule="exact"/>
        <w:rPr>
          <w:rFonts w:ascii="Arial" w:cs="Arial" w:eastAsia="Arial" w:hAnsi="Arial"/>
          <w:sz w:val="14"/>
          <w:szCs w:val="14"/>
          <w:color w:val="auto"/>
        </w:rPr>
      </w:pPr>
    </w:p>
    <w:p>
      <w:pPr>
        <w:ind w:left="500" w:hanging="496"/>
        <w:spacing w:after="0"/>
        <w:tabs>
          <w:tab w:leader="none" w:pos="500" w:val="left"/>
        </w:tabs>
        <w:numPr>
          <w:ilvl w:val="0"/>
          <w:numId w:val="168"/>
        </w:numPr>
        <w:rPr>
          <w:rFonts w:ascii="Arial" w:cs="Arial" w:eastAsia="Arial" w:hAnsi="Arial"/>
          <w:sz w:val="14"/>
          <w:szCs w:val="14"/>
          <w:b w:val="1"/>
          <w:bCs w:val="1"/>
          <w:color w:val="auto"/>
        </w:rPr>
      </w:pPr>
      <w:r>
        <w:rPr>
          <w:rFonts w:ascii="Arial" w:cs="Arial" w:eastAsia="Arial" w:hAnsi="Arial"/>
          <w:sz w:val="14"/>
          <w:szCs w:val="14"/>
          <w:b w:val="1"/>
          <w:bCs w:val="1"/>
          <w:color w:val="auto"/>
        </w:rPr>
        <w:t>Record dates</w:t>
      </w:r>
    </w:p>
    <w:p>
      <w:pPr>
        <w:spacing w:after="0" w:line="180" w:lineRule="exact"/>
        <w:rPr>
          <w:sz w:val="20"/>
          <w:szCs w:val="20"/>
          <w:color w:val="auto"/>
        </w:rPr>
      </w:pPr>
    </w:p>
    <w:p>
      <w:pPr>
        <w:ind w:left="500" w:right="80" w:hanging="494"/>
        <w:spacing w:after="0" w:line="286" w:lineRule="auto"/>
        <w:tabs>
          <w:tab w:leader="none" w:pos="480"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3"/>
          <w:szCs w:val="13"/>
          <w:color w:val="auto"/>
        </w:rPr>
        <w:t>For the purpose of determining the Members entitled to notice of or to vote at any general or special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directors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81" w:right="239" w:bottom="1440" w:gutter="0" w:footer="0" w:header="0"/>
        </w:sectPr>
      </w:pPr>
    </w:p>
    <w:bookmarkStart w:id="191" w:name="page192"/>
    <w:bookmarkEnd w:id="191"/>
    <w:p>
      <w:pPr>
        <w:jc w:val="both"/>
        <w:ind w:left="500" w:right="40" w:hanging="494"/>
        <w:spacing w:after="0" w:line="310" w:lineRule="auto"/>
        <w:tabs>
          <w:tab w:leader="none" w:pos="480" w:val="left"/>
        </w:tabs>
        <w:rPr>
          <w:sz w:val="20"/>
          <w:szCs w:val="20"/>
          <w:color w:val="auto"/>
        </w:rPr>
      </w:pPr>
      <w:r>
        <w:rPr>
          <w:rFonts w:ascii="Arial" w:cs="Arial" w:eastAsia="Arial" w:hAnsi="Arial"/>
          <w:sz w:val="14"/>
          <w:szCs w:val="14"/>
          <w:color w:val="auto"/>
        </w:rPr>
        <w:t>22.2</w:t>
      </w:r>
      <w:r>
        <w:rPr>
          <w:sz w:val="20"/>
          <w:szCs w:val="20"/>
          <w:color w:val="auto"/>
        </w:rPr>
        <w:tab/>
      </w:r>
      <w:r>
        <w:rPr>
          <w:rFonts w:ascii="Arial" w:cs="Arial" w:eastAsia="Arial" w:hAnsi="Arial"/>
          <w:sz w:val="12"/>
          <w:szCs w:val="12"/>
          <w:color w:val="auto"/>
        </w:rPr>
        <w:t>If the directors does not fix a record date for any general or special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If corporate action without a general meeting is to be taken, the record date for determining the Members entitled to express consent to such corporate action in writing, when no prior action by the directors is necessary, shall be the first date on which a signed written consent setting forth the action taken or proposed to be taken is delivered to the Company by delivery to its head office. The record date for determining the Members for any other purpose shall be at the close of business on the day on which the directors adopt the resolution relating thereto.</w:t>
      </w:r>
    </w:p>
    <w:p>
      <w:pPr>
        <w:spacing w:after="0" w:line="119"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22.3</w:t>
      </w:r>
      <w:r>
        <w:rPr>
          <w:sz w:val="20"/>
          <w:szCs w:val="20"/>
          <w:color w:val="auto"/>
        </w:rPr>
        <w:tab/>
      </w:r>
      <w:r>
        <w:rPr>
          <w:rFonts w:ascii="Arial" w:cs="Arial" w:eastAsia="Arial" w:hAnsi="Arial"/>
          <w:sz w:val="14"/>
          <w:szCs w:val="14"/>
          <w:color w:val="auto"/>
        </w:rPr>
        <w:t>A determination of the Members of record entitled to notice of or to vote at a meeting of the Members shall apply to any adjournment of the meeting; provided, however, that the directors may fix a new record date for the adjourned meeting.</w:t>
      </w:r>
    </w:p>
    <w:p>
      <w:pPr>
        <w:spacing w:after="0" w:line="129"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b w:val="1"/>
          <w:bCs w:val="1"/>
          <w:color w:val="auto"/>
        </w:rPr>
        <w:t>Dividends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Declaration of dividends by Members</w:t>
      </w:r>
    </w:p>
    <w:p>
      <w:pPr>
        <w:spacing w:after="0" w:line="180" w:lineRule="exact"/>
        <w:rPr>
          <w:sz w:val="20"/>
          <w:szCs w:val="20"/>
          <w:color w:val="auto"/>
        </w:rPr>
      </w:pPr>
    </w:p>
    <w:p>
      <w:pPr>
        <w:ind w:left="500" w:right="420" w:hanging="494"/>
        <w:spacing w:after="0" w:line="277" w:lineRule="auto"/>
        <w:tabs>
          <w:tab w:leader="none" w:pos="480"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4"/>
          <w:szCs w:val="14"/>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of interim dividends and declaration of final dividends by directors</w:t>
      </w:r>
    </w:p>
    <w:p>
      <w:pPr>
        <w:spacing w:after="0" w:line="180" w:lineRule="exact"/>
        <w:rPr>
          <w:sz w:val="20"/>
          <w:szCs w:val="20"/>
          <w:color w:val="auto"/>
        </w:rPr>
      </w:pPr>
    </w:p>
    <w:p>
      <w:pPr>
        <w:ind w:left="500" w:right="100" w:hanging="494"/>
        <w:spacing w:after="0" w:line="277" w:lineRule="auto"/>
        <w:tabs>
          <w:tab w:leader="none" w:pos="480" w:val="left"/>
        </w:tabs>
        <w:rPr>
          <w:sz w:val="20"/>
          <w:szCs w:val="20"/>
          <w:color w:val="auto"/>
        </w:rPr>
      </w:pPr>
      <w:r>
        <w:rPr>
          <w:rFonts w:ascii="Arial" w:cs="Arial" w:eastAsia="Arial" w:hAnsi="Arial"/>
          <w:sz w:val="14"/>
          <w:szCs w:val="14"/>
          <w:color w:val="auto"/>
        </w:rPr>
        <w:t>23.2</w:t>
      </w:r>
      <w:r>
        <w:rPr>
          <w:sz w:val="20"/>
          <w:szCs w:val="20"/>
          <w:color w:val="auto"/>
        </w:rPr>
        <w:tab/>
      </w:r>
      <w:r>
        <w:rPr>
          <w:rFonts w:ascii="Arial" w:cs="Arial" w:eastAsia="Arial" w:hAnsi="Arial"/>
          <w:sz w:val="14"/>
          <w:szCs w:val="14"/>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23.3</w:t>
      </w:r>
      <w:r>
        <w:rPr>
          <w:sz w:val="20"/>
          <w:szCs w:val="20"/>
          <w:color w:val="auto"/>
        </w:rPr>
        <w:tab/>
      </w:r>
      <w:r>
        <w:rPr>
          <w:rFonts w:ascii="Arial" w:cs="Arial" w:eastAsia="Arial" w:hAnsi="Arial"/>
          <w:sz w:val="12"/>
          <w:szCs w:val="12"/>
          <w:color w:val="auto"/>
        </w:rPr>
        <w:t>Subject to the provisions of the Law, in relation to the distinction between interim dividends and final dividends, the following applies:</w:t>
      </w:r>
    </w:p>
    <w:p>
      <w:pPr>
        <w:spacing w:after="0" w:line="176" w:lineRule="exact"/>
        <w:rPr>
          <w:sz w:val="20"/>
          <w:szCs w:val="20"/>
          <w:color w:val="auto"/>
        </w:rPr>
      </w:pPr>
    </w:p>
    <w:p>
      <w:pPr>
        <w:ind w:left="1000" w:right="60" w:hanging="501"/>
        <w:spacing w:after="0" w:line="277" w:lineRule="auto"/>
        <w:tabs>
          <w:tab w:leader="none" w:pos="10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Upon determination to pay a dividend or dividends described as interim by the directors in the dividend resolution, no debt shall be created by the declaration until such time as payment is made.</w:t>
      </w:r>
    </w:p>
    <w:p>
      <w:pPr>
        <w:spacing w:after="0" w:line="133" w:lineRule="exact"/>
        <w:rPr>
          <w:rFonts w:ascii="Arial" w:cs="Arial" w:eastAsia="Arial" w:hAnsi="Arial"/>
          <w:sz w:val="14"/>
          <w:szCs w:val="14"/>
          <w:color w:val="auto"/>
        </w:rPr>
      </w:pPr>
    </w:p>
    <w:p>
      <w:pPr>
        <w:ind w:left="1000" w:right="20" w:hanging="501"/>
        <w:spacing w:after="0" w:line="277" w:lineRule="auto"/>
        <w:tabs>
          <w:tab w:leader="none" w:pos="10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81" w:right="239" w:bottom="1440" w:gutter="0" w:footer="0" w:header="0"/>
        </w:sectPr>
      </w:pPr>
    </w:p>
    <w:bookmarkStart w:id="192" w:name="page193"/>
    <w:bookmarkEnd w:id="192"/>
    <w:p>
      <w:pPr>
        <w:ind w:left="500"/>
        <w:spacing w:after="0"/>
        <w:rPr>
          <w:sz w:val="20"/>
          <w:szCs w:val="20"/>
          <w:color w:val="auto"/>
        </w:rPr>
      </w:pPr>
      <w:r>
        <w:rPr>
          <w:rFonts w:ascii="Arial" w:cs="Arial" w:eastAsia="Arial" w:hAnsi="Arial"/>
          <w:sz w:val="14"/>
          <w:szCs w:val="14"/>
          <w:color w:val="auto"/>
        </w:rPr>
        <w:t>If the resolution fails to specify whether a dividend is final or interim, it shall be assumed to be interim.</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23.4</w:t>
      </w:r>
      <w:r>
        <w:rPr>
          <w:sz w:val="20"/>
          <w:szCs w:val="20"/>
          <w:color w:val="auto"/>
        </w:rPr>
        <w:tab/>
      </w:r>
      <w:r>
        <w:rPr>
          <w:rFonts w:ascii="Arial" w:cs="Arial" w:eastAsia="Arial" w:hAnsi="Arial"/>
          <w:sz w:val="12"/>
          <w:szCs w:val="12"/>
          <w:color w:val="auto"/>
        </w:rPr>
        <w:t>In relation to Shares carrying differing rights to dividends or rights to dividends at a fixed rate, the following applies:</w:t>
      </w:r>
    </w:p>
    <w:p>
      <w:pPr>
        <w:spacing w:after="0" w:line="176" w:lineRule="exact"/>
        <w:rPr>
          <w:sz w:val="20"/>
          <w:szCs w:val="20"/>
          <w:color w:val="auto"/>
        </w:rPr>
      </w:pPr>
    </w:p>
    <w:p>
      <w:pPr>
        <w:ind w:left="1000" w:right="60" w:hanging="501"/>
        <w:spacing w:after="0" w:line="264" w:lineRule="auto"/>
        <w:tabs>
          <w:tab w:leader="none" w:pos="100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42" w:lineRule="exact"/>
        <w:rPr>
          <w:rFonts w:ascii="Arial" w:cs="Arial" w:eastAsia="Arial" w:hAnsi="Arial"/>
          <w:sz w:val="14"/>
          <w:szCs w:val="14"/>
          <w:color w:val="auto"/>
        </w:rPr>
      </w:pPr>
    </w:p>
    <w:p>
      <w:pPr>
        <w:ind w:left="1000" w:right="300" w:hanging="501"/>
        <w:spacing w:after="0" w:line="277" w:lineRule="auto"/>
        <w:tabs>
          <w:tab w:leader="none" w:pos="100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33" w:lineRule="exact"/>
        <w:rPr>
          <w:rFonts w:ascii="Arial" w:cs="Arial" w:eastAsia="Arial" w:hAnsi="Arial"/>
          <w:sz w:val="14"/>
          <w:szCs w:val="14"/>
          <w:color w:val="auto"/>
        </w:rPr>
      </w:pPr>
    </w:p>
    <w:p>
      <w:pPr>
        <w:ind w:left="1000" w:hanging="501"/>
        <w:spacing w:after="0" w:line="277" w:lineRule="auto"/>
        <w:tabs>
          <w:tab w:leader="none" w:pos="100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Apportionment of dividends</w:t>
      </w:r>
    </w:p>
    <w:p>
      <w:pPr>
        <w:spacing w:after="0" w:line="180" w:lineRule="exact"/>
        <w:rPr>
          <w:sz w:val="20"/>
          <w:szCs w:val="20"/>
          <w:color w:val="auto"/>
        </w:rPr>
      </w:pPr>
    </w:p>
    <w:p>
      <w:pPr>
        <w:ind w:left="500" w:right="20" w:hanging="494"/>
        <w:spacing w:after="0" w:line="264" w:lineRule="auto"/>
        <w:tabs>
          <w:tab w:leader="none" w:pos="480" w:val="left"/>
        </w:tabs>
        <w:rPr>
          <w:sz w:val="20"/>
          <w:szCs w:val="20"/>
          <w:color w:val="auto"/>
        </w:rPr>
      </w:pPr>
      <w:r>
        <w:rPr>
          <w:rFonts w:ascii="Arial" w:cs="Arial" w:eastAsia="Arial" w:hAnsi="Arial"/>
          <w:sz w:val="14"/>
          <w:szCs w:val="14"/>
          <w:color w:val="auto"/>
        </w:rPr>
        <w:t>23.5</w:t>
      </w:r>
      <w:r>
        <w:rPr>
          <w:sz w:val="20"/>
          <w:szCs w:val="20"/>
          <w:color w:val="auto"/>
        </w:rPr>
        <w:tab/>
      </w:r>
      <w:r>
        <w:rPr>
          <w:rFonts w:ascii="Arial" w:cs="Arial" w:eastAsia="Arial" w:hAnsi="Arial"/>
          <w:sz w:val="14"/>
          <w:szCs w:val="14"/>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of set off</w:t>
      </w:r>
    </w:p>
    <w:p>
      <w:pPr>
        <w:spacing w:after="0" w:line="180" w:lineRule="exact"/>
        <w:rPr>
          <w:sz w:val="20"/>
          <w:szCs w:val="20"/>
          <w:color w:val="auto"/>
        </w:rPr>
      </w:pPr>
    </w:p>
    <w:p>
      <w:pPr>
        <w:ind w:left="500" w:right="340" w:hanging="494"/>
        <w:spacing w:after="0" w:line="277" w:lineRule="auto"/>
        <w:tabs>
          <w:tab w:leader="none" w:pos="480" w:val="left"/>
        </w:tabs>
        <w:rPr>
          <w:sz w:val="20"/>
          <w:szCs w:val="20"/>
          <w:color w:val="auto"/>
        </w:rPr>
      </w:pPr>
      <w:r>
        <w:rPr>
          <w:rFonts w:ascii="Arial" w:cs="Arial" w:eastAsia="Arial" w:hAnsi="Arial"/>
          <w:sz w:val="14"/>
          <w:szCs w:val="14"/>
          <w:color w:val="auto"/>
        </w:rPr>
        <w:t>23.6</w:t>
      </w:r>
      <w:r>
        <w:rPr>
          <w:sz w:val="20"/>
          <w:szCs w:val="20"/>
          <w:color w:val="auto"/>
        </w:rPr>
        <w:tab/>
      </w:r>
      <w:r>
        <w:rPr>
          <w:rFonts w:ascii="Arial" w:cs="Arial" w:eastAsia="Arial" w:hAnsi="Arial"/>
          <w:sz w:val="14"/>
          <w:szCs w:val="14"/>
          <w:color w:val="auto"/>
        </w:rPr>
        <w:t>The directors may deduct from a dividend or any other amount payable to a person in respect of a Share any amount due by that person to the Company on a call or otherwise in relation to a Share.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pay other than in cash</w:t>
      </w:r>
    </w:p>
    <w:p>
      <w:pPr>
        <w:spacing w:after="0" w:line="180" w:lineRule="exact"/>
        <w:rPr>
          <w:sz w:val="20"/>
          <w:szCs w:val="20"/>
          <w:color w:val="auto"/>
        </w:rPr>
      </w:pPr>
    </w:p>
    <w:p>
      <w:pPr>
        <w:ind w:left="500" w:right="20" w:hanging="494"/>
        <w:spacing w:after="0" w:line="277" w:lineRule="auto"/>
        <w:tabs>
          <w:tab w:leader="none" w:pos="480" w:val="left"/>
        </w:tabs>
        <w:rPr>
          <w:sz w:val="20"/>
          <w:szCs w:val="20"/>
          <w:color w:val="auto"/>
        </w:rPr>
      </w:pPr>
      <w:r>
        <w:rPr>
          <w:rFonts w:ascii="Arial" w:cs="Arial" w:eastAsia="Arial" w:hAnsi="Arial"/>
          <w:sz w:val="14"/>
          <w:szCs w:val="14"/>
          <w:color w:val="auto"/>
        </w:rPr>
        <w:t>23.7</w:t>
      </w:r>
      <w:r>
        <w:rPr>
          <w:sz w:val="20"/>
          <w:szCs w:val="20"/>
          <w:color w:val="auto"/>
        </w:rPr>
        <w:tab/>
      </w:r>
      <w:r>
        <w:rPr>
          <w:rFonts w:ascii="Arial" w:cs="Arial" w:eastAsia="Arial" w:hAnsi="Arial"/>
          <w:sz w:val="14"/>
          <w:szCs w:val="14"/>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33" w:lineRule="exact"/>
        <w:rPr>
          <w:sz w:val="20"/>
          <w:szCs w:val="20"/>
          <w:color w:val="auto"/>
        </w:rPr>
      </w:pPr>
    </w:p>
    <w:p>
      <w:pPr>
        <w:ind w:left="1000" w:hanging="501"/>
        <w:spacing w:after="0"/>
        <w:tabs>
          <w:tab w:leader="none" w:pos="100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issue fractional Shares;</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fix the value of assets for distribution and make cash payments to some Members on the footing of the value so fixed in order to adjust the rights of Members;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vest some assets in trustees.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81" w:right="21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b w:val="1"/>
          <w:bCs w:val="1"/>
          <w:color w:val="auto"/>
        </w:rPr>
        <w:t>How payments may be made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23.8</w:t>
      </w:r>
      <w:r>
        <w:rPr>
          <w:sz w:val="20"/>
          <w:szCs w:val="20"/>
          <w:color w:val="auto"/>
        </w:rPr>
        <w:tab/>
      </w:r>
      <w:r>
        <w:rPr>
          <w:rFonts w:ascii="Arial" w:cs="Arial" w:eastAsia="Arial" w:hAnsi="Arial"/>
          <w:sz w:val="12"/>
          <w:szCs w:val="12"/>
          <w:color w:val="auto"/>
        </w:rPr>
        <w:t>A dividend or other monies payable on or in respect of a Share may be paid in any of the following ways:</w:t>
      </w:r>
    </w:p>
    <w:p>
      <w:pPr>
        <w:spacing w:after="0" w:line="176" w:lineRule="exact"/>
        <w:rPr>
          <w:sz w:val="20"/>
          <w:szCs w:val="20"/>
          <w:color w:val="auto"/>
        </w:rPr>
      </w:pPr>
    </w:p>
    <w:p>
      <w:pPr>
        <w:ind w:left="1000" w:hanging="501"/>
        <w:spacing w:after="0"/>
        <w:tabs>
          <w:tab w:leader="none" w:pos="100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if the Member holding that Share or other person entitled to that Share nominates a bank account for that purpose - by wire transfer to that bank account;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by cheque or warrant sent by post to the registered address of the Member holding that Share or other person entitled to that Share.</w:t>
      </w:r>
    </w:p>
    <w:p>
      <w:pPr>
        <w:spacing w:after="0" w:line="176" w:lineRule="exact"/>
        <w:rPr>
          <w:sz w:val="20"/>
          <w:szCs w:val="20"/>
          <w:color w:val="auto"/>
        </w:rPr>
      </w:pPr>
    </w:p>
    <w:p>
      <w:pPr>
        <w:ind w:left="500" w:right="20" w:hanging="494"/>
        <w:spacing w:after="0" w:line="293" w:lineRule="auto"/>
        <w:tabs>
          <w:tab w:leader="none" w:pos="480" w:val="left"/>
        </w:tabs>
        <w:rPr>
          <w:sz w:val="20"/>
          <w:szCs w:val="20"/>
          <w:color w:val="auto"/>
        </w:rPr>
      </w:pPr>
      <w:r>
        <w:rPr>
          <w:rFonts w:ascii="Arial" w:cs="Arial" w:eastAsia="Arial" w:hAnsi="Arial"/>
          <w:sz w:val="14"/>
          <w:szCs w:val="14"/>
          <w:color w:val="auto"/>
        </w:rPr>
        <w:t>23.9</w:t>
      </w:r>
      <w:r>
        <w:rPr>
          <w:sz w:val="20"/>
          <w:szCs w:val="20"/>
          <w:color w:val="auto"/>
        </w:rPr>
        <w:tab/>
      </w:r>
      <w:r>
        <w:rPr>
          <w:rFonts w:ascii="Arial" w:cs="Arial" w:eastAsia="Arial" w:hAnsi="Arial"/>
          <w:sz w:val="13"/>
          <w:szCs w:val="13"/>
          <w:color w:val="auto"/>
        </w:rPr>
        <w:t>For the purpose of paragraph 23.8(a), the nomination may be in writing or in an Electronic Record and the bank account nominated may be the bank account of another person. For the purpose of paragraph 23.8(b),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22" w:lineRule="exact"/>
        <w:rPr>
          <w:sz w:val="20"/>
          <w:szCs w:val="20"/>
          <w:color w:val="auto"/>
        </w:rPr>
      </w:pPr>
    </w:p>
    <w:p>
      <w:pPr>
        <w:ind w:left="500" w:right="320" w:hanging="494"/>
        <w:spacing w:after="0" w:line="283" w:lineRule="auto"/>
        <w:tabs>
          <w:tab w:leader="none" w:pos="480" w:val="left"/>
        </w:tabs>
        <w:rPr>
          <w:sz w:val="20"/>
          <w:szCs w:val="20"/>
          <w:color w:val="auto"/>
        </w:rPr>
      </w:pPr>
      <w:r>
        <w:rPr>
          <w:rFonts w:ascii="Arial" w:cs="Arial" w:eastAsia="Arial" w:hAnsi="Arial"/>
          <w:sz w:val="14"/>
          <w:szCs w:val="14"/>
          <w:color w:val="auto"/>
        </w:rPr>
        <w:t>23.10</w:t>
        <w:tab/>
        <w:t>If two or more persons are registered as the holders of the Share or are jointly entitled to it by reason of the death or bankruptcy of the registered holder (</w:t>
      </w:r>
      <w:r>
        <w:rPr>
          <w:rFonts w:ascii="Arial" w:cs="Arial" w:eastAsia="Arial" w:hAnsi="Arial"/>
          <w:sz w:val="14"/>
          <w:szCs w:val="14"/>
          <w:b w:val="1"/>
          <w:bCs w:val="1"/>
          <w:color w:val="auto"/>
        </w:rPr>
        <w:t>Joint Holders</w:t>
      </w:r>
      <w:r>
        <w:rPr>
          <w:rFonts w:ascii="Arial" w:cs="Arial" w:eastAsia="Arial" w:hAnsi="Arial"/>
          <w:sz w:val="14"/>
          <w:szCs w:val="14"/>
          <w:color w:val="auto"/>
        </w:rPr>
        <w:t>), a dividend (or other amount) payable on or in respect of that Share may be paid as follows:</w:t>
      </w:r>
    </w:p>
    <w:p>
      <w:pPr>
        <w:spacing w:after="0" w:line="129" w:lineRule="exact"/>
        <w:rPr>
          <w:sz w:val="20"/>
          <w:szCs w:val="20"/>
          <w:color w:val="auto"/>
        </w:rPr>
      </w:pPr>
    </w:p>
    <w:p>
      <w:pPr>
        <w:ind w:left="1000" w:hanging="501"/>
        <w:spacing w:after="0" w:line="277" w:lineRule="auto"/>
        <w:tabs>
          <w:tab w:leader="none" w:pos="10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to the registered address of the Joint Holder of the Share who is named first on the register of members or to the registered address of the deceased or bankrupt holder, as the case may be; or</w:t>
      </w:r>
    </w:p>
    <w:p>
      <w:pPr>
        <w:spacing w:after="0" w:line="133" w:lineRule="exact"/>
        <w:rPr>
          <w:rFonts w:ascii="Arial" w:cs="Arial" w:eastAsia="Arial" w:hAnsi="Arial"/>
          <w:sz w:val="14"/>
          <w:szCs w:val="14"/>
          <w:color w:val="auto"/>
        </w:rPr>
      </w:pPr>
    </w:p>
    <w:p>
      <w:pPr>
        <w:ind w:left="1000" w:hanging="501"/>
        <w:spacing w:after="0"/>
        <w:tabs>
          <w:tab w:leader="none" w:pos="10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to the address or bank account of another person nominated by the Joint Holders, whether that nomination is in writing or in an Electronic Record.</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23.11</w:t>
      </w:r>
      <w:r>
        <w:rPr>
          <w:sz w:val="20"/>
          <w:szCs w:val="20"/>
          <w:color w:val="auto"/>
        </w:rPr>
        <w:tab/>
      </w:r>
      <w:r>
        <w:rPr>
          <w:rFonts w:ascii="Arial" w:cs="Arial" w:eastAsia="Arial" w:hAnsi="Arial"/>
          <w:sz w:val="12"/>
          <w:szCs w:val="12"/>
          <w:color w:val="auto"/>
        </w:rPr>
        <w:t>Any Joint Holder of a Share may give a valid receipt for a dividend (or other amount) payable in respect of that Share.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or other moneys not to bear interest in absence of special rights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23.12</w:t>
      </w:r>
      <w:r>
        <w:rPr>
          <w:sz w:val="20"/>
          <w:szCs w:val="20"/>
          <w:color w:val="auto"/>
        </w:rPr>
        <w:tab/>
      </w:r>
      <w:r>
        <w:rPr>
          <w:rFonts w:ascii="Arial" w:cs="Arial" w:eastAsia="Arial" w:hAnsi="Arial"/>
          <w:sz w:val="12"/>
          <w:szCs w:val="12"/>
          <w:color w:val="auto"/>
        </w:rPr>
        <w:t>Unless provided for by the rights attached to a Share, no dividend or other monies payable by the Company in respect of a Share shall bear interest.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unable to be paid or unclaimed</w:t>
      </w:r>
    </w:p>
    <w:p>
      <w:pPr>
        <w:spacing w:after="0" w:line="180" w:lineRule="exact"/>
        <w:rPr>
          <w:sz w:val="20"/>
          <w:szCs w:val="20"/>
          <w:color w:val="auto"/>
        </w:rPr>
      </w:pPr>
    </w:p>
    <w:p>
      <w:pPr>
        <w:ind w:left="500" w:right="460" w:hanging="494"/>
        <w:spacing w:after="0" w:line="317" w:lineRule="auto"/>
        <w:tabs>
          <w:tab w:leader="none" w:pos="480" w:val="left"/>
        </w:tabs>
        <w:rPr>
          <w:sz w:val="20"/>
          <w:szCs w:val="20"/>
          <w:color w:val="auto"/>
        </w:rPr>
      </w:pPr>
      <w:r>
        <w:rPr>
          <w:rFonts w:ascii="Arial" w:cs="Arial" w:eastAsia="Arial" w:hAnsi="Arial"/>
          <w:sz w:val="14"/>
          <w:szCs w:val="14"/>
          <w:color w:val="auto"/>
        </w:rPr>
        <w:t>23.13</w:t>
      </w:r>
      <w:r>
        <w:rPr>
          <w:sz w:val="20"/>
          <w:szCs w:val="20"/>
          <w:color w:val="auto"/>
        </w:rPr>
        <w:tab/>
      </w:r>
      <w:r>
        <w:rPr>
          <w:rFonts w:ascii="Arial" w:cs="Arial" w:eastAsia="Arial" w:hAnsi="Arial"/>
          <w:sz w:val="13"/>
          <w:szCs w:val="13"/>
          <w:color w:val="auto"/>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1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23.14</w:t>
      </w:r>
      <w:r>
        <w:rPr>
          <w:sz w:val="20"/>
          <w:szCs w:val="20"/>
          <w:color w:val="auto"/>
        </w:rPr>
        <w:tab/>
      </w:r>
      <w:r>
        <w:rPr>
          <w:rFonts w:ascii="Arial" w:cs="Arial" w:eastAsia="Arial" w:hAnsi="Arial"/>
          <w:sz w:val="12"/>
          <w:szCs w:val="12"/>
          <w:color w:val="auto"/>
        </w:rPr>
        <w:t>A dividend that remains unclaimed for a period of six years after it became due for payment shall be forfeited to, and shall cease to remain owing by, the Company.</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78" w:right="239" w:bottom="1440" w:gutter="0" w:footer="0" w:header="0"/>
        </w:sectPr>
      </w:pPr>
    </w:p>
    <w:bookmarkStart w:id="194" w:name="page195"/>
    <w:bookmarkEnd w:id="194"/>
    <w:p>
      <w:pPr>
        <w:spacing w:after="0"/>
        <w:tabs>
          <w:tab w:leader="none" w:pos="48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b w:val="1"/>
          <w:bCs w:val="1"/>
          <w:color w:val="auto"/>
        </w:rPr>
        <w:t>Capitalisation of profits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Capitalisation of profits or of any share premium account or capital redemption reserve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24.1</w:t>
      </w:r>
      <w:r>
        <w:rPr>
          <w:sz w:val="20"/>
          <w:szCs w:val="20"/>
          <w:color w:val="auto"/>
        </w:rPr>
        <w:tab/>
      </w:r>
      <w:r>
        <w:rPr>
          <w:rFonts w:ascii="Arial" w:cs="Arial" w:eastAsia="Arial" w:hAnsi="Arial"/>
          <w:sz w:val="12"/>
          <w:szCs w:val="12"/>
          <w:color w:val="auto"/>
        </w:rPr>
        <w:t>The directors may resolve to capitalise:</w:t>
      </w:r>
    </w:p>
    <w:p>
      <w:pPr>
        <w:spacing w:after="0" w:line="176" w:lineRule="exact"/>
        <w:rPr>
          <w:sz w:val="20"/>
          <w:szCs w:val="20"/>
          <w:color w:val="auto"/>
        </w:rPr>
      </w:pPr>
    </w:p>
    <w:p>
      <w:pPr>
        <w:ind w:left="1000" w:hanging="501"/>
        <w:spacing w:after="0"/>
        <w:tabs>
          <w:tab w:leader="none" w:pos="100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any part of the Company's profits not required for paying any preferential dividend (whether or not those profits are available for distribution);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any sum standing to the credit of the Company's share premium account or capital redemption reserve, if any.</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33" w:lineRule="exact"/>
        <w:rPr>
          <w:sz w:val="20"/>
          <w:szCs w:val="20"/>
          <w:color w:val="auto"/>
        </w:rPr>
      </w:pPr>
    </w:p>
    <w:p>
      <w:pPr>
        <w:ind w:left="1000" w:hanging="501"/>
        <w:spacing w:after="0"/>
        <w:tabs>
          <w:tab w:leader="none" w:pos="100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by paying up the amounts unpaid on that Member's Shares;</w:t>
      </w:r>
    </w:p>
    <w:p>
      <w:pPr>
        <w:spacing w:after="0" w:line="175" w:lineRule="exact"/>
        <w:rPr>
          <w:rFonts w:ascii="Arial" w:cs="Arial" w:eastAsia="Arial" w:hAnsi="Arial"/>
          <w:sz w:val="14"/>
          <w:szCs w:val="14"/>
          <w:color w:val="auto"/>
        </w:rPr>
      </w:pPr>
    </w:p>
    <w:p>
      <w:pPr>
        <w:ind w:left="1000" w:right="40" w:hanging="501"/>
        <w:spacing w:after="0" w:line="364" w:lineRule="auto"/>
        <w:tabs>
          <w:tab w:leader="none" w:pos="100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by issuing Fully Paid Shares, debentures or other securities of the Company to that Member or as that Member directs. The directors may resolve that any Shares issued to the Member in respect of partly paid Shares (</w:t>
      </w:r>
      <w:r>
        <w:rPr>
          <w:rFonts w:ascii="Arial" w:cs="Arial" w:eastAsia="Arial" w:hAnsi="Arial"/>
          <w:sz w:val="12"/>
          <w:szCs w:val="12"/>
          <w:b w:val="1"/>
          <w:bCs w:val="1"/>
          <w:color w:val="auto"/>
        </w:rPr>
        <w:t>Original Shares</w:t>
      </w:r>
      <w:r>
        <w:rPr>
          <w:rFonts w:ascii="Arial" w:cs="Arial" w:eastAsia="Arial" w:hAnsi="Arial"/>
          <w:sz w:val="12"/>
          <w:szCs w:val="12"/>
          <w:color w:val="auto"/>
        </w:rPr>
        <w:t>) rank for dividend only to the extent that the Original Shares rank for dividend while those Original Shares remain partly paid.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Applying an amount for the benefit of members</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24.2</w:t>
      </w:r>
      <w:r>
        <w:rPr>
          <w:sz w:val="20"/>
          <w:szCs w:val="20"/>
          <w:color w:val="auto"/>
        </w:rPr>
        <w:tab/>
      </w:r>
      <w:r>
        <w:rPr>
          <w:rFonts w:ascii="Arial" w:cs="Arial" w:eastAsia="Arial" w:hAnsi="Arial"/>
          <w:sz w:val="14"/>
          <w:szCs w:val="14"/>
          <w:color w:val="auto"/>
        </w:rPr>
        <w:t>The amount capitalised must be applied to the benefit of Members in the proportions to which the Members would have been entitled to dividends if the amount capitalised had been distributed as a dividend.</w:t>
      </w:r>
    </w:p>
    <w:p>
      <w:pPr>
        <w:spacing w:after="0" w:line="133" w:lineRule="exact"/>
        <w:rPr>
          <w:sz w:val="20"/>
          <w:szCs w:val="20"/>
          <w:color w:val="auto"/>
        </w:rPr>
      </w:pPr>
    </w:p>
    <w:p>
      <w:pPr>
        <w:ind w:left="500" w:right="60" w:hanging="494"/>
        <w:spacing w:after="0" w:line="277" w:lineRule="auto"/>
        <w:tabs>
          <w:tab w:leader="none" w:pos="480" w:val="left"/>
        </w:tabs>
        <w:rPr>
          <w:sz w:val="20"/>
          <w:szCs w:val="20"/>
          <w:color w:val="auto"/>
        </w:rPr>
      </w:pPr>
      <w:r>
        <w:rPr>
          <w:rFonts w:ascii="Arial" w:cs="Arial" w:eastAsia="Arial" w:hAnsi="Arial"/>
          <w:sz w:val="14"/>
          <w:szCs w:val="14"/>
          <w:color w:val="auto"/>
        </w:rPr>
        <w:t>24.3</w:t>
      </w:r>
      <w:r>
        <w:rPr>
          <w:sz w:val="20"/>
          <w:szCs w:val="20"/>
          <w:color w:val="auto"/>
        </w:rPr>
        <w:tab/>
      </w:r>
      <w:r>
        <w:rPr>
          <w:rFonts w:ascii="Arial" w:cs="Arial" w:eastAsia="Arial" w:hAnsi="Arial"/>
          <w:sz w:val="14"/>
          <w:szCs w:val="14"/>
          <w:color w:val="auto"/>
        </w:rPr>
        <w:t>Subject to the Law, if a fraction of a Share, a debenture or other security is allocated to a Member, the directors may issue a fractional certificate to that Member or pay him the cash equivalent of the fraction.</w:t>
      </w:r>
    </w:p>
    <w:p>
      <w:pPr>
        <w:spacing w:after="0" w:line="129"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b w:val="1"/>
          <w:bCs w:val="1"/>
          <w:color w:val="auto"/>
        </w:rPr>
        <w:t>Share premium account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to maintain share premium account</w:t>
      </w:r>
    </w:p>
    <w:p>
      <w:pPr>
        <w:spacing w:after="0" w:line="180" w:lineRule="exact"/>
        <w:rPr>
          <w:sz w:val="20"/>
          <w:szCs w:val="20"/>
          <w:color w:val="auto"/>
        </w:rPr>
      </w:pPr>
    </w:p>
    <w:p>
      <w:pPr>
        <w:ind w:left="500" w:right="180" w:hanging="494"/>
        <w:spacing w:after="0" w:line="277" w:lineRule="auto"/>
        <w:tabs>
          <w:tab w:leader="none" w:pos="480" w:val="left"/>
        </w:tabs>
        <w:rPr>
          <w:sz w:val="20"/>
          <w:szCs w:val="20"/>
          <w:color w:val="auto"/>
        </w:rPr>
      </w:pPr>
      <w:r>
        <w:rPr>
          <w:rFonts w:ascii="Arial" w:cs="Arial" w:eastAsia="Arial" w:hAnsi="Arial"/>
          <w:sz w:val="14"/>
          <w:szCs w:val="14"/>
          <w:color w:val="auto"/>
        </w:rPr>
        <w:t>25.1</w:t>
      </w:r>
      <w:r>
        <w:rPr>
          <w:sz w:val="20"/>
          <w:szCs w:val="20"/>
          <w:color w:val="auto"/>
        </w:rPr>
        <w:tab/>
      </w:r>
      <w:r>
        <w:rPr>
          <w:rFonts w:ascii="Arial" w:cs="Arial" w:eastAsia="Arial" w:hAnsi="Arial"/>
          <w:sz w:val="14"/>
          <w:szCs w:val="14"/>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Debits to share premium account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25.2</w:t>
      </w:r>
      <w:r>
        <w:rPr>
          <w:sz w:val="20"/>
          <w:szCs w:val="20"/>
          <w:color w:val="auto"/>
        </w:rPr>
        <w:tab/>
      </w:r>
      <w:r>
        <w:rPr>
          <w:rFonts w:ascii="Arial" w:cs="Arial" w:eastAsia="Arial" w:hAnsi="Arial"/>
          <w:sz w:val="12"/>
          <w:szCs w:val="12"/>
          <w:color w:val="auto"/>
        </w:rPr>
        <w:t>The following amounts shall be debited to any share premium account:</w:t>
      </w:r>
    </w:p>
    <w:p>
      <w:pPr>
        <w:spacing w:after="0" w:line="176" w:lineRule="exact"/>
        <w:rPr>
          <w:sz w:val="20"/>
          <w:szCs w:val="20"/>
          <w:color w:val="auto"/>
        </w:rPr>
      </w:pPr>
    </w:p>
    <w:p>
      <w:pPr>
        <w:ind w:left="5660" w:right="2620" w:hanging="5161"/>
        <w:spacing w:after="0" w:line="779" w:lineRule="auto"/>
        <w:tabs>
          <w:tab w:leader="none" w:pos="98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on the redemption or purchase of a Share, the difference between the nominal value of that Share and the redemption or purchase price; and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-228600</wp:posOffset>
            </wp:positionV>
            <wp:extent cx="7277100"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78" w:right="219" w:bottom="1440" w:gutter="0" w:footer="0" w:header="0"/>
        </w:sectPr>
      </w:pPr>
    </w:p>
    <w:bookmarkStart w:id="195" w:name="page196"/>
    <w:bookmarkEnd w:id="195"/>
    <w:p>
      <w:pPr>
        <w:ind w:left="1000" w:hanging="501"/>
        <w:spacing w:after="0"/>
        <w:tabs>
          <w:tab w:leader="none" w:pos="100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any other amount paid out of a share premium account as permitted by the Law.</w:t>
      </w:r>
    </w:p>
    <w:p>
      <w:pPr>
        <w:spacing w:after="0" w:line="176"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25.3</w:t>
      </w:r>
      <w:r>
        <w:rPr>
          <w:sz w:val="20"/>
          <w:szCs w:val="20"/>
          <w:color w:val="auto"/>
        </w:rPr>
        <w:tab/>
      </w:r>
      <w:r>
        <w:rPr>
          <w:rFonts w:ascii="Arial" w:cs="Arial" w:eastAsia="Arial" w:hAnsi="Arial"/>
          <w:sz w:val="14"/>
          <w:szCs w:val="14"/>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129" w:lineRule="exact"/>
        <w:rPr>
          <w:sz w:val="20"/>
          <w:szCs w:val="20"/>
          <w:color w:val="auto"/>
        </w:rPr>
      </w:pPr>
    </w:p>
    <w:p>
      <w:pPr>
        <w:ind w:left="500" w:hanging="496"/>
        <w:spacing w:after="0"/>
        <w:tabs>
          <w:tab w:leader="none" w:pos="500" w:val="left"/>
        </w:tabs>
        <w:numPr>
          <w:ilvl w:val="0"/>
          <w:numId w:val="178"/>
        </w:numPr>
        <w:rPr>
          <w:rFonts w:ascii="Arial" w:cs="Arial" w:eastAsia="Arial" w:hAnsi="Arial"/>
          <w:sz w:val="14"/>
          <w:szCs w:val="14"/>
          <w:b w:val="1"/>
          <w:bCs w:val="1"/>
          <w:color w:val="auto"/>
        </w:rPr>
      </w:pPr>
      <w:r>
        <w:rPr>
          <w:rFonts w:ascii="Arial" w:cs="Arial" w:eastAsia="Arial" w:hAnsi="Arial"/>
          <w:sz w:val="14"/>
          <w:szCs w:val="14"/>
          <w:b w:val="1"/>
          <w:bCs w:val="1"/>
          <w:color w:val="auto"/>
        </w:rPr>
        <w:t>Seal</w:t>
      </w:r>
    </w:p>
    <w:p>
      <w:pPr>
        <w:spacing w:after="0" w:line="17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Company seal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26.1</w:t>
      </w:r>
      <w:r>
        <w:rPr>
          <w:sz w:val="20"/>
          <w:szCs w:val="20"/>
          <w:color w:val="auto"/>
        </w:rPr>
        <w:tab/>
      </w:r>
      <w:r>
        <w:rPr>
          <w:rFonts w:ascii="Arial" w:cs="Arial" w:eastAsia="Arial" w:hAnsi="Arial"/>
          <w:sz w:val="12"/>
          <w:szCs w:val="12"/>
          <w:color w:val="auto"/>
        </w:rPr>
        <w:t>The Company may have a seal if the directors so determine.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Duplicate seal</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26.2</w:t>
      </w:r>
      <w:r>
        <w:rPr>
          <w:sz w:val="20"/>
          <w:szCs w:val="20"/>
          <w:color w:val="auto"/>
        </w:rPr>
        <w:tab/>
      </w:r>
      <w:r>
        <w:rPr>
          <w:rFonts w:ascii="Arial" w:cs="Arial" w:eastAsia="Arial" w:hAnsi="Arial"/>
          <w:sz w:val="14"/>
          <w:szCs w:val="14"/>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When and how seal is to be used</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26.3</w:t>
      </w:r>
      <w:r>
        <w:rPr>
          <w:sz w:val="20"/>
          <w:szCs w:val="20"/>
          <w:color w:val="auto"/>
        </w:rPr>
        <w:tab/>
      </w:r>
      <w:r>
        <w:rPr>
          <w:rFonts w:ascii="Arial" w:cs="Arial" w:eastAsia="Arial" w:hAnsi="Arial"/>
          <w:sz w:val="12"/>
          <w:szCs w:val="12"/>
          <w:color w:val="auto"/>
        </w:rPr>
        <w:t>A seal may only be used by the authority of the directors. Unless the directors otherwise determine, a document to which a seal is affixed must be signed in one of the following ways:</w:t>
      </w:r>
    </w:p>
    <w:p>
      <w:pPr>
        <w:spacing w:after="0" w:line="176" w:lineRule="exact"/>
        <w:rPr>
          <w:sz w:val="20"/>
          <w:szCs w:val="20"/>
          <w:color w:val="auto"/>
        </w:rPr>
      </w:pPr>
    </w:p>
    <w:p>
      <w:pPr>
        <w:ind w:left="1000" w:hanging="501"/>
        <w:spacing w:after="0"/>
        <w:tabs>
          <w:tab w:leader="none" w:pos="100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by a director and the Secretary;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by a single director.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no seal is adopted or used</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26.4</w:t>
      </w:r>
      <w:r>
        <w:rPr>
          <w:sz w:val="20"/>
          <w:szCs w:val="20"/>
          <w:color w:val="auto"/>
        </w:rPr>
        <w:tab/>
      </w:r>
      <w:r>
        <w:rPr>
          <w:rFonts w:ascii="Arial" w:cs="Arial" w:eastAsia="Arial" w:hAnsi="Arial"/>
          <w:sz w:val="12"/>
          <w:szCs w:val="12"/>
          <w:color w:val="auto"/>
        </w:rPr>
        <w:t>If the directors do not adopt a seal, or a seal is not used, a document may be executed in the following manner:</w:t>
      </w:r>
    </w:p>
    <w:p>
      <w:pPr>
        <w:spacing w:after="0" w:line="176" w:lineRule="exact"/>
        <w:rPr>
          <w:sz w:val="20"/>
          <w:szCs w:val="20"/>
          <w:color w:val="auto"/>
        </w:rPr>
      </w:pPr>
    </w:p>
    <w:p>
      <w:pPr>
        <w:ind w:left="1000" w:hanging="501"/>
        <w:spacing w:after="0"/>
        <w:tabs>
          <w:tab w:leader="none" w:pos="10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by a director and the Secretary;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by a single director;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in any other manner permitted by the Law.</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allow non-manual signatures and facsimile printing of seal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26.5</w:t>
      </w:r>
      <w:r>
        <w:rPr>
          <w:sz w:val="20"/>
          <w:szCs w:val="20"/>
          <w:color w:val="auto"/>
        </w:rPr>
        <w:tab/>
      </w:r>
      <w:r>
        <w:rPr>
          <w:rFonts w:ascii="Arial" w:cs="Arial" w:eastAsia="Arial" w:hAnsi="Arial"/>
          <w:sz w:val="12"/>
          <w:szCs w:val="12"/>
          <w:color w:val="auto"/>
        </w:rPr>
        <w:t>The directors may determine that either or both of the following applies:</w:t>
      </w:r>
    </w:p>
    <w:p>
      <w:pPr>
        <w:spacing w:after="0" w:line="176" w:lineRule="exact"/>
        <w:rPr>
          <w:sz w:val="20"/>
          <w:szCs w:val="20"/>
          <w:color w:val="auto"/>
        </w:rPr>
      </w:pPr>
    </w:p>
    <w:p>
      <w:pPr>
        <w:ind w:left="1000" w:hanging="501"/>
        <w:spacing w:after="0"/>
        <w:tabs>
          <w:tab w:leader="none" w:pos="100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that the seal or a duplicate seal need not be affixed manually but may be affixed by some other method or system of reproduction;</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that a signature required by these Articles need not be manual but may be a mechanical or Electronic Signature.</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782" w:right="299"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b w:val="1"/>
          <w:bCs w:val="1"/>
          <w:color w:val="auto"/>
        </w:rPr>
        <w:t>Validity of execution</w:t>
      </w:r>
    </w:p>
    <w:p>
      <w:pPr>
        <w:spacing w:after="0" w:line="180" w:lineRule="exact"/>
        <w:rPr>
          <w:sz w:val="20"/>
          <w:szCs w:val="20"/>
          <w:color w:val="auto"/>
        </w:rPr>
      </w:pPr>
    </w:p>
    <w:p>
      <w:pPr>
        <w:ind w:left="500" w:right="120" w:hanging="494"/>
        <w:spacing w:after="0" w:line="317" w:lineRule="auto"/>
        <w:tabs>
          <w:tab w:leader="none" w:pos="480" w:val="left"/>
        </w:tabs>
        <w:rPr>
          <w:sz w:val="20"/>
          <w:szCs w:val="20"/>
          <w:color w:val="auto"/>
        </w:rPr>
      </w:pPr>
      <w:r>
        <w:rPr>
          <w:rFonts w:ascii="Arial" w:cs="Arial" w:eastAsia="Arial" w:hAnsi="Arial"/>
          <w:sz w:val="14"/>
          <w:szCs w:val="14"/>
          <w:color w:val="auto"/>
        </w:rPr>
        <w:t>26.6</w:t>
      </w:r>
      <w:r>
        <w:rPr>
          <w:sz w:val="20"/>
          <w:szCs w:val="20"/>
          <w:color w:val="auto"/>
        </w:rPr>
        <w:tab/>
      </w:r>
      <w:r>
        <w:rPr>
          <w:rFonts w:ascii="Arial" w:cs="Arial" w:eastAsia="Arial" w:hAnsi="Arial"/>
          <w:sz w:val="13"/>
          <w:szCs w:val="13"/>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06" w:lineRule="exact"/>
        <w:rPr>
          <w:sz w:val="20"/>
          <w:szCs w:val="20"/>
          <w:color w:val="auto"/>
        </w:rPr>
      </w:pPr>
    </w:p>
    <w:p>
      <w:pPr>
        <w:ind w:right="10320" w:firstLine="4"/>
        <w:spacing w:after="0" w:line="543" w:lineRule="auto"/>
        <w:tabs>
          <w:tab w:leader="none" w:pos="495" w:val="left"/>
        </w:tabs>
        <w:numPr>
          <w:ilvl w:val="0"/>
          <w:numId w:val="182"/>
        </w:numPr>
        <w:rPr>
          <w:rFonts w:ascii="Arial" w:cs="Arial" w:eastAsia="Arial" w:hAnsi="Arial"/>
          <w:sz w:val="13"/>
          <w:szCs w:val="13"/>
          <w:b w:val="1"/>
          <w:bCs w:val="1"/>
          <w:color w:val="auto"/>
        </w:rPr>
      </w:pPr>
      <w:r>
        <w:rPr>
          <w:rFonts w:ascii="Arial" w:cs="Arial" w:eastAsia="Arial" w:hAnsi="Arial"/>
          <w:sz w:val="13"/>
          <w:szCs w:val="13"/>
          <w:b w:val="1"/>
          <w:bCs w:val="1"/>
          <w:color w:val="auto"/>
        </w:rPr>
        <w:t>Indemnity Indemnity</w:t>
      </w:r>
    </w:p>
    <w:p>
      <w:pPr>
        <w:spacing w:after="0" w:line="1" w:lineRule="exact"/>
        <w:rPr>
          <w:sz w:val="20"/>
          <w:szCs w:val="20"/>
          <w:color w:val="auto"/>
        </w:rPr>
      </w:pPr>
    </w:p>
    <w:p>
      <w:pPr>
        <w:ind w:left="500" w:right="40" w:hanging="494"/>
        <w:spacing w:after="0" w:line="277" w:lineRule="auto"/>
        <w:tabs>
          <w:tab w:leader="none" w:pos="480" w:val="left"/>
        </w:tabs>
        <w:rPr>
          <w:sz w:val="20"/>
          <w:szCs w:val="20"/>
          <w:color w:val="auto"/>
        </w:rPr>
      </w:pPr>
      <w:r>
        <w:rPr>
          <w:rFonts w:ascii="Arial" w:cs="Arial" w:eastAsia="Arial" w:hAnsi="Arial"/>
          <w:sz w:val="14"/>
          <w:szCs w:val="14"/>
          <w:color w:val="auto"/>
        </w:rPr>
        <w:t>27.1</w:t>
      </w:r>
      <w:r>
        <w:rPr>
          <w:sz w:val="20"/>
          <w:szCs w:val="20"/>
          <w:color w:val="auto"/>
        </w:rPr>
        <w:tab/>
      </w:r>
      <w:r>
        <w:rPr>
          <w:rFonts w:ascii="Arial" w:cs="Arial" w:eastAsia="Arial" w:hAnsi="Arial"/>
          <w:sz w:val="14"/>
          <w:szCs w:val="14"/>
          <w:color w:val="auto"/>
        </w:rPr>
        <w:t>To the extent permitted by law, the Company shall indemnify each existing or former Secretary, director and other Officer of the Company (including an investment adviser or an administrator or liquidator) and their personal representatives against:</w:t>
      </w:r>
    </w:p>
    <w:p>
      <w:pPr>
        <w:spacing w:after="0" w:line="133" w:lineRule="exact"/>
        <w:rPr>
          <w:sz w:val="20"/>
          <w:szCs w:val="20"/>
          <w:color w:val="auto"/>
        </w:rPr>
      </w:pPr>
    </w:p>
    <w:p>
      <w:pPr>
        <w:ind w:left="1000" w:right="40" w:hanging="501"/>
        <w:spacing w:after="0" w:line="317" w:lineRule="auto"/>
        <w:tabs>
          <w:tab w:leader="none" w:pos="100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all actions, proceedings, costs, charges, expenses, losses, damages or liabilities incurred or sustained by the existing or former director, Secretary or Officer in or about the conduct of the Company's business or affairs or in the execution or discharge of the existing or former director's, Secretary's or Officer's duties, powers, authorities or discretions; and</w:t>
      </w:r>
    </w:p>
    <w:p>
      <w:pPr>
        <w:spacing w:after="0" w:line="110" w:lineRule="exact"/>
        <w:rPr>
          <w:rFonts w:ascii="Arial" w:cs="Arial" w:eastAsia="Arial" w:hAnsi="Arial"/>
          <w:sz w:val="13"/>
          <w:szCs w:val="13"/>
          <w:color w:val="auto"/>
        </w:rPr>
      </w:pPr>
    </w:p>
    <w:p>
      <w:pPr>
        <w:jc w:val="both"/>
        <w:ind w:left="1000" w:right="300" w:hanging="501"/>
        <w:spacing w:after="0" w:line="264" w:lineRule="auto"/>
        <w:tabs>
          <w:tab w:leader="none" w:pos="100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without limitation to paragraph 27.1(a), all costs, expenses, losses or liabilities incurred by the existing or former director,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such existing or former director, Secretary or Officer, however, shall be indemnified in respect of any matter arising out of his own dishonesty.</w:t>
      </w:r>
    </w:p>
    <w:p>
      <w:pPr>
        <w:spacing w:after="0" w:line="176" w:lineRule="exact"/>
        <w:rPr>
          <w:sz w:val="20"/>
          <w:szCs w:val="20"/>
          <w:color w:val="auto"/>
        </w:rPr>
      </w:pPr>
    </w:p>
    <w:p>
      <w:pPr>
        <w:jc w:val="both"/>
        <w:ind w:left="500" w:right="20" w:hanging="494"/>
        <w:spacing w:after="0" w:line="264" w:lineRule="auto"/>
        <w:tabs>
          <w:tab w:leader="none" w:pos="480" w:val="left"/>
        </w:tabs>
        <w:rPr>
          <w:sz w:val="20"/>
          <w:szCs w:val="20"/>
          <w:color w:val="auto"/>
        </w:rPr>
      </w:pPr>
      <w:r>
        <w:rPr>
          <w:rFonts w:ascii="Arial" w:cs="Arial" w:eastAsia="Arial" w:hAnsi="Arial"/>
          <w:sz w:val="14"/>
          <w:szCs w:val="14"/>
          <w:color w:val="auto"/>
        </w:rPr>
        <w:t>27.2</w:t>
      </w:r>
      <w:r>
        <w:rPr>
          <w:sz w:val="20"/>
          <w:szCs w:val="20"/>
          <w:color w:val="auto"/>
        </w:rPr>
        <w:tab/>
      </w:r>
      <w:r>
        <w:rPr>
          <w:rFonts w:ascii="Arial" w:cs="Arial" w:eastAsia="Arial" w:hAnsi="Arial"/>
          <w:sz w:val="14"/>
          <w:szCs w:val="14"/>
          <w:color w:val="auto"/>
        </w:rPr>
        <w:t>To the extent permitted by law, the Company shall make a payment, by way of advancement, for any legal costs incurred by an existing or former director, Secretary or Officer of the Company in respect of any matter identified in paragraph 27.127.1(a) or paragraph 27.1(b) on condition that the director, Secretary or Officer must repay the amount paid by the Company to the extent that it is ultimately found not liable to indemnify the director, Secretary or that Officer for those legal costs.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Release</w:t>
      </w:r>
    </w:p>
    <w:p>
      <w:pPr>
        <w:spacing w:after="0" w:line="180" w:lineRule="exact"/>
        <w:rPr>
          <w:sz w:val="20"/>
          <w:szCs w:val="20"/>
          <w:color w:val="auto"/>
        </w:rPr>
      </w:pPr>
    </w:p>
    <w:p>
      <w:pPr>
        <w:ind w:left="500" w:hanging="494"/>
        <w:spacing w:after="0" w:line="264" w:lineRule="auto"/>
        <w:tabs>
          <w:tab w:leader="none" w:pos="480" w:val="left"/>
        </w:tabs>
        <w:rPr>
          <w:sz w:val="20"/>
          <w:szCs w:val="20"/>
          <w:color w:val="auto"/>
        </w:rPr>
      </w:pPr>
      <w:r>
        <w:rPr>
          <w:rFonts w:ascii="Arial" w:cs="Arial" w:eastAsia="Arial" w:hAnsi="Arial"/>
          <w:sz w:val="14"/>
          <w:szCs w:val="14"/>
          <w:color w:val="auto"/>
        </w:rPr>
        <w:t>27.3</w:t>
      </w:r>
      <w:r>
        <w:rPr>
          <w:sz w:val="20"/>
          <w:szCs w:val="20"/>
          <w:color w:val="auto"/>
        </w:rPr>
        <w:tab/>
      </w:r>
      <w:r>
        <w:rPr>
          <w:rFonts w:ascii="Arial" w:cs="Arial" w:eastAsia="Arial" w:hAnsi="Arial"/>
          <w:sz w:val="14"/>
          <w:szCs w:val="14"/>
          <w:color w:val="auto"/>
        </w:rPr>
        <w:t>To the extent permitted by law, the Company may by Special Resolution release any existing or former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77" w:right="23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b w:val="1"/>
          <w:bCs w:val="1"/>
          <w:color w:val="auto"/>
        </w:rPr>
        <w:t>Insurance</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27.4</w:t>
      </w:r>
      <w:r>
        <w:rPr>
          <w:sz w:val="20"/>
          <w:szCs w:val="20"/>
          <w:color w:val="auto"/>
        </w:rPr>
        <w:tab/>
      </w:r>
      <w:r>
        <w:rPr>
          <w:rFonts w:ascii="Arial" w:cs="Arial" w:eastAsia="Arial" w:hAnsi="Arial"/>
          <w:sz w:val="14"/>
          <w:szCs w:val="14"/>
          <w:color w:val="auto"/>
        </w:rPr>
        <w:t>To the extent permitted by law, the Company may pay, or agree to pay, a premium in respect of a contract insuring each of the following persons against risks determined by the directors, other than liability arising out of that person's own dishonesty:</w:t>
      </w:r>
    </w:p>
    <w:p>
      <w:pPr>
        <w:spacing w:after="0" w:line="133" w:lineRule="exact"/>
        <w:rPr>
          <w:sz w:val="20"/>
          <w:szCs w:val="20"/>
          <w:color w:val="auto"/>
        </w:rPr>
      </w:pPr>
    </w:p>
    <w:p>
      <w:pPr>
        <w:ind w:left="1000" w:hanging="501"/>
        <w:spacing w:after="0"/>
        <w:tabs>
          <w:tab w:leader="none" w:pos="100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an existing or former director, Secretary or Officer or auditor of:</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the Company;</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a company which is or was a subsidiary of the Company;</w:t>
      </w:r>
    </w:p>
    <w:p>
      <w:pPr>
        <w:spacing w:after="0" w:line="175" w:lineRule="exact"/>
        <w:rPr>
          <w:rFonts w:ascii="Arial" w:cs="Arial" w:eastAsia="Arial" w:hAnsi="Arial"/>
          <w:sz w:val="14"/>
          <w:szCs w:val="14"/>
          <w:color w:val="auto"/>
        </w:rPr>
      </w:pPr>
    </w:p>
    <w:p>
      <w:pPr>
        <w:ind w:left="1480" w:hanging="487"/>
        <w:spacing w:after="0"/>
        <w:tabs>
          <w:tab w:leader="none" w:pos="148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a company in which the Company has or had an interest (whether direct or indirect);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 trustee of an employee or retirement benefits scheme or other trust in which any of the persons referred to in paragraph 27.4(a) is or was interested.</w:t>
      </w:r>
    </w:p>
    <w:p>
      <w:pPr>
        <w:spacing w:after="0" w:line="172" w:lineRule="exact"/>
        <w:rPr>
          <w:sz w:val="20"/>
          <w:szCs w:val="20"/>
          <w:color w:val="auto"/>
        </w:rPr>
      </w:pPr>
    </w:p>
    <w:p>
      <w:pPr>
        <w:jc w:val="right"/>
        <w:ind w:right="10320" w:firstLine="4"/>
        <w:spacing w:after="0" w:line="589" w:lineRule="auto"/>
        <w:tabs>
          <w:tab w:leader="none" w:pos="495"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Notices Form of notices</w:t>
      </w:r>
    </w:p>
    <w:p>
      <w:pPr>
        <w:spacing w:after="0"/>
        <w:tabs>
          <w:tab w:leader="none" w:pos="480" w:val="left"/>
        </w:tabs>
        <w:rPr>
          <w:sz w:val="20"/>
          <w:szCs w:val="20"/>
          <w:color w:val="auto"/>
        </w:rPr>
      </w:pPr>
      <w:r>
        <w:rPr>
          <w:rFonts w:ascii="Arial" w:cs="Arial" w:eastAsia="Arial" w:hAnsi="Arial"/>
          <w:sz w:val="14"/>
          <w:szCs w:val="14"/>
          <w:color w:val="auto"/>
        </w:rPr>
        <w:t>28.1</w:t>
      </w:r>
      <w:r>
        <w:rPr>
          <w:sz w:val="20"/>
          <w:szCs w:val="20"/>
          <w:color w:val="auto"/>
        </w:rPr>
        <w:tab/>
      </w:r>
      <w:r>
        <w:rPr>
          <w:rFonts w:ascii="Arial" w:cs="Arial" w:eastAsia="Arial" w:hAnsi="Arial"/>
          <w:sz w:val="12"/>
          <w:szCs w:val="12"/>
          <w:color w:val="auto"/>
        </w:rPr>
        <w:t>Save where these Articles provide otherwise, and subject to the Designated Stock Exchanges Rules, any notice to be given to or by any person pursuant to these Articles shall be:</w:t>
      </w:r>
    </w:p>
    <w:p>
      <w:pPr>
        <w:spacing w:after="0" w:line="176" w:lineRule="exact"/>
        <w:rPr>
          <w:sz w:val="20"/>
          <w:szCs w:val="20"/>
          <w:color w:val="auto"/>
        </w:rPr>
      </w:pPr>
    </w:p>
    <w:p>
      <w:pPr>
        <w:ind w:left="1000" w:hanging="501"/>
        <w:spacing w:after="0"/>
        <w:tabs>
          <w:tab w:leader="none" w:pos="10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in writing signed by or on behalf of the giver in the manner set out below for written notices; or</w:t>
      </w:r>
    </w:p>
    <w:p>
      <w:pPr>
        <w:spacing w:after="0" w:line="175" w:lineRule="exact"/>
        <w:rPr>
          <w:rFonts w:ascii="Arial" w:cs="Arial" w:eastAsia="Arial" w:hAnsi="Arial"/>
          <w:sz w:val="14"/>
          <w:szCs w:val="14"/>
          <w:color w:val="auto"/>
        </w:rPr>
      </w:pPr>
    </w:p>
    <w:p>
      <w:pPr>
        <w:ind w:left="1000" w:right="160" w:hanging="501"/>
        <w:spacing w:after="0" w:line="277" w:lineRule="auto"/>
        <w:tabs>
          <w:tab w:leader="none" w:pos="10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subject to the next Article, in an Electronic Record signed by or on behalf of the giver by Electronic Signature and authenticated in accordance with Articles about authentication of Electronic Records; or</w:t>
      </w:r>
    </w:p>
    <w:p>
      <w:pPr>
        <w:spacing w:after="0" w:line="133" w:lineRule="exact"/>
        <w:rPr>
          <w:rFonts w:ascii="Arial" w:cs="Arial" w:eastAsia="Arial" w:hAnsi="Arial"/>
          <w:sz w:val="14"/>
          <w:szCs w:val="14"/>
          <w:color w:val="auto"/>
        </w:rPr>
      </w:pPr>
    </w:p>
    <w:p>
      <w:pPr>
        <w:ind w:left="1000" w:hanging="501"/>
        <w:spacing w:after="0"/>
        <w:tabs>
          <w:tab w:leader="none" w:pos="10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where these Articles expressly permit, by the Company by means of a website.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communications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28.2</w:t>
      </w:r>
      <w:r>
        <w:rPr>
          <w:sz w:val="20"/>
          <w:szCs w:val="20"/>
          <w:color w:val="auto"/>
        </w:rPr>
        <w:tab/>
      </w:r>
      <w:r>
        <w:rPr>
          <w:rFonts w:ascii="Arial" w:cs="Arial" w:eastAsia="Arial" w:hAnsi="Arial"/>
          <w:sz w:val="12"/>
          <w:szCs w:val="12"/>
          <w:color w:val="auto"/>
        </w:rPr>
        <w:t>Without limitation to Articles 16.8 to 16.9 inclusive (relating to the appointment by directors of proxies), a notice may only be given to the Company in an Electronic Record if:</w:t>
      </w:r>
    </w:p>
    <w:p>
      <w:pPr>
        <w:spacing w:after="0" w:line="176" w:lineRule="exact"/>
        <w:rPr>
          <w:sz w:val="20"/>
          <w:szCs w:val="20"/>
          <w:color w:val="auto"/>
        </w:rPr>
      </w:pPr>
    </w:p>
    <w:p>
      <w:pPr>
        <w:ind w:left="1000" w:hanging="501"/>
        <w:spacing w:after="0"/>
        <w:tabs>
          <w:tab w:leader="none" w:pos="10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directors so resolve;</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resolution states how an Electronic Record may be given and, if applicable, specifies an email address for the Company; and</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the terms of that resolution are notified to the Members for the time being and, if applicable, to those directors who were absent from the meeting at which the resolution was passed.</w:t>
      </w: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260"/>
          </w:cols>
          <w:pgMar w:left="220" w:top="777" w:right="419" w:bottom="1440" w:gutter="0" w:footer="0" w:header="0"/>
        </w:sectPr>
      </w:pPr>
    </w:p>
    <w:bookmarkStart w:id="198" w:name="page199"/>
    <w:bookmarkEnd w:id="198"/>
    <w:p>
      <w:pPr>
        <w:ind w:left="500"/>
        <w:spacing w:after="0"/>
        <w:rPr>
          <w:sz w:val="20"/>
          <w:szCs w:val="20"/>
          <w:color w:val="auto"/>
        </w:rPr>
      </w:pPr>
      <w:r>
        <w:rPr>
          <w:rFonts w:ascii="Arial" w:cs="Arial" w:eastAsia="Arial" w:hAnsi="Arial"/>
          <w:sz w:val="14"/>
          <w:szCs w:val="14"/>
          <w:color w:val="auto"/>
        </w:rPr>
        <w:t>If the resolution is revoked or varied, the revocation or variation shall only become effective when its terms have been similarly notified.</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28.3</w:t>
      </w:r>
      <w:r>
        <w:rPr>
          <w:sz w:val="20"/>
          <w:szCs w:val="20"/>
          <w:color w:val="auto"/>
        </w:rPr>
        <w:tab/>
      </w:r>
      <w:r>
        <w:rPr>
          <w:rFonts w:ascii="Arial" w:cs="Arial" w:eastAsia="Arial" w:hAnsi="Arial"/>
          <w:sz w:val="12"/>
          <w:szCs w:val="12"/>
          <w:color w:val="auto"/>
        </w:rPr>
        <w:t>A notice may not be given by Electronic Record to a person other than the Company unless the recipient has notified the giver of an Electronic address to which notice may be sent.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Persons authorised to give notices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28.4</w:t>
      </w:r>
      <w:r>
        <w:rPr>
          <w:sz w:val="20"/>
          <w:szCs w:val="20"/>
          <w:color w:val="auto"/>
        </w:rPr>
        <w:tab/>
      </w:r>
      <w:r>
        <w:rPr>
          <w:rFonts w:ascii="Arial" w:cs="Arial" w:eastAsia="Arial" w:hAnsi="Arial"/>
          <w:sz w:val="12"/>
          <w:szCs w:val="12"/>
          <w:color w:val="auto"/>
        </w:rPr>
        <w:t>A notice by either the Company or a Member pursuant to these Articles may be given on behalf of the Company or a Member by a director or company secretary of the Company or a Member.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Delivery of written notices</w:t>
      </w:r>
    </w:p>
    <w:p>
      <w:pPr>
        <w:spacing w:after="0" w:line="18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28.5</w:t>
      </w:r>
      <w:r>
        <w:rPr>
          <w:sz w:val="20"/>
          <w:szCs w:val="20"/>
          <w:color w:val="auto"/>
        </w:rPr>
        <w:tab/>
      </w:r>
      <w:r>
        <w:rPr>
          <w:rFonts w:ascii="Arial" w:cs="Arial" w:eastAsia="Arial" w:hAnsi="Arial"/>
          <w:sz w:val="14"/>
          <w:szCs w:val="14"/>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holders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28.6</w:t>
      </w:r>
      <w:r>
        <w:rPr>
          <w:sz w:val="20"/>
          <w:szCs w:val="20"/>
          <w:color w:val="auto"/>
        </w:rPr>
        <w:tab/>
      </w:r>
      <w:r>
        <w:rPr>
          <w:rFonts w:ascii="Arial" w:cs="Arial" w:eastAsia="Arial" w:hAnsi="Arial"/>
          <w:sz w:val="12"/>
          <w:szCs w:val="12"/>
          <w:color w:val="auto"/>
        </w:rPr>
        <w:t>Where Members are joint holders of a Share, all notices shall be given to the Member whose name first appears in the register of members.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28.7</w:t>
      </w:r>
      <w:r>
        <w:rPr>
          <w:sz w:val="20"/>
          <w:szCs w:val="20"/>
          <w:color w:val="auto"/>
        </w:rPr>
        <w:tab/>
      </w:r>
      <w:r>
        <w:rPr>
          <w:rFonts w:ascii="Arial" w:cs="Arial" w:eastAsia="Arial" w:hAnsi="Arial"/>
          <w:sz w:val="12"/>
          <w:szCs w:val="12"/>
          <w:color w:val="auto"/>
        </w:rPr>
        <w:t>A written notice shall be signed when it is autographed by or on behalf of the giver, or is marked in such a way as to indicate its execution or adoption by the giver.</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28.8</w:t>
      </w:r>
      <w:r>
        <w:rPr>
          <w:sz w:val="20"/>
          <w:szCs w:val="20"/>
          <w:color w:val="auto"/>
        </w:rPr>
        <w:tab/>
      </w:r>
      <w:r>
        <w:rPr>
          <w:rFonts w:ascii="Arial" w:cs="Arial" w:eastAsia="Arial" w:hAnsi="Arial"/>
          <w:sz w:val="12"/>
          <w:szCs w:val="12"/>
          <w:color w:val="auto"/>
        </w:rPr>
        <w:t>An Electronic Record may be signed by an Electronic Signature.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Evidence of transmission</w:t>
      </w:r>
    </w:p>
    <w:p>
      <w:pPr>
        <w:spacing w:after="0" w:line="180" w:lineRule="exact"/>
        <w:rPr>
          <w:sz w:val="20"/>
          <w:szCs w:val="20"/>
          <w:color w:val="auto"/>
        </w:rPr>
      </w:pPr>
    </w:p>
    <w:p>
      <w:pPr>
        <w:ind w:left="500" w:right="40" w:hanging="494"/>
        <w:spacing w:after="0" w:line="277" w:lineRule="auto"/>
        <w:tabs>
          <w:tab w:leader="none" w:pos="480" w:val="left"/>
        </w:tabs>
        <w:rPr>
          <w:sz w:val="20"/>
          <w:szCs w:val="20"/>
          <w:color w:val="auto"/>
        </w:rPr>
      </w:pPr>
      <w:r>
        <w:rPr>
          <w:rFonts w:ascii="Arial" w:cs="Arial" w:eastAsia="Arial" w:hAnsi="Arial"/>
          <w:sz w:val="14"/>
          <w:szCs w:val="14"/>
          <w:color w:val="auto"/>
        </w:rPr>
        <w:t>28.9</w:t>
      </w:r>
      <w:r>
        <w:rPr>
          <w:sz w:val="20"/>
          <w:szCs w:val="20"/>
          <w:color w:val="auto"/>
        </w:rPr>
        <w:tab/>
      </w:r>
      <w:r>
        <w:rPr>
          <w:rFonts w:ascii="Arial" w:cs="Arial" w:eastAsia="Arial" w:hAnsi="Arial"/>
          <w:sz w:val="14"/>
          <w:szCs w:val="14"/>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33" w:lineRule="exact"/>
        <w:rPr>
          <w:sz w:val="20"/>
          <w:szCs w:val="20"/>
          <w:color w:val="auto"/>
        </w:rPr>
      </w:pPr>
    </w:p>
    <w:p>
      <w:pPr>
        <w:ind w:left="500" w:right="180" w:hanging="494"/>
        <w:spacing w:after="0" w:line="277" w:lineRule="auto"/>
        <w:tabs>
          <w:tab w:leader="none" w:pos="480" w:val="left"/>
        </w:tabs>
        <w:rPr>
          <w:sz w:val="20"/>
          <w:szCs w:val="20"/>
          <w:color w:val="auto"/>
        </w:rPr>
      </w:pPr>
      <w:r>
        <w:rPr>
          <w:rFonts w:ascii="Arial" w:cs="Arial" w:eastAsia="Arial" w:hAnsi="Arial"/>
          <w:sz w:val="14"/>
          <w:szCs w:val="14"/>
          <w:color w:val="auto"/>
        </w:rPr>
        <w:t>28.10</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Giving notice to a deceased or bankrupt Member</w:t>
      </w:r>
    </w:p>
    <w:p>
      <w:pPr>
        <w:spacing w:after="0" w:line="180" w:lineRule="exact"/>
        <w:rPr>
          <w:sz w:val="20"/>
          <w:szCs w:val="20"/>
          <w:color w:val="auto"/>
        </w:rPr>
      </w:pPr>
    </w:p>
    <w:p>
      <w:pPr>
        <w:jc w:val="both"/>
        <w:ind w:left="500" w:right="100" w:hanging="494"/>
        <w:spacing w:after="0" w:line="264" w:lineRule="auto"/>
        <w:tabs>
          <w:tab w:leader="none" w:pos="480" w:val="left"/>
        </w:tabs>
        <w:rPr>
          <w:sz w:val="20"/>
          <w:szCs w:val="20"/>
          <w:color w:val="auto"/>
        </w:rPr>
      </w:pPr>
      <w:r>
        <w:rPr>
          <w:rFonts w:ascii="Arial" w:cs="Arial" w:eastAsia="Arial" w:hAnsi="Arial"/>
          <w:sz w:val="14"/>
          <w:szCs w:val="14"/>
          <w:color w:val="auto"/>
        </w:rPr>
        <w:t>28.11</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00"/>
          </w:cols>
          <w:pgMar w:left="220" w:top="781" w:right="279" w:bottom="1440" w:gutter="0" w:footer="0" w:header="0"/>
        </w:sectPr>
      </w:pPr>
    </w:p>
    <w:bookmarkStart w:id="199" w:name="page200"/>
    <w:bookmarkEnd w:id="199"/>
    <w:p>
      <w:pPr>
        <w:spacing w:after="0"/>
        <w:tabs>
          <w:tab w:leader="none" w:pos="480" w:val="left"/>
        </w:tabs>
        <w:rPr>
          <w:sz w:val="20"/>
          <w:szCs w:val="20"/>
          <w:color w:val="auto"/>
        </w:rPr>
      </w:pPr>
      <w:r>
        <w:rPr>
          <w:rFonts w:ascii="Arial" w:cs="Arial" w:eastAsia="Arial" w:hAnsi="Arial"/>
          <w:sz w:val="14"/>
          <w:szCs w:val="14"/>
          <w:color w:val="auto"/>
        </w:rPr>
        <w:t>28.12</w:t>
      </w:r>
      <w:r>
        <w:rPr>
          <w:sz w:val="20"/>
          <w:szCs w:val="20"/>
          <w:color w:val="auto"/>
        </w:rPr>
        <w:tab/>
      </w:r>
      <w:r>
        <w:rPr>
          <w:rFonts w:ascii="Arial" w:cs="Arial" w:eastAsia="Arial" w:hAnsi="Arial"/>
          <w:sz w:val="12"/>
          <w:szCs w:val="12"/>
          <w:color w:val="auto"/>
        </w:rPr>
        <w:t>Until such an address has been supplied, a notice may be given in any manner in which it might have been given if the death or bankruptcy had not occurred.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 of giving notices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28.13</w:t>
      </w:r>
      <w:r>
        <w:rPr>
          <w:sz w:val="20"/>
          <w:szCs w:val="20"/>
          <w:color w:val="auto"/>
        </w:rPr>
        <w:tab/>
      </w:r>
      <w:r>
        <w:rPr>
          <w:rFonts w:ascii="Arial" w:cs="Arial" w:eastAsia="Arial" w:hAnsi="Arial"/>
          <w:sz w:val="12"/>
          <w:szCs w:val="12"/>
          <w:color w:val="auto"/>
        </w:rPr>
        <w:t>A notice is given on the date identified in the following table.</w:t>
      </w:r>
    </w:p>
    <w:p>
      <w:pPr>
        <w:spacing w:after="0" w:line="193"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b w:val="1"/>
          <w:bCs w:val="1"/>
          <w:color w:val="auto"/>
        </w:rPr>
        <w:t>Method for giving notices</w:t>
      </w:r>
      <w:r>
        <w:rPr>
          <w:sz w:val="20"/>
          <w:szCs w:val="20"/>
          <w:color w:val="auto"/>
        </w:rPr>
        <w:tab/>
      </w:r>
      <w:r>
        <w:rPr>
          <w:rFonts w:ascii="Arial" w:cs="Arial" w:eastAsia="Arial" w:hAnsi="Arial"/>
          <w:sz w:val="12"/>
          <w:szCs w:val="12"/>
          <w:b w:val="1"/>
          <w:bCs w:val="1"/>
          <w:color w:val="auto"/>
        </w:rPr>
        <w:t>When taken to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77100" cy="1270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7100" cy="127000"/>
                    </a:xfrm>
                    <a:prstGeom prst="rect">
                      <a:avLst/>
                    </a:prstGeom>
                    <a:noFill/>
                  </pic:spPr>
                </pic:pic>
              </a:graphicData>
            </a:graphic>
          </wp:anchor>
        </w:drawing>
      </w:r>
    </w:p>
    <w:p>
      <w:pPr>
        <w:sectPr>
          <w:pgSz w:w="11900" w:h="16838" w:orient="portrait"/>
          <w:cols w:equalWidth="0" w:num="1">
            <w:col w:w="11440"/>
          </w:cols>
          <w:pgMar w:left="220" w:top="782"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Personally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By leaving it at the Member's registered address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If the recipient has an address within the Islands, by posting it by prepaid post to the street or postal address of that recipient</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4"/>
          <w:szCs w:val="14"/>
          <w:color w:val="auto"/>
        </w:rPr>
        <w:t>If the recipient has an address outside the Islands, by posting it by prepaid airmail to the street or postal address of that recipient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By Electronic Record (other than publication on a website), to recipient's Electronic address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By publication on a website</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Saving provision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At the time and date of delivery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At the time and date it was left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48 hours after it was posted</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7 Clear Days after posting</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Within 24 hours after it was sent</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4"/>
          <w:szCs w:val="14"/>
          <w:color w:val="auto"/>
        </w:rPr>
        <w:t>See the Articles about the time when notice of a meeting of Members or accounts and reports, as the case may be, are published on a website</w:t>
      </w:r>
    </w:p>
    <w:p>
      <w:pPr>
        <w:spacing w:after="0" w:line="470" w:lineRule="exact"/>
        <w:rPr>
          <w:sz w:val="20"/>
          <w:szCs w:val="20"/>
          <w:color w:val="auto"/>
        </w:rPr>
      </w:pPr>
    </w:p>
    <w:p>
      <w:pPr>
        <w:sectPr>
          <w:pgSz w:w="11900" w:h="16838" w:orient="portrait"/>
          <w:cols w:equalWidth="0" w:num="2">
            <w:col w:w="5580" w:space="280"/>
            <w:col w:w="5580"/>
          </w:cols>
          <w:pgMar w:left="220" w:top="782" w:right="239" w:bottom="1440" w:gutter="0" w:footer="0" w:header="0"/>
          <w:type w:val="continuous"/>
        </w:sectPr>
      </w:pPr>
    </w:p>
    <w:p>
      <w:pPr>
        <w:spacing w:after="0"/>
        <w:tabs>
          <w:tab w:leader="none" w:pos="480" w:val="left"/>
        </w:tabs>
        <w:rPr>
          <w:sz w:val="20"/>
          <w:szCs w:val="20"/>
          <w:color w:val="auto"/>
        </w:rPr>
      </w:pPr>
      <w:r>
        <w:rPr>
          <w:rFonts w:ascii="Arial" w:cs="Arial" w:eastAsia="Arial" w:hAnsi="Arial"/>
          <w:sz w:val="14"/>
          <w:szCs w:val="14"/>
          <w:color w:val="auto"/>
        </w:rPr>
        <w:t>28.14</w:t>
      </w:r>
      <w:r>
        <w:rPr>
          <w:sz w:val="20"/>
          <w:szCs w:val="20"/>
          <w:color w:val="auto"/>
        </w:rPr>
        <w:tab/>
      </w:r>
      <w:r>
        <w:rPr>
          <w:rFonts w:ascii="Arial" w:cs="Arial" w:eastAsia="Arial" w:hAnsi="Arial"/>
          <w:sz w:val="12"/>
          <w:szCs w:val="12"/>
          <w:color w:val="auto"/>
        </w:rPr>
        <w:t>None of the preceding notice provisions shall derogate from the Articles about the delivery of written resolutions of directors and written resolutions of Members.</w:t>
      </w:r>
    </w:p>
    <w:p>
      <w:pPr>
        <w:spacing w:after="0" w:line="172" w:lineRule="exact"/>
        <w:rPr>
          <w:sz w:val="20"/>
          <w:szCs w:val="20"/>
          <w:color w:val="auto"/>
        </w:rPr>
      </w:pPr>
    </w:p>
    <w:p>
      <w:pPr>
        <w:ind w:right="8720" w:firstLine="4"/>
        <w:spacing w:after="0" w:line="504" w:lineRule="auto"/>
        <w:tabs>
          <w:tab w:leader="none" w:pos="495" w:val="left"/>
        </w:tabs>
        <w:numPr>
          <w:ilvl w:val="0"/>
          <w:numId w:val="188"/>
        </w:numPr>
        <w:rPr>
          <w:rFonts w:ascii="Arial" w:cs="Arial" w:eastAsia="Arial" w:hAnsi="Arial"/>
          <w:sz w:val="14"/>
          <w:szCs w:val="14"/>
          <w:b w:val="1"/>
          <w:bCs w:val="1"/>
          <w:color w:val="auto"/>
        </w:rPr>
      </w:pPr>
      <w:r>
        <w:rPr>
          <w:rFonts w:ascii="Arial" w:cs="Arial" w:eastAsia="Arial" w:hAnsi="Arial"/>
          <w:sz w:val="14"/>
          <w:szCs w:val="14"/>
          <w:b w:val="1"/>
          <w:bCs w:val="1"/>
          <w:color w:val="auto"/>
        </w:rPr>
        <w:t>Authentication of Electronic Records Application of Articles</w:t>
      </w:r>
    </w:p>
    <w:p>
      <w:pPr>
        <w:spacing w:after="0" w:line="1"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4"/>
          <w:szCs w:val="14"/>
          <w:color w:val="auto"/>
        </w:rPr>
        <w:t>29.1</w:t>
      </w:r>
      <w:r>
        <w:rPr>
          <w:sz w:val="20"/>
          <w:szCs w:val="20"/>
          <w:color w:val="auto"/>
        </w:rPr>
        <w:tab/>
      </w:r>
      <w:r>
        <w:rPr>
          <w:rFonts w:ascii="Arial" w:cs="Arial" w:eastAsia="Arial" w:hAnsi="Arial"/>
          <w:sz w:val="14"/>
          <w:szCs w:val="14"/>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82" w:right="23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4"/>
          <w:szCs w:val="14"/>
          <w:b w:val="1"/>
          <w:bCs w:val="1"/>
          <w:color w:val="auto"/>
        </w:rPr>
        <w:t>Authentication of documents sent by Members by Electronic means</w:t>
      </w:r>
    </w:p>
    <w:p>
      <w:pPr>
        <w:spacing w:after="0" w:line="180" w:lineRule="exact"/>
        <w:rPr>
          <w:sz w:val="20"/>
          <w:szCs w:val="20"/>
          <w:color w:val="auto"/>
        </w:rPr>
      </w:pPr>
    </w:p>
    <w:p>
      <w:pPr>
        <w:ind w:left="500" w:right="500" w:hanging="494"/>
        <w:spacing w:after="0" w:line="277" w:lineRule="auto"/>
        <w:tabs>
          <w:tab w:leader="none" w:pos="480" w:val="left"/>
        </w:tabs>
        <w:rPr>
          <w:sz w:val="20"/>
          <w:szCs w:val="20"/>
          <w:color w:val="auto"/>
        </w:rPr>
      </w:pPr>
      <w:r>
        <w:rPr>
          <w:rFonts w:ascii="Arial" w:cs="Arial" w:eastAsia="Arial" w:hAnsi="Arial"/>
          <w:sz w:val="14"/>
          <w:szCs w:val="14"/>
          <w:color w:val="auto"/>
        </w:rPr>
        <w:t>29.2</w:t>
      </w:r>
      <w:r>
        <w:rPr>
          <w:sz w:val="20"/>
          <w:szCs w:val="20"/>
          <w:color w:val="auto"/>
        </w:rPr>
        <w:tab/>
      </w:r>
      <w:r>
        <w:rPr>
          <w:rFonts w:ascii="Arial" w:cs="Arial" w:eastAsia="Arial" w:hAnsi="Arial"/>
          <w:sz w:val="14"/>
          <w:szCs w:val="14"/>
          <w:color w:val="auto"/>
        </w:rPr>
        <w:t>An Electronic Record of a notice, written resolution or other document sent by Electronic means by or on behalf of one or more Members shall be deemed to be authentic if the following conditions are satisfied:</w:t>
      </w:r>
    </w:p>
    <w:p>
      <w:pPr>
        <w:spacing w:after="0" w:line="129" w:lineRule="exact"/>
        <w:rPr>
          <w:sz w:val="20"/>
          <w:szCs w:val="20"/>
          <w:color w:val="auto"/>
        </w:rPr>
      </w:pPr>
    </w:p>
    <w:p>
      <w:pPr>
        <w:ind w:left="1000" w:right="60" w:hanging="501"/>
        <w:spacing w:after="0" w:line="283" w:lineRule="auto"/>
        <w:tabs>
          <w:tab w:leader="none" w:pos="10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 xml:space="preserve">the Member or each Member, as the case may be, signed the original document, and for this purpose </w:t>
      </w:r>
      <w:r>
        <w:rPr>
          <w:rFonts w:ascii="Arial" w:cs="Arial" w:eastAsia="Arial" w:hAnsi="Arial"/>
          <w:sz w:val="14"/>
          <w:szCs w:val="14"/>
          <w:b w:val="1"/>
          <w:bCs w:val="1"/>
          <w:color w:val="auto"/>
        </w:rPr>
        <w:t>Original Document</w:t>
      </w:r>
      <w:r>
        <w:rPr>
          <w:rFonts w:ascii="Arial" w:cs="Arial" w:eastAsia="Arial" w:hAnsi="Arial"/>
          <w:sz w:val="14"/>
          <w:szCs w:val="14"/>
          <w:color w:val="auto"/>
        </w:rPr>
        <w:t xml:space="preserve"> includes several documents in like form signed by one or more of those Members; and</w:t>
      </w:r>
    </w:p>
    <w:p>
      <w:pPr>
        <w:spacing w:after="0" w:line="129" w:lineRule="exact"/>
        <w:rPr>
          <w:rFonts w:ascii="Arial" w:cs="Arial" w:eastAsia="Arial" w:hAnsi="Arial"/>
          <w:sz w:val="14"/>
          <w:szCs w:val="14"/>
          <w:color w:val="auto"/>
        </w:rPr>
      </w:pPr>
    </w:p>
    <w:p>
      <w:pPr>
        <w:ind w:left="1000" w:right="260" w:hanging="501"/>
        <w:spacing w:after="0" w:line="277" w:lineRule="auto"/>
        <w:tabs>
          <w:tab w:leader="none" w:pos="10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Electronic Record of the Original Document was sent by Electronic means by, or at the direction of, that Member to an address specified in accordance with these Articles for the purpose for which it was sent; and</w:t>
      </w:r>
    </w:p>
    <w:p>
      <w:pPr>
        <w:spacing w:after="0" w:line="133" w:lineRule="exact"/>
        <w:rPr>
          <w:rFonts w:ascii="Arial" w:cs="Arial" w:eastAsia="Arial" w:hAnsi="Arial"/>
          <w:sz w:val="14"/>
          <w:szCs w:val="14"/>
          <w:color w:val="auto"/>
        </w:rPr>
      </w:pPr>
    </w:p>
    <w:p>
      <w:pPr>
        <w:ind w:left="1000" w:hanging="501"/>
        <w:spacing w:after="0"/>
        <w:tabs>
          <w:tab w:leader="none" w:pos="10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Article 29.7 does not apply.</w:t>
      </w:r>
    </w:p>
    <w:p>
      <w:pPr>
        <w:spacing w:after="0" w:line="176" w:lineRule="exact"/>
        <w:rPr>
          <w:sz w:val="20"/>
          <w:szCs w:val="20"/>
          <w:color w:val="auto"/>
        </w:rPr>
      </w:pPr>
    </w:p>
    <w:p>
      <w:pPr>
        <w:ind w:left="500" w:right="140" w:hanging="494"/>
        <w:spacing w:after="0" w:line="277" w:lineRule="auto"/>
        <w:tabs>
          <w:tab w:leader="none" w:pos="480" w:val="left"/>
        </w:tabs>
        <w:rPr>
          <w:sz w:val="20"/>
          <w:szCs w:val="20"/>
          <w:color w:val="auto"/>
        </w:rPr>
      </w:pPr>
      <w:r>
        <w:rPr>
          <w:rFonts w:ascii="Arial" w:cs="Arial" w:eastAsia="Arial" w:hAnsi="Arial"/>
          <w:sz w:val="14"/>
          <w:szCs w:val="14"/>
          <w:color w:val="auto"/>
        </w:rPr>
        <w:t>29.3</w:t>
      </w:r>
      <w:r>
        <w:rPr>
          <w:sz w:val="20"/>
          <w:szCs w:val="20"/>
          <w:color w:val="auto"/>
        </w:rPr>
        <w:tab/>
      </w:r>
      <w:r>
        <w:rPr>
          <w:rFonts w:ascii="Arial" w:cs="Arial" w:eastAsia="Arial" w:hAnsi="Arial"/>
          <w:sz w:val="14"/>
          <w:szCs w:val="14"/>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Authentication of document sent by the Secretary or Officers of the Company by Electronic means</w:t>
      </w:r>
    </w:p>
    <w:p>
      <w:pPr>
        <w:spacing w:after="0" w:line="180" w:lineRule="exact"/>
        <w:rPr>
          <w:sz w:val="20"/>
          <w:szCs w:val="20"/>
          <w:color w:val="auto"/>
        </w:rPr>
      </w:pPr>
    </w:p>
    <w:p>
      <w:pPr>
        <w:ind w:left="500" w:right="420" w:hanging="494"/>
        <w:spacing w:after="0" w:line="277" w:lineRule="auto"/>
        <w:tabs>
          <w:tab w:leader="none" w:pos="480" w:val="left"/>
        </w:tabs>
        <w:rPr>
          <w:sz w:val="20"/>
          <w:szCs w:val="20"/>
          <w:color w:val="auto"/>
        </w:rPr>
      </w:pPr>
      <w:r>
        <w:rPr>
          <w:rFonts w:ascii="Arial" w:cs="Arial" w:eastAsia="Arial" w:hAnsi="Arial"/>
          <w:sz w:val="14"/>
          <w:szCs w:val="14"/>
          <w:color w:val="auto"/>
        </w:rPr>
        <w:t>29.4</w:t>
      </w:r>
      <w:r>
        <w:rPr>
          <w:sz w:val="20"/>
          <w:szCs w:val="20"/>
          <w:color w:val="auto"/>
        </w:rPr>
        <w:tab/>
      </w:r>
      <w:r>
        <w:rPr>
          <w:rFonts w:ascii="Arial" w:cs="Arial" w:eastAsia="Arial" w:hAnsi="Arial"/>
          <w:sz w:val="14"/>
          <w:szCs w:val="14"/>
          <w:color w:val="auto"/>
        </w:rPr>
        <w:t>An Electronic Record of a notice, written resolution or other document sent by or on behalf of the Secretary or an Officer or Officers of the Company shall be deemed to be authentic if the following conditions are satisfied:</w:t>
      </w:r>
    </w:p>
    <w:p>
      <w:pPr>
        <w:spacing w:after="0" w:line="129" w:lineRule="exact"/>
        <w:rPr>
          <w:sz w:val="20"/>
          <w:szCs w:val="20"/>
          <w:color w:val="auto"/>
        </w:rPr>
      </w:pPr>
    </w:p>
    <w:p>
      <w:pPr>
        <w:ind w:left="1000" w:hanging="501"/>
        <w:spacing w:after="0" w:line="283" w:lineRule="auto"/>
        <w:tabs>
          <w:tab w:leader="none" w:pos="100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 xml:space="preserve">the Secretary or the Officer or each Officer, as the case may be, signed the original document, and for this purpose </w:t>
      </w:r>
      <w:r>
        <w:rPr>
          <w:rFonts w:ascii="Arial" w:cs="Arial" w:eastAsia="Arial" w:hAnsi="Arial"/>
          <w:sz w:val="14"/>
          <w:szCs w:val="14"/>
          <w:b w:val="1"/>
          <w:bCs w:val="1"/>
          <w:color w:val="auto"/>
        </w:rPr>
        <w:t>Original Document</w:t>
      </w:r>
      <w:r>
        <w:rPr>
          <w:rFonts w:ascii="Arial" w:cs="Arial" w:eastAsia="Arial" w:hAnsi="Arial"/>
          <w:sz w:val="14"/>
          <w:szCs w:val="14"/>
          <w:color w:val="auto"/>
        </w:rPr>
        <w:t xml:space="preserve"> includes several documents in like form signed by the Secretary or one or more of those Officers; and</w:t>
      </w:r>
    </w:p>
    <w:p>
      <w:pPr>
        <w:spacing w:after="0" w:line="129" w:lineRule="exact"/>
        <w:rPr>
          <w:rFonts w:ascii="Arial" w:cs="Arial" w:eastAsia="Arial" w:hAnsi="Arial"/>
          <w:sz w:val="14"/>
          <w:szCs w:val="14"/>
          <w:color w:val="auto"/>
        </w:rPr>
      </w:pPr>
    </w:p>
    <w:p>
      <w:pPr>
        <w:ind w:left="1000" w:right="300" w:hanging="501"/>
        <w:spacing w:after="0" w:line="277" w:lineRule="auto"/>
        <w:tabs>
          <w:tab w:leader="none" w:pos="100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33" w:lineRule="exact"/>
        <w:rPr>
          <w:rFonts w:ascii="Arial" w:cs="Arial" w:eastAsia="Arial" w:hAnsi="Arial"/>
          <w:sz w:val="14"/>
          <w:szCs w:val="14"/>
          <w:color w:val="auto"/>
        </w:rPr>
      </w:pPr>
    </w:p>
    <w:p>
      <w:pPr>
        <w:ind w:left="1000" w:hanging="501"/>
        <w:spacing w:after="0"/>
        <w:tabs>
          <w:tab w:leader="none" w:pos="100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Article 29.7 does not apply.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Article applies whether the document is sent by or on behalf of the Secretary or Officer in his own right or as a representative of the Company.</w:t>
      </w:r>
    </w:p>
    <w:p>
      <w:pPr>
        <w:spacing w:after="0" w:line="176" w:lineRule="exact"/>
        <w:rPr>
          <w:sz w:val="20"/>
          <w:szCs w:val="20"/>
          <w:color w:val="auto"/>
        </w:rPr>
      </w:pPr>
    </w:p>
    <w:p>
      <w:pPr>
        <w:ind w:left="500" w:right="400" w:hanging="494"/>
        <w:spacing w:after="0" w:line="277" w:lineRule="auto"/>
        <w:tabs>
          <w:tab w:leader="none" w:pos="480" w:val="left"/>
        </w:tabs>
        <w:rPr>
          <w:sz w:val="20"/>
          <w:szCs w:val="20"/>
          <w:color w:val="auto"/>
        </w:rPr>
      </w:pPr>
      <w:r>
        <w:rPr>
          <w:rFonts w:ascii="Arial" w:cs="Arial" w:eastAsia="Arial" w:hAnsi="Arial"/>
          <w:sz w:val="14"/>
          <w:szCs w:val="14"/>
          <w:color w:val="auto"/>
        </w:rPr>
        <w:t>29.5</w:t>
      </w:r>
      <w:r>
        <w:rPr>
          <w:sz w:val="20"/>
          <w:szCs w:val="20"/>
          <w:color w:val="auto"/>
        </w:rPr>
        <w:tab/>
      </w:r>
      <w:r>
        <w:rPr>
          <w:rFonts w:ascii="Arial" w:cs="Arial" w:eastAsia="Arial" w:hAnsi="Arial"/>
          <w:sz w:val="14"/>
          <w:szCs w:val="14"/>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77" w:right="239" w:bottom="1440" w:gutter="0" w:footer="0" w:header="0"/>
        </w:sectPr>
      </w:pPr>
    </w:p>
    <w:bookmarkStart w:id="201" w:name="page202"/>
    <w:bookmarkEnd w:id="201"/>
    <w:p>
      <w:pPr>
        <w:spacing w:after="0"/>
        <w:rPr>
          <w:sz w:val="20"/>
          <w:szCs w:val="20"/>
          <w:color w:val="auto"/>
        </w:rPr>
      </w:pPr>
      <w:r>
        <w:rPr>
          <w:rFonts w:ascii="Arial" w:cs="Arial" w:eastAsia="Arial" w:hAnsi="Arial"/>
          <w:sz w:val="14"/>
          <w:szCs w:val="14"/>
          <w:b w:val="1"/>
          <w:bCs w:val="1"/>
          <w:color w:val="auto"/>
        </w:rPr>
        <w:t>Manner of signing</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29.6</w:t>
      </w:r>
      <w:r>
        <w:rPr>
          <w:sz w:val="20"/>
          <w:szCs w:val="20"/>
          <w:color w:val="auto"/>
        </w:rPr>
        <w:tab/>
      </w:r>
      <w:r>
        <w:rPr>
          <w:rFonts w:ascii="Arial" w:cs="Arial" w:eastAsia="Arial" w:hAnsi="Arial"/>
          <w:sz w:val="12"/>
          <w:szCs w:val="12"/>
          <w:color w:val="auto"/>
        </w:rPr>
        <w:t>For the purposes of these Articles about the authentication of Electronic Records, a document will be taken to be signed if it is signed manually or in any other manner permitted by these Articles.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Saving provision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29.7</w:t>
      </w:r>
      <w:r>
        <w:rPr>
          <w:sz w:val="20"/>
          <w:szCs w:val="20"/>
          <w:color w:val="auto"/>
        </w:rPr>
        <w:tab/>
      </w:r>
      <w:r>
        <w:rPr>
          <w:rFonts w:ascii="Arial" w:cs="Arial" w:eastAsia="Arial" w:hAnsi="Arial"/>
          <w:sz w:val="12"/>
          <w:szCs w:val="12"/>
          <w:color w:val="auto"/>
        </w:rPr>
        <w:t>A notice, written resolution or other document under these Articles will not be deemed to be authentic if the recipient, acting reasonably:</w:t>
      </w:r>
    </w:p>
    <w:p>
      <w:pPr>
        <w:spacing w:after="0" w:line="176" w:lineRule="exact"/>
        <w:rPr>
          <w:sz w:val="20"/>
          <w:szCs w:val="20"/>
          <w:color w:val="auto"/>
        </w:rPr>
      </w:pPr>
    </w:p>
    <w:p>
      <w:pPr>
        <w:ind w:left="1000" w:hanging="501"/>
        <w:spacing w:after="0"/>
        <w:tabs>
          <w:tab w:leader="none" w:pos="10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believes that the signature of the signatory has been altered after the signatory had signed the original document;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believes that the original document, or the Electronic Record of it, was altered, without the approval of the signatory, after the signatory signed the original document;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otherwise doubts the authenticity of the Electronic Record of the document</w:t>
      </w:r>
    </w:p>
    <w:p>
      <w:pPr>
        <w:spacing w:after="0" w:line="176" w:lineRule="exact"/>
        <w:rPr>
          <w:sz w:val="20"/>
          <w:szCs w:val="20"/>
          <w:color w:val="auto"/>
        </w:rPr>
      </w:pPr>
    </w:p>
    <w:p>
      <w:pPr>
        <w:ind w:left="500" w:right="260"/>
        <w:spacing w:after="0" w:line="277" w:lineRule="auto"/>
        <w:rPr>
          <w:sz w:val="20"/>
          <w:szCs w:val="20"/>
          <w:color w:val="auto"/>
        </w:rPr>
      </w:pPr>
      <w:r>
        <w:rPr>
          <w:rFonts w:ascii="Arial" w:cs="Arial" w:eastAsia="Arial" w:hAnsi="Arial"/>
          <w:sz w:val="14"/>
          <w:szCs w:val="14"/>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29"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b w:val="1"/>
          <w:bCs w:val="1"/>
          <w:color w:val="auto"/>
        </w:rPr>
        <w:t>Transfer by way of continuation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30.1</w:t>
      </w:r>
      <w:r>
        <w:rPr>
          <w:sz w:val="20"/>
          <w:szCs w:val="20"/>
          <w:color w:val="auto"/>
        </w:rPr>
        <w:tab/>
      </w:r>
      <w:r>
        <w:rPr>
          <w:rFonts w:ascii="Arial" w:cs="Arial" w:eastAsia="Arial" w:hAnsi="Arial"/>
          <w:sz w:val="12"/>
          <w:szCs w:val="12"/>
          <w:color w:val="auto"/>
        </w:rPr>
        <w:t>The Company may, by Special Resolution, resolve to be registered by way of continuation in a jurisdiction outside:</w:t>
      </w:r>
    </w:p>
    <w:p>
      <w:pPr>
        <w:spacing w:after="0" w:line="176" w:lineRule="exact"/>
        <w:rPr>
          <w:sz w:val="20"/>
          <w:szCs w:val="20"/>
          <w:color w:val="auto"/>
        </w:rPr>
      </w:pPr>
    </w:p>
    <w:p>
      <w:pPr>
        <w:ind w:left="1000" w:hanging="501"/>
        <w:spacing w:after="0"/>
        <w:tabs>
          <w:tab w:leader="none" w:pos="10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Islands;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such other jurisdiction in which it is, for the time being, incorporated, registered or existing.</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30.2</w:t>
      </w:r>
      <w:r>
        <w:rPr>
          <w:sz w:val="20"/>
          <w:szCs w:val="20"/>
          <w:color w:val="auto"/>
        </w:rPr>
        <w:tab/>
      </w:r>
      <w:r>
        <w:rPr>
          <w:rFonts w:ascii="Arial" w:cs="Arial" w:eastAsia="Arial" w:hAnsi="Arial"/>
          <w:sz w:val="12"/>
          <w:szCs w:val="12"/>
          <w:color w:val="auto"/>
        </w:rPr>
        <w:t>To give effect to any resolution made pursuant to the preceding Article, the directors may cause the following:</w:t>
      </w:r>
    </w:p>
    <w:p>
      <w:pPr>
        <w:spacing w:after="0" w:line="176" w:lineRule="exact"/>
        <w:rPr>
          <w:sz w:val="20"/>
          <w:szCs w:val="20"/>
          <w:color w:val="auto"/>
        </w:rPr>
      </w:pPr>
    </w:p>
    <w:p>
      <w:pPr>
        <w:ind w:left="1000" w:right="340" w:hanging="501"/>
        <w:spacing w:after="0" w:line="277" w:lineRule="auto"/>
        <w:tabs>
          <w:tab w:leader="none" w:pos="100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an application be made to the Registrar of Companies to deregister the Company in the Islands or in the other jurisdiction in which it is for the time being incorporated, registered or existing; and</w:t>
      </w:r>
    </w:p>
    <w:p>
      <w:pPr>
        <w:spacing w:after="0" w:line="133" w:lineRule="exact"/>
        <w:rPr>
          <w:rFonts w:ascii="Arial" w:cs="Arial" w:eastAsia="Arial" w:hAnsi="Arial"/>
          <w:sz w:val="14"/>
          <w:szCs w:val="14"/>
          <w:color w:val="auto"/>
        </w:rPr>
      </w:pPr>
    </w:p>
    <w:p>
      <w:pPr>
        <w:ind w:left="1000" w:hanging="501"/>
        <w:spacing w:after="0"/>
        <w:tabs>
          <w:tab w:leader="none" w:pos="100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all such further steps as they consider appropriate to be taken to effect the transfer by way of continuation of the Company.</w:t>
      </w:r>
    </w:p>
    <w:p>
      <w:pPr>
        <w:spacing w:after="0" w:line="172" w:lineRule="exact"/>
        <w:rPr>
          <w:sz w:val="20"/>
          <w:szCs w:val="20"/>
          <w:color w:val="auto"/>
        </w:rPr>
      </w:pPr>
    </w:p>
    <w:p>
      <w:pPr>
        <w:ind w:right="9640" w:firstLine="4"/>
        <w:spacing w:after="0" w:line="589" w:lineRule="auto"/>
        <w:tabs>
          <w:tab w:leader="none" w:pos="495"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color w:val="auto"/>
        </w:rPr>
        <w:t>Winding Up Distribution of assets in specie</w:t>
      </w:r>
    </w:p>
    <w:p>
      <w:pPr>
        <w:ind w:left="500" w:right="140" w:hanging="494"/>
        <w:spacing w:after="0" w:line="277" w:lineRule="auto"/>
        <w:tabs>
          <w:tab w:leader="none" w:pos="48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4"/>
          <w:szCs w:val="14"/>
          <w:color w:val="auto"/>
        </w:rPr>
        <w:t>If the Company is wound up, the Members may, subject to these Articles and any other sanction required by the Law, pass a Special Resolution allowing the liquidator to do either or both of the following:</w:t>
      </w:r>
    </w:p>
    <w:p>
      <w:pPr>
        <w:spacing w:after="0" w:line="133" w:lineRule="exact"/>
        <w:rPr>
          <w:sz w:val="20"/>
          <w:szCs w:val="20"/>
          <w:color w:val="auto"/>
        </w:rPr>
      </w:pPr>
    </w:p>
    <w:p>
      <w:pPr>
        <w:ind w:left="1000" w:hanging="501"/>
        <w:spacing w:after="0" w:line="277" w:lineRule="auto"/>
        <w:tabs>
          <w:tab w:leader="none" w:pos="100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77" w:right="219" w:bottom="1440" w:gutter="0" w:footer="0" w:header="0"/>
        </w:sectPr>
      </w:pPr>
    </w:p>
    <w:bookmarkStart w:id="202" w:name="page203"/>
    <w:bookmarkEnd w:id="202"/>
    <w:p>
      <w:pPr>
        <w:ind w:left="1000" w:hanging="501"/>
        <w:spacing w:after="0"/>
        <w:tabs>
          <w:tab w:leader="none" w:pos="100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to vest the whole or any part of the assets in trustees for the benefit of Members and those liable to contribute to the winding up.</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obligation to accept liability</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2"/>
          <w:szCs w:val="12"/>
          <w:color w:val="auto"/>
        </w:rPr>
        <w:t>No Member shall be compelled to accept any assets if an obligation attaches to them.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directors are authorised to present a winding up petition</w:t>
      </w:r>
    </w:p>
    <w:p>
      <w:pPr>
        <w:spacing w:after="0" w:line="180" w:lineRule="exact"/>
        <w:rPr>
          <w:sz w:val="20"/>
          <w:szCs w:val="20"/>
          <w:color w:val="auto"/>
        </w:rPr>
      </w:pPr>
    </w:p>
    <w:p>
      <w:pPr>
        <w:ind w:left="500" w:right="80" w:hanging="494"/>
        <w:spacing w:after="0" w:line="277" w:lineRule="auto"/>
        <w:tabs>
          <w:tab w:leader="none" w:pos="480" w:val="left"/>
        </w:tabs>
        <w:rPr>
          <w:sz w:val="20"/>
          <w:szCs w:val="20"/>
          <w:color w:val="auto"/>
        </w:rPr>
      </w:pPr>
      <w:r>
        <w:rPr>
          <w:rFonts w:ascii="Arial" w:cs="Arial" w:eastAsia="Arial" w:hAnsi="Arial"/>
          <w:sz w:val="14"/>
          <w:szCs w:val="14"/>
          <w:color w:val="auto"/>
        </w:rPr>
        <w:t>31.3</w:t>
      </w:r>
      <w:r>
        <w:rPr>
          <w:sz w:val="20"/>
          <w:szCs w:val="20"/>
          <w:color w:val="auto"/>
        </w:rPr>
        <w:tab/>
      </w:r>
      <w:r>
        <w:rPr>
          <w:rFonts w:ascii="Arial" w:cs="Arial" w:eastAsia="Arial" w:hAnsi="Arial"/>
          <w:sz w:val="14"/>
          <w:szCs w:val="14"/>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29" w:lineRule="exact"/>
        <w:rPr>
          <w:sz w:val="20"/>
          <w:szCs w:val="20"/>
          <w:color w:val="auto"/>
        </w:rPr>
      </w:pPr>
    </w:p>
    <w:p>
      <w:pPr>
        <w:ind w:right="8380" w:firstLine="4"/>
        <w:spacing w:after="0" w:line="589" w:lineRule="auto"/>
        <w:tabs>
          <w:tab w:leader="none" w:pos="495" w:val="left"/>
        </w:tabs>
        <w:numPr>
          <w:ilvl w:val="0"/>
          <w:numId w:val="197"/>
        </w:numPr>
        <w:rPr>
          <w:rFonts w:ascii="Arial" w:cs="Arial" w:eastAsia="Arial" w:hAnsi="Arial"/>
          <w:sz w:val="12"/>
          <w:szCs w:val="12"/>
          <w:b w:val="1"/>
          <w:bCs w:val="1"/>
          <w:color w:val="auto"/>
        </w:rPr>
      </w:pPr>
      <w:r>
        <w:rPr>
          <w:rFonts w:ascii="Arial" w:cs="Arial" w:eastAsia="Arial" w:hAnsi="Arial"/>
          <w:sz w:val="12"/>
          <w:szCs w:val="12"/>
          <w:b w:val="1"/>
          <w:bCs w:val="1"/>
          <w:color w:val="auto"/>
        </w:rPr>
        <w:t>Amendment of Memorandum and Articles Power to change name or amend Memorandum</w:t>
      </w:r>
    </w:p>
    <w:p>
      <w:pPr>
        <w:spacing w:after="0"/>
        <w:tabs>
          <w:tab w:leader="none" w:pos="48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2"/>
          <w:szCs w:val="12"/>
          <w:color w:val="auto"/>
        </w:rPr>
        <w:t>Subject to the Law, the Company may, by Special Resolution:</w:t>
      </w:r>
    </w:p>
    <w:p>
      <w:pPr>
        <w:spacing w:after="0" w:line="176" w:lineRule="exact"/>
        <w:rPr>
          <w:sz w:val="20"/>
          <w:szCs w:val="20"/>
          <w:color w:val="auto"/>
        </w:rPr>
      </w:pPr>
    </w:p>
    <w:p>
      <w:pPr>
        <w:ind w:left="1000" w:hanging="501"/>
        <w:spacing w:after="0"/>
        <w:tabs>
          <w:tab w:leader="none" w:pos="100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change its name; or</w:t>
      </w:r>
    </w:p>
    <w:p>
      <w:pPr>
        <w:spacing w:after="0" w:line="175" w:lineRule="exact"/>
        <w:rPr>
          <w:rFonts w:ascii="Arial" w:cs="Arial" w:eastAsia="Arial" w:hAnsi="Arial"/>
          <w:sz w:val="14"/>
          <w:szCs w:val="14"/>
          <w:color w:val="auto"/>
        </w:rPr>
      </w:pPr>
    </w:p>
    <w:p>
      <w:pPr>
        <w:ind w:left="1000" w:hanging="501"/>
        <w:spacing w:after="0"/>
        <w:tabs>
          <w:tab w:leader="none" w:pos="100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change the provisions of its Memorandum with respect to its objects, powers or any other matter specified in the Memorandum.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to amend these Articles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2"/>
          <w:szCs w:val="12"/>
          <w:color w:val="auto"/>
        </w:rPr>
        <w:t>Subject to the Law and as provided in these Articles, the Company may, by Special Resolution, amend these Articles in whole or in part.</w:t>
      </w:r>
    </w:p>
    <w:p>
      <w:pPr>
        <w:spacing w:after="0" w:line="172" w:lineRule="exact"/>
        <w:rPr>
          <w:sz w:val="20"/>
          <w:szCs w:val="20"/>
          <w:color w:val="auto"/>
        </w:rPr>
      </w:pPr>
    </w:p>
    <w:p>
      <w:pPr>
        <w:ind w:left="500" w:hanging="496"/>
        <w:spacing w:after="0"/>
        <w:tabs>
          <w:tab w:leader="none" w:pos="500" w:val="left"/>
        </w:tabs>
        <w:numPr>
          <w:ilvl w:val="0"/>
          <w:numId w:val="199"/>
        </w:numPr>
        <w:rPr>
          <w:rFonts w:ascii="Arial" w:cs="Arial" w:eastAsia="Arial" w:hAnsi="Arial"/>
          <w:sz w:val="14"/>
          <w:szCs w:val="14"/>
          <w:b w:val="1"/>
          <w:bCs w:val="1"/>
          <w:color w:val="auto"/>
        </w:rPr>
      </w:pPr>
      <w:r>
        <w:rPr>
          <w:rFonts w:ascii="Arial" w:cs="Arial" w:eastAsia="Arial" w:hAnsi="Arial"/>
          <w:sz w:val="14"/>
          <w:szCs w:val="14"/>
          <w:b w:val="1"/>
          <w:bCs w:val="1"/>
          <w:color w:val="auto"/>
        </w:rPr>
        <w:t>Exclusive Forum</w:t>
      </w:r>
    </w:p>
    <w:p>
      <w:pPr>
        <w:spacing w:after="0" w:line="179" w:lineRule="exact"/>
        <w:rPr>
          <w:rFonts w:ascii="Arial" w:cs="Arial" w:eastAsia="Arial" w:hAnsi="Arial"/>
          <w:sz w:val="14"/>
          <w:szCs w:val="14"/>
          <w:b w:val="1"/>
          <w:bCs w:val="1"/>
          <w:color w:val="auto"/>
        </w:rPr>
      </w:pPr>
    </w:p>
    <w:p>
      <w:pPr>
        <w:ind w:left="50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The courts located in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Law, the Memorandum or these Articles, and (iv) any action asserting a claim against the Company in respect of shareholders’ rights as shareholders or distributions of dividends.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781" w:right="239" w:bottom="1440" w:gutter="0" w:footer="0" w:header="0"/>
        </w:sectPr>
      </w:pPr>
    </w:p>
    <w:bookmarkStart w:id="203" w:name="page204"/>
    <w:bookmarkEnd w:id="203"/>
    <w:p>
      <w:pPr>
        <w:ind w:left="946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144780</wp:posOffset>
            </wp:positionV>
            <wp:extent cx="7277100" cy="40024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7100" cy="4002405"/>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436245</wp:posOffset>
            </wp:positionV>
            <wp:extent cx="7277100" cy="71767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7100" cy="7176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right"/>
        <w:spacing w:after="0"/>
        <w:rPr>
          <w:sz w:val="20"/>
          <w:szCs w:val="20"/>
          <w:color w:val="auto"/>
        </w:rPr>
      </w:pPr>
      <w:r>
        <w:rPr>
          <w:rFonts w:ascii="Arial" w:cs="Arial" w:eastAsia="Arial" w:hAnsi="Arial"/>
          <w:sz w:val="14"/>
          <w:szCs w:val="14"/>
          <w:b w:val="1"/>
          <w:bCs w:val="1"/>
          <w:color w:val="auto"/>
        </w:rPr>
        <w:t>Exhibit 10.1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2017 Equity Incentive Plan</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w:t>
      </w:r>
      <w:r>
        <w:rPr>
          <w:sz w:val="20"/>
          <w:szCs w:val="20"/>
          <w:color w:val="auto"/>
        </w:rPr>
        <w:tab/>
      </w:r>
      <w:r>
        <w:rPr>
          <w:rFonts w:ascii="Arial" w:cs="Arial" w:eastAsia="Arial" w:hAnsi="Arial"/>
          <w:sz w:val="12"/>
          <w:szCs w:val="12"/>
          <w:b w:val="1"/>
          <w:bCs w:val="1"/>
          <w:color w:val="auto"/>
        </w:rPr>
        <w:t>Purpose.</w:t>
      </w:r>
    </w:p>
    <w:p>
      <w:pPr>
        <w:spacing w:after="0" w:line="180" w:lineRule="exact"/>
        <w:rPr>
          <w:sz w:val="20"/>
          <w:szCs w:val="20"/>
          <w:color w:val="auto"/>
        </w:rPr>
      </w:pPr>
    </w:p>
    <w:p>
      <w:pPr>
        <w:ind w:right="260" w:firstLine="505"/>
        <w:spacing w:after="0" w:line="259" w:lineRule="auto"/>
        <w:rPr>
          <w:sz w:val="20"/>
          <w:szCs w:val="20"/>
          <w:color w:val="auto"/>
        </w:rPr>
      </w:pPr>
      <w:r>
        <w:rPr>
          <w:rFonts w:ascii="Arial" w:cs="Arial" w:eastAsia="Arial" w:hAnsi="Arial"/>
          <w:sz w:val="14"/>
          <w:szCs w:val="14"/>
          <w:color w:val="auto"/>
        </w:rPr>
        <w:t>The purpose of the CLPS Incorporation 2017 Equity Incentive Plan (the “Plan”) is to attract and retain outstanding individuals as Key Employees and Directors of the Company and its Subsidiaries, to recognize the contributions made to the Company and its Subsidiaries by Key Employees and Directors, and to provide such Key Employees and Directors with additional incentive to expand and improve the profits and achieve the objectives of the Company and its Subsidiaries, by providing such Key Employees and Directors with the opportunity to acquire or increase their proprietary interest in the Company through receipt of Awards.</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2.</w:t>
      </w:r>
      <w:r>
        <w:rPr>
          <w:sz w:val="20"/>
          <w:szCs w:val="20"/>
          <w:color w:val="auto"/>
        </w:rPr>
        <w:tab/>
      </w:r>
      <w:r>
        <w:rPr>
          <w:rFonts w:ascii="Arial" w:cs="Arial" w:eastAsia="Arial" w:hAnsi="Arial"/>
          <w:sz w:val="12"/>
          <w:szCs w:val="12"/>
          <w:b w:val="1"/>
          <w:bCs w:val="1"/>
          <w:color w:val="auto"/>
        </w:rPr>
        <w:t>Definitions.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used in the Plan, the following terms shall have the meanings set forth below:</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Award</w:t>
      </w:r>
      <w:r>
        <w:rPr>
          <w:rFonts w:ascii="Arial" w:cs="Arial" w:eastAsia="Arial" w:hAnsi="Arial"/>
          <w:sz w:val="12"/>
          <w:szCs w:val="12"/>
          <w:color w:val="auto"/>
        </w:rPr>
        <w:t>” means any award or benefit granted under the Plan, which shall be a Stock Option, a Stock Award, a Stock Bonus, a Stock Appreciation Right, or a Stock Unit Award.</w:t>
      </w:r>
    </w:p>
    <w:p>
      <w:pPr>
        <w:spacing w:after="0" w:line="176"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2.2 “</w:t>
      </w:r>
      <w:r>
        <w:rPr>
          <w:rFonts w:ascii="Arial" w:cs="Arial" w:eastAsia="Arial" w:hAnsi="Arial"/>
          <w:sz w:val="14"/>
          <w:szCs w:val="14"/>
          <w:u w:val="single" w:color="auto"/>
          <w:color w:val="auto"/>
        </w:rPr>
        <w:t>Award Agreement</w:t>
      </w:r>
      <w:r>
        <w:rPr>
          <w:rFonts w:ascii="Arial" w:cs="Arial" w:eastAsia="Arial" w:hAnsi="Arial"/>
          <w:sz w:val="14"/>
          <w:szCs w:val="14"/>
          <w:color w:val="auto"/>
        </w:rPr>
        <w:t>” means, as applicable, a Stock Option Agreement, a Stock Award Agreement, a Stock Bonus Agreement, a Stock Appreciation Right Agreement, or Stock Unit Award Agreement evidencing an Award granted under the Plan.</w:t>
      </w:r>
    </w:p>
    <w:p>
      <w:pPr>
        <w:spacing w:after="0" w:line="133"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Board</w:t>
      </w:r>
      <w:r>
        <w:rPr>
          <w:rFonts w:ascii="Arial" w:cs="Arial" w:eastAsia="Arial" w:hAnsi="Arial"/>
          <w:sz w:val="12"/>
          <w:szCs w:val="12"/>
          <w:color w:val="auto"/>
        </w:rPr>
        <w:t>” means the Board of Directors of the Company.</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Change in Control</w:t>
      </w:r>
      <w:r>
        <w:rPr>
          <w:rFonts w:ascii="Arial" w:cs="Arial" w:eastAsia="Arial" w:hAnsi="Arial"/>
          <w:sz w:val="12"/>
          <w:szCs w:val="12"/>
          <w:color w:val="auto"/>
        </w:rPr>
        <w:t>” has the meaning set forth in Section 10 of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Internal Revenue Code of 1986, as amended from time to time.</w:t>
      </w:r>
    </w:p>
    <w:p>
      <w:pPr>
        <w:spacing w:after="0" w:line="176" w:lineRule="exact"/>
        <w:rPr>
          <w:sz w:val="20"/>
          <w:szCs w:val="20"/>
          <w:color w:val="auto"/>
        </w:rPr>
      </w:pPr>
    </w:p>
    <w:p>
      <w:pPr>
        <w:ind w:right="480" w:firstLine="505"/>
        <w:spacing w:after="0" w:line="277" w:lineRule="auto"/>
        <w:rPr>
          <w:sz w:val="20"/>
          <w:szCs w:val="20"/>
          <w:color w:val="auto"/>
        </w:rPr>
      </w:pPr>
      <w:r>
        <w:rPr>
          <w:rFonts w:ascii="Arial" w:cs="Arial" w:eastAsia="Arial" w:hAnsi="Arial"/>
          <w:sz w:val="14"/>
          <w:szCs w:val="14"/>
          <w:color w:val="auto"/>
        </w:rPr>
        <w:t>2.6 “</w:t>
      </w:r>
      <w:r>
        <w:rPr>
          <w:rFonts w:ascii="Arial" w:cs="Arial" w:eastAsia="Arial" w:hAnsi="Arial"/>
          <w:sz w:val="14"/>
          <w:szCs w:val="14"/>
          <w:u w:val="single" w:color="auto"/>
          <w:color w:val="auto"/>
        </w:rPr>
        <w:t>Committee</w:t>
      </w:r>
      <w:r>
        <w:rPr>
          <w:rFonts w:ascii="Arial" w:cs="Arial" w:eastAsia="Arial" w:hAnsi="Arial"/>
          <w:sz w:val="14"/>
          <w:szCs w:val="14"/>
          <w:color w:val="auto"/>
        </w:rPr>
        <w:t>” means the Compensation Committee of the Board or such other committee as may be designated by the Board from time to time to administer the Plan, or, if no such committee has been designated at the time of any grants, it shall mean the Board.</w:t>
      </w:r>
    </w:p>
    <w:p>
      <w:pPr>
        <w:spacing w:after="0" w:line="133"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Shares</w:t>
      </w:r>
      <w:r>
        <w:rPr>
          <w:rFonts w:ascii="Arial" w:cs="Arial" w:eastAsia="Arial" w:hAnsi="Arial"/>
          <w:sz w:val="12"/>
          <w:szCs w:val="12"/>
          <w:color w:val="auto"/>
        </w:rPr>
        <w:t>” means ordinary shares of the Company.</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means CLPS Incorporation, a Cayman Islands corporation.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Director</w:t>
      </w:r>
      <w:r>
        <w:rPr>
          <w:rFonts w:ascii="Arial" w:cs="Arial" w:eastAsia="Arial" w:hAnsi="Arial"/>
          <w:sz w:val="12"/>
          <w:szCs w:val="12"/>
          <w:color w:val="auto"/>
        </w:rPr>
        <w:t>” means a director of the Company who is not an employee of the Company or a Subsidiary.</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2.10</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 as amended from time to time.</w:t>
      </w:r>
    </w:p>
    <w:p>
      <w:pPr>
        <w:spacing w:after="0" w:line="176" w:lineRule="exact"/>
        <w:rPr>
          <w:sz w:val="20"/>
          <w:szCs w:val="20"/>
          <w:color w:val="auto"/>
        </w:rPr>
      </w:pPr>
    </w:p>
    <w:p>
      <w:pPr>
        <w:ind w:right="520" w:firstLine="505"/>
        <w:spacing w:after="0" w:line="364" w:lineRule="auto"/>
        <w:rPr>
          <w:sz w:val="20"/>
          <w:szCs w:val="20"/>
          <w:color w:val="auto"/>
        </w:rPr>
      </w:pPr>
      <w:r>
        <w:rPr>
          <w:rFonts w:ascii="Arial" w:cs="Arial" w:eastAsia="Arial" w:hAnsi="Arial"/>
          <w:sz w:val="12"/>
          <w:szCs w:val="12"/>
          <w:color w:val="auto"/>
        </w:rPr>
        <w:t>2.11 “</w:t>
      </w:r>
      <w:r>
        <w:rPr>
          <w:rFonts w:ascii="Arial" w:cs="Arial" w:eastAsia="Arial" w:hAnsi="Arial"/>
          <w:sz w:val="12"/>
          <w:szCs w:val="12"/>
          <w:u w:val="single" w:color="auto"/>
          <w:color w:val="auto"/>
        </w:rPr>
        <w:t>Fair Market Value</w:t>
      </w:r>
      <w:r>
        <w:rPr>
          <w:rFonts w:ascii="Arial" w:cs="Arial" w:eastAsia="Arial" w:hAnsi="Arial"/>
          <w:sz w:val="12"/>
          <w:szCs w:val="12"/>
          <w:color w:val="auto"/>
        </w:rPr>
        <w:t>” means the closing price of the Shares on the national securities exchange on which the Shares are listed, or, if the Shares are not listed on a national securities exchange, the over-the-counter market on which the Shares trade, or, if the Shares are not listed on a national securities exchange or an over-the-counter market,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235585</wp:posOffset>
            </wp:positionV>
            <wp:extent cx="7277100" cy="13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06" w:name="page207"/>
    <w:bookmarkEnd w:id="206"/>
    <w:p>
      <w:pPr>
        <w:ind w:left="500"/>
        <w:spacing w:after="0"/>
        <w:tabs>
          <w:tab w:leader="none" w:pos="92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Incentive Stock Option</w:t>
      </w:r>
      <w:r>
        <w:rPr>
          <w:rFonts w:ascii="Arial" w:cs="Arial" w:eastAsia="Arial" w:hAnsi="Arial"/>
          <w:sz w:val="12"/>
          <w:szCs w:val="12"/>
          <w:color w:val="auto"/>
        </w:rPr>
        <w:t>” or “</w:t>
      </w:r>
      <w:r>
        <w:rPr>
          <w:rFonts w:ascii="Arial" w:cs="Arial" w:eastAsia="Arial" w:hAnsi="Arial"/>
          <w:sz w:val="12"/>
          <w:szCs w:val="12"/>
          <w:u w:val="single" w:color="auto"/>
          <w:color w:val="auto"/>
        </w:rPr>
        <w:t>ISO</w:t>
      </w:r>
      <w:r>
        <w:rPr>
          <w:rFonts w:ascii="Arial" w:cs="Arial" w:eastAsia="Arial" w:hAnsi="Arial"/>
          <w:sz w:val="12"/>
          <w:szCs w:val="12"/>
          <w:color w:val="auto"/>
        </w:rPr>
        <w:t>” means a Stock Option granted under Section 5 of the Plan that meets the requirements of Section 422(b) of the Code or any successor provision.</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2.13 “</w:t>
      </w:r>
      <w:r>
        <w:rPr>
          <w:rFonts w:ascii="Arial" w:cs="Arial" w:eastAsia="Arial" w:hAnsi="Arial"/>
          <w:sz w:val="14"/>
          <w:szCs w:val="14"/>
          <w:u w:val="single" w:color="auto"/>
          <w:color w:val="auto"/>
        </w:rPr>
        <w:t>Key Employee</w:t>
      </w:r>
      <w:r>
        <w:rPr>
          <w:rFonts w:ascii="Arial" w:cs="Arial" w:eastAsia="Arial" w:hAnsi="Arial"/>
          <w:sz w:val="14"/>
          <w:szCs w:val="14"/>
          <w:color w:val="auto"/>
        </w:rPr>
        <w:t>” means an employee of the Company or any Subsidiary selected to participate in the Plan in accordance with Section 3. A Key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spacing w:after="0" w:line="1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Non-Qualified Stock Option</w:t>
      </w:r>
      <w:r>
        <w:rPr>
          <w:rFonts w:ascii="Arial" w:cs="Arial" w:eastAsia="Arial" w:hAnsi="Arial"/>
          <w:sz w:val="12"/>
          <w:szCs w:val="12"/>
          <w:color w:val="auto"/>
        </w:rPr>
        <w:t>” or “</w:t>
      </w:r>
      <w:r>
        <w:rPr>
          <w:rFonts w:ascii="Arial" w:cs="Arial" w:eastAsia="Arial" w:hAnsi="Arial"/>
          <w:sz w:val="12"/>
          <w:szCs w:val="12"/>
          <w:u w:val="single" w:color="auto"/>
          <w:color w:val="auto"/>
        </w:rPr>
        <w:t>NSO</w:t>
      </w:r>
      <w:r>
        <w:rPr>
          <w:rFonts w:ascii="Arial" w:cs="Arial" w:eastAsia="Arial" w:hAnsi="Arial"/>
          <w:sz w:val="12"/>
          <w:szCs w:val="12"/>
          <w:color w:val="auto"/>
        </w:rPr>
        <w:t>” means a Stock Option granted under Section 5 of the Plan that is not an Incentive Stock Option.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means a Key Employee or Director selected to receive an Award under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2.16</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means the CLPS Incorporation 2017 Equity Incentive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2.17</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Stock Award</w:t>
      </w:r>
      <w:r>
        <w:rPr>
          <w:rFonts w:ascii="Arial" w:cs="Arial" w:eastAsia="Arial" w:hAnsi="Arial"/>
          <w:sz w:val="12"/>
          <w:szCs w:val="12"/>
          <w:color w:val="auto"/>
        </w:rPr>
        <w:t>” means a grant of the Shares under Section 6 of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2.18</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Stock Option</w:t>
      </w:r>
      <w:r>
        <w:rPr>
          <w:rFonts w:ascii="Arial" w:cs="Arial" w:eastAsia="Arial" w:hAnsi="Arial"/>
          <w:sz w:val="12"/>
          <w:szCs w:val="12"/>
          <w:color w:val="auto"/>
        </w:rPr>
        <w:t>” means an Incentive Stock Option or a Non-Qualified Stock Option granted under Section 5 of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2.19</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Stock Bonus</w:t>
      </w:r>
      <w:r>
        <w:rPr>
          <w:rFonts w:ascii="Arial" w:cs="Arial" w:eastAsia="Arial" w:hAnsi="Arial"/>
          <w:sz w:val="12"/>
          <w:szCs w:val="12"/>
          <w:color w:val="auto"/>
        </w:rPr>
        <w:t>” means a Stock Bonus grant under Section 7 of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2.20</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Stock Appreciation Right</w:t>
      </w:r>
      <w:r>
        <w:rPr>
          <w:rFonts w:ascii="Arial" w:cs="Arial" w:eastAsia="Arial" w:hAnsi="Arial"/>
          <w:sz w:val="12"/>
          <w:szCs w:val="12"/>
          <w:color w:val="auto"/>
        </w:rPr>
        <w:t>” means a Stock Appreciation Right grant under Section 8 of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Stock Unit Award</w:t>
      </w:r>
      <w:r>
        <w:rPr>
          <w:rFonts w:ascii="Arial" w:cs="Arial" w:eastAsia="Arial" w:hAnsi="Arial"/>
          <w:sz w:val="12"/>
          <w:szCs w:val="12"/>
          <w:color w:val="auto"/>
        </w:rPr>
        <w:t>” means a grant of a right to receive Shares or cash under Section 9 of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2.22</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an entity of which the Company is the direct or indirect beneficial owner of not less than 50% of all issued and outstanding equity interest of such entity.</w:t>
      </w:r>
    </w:p>
    <w:p>
      <w:pPr>
        <w:spacing w:after="0" w:line="172"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3.</w:t>
      </w:r>
      <w:r>
        <w:rPr>
          <w:sz w:val="20"/>
          <w:szCs w:val="20"/>
          <w:color w:val="auto"/>
        </w:rPr>
        <w:tab/>
      </w:r>
      <w:r>
        <w:rPr>
          <w:rFonts w:ascii="Arial" w:cs="Arial" w:eastAsia="Arial" w:hAnsi="Arial"/>
          <w:sz w:val="12"/>
          <w:szCs w:val="12"/>
          <w:b w:val="1"/>
          <w:bCs w:val="1"/>
          <w:color w:val="auto"/>
        </w:rPr>
        <w:t>Administration.</w:t>
      </w:r>
    </w:p>
    <w:p>
      <w:pPr>
        <w:spacing w:after="0" w:line="18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2"/>
          <w:szCs w:val="12"/>
          <w:u w:val="single" w:color="auto"/>
          <w:color w:val="auto"/>
        </w:rPr>
        <w:t>The Board</w:t>
      </w:r>
      <w:r>
        <w:rPr>
          <w:rFonts w:ascii="Arial" w:cs="Arial" w:eastAsia="Arial" w:hAnsi="Arial"/>
          <w:sz w:val="12"/>
          <w:szCs w:val="12"/>
          <w:color w:val="auto"/>
        </w:rPr>
        <w:t>.</w:t>
      </w:r>
    </w:p>
    <w:p>
      <w:pPr>
        <w:spacing w:after="0" w:line="176" w:lineRule="exact"/>
        <w:rPr>
          <w:sz w:val="20"/>
          <w:szCs w:val="20"/>
          <w:color w:val="auto"/>
        </w:rPr>
      </w:pPr>
    </w:p>
    <w:p>
      <w:pPr>
        <w:jc w:val="both"/>
        <w:ind w:right="40" w:firstLine="505"/>
        <w:spacing w:after="0" w:line="264" w:lineRule="auto"/>
        <w:rPr>
          <w:sz w:val="20"/>
          <w:szCs w:val="20"/>
          <w:color w:val="auto"/>
        </w:rPr>
      </w:pPr>
      <w:r>
        <w:rPr>
          <w:rFonts w:ascii="Arial" w:cs="Arial" w:eastAsia="Arial" w:hAnsi="Arial"/>
          <w:sz w:val="14"/>
          <w:szCs w:val="14"/>
          <w:color w:val="auto"/>
        </w:rPr>
        <w:t>The Plan shall be administered by the Board; provided, however, that the Committee shall administer the Plan so long as the Committee is comprised of at least two members of the Board who satisfy the “non-employee director” definition set forth in Rule 16b-3 under the Exchange Act, unless the Board otherwise determines. For purposes of the Plan, the term “Board” shall refer to the Board or, to the extent the Committee is administering the Plan, and other than for purposes of Section 12.1, the Committee.</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60"/>
          </w:cols>
          <w:pgMar w:left="220" w:top="655" w:right="319" w:bottom="1440" w:gutter="0" w:footer="0" w:header="0"/>
        </w:sectPr>
      </w:pPr>
    </w:p>
    <w:bookmarkStart w:id="207" w:name="page208"/>
    <w:bookmarkEnd w:id="207"/>
    <w:p>
      <w:pPr>
        <w:ind w:left="500"/>
        <w:spacing w:after="0"/>
        <w:tabs>
          <w:tab w:leader="none" w:pos="9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u w:val="single" w:color="auto"/>
          <w:color w:val="auto"/>
        </w:rPr>
        <w:t>Authority of the Board</w:t>
      </w:r>
      <w:r>
        <w:rPr>
          <w:rFonts w:ascii="Arial" w:cs="Arial" w:eastAsia="Arial" w:hAnsi="Arial"/>
          <w:sz w:val="13"/>
          <w:szCs w:val="13"/>
          <w:color w:val="auto"/>
        </w:rPr>
        <w:t>.</w:t>
      </w:r>
    </w:p>
    <w:p>
      <w:pPr>
        <w:spacing w:after="0" w:line="176" w:lineRule="exact"/>
        <w:rPr>
          <w:sz w:val="20"/>
          <w:szCs w:val="20"/>
          <w:color w:val="auto"/>
        </w:rPr>
      </w:pPr>
    </w:p>
    <w:p>
      <w:pPr>
        <w:ind w:left="500" w:right="60" w:firstLine="413"/>
        <w:spacing w:after="0" w:line="293" w:lineRule="auto"/>
        <w:tabs>
          <w:tab w:leader="none" w:pos="1303"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The Board, in its sole discretion, shall determine the Key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spacing w:after="0" w:line="125" w:lineRule="exact"/>
        <w:rPr>
          <w:rFonts w:ascii="Arial" w:cs="Arial" w:eastAsia="Arial" w:hAnsi="Arial"/>
          <w:sz w:val="13"/>
          <w:szCs w:val="13"/>
          <w:color w:val="auto"/>
        </w:rPr>
      </w:pPr>
    </w:p>
    <w:p>
      <w:pPr>
        <w:jc w:val="both"/>
        <w:ind w:left="500" w:right="20" w:firstLine="413"/>
        <w:spacing w:after="0" w:line="293" w:lineRule="auto"/>
        <w:tabs>
          <w:tab w:leader="none" w:pos="1311"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To the extent permitted by applicable law, regulation, and rules of a stock exchange on which the Shares are listed or traded, the Board may delegate its authority to grant Awards to Key Employees and to determine the terms and conditions thereof to such officer of the Company as it may determine in its discretion, on such terms and conditions as it may impose, except with respect to Awards to officers subject to Section 16 of the Exchange Act or officers who are or may be “covered employees” as defined in Section 162(m) of the Code.</w:t>
      </w:r>
    </w:p>
    <w:p>
      <w:pPr>
        <w:spacing w:after="0" w:line="125" w:lineRule="exact"/>
        <w:rPr>
          <w:rFonts w:ascii="Arial" w:cs="Arial" w:eastAsia="Arial" w:hAnsi="Arial"/>
          <w:sz w:val="13"/>
          <w:szCs w:val="13"/>
          <w:color w:val="auto"/>
        </w:rPr>
      </w:pPr>
    </w:p>
    <w:p>
      <w:pPr>
        <w:ind w:left="500" w:right="20" w:firstLine="413"/>
        <w:spacing w:after="0" w:line="328" w:lineRule="auto"/>
        <w:tabs>
          <w:tab w:leader="none" w:pos="1303"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The Board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spacing w:after="0" w:line="107" w:lineRule="exact"/>
        <w:rPr>
          <w:rFonts w:ascii="Arial" w:cs="Arial" w:eastAsia="Arial" w:hAnsi="Arial"/>
          <w:sz w:val="12"/>
          <w:szCs w:val="12"/>
          <w:color w:val="auto"/>
        </w:rPr>
      </w:pPr>
    </w:p>
    <w:p>
      <w:pPr>
        <w:ind w:left="500" w:firstLine="413"/>
        <w:spacing w:after="0" w:line="264" w:lineRule="auto"/>
        <w:tabs>
          <w:tab w:leader="none" w:pos="1313" w:val="left"/>
        </w:tabs>
        <w:numPr>
          <w:ilvl w:val="0"/>
          <w:numId w:val="200"/>
        </w:numPr>
        <w:rPr>
          <w:rFonts w:ascii="Arial" w:cs="Arial" w:eastAsia="Arial" w:hAnsi="Arial"/>
          <w:sz w:val="14"/>
          <w:szCs w:val="14"/>
          <w:color w:val="auto"/>
        </w:rPr>
      </w:pPr>
      <w:r>
        <w:rPr>
          <w:rFonts w:ascii="Arial" w:cs="Arial" w:eastAsia="Arial" w:hAnsi="Arial"/>
          <w:sz w:val="14"/>
          <w:szCs w:val="14"/>
          <w:color w:val="auto"/>
        </w:rPr>
        <w:t>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spacing w:after="0" w:line="1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u w:val="single" w:color="auto"/>
          <w:color w:val="auto"/>
        </w:rPr>
        <w:t>Performance Goals.</w:t>
      </w:r>
    </w:p>
    <w:p>
      <w:pPr>
        <w:spacing w:after="0" w:line="176" w:lineRule="exact"/>
        <w:rPr>
          <w:sz w:val="20"/>
          <w:szCs w:val="20"/>
          <w:color w:val="auto"/>
        </w:rPr>
      </w:pPr>
    </w:p>
    <w:p>
      <w:pPr>
        <w:ind w:right="40" w:firstLine="909"/>
        <w:spacing w:after="0" w:line="274" w:lineRule="auto"/>
        <w:rPr>
          <w:sz w:val="20"/>
          <w:szCs w:val="20"/>
          <w:color w:val="auto"/>
        </w:rPr>
      </w:pPr>
      <w:r>
        <w:rPr>
          <w:rFonts w:ascii="Arial" w:cs="Arial" w:eastAsia="Arial" w:hAnsi="Arial"/>
          <w:sz w:val="13"/>
          <w:szCs w:val="13"/>
          <w:color w:val="auto"/>
        </w:rPr>
        <w:t>The Board may, in its discretion, provide that any Award granted under the Plan shall be subject to performance goals. Performance goals may be based on one or more business criteria, including, but not limited to: (i) net earnings or net income (before or after taxes); (ii) earnings per share; (iii) net sales or revenue growth; (iv) net operating profit or income (including as a percentage of sales); (v) return measures (including, but not limited to, return on assets, capital, invested capital, equity, sales, or revenue); (vi) cash flow (including, but not limited to, operating cash flow, free cash flow, cash flow return on equity, and cash flow return on investment); (vii) earnings before or after taxes, interest, depreciation, and/or amortization; (viii) gross or operating margins; (ix) productivity ratios; (x) share price (including, but not limited to, growth measures and total shareholder return); (xi) cost control; (xii) margins; (xiii) operating efficiency; (xiv) market share; (xv) customer satisfaction or employee satisfaction; (xvi) working capital; (xvii) economic value added (net operating profit after tax minus the sum of capital multiplied by the cost of capital); (xviii) taxes; (xix) depreciation and amortization; (xx) total shareholder return; (xxi) low cost region labor as a percent of total labor; and (xxii) top customer concentration as a percent of sales. Performance goals may be absolute in their terms or measured against or in relationship to the performance of other companies or indices selected by the Board. In addition, performance goals may be adjusted for any events or occurrences (including acquisition expenses, extraordinary charges, losses from discontinued operations, restatements and accounting charges and restructuring expenses), as may be determined by the Board. Performance goals may be particular to one or more lines of business or Subsidiaries or may be based on the performance of the Company and its Subsidiaries as a whole. With respect to each performance period, the Board shall establish such performance goals relating to one or more of the business criteria identified above and shall establish targets for Participants for achievement of performance goals. Following the completion of each performance period, the Board shall determine the extent to which performance goals for that performance period have been achieved and the related performance-based restrictions shall lapse in accordance with the terms of the applicable Award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655" w:right="219" w:bottom="1440" w:gutter="0" w:footer="0" w:header="0"/>
        </w:sectPr>
      </w:pPr>
    </w:p>
    <w:bookmarkStart w:id="208" w:name="page209"/>
    <w:bookmarkEnd w:id="208"/>
    <w:p>
      <w:pPr>
        <w:ind w:left="500"/>
        <w:spacing w:after="0"/>
        <w:tabs>
          <w:tab w:leader="none" w:pos="9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2"/>
          <w:szCs w:val="12"/>
          <w:u w:val="single" w:color="auto"/>
          <w:color w:val="auto"/>
        </w:rPr>
        <w:t>Award Agreements</w:t>
      </w:r>
      <w:r>
        <w:rPr>
          <w:rFonts w:ascii="Arial" w:cs="Arial" w:eastAsia="Arial" w:hAnsi="Arial"/>
          <w:sz w:val="12"/>
          <w:szCs w:val="12"/>
          <w:color w:val="auto"/>
        </w:rPr>
        <w:t>.</w:t>
      </w:r>
    </w:p>
    <w:p>
      <w:pPr>
        <w:spacing w:after="0" w:line="176" w:lineRule="exact"/>
        <w:rPr>
          <w:sz w:val="20"/>
          <w:szCs w:val="20"/>
          <w:color w:val="auto"/>
        </w:rPr>
      </w:pPr>
    </w:p>
    <w:p>
      <w:pPr>
        <w:ind w:right="80" w:firstLine="505"/>
        <w:spacing w:after="0" w:line="256" w:lineRule="auto"/>
        <w:rPr>
          <w:sz w:val="20"/>
          <w:szCs w:val="20"/>
          <w:color w:val="auto"/>
        </w:rPr>
      </w:pPr>
      <w:r>
        <w:rPr>
          <w:rFonts w:ascii="Arial" w:cs="Arial" w:eastAsia="Arial" w:hAnsi="Arial"/>
          <w:sz w:val="14"/>
          <w:szCs w:val="14"/>
          <w:color w:val="auto"/>
        </w:rPr>
        <w:t>Each Award shall be evidenced by a written Award Agreement specifying the terms and conditions of the Award. In the sole discretion of the Board, the Award Agreement may condition the grant of an Award upon the Participant’s entering into one or more of the following agreements with the Company: (a) an agreement not to compete with the Company and its Subsidiaries which shall become effective as of the date of the grant of the Award and remain in effect for a specified period of time following termination of the Participant’s employment with the Company; (b) an agreement to cancel any employment agreement, fringe benefit or compensation arrangement in effect between the Company and the Participant; and (c) an agreement to retain the confidentiality of certain information. Such agreements may contain such other terms and conditions as the Board shall determine. If the Participant shall fail to enter into any such agreement at the request of the Board, then the Award granted or to be granted to such Participant shall be forfeited and cancelled.</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4.</w:t>
      </w:r>
      <w:r>
        <w:rPr>
          <w:sz w:val="20"/>
          <w:szCs w:val="20"/>
          <w:color w:val="auto"/>
        </w:rPr>
        <w:tab/>
      </w:r>
      <w:r>
        <w:rPr>
          <w:rFonts w:ascii="Arial" w:cs="Arial" w:eastAsia="Arial" w:hAnsi="Arial"/>
          <w:sz w:val="12"/>
          <w:szCs w:val="12"/>
          <w:b w:val="1"/>
          <w:bCs w:val="1"/>
          <w:color w:val="auto"/>
        </w:rPr>
        <w:t>Shares Subject to Plan.</w:t>
      </w:r>
    </w:p>
    <w:p>
      <w:pPr>
        <w:spacing w:after="0" w:line="18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2"/>
          <w:szCs w:val="12"/>
          <w:u w:val="single" w:color="auto"/>
          <w:color w:val="auto"/>
        </w:rPr>
        <w:t>Total Number of Shares</w:t>
      </w:r>
      <w:r>
        <w:rPr>
          <w:rFonts w:ascii="Arial" w:cs="Arial" w:eastAsia="Arial" w:hAnsi="Arial"/>
          <w:sz w:val="12"/>
          <w:szCs w:val="12"/>
          <w:color w:val="auto"/>
        </w:rPr>
        <w:t>.</w:t>
      </w:r>
    </w:p>
    <w:p>
      <w:pPr>
        <w:spacing w:after="0" w:line="176" w:lineRule="exact"/>
        <w:rPr>
          <w:sz w:val="20"/>
          <w:szCs w:val="20"/>
          <w:color w:val="auto"/>
        </w:rPr>
      </w:pPr>
    </w:p>
    <w:p>
      <w:pPr>
        <w:ind w:left="500" w:right="40" w:firstLine="413"/>
        <w:spacing w:after="0" w:line="277" w:lineRule="auto"/>
        <w:tabs>
          <w:tab w:leader="none" w:pos="1303" w:val="left"/>
        </w:tabs>
        <w:numPr>
          <w:ilvl w:val="0"/>
          <w:numId w:val="201"/>
        </w:numPr>
        <w:rPr>
          <w:rFonts w:ascii="Arial" w:cs="Arial" w:eastAsia="Arial" w:hAnsi="Arial"/>
          <w:sz w:val="14"/>
          <w:szCs w:val="14"/>
          <w:color w:val="auto"/>
        </w:rPr>
      </w:pPr>
      <w:r>
        <w:rPr>
          <w:rFonts w:ascii="Arial" w:cs="Arial" w:eastAsia="Arial" w:hAnsi="Arial"/>
          <w:sz w:val="14"/>
          <w:szCs w:val="14"/>
          <w:color w:val="auto"/>
        </w:rPr>
        <w:t>The total number of Shares that may be issued under the Plan shall be 2,210,000. Such shares may be either authorized but unissued shares or treasury shares, and shall be adjusted in accordance with the provisions of Section 4.3 of the Plan.</w:t>
      </w:r>
    </w:p>
    <w:p>
      <w:pPr>
        <w:spacing w:after="0" w:line="133" w:lineRule="exact"/>
        <w:rPr>
          <w:rFonts w:ascii="Arial" w:cs="Arial" w:eastAsia="Arial" w:hAnsi="Arial"/>
          <w:sz w:val="14"/>
          <w:szCs w:val="14"/>
          <w:color w:val="auto"/>
        </w:rPr>
      </w:pPr>
    </w:p>
    <w:p>
      <w:pPr>
        <w:ind w:left="500" w:firstLine="413"/>
        <w:spacing w:after="0" w:line="282" w:lineRule="auto"/>
        <w:tabs>
          <w:tab w:leader="none" w:pos="1311"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If there is a lapse, forfeiture, expiration, termination or cancellation of any Award for any reason,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spacing w:after="0" w:line="13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u w:val="single" w:color="auto"/>
          <w:color w:val="auto"/>
        </w:rPr>
        <w:t>Shares under Awards</w:t>
      </w:r>
      <w:r>
        <w:rPr>
          <w:rFonts w:ascii="Arial" w:cs="Arial" w:eastAsia="Arial" w:hAnsi="Arial"/>
          <w:sz w:val="12"/>
          <w:szCs w:val="12"/>
          <w:color w:val="auto"/>
        </w:rPr>
        <w: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Of the Shares authorized for issuance under the Plan pursuant to Section 4.1:</w:t>
      </w:r>
    </w:p>
    <w:p>
      <w:pPr>
        <w:spacing w:after="0" w:line="176" w:lineRule="exact"/>
        <w:rPr>
          <w:sz w:val="20"/>
          <w:szCs w:val="20"/>
          <w:color w:val="auto"/>
        </w:rPr>
      </w:pPr>
    </w:p>
    <w:p>
      <w:pPr>
        <w:ind w:left="500" w:right="60" w:firstLine="413"/>
        <w:spacing w:after="0" w:line="264" w:lineRule="auto"/>
        <w:tabs>
          <w:tab w:leader="none" w:pos="1303"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42" w:lineRule="exact"/>
        <w:rPr>
          <w:rFonts w:ascii="Arial" w:cs="Arial" w:eastAsia="Arial" w:hAnsi="Arial"/>
          <w:sz w:val="14"/>
          <w:szCs w:val="14"/>
          <w:color w:val="auto"/>
        </w:rPr>
      </w:pPr>
    </w:p>
    <w:p>
      <w:pPr>
        <w:ind w:left="1320" w:hanging="407"/>
        <w:spacing w:after="0"/>
        <w:tabs>
          <w:tab w:leader="none" w:pos="132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maximum number of Shares that may be subject to Stock Options (ISOs and/or NSOs) is full amount under the plan.</w:t>
      </w:r>
    </w:p>
    <w:p>
      <w:pPr>
        <w:spacing w:after="0" w:line="175" w:lineRule="exact"/>
        <w:rPr>
          <w:rFonts w:ascii="Arial" w:cs="Arial" w:eastAsia="Arial" w:hAnsi="Arial"/>
          <w:sz w:val="14"/>
          <w:szCs w:val="14"/>
          <w:color w:val="auto"/>
        </w:rPr>
      </w:pPr>
    </w:p>
    <w:p>
      <w:pPr>
        <w:ind w:left="500" w:right="180" w:firstLine="413"/>
        <w:spacing w:after="0" w:line="317" w:lineRule="auto"/>
        <w:tabs>
          <w:tab w:leader="none" w:pos="1303"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The aggregate maximum number of Shares that may be used for Stock Awards, Stock Bonus Awards and/or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655" w:right="259" w:bottom="1440" w:gutter="0" w:footer="0" w:header="0"/>
        </w:sectPr>
      </w:pPr>
    </w:p>
    <w:bookmarkStart w:id="209" w:name="page210"/>
    <w:bookmarkEnd w:id="209"/>
    <w:p>
      <w:pPr>
        <w:ind w:left="1320" w:hanging="407"/>
        <w:spacing w:after="0"/>
        <w:tabs>
          <w:tab w:leader="none" w:pos="13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The maximum number of Shares that may be used for Stock Awards, Stock Bonus Awards, Stock Appreciation Rights Awards and/or Stock Unit Awards is full amount under the</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plan.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numbers of Shares described herein shall be as adjusted in accordance with Section 4.3 of the Plan.</w:t>
      </w:r>
    </w:p>
    <w:p>
      <w:pPr>
        <w:spacing w:after="0" w:line="176"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2"/>
          <w:szCs w:val="12"/>
          <w:u w:val="single" w:color="auto"/>
          <w:color w:val="auto"/>
        </w:rPr>
        <w:t>Adjustment</w:t>
      </w:r>
      <w:r>
        <w:rPr>
          <w:rFonts w:ascii="Arial" w:cs="Arial" w:eastAsia="Arial" w:hAnsi="Arial"/>
          <w:sz w:val="12"/>
          <w:szCs w:val="12"/>
          <w:color w:val="auto"/>
        </w:rPr>
        <w:t>.</w:t>
      </w:r>
    </w:p>
    <w:p>
      <w:pPr>
        <w:spacing w:after="0" w:line="176" w:lineRule="exact"/>
        <w:rPr>
          <w:sz w:val="20"/>
          <w:szCs w:val="20"/>
          <w:color w:val="auto"/>
        </w:rPr>
      </w:pPr>
    </w:p>
    <w:p>
      <w:pPr>
        <w:ind w:right="20" w:firstLine="505"/>
        <w:spacing w:after="0" w:line="257" w:lineRule="auto"/>
        <w:rPr>
          <w:sz w:val="20"/>
          <w:szCs w:val="20"/>
          <w:color w:val="auto"/>
        </w:rPr>
      </w:pPr>
      <w:r>
        <w:rPr>
          <w:rFonts w:ascii="Arial" w:cs="Arial" w:eastAsia="Arial" w:hAnsi="Arial"/>
          <w:sz w:val="14"/>
          <w:szCs w:val="14"/>
          <w:color w:val="auto"/>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Board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Awards under the Plan; (d) adjustments to any of the shares limitations set forth in Section 4.1 or 4.2 of the Plan; and (e) any other changes that the Board determines to be equitable under the circumstances.</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5.</w:t>
      </w:r>
      <w:r>
        <w:rPr>
          <w:sz w:val="20"/>
          <w:szCs w:val="20"/>
          <w:color w:val="auto"/>
        </w:rPr>
        <w:tab/>
      </w:r>
      <w:r>
        <w:rPr>
          <w:rFonts w:ascii="Arial" w:cs="Arial" w:eastAsia="Arial" w:hAnsi="Arial"/>
          <w:sz w:val="12"/>
          <w:szCs w:val="12"/>
          <w:b w:val="1"/>
          <w:bCs w:val="1"/>
          <w:color w:val="auto"/>
        </w:rPr>
        <w:t>Grants of Stock Options.</w:t>
      </w:r>
    </w:p>
    <w:p>
      <w:pPr>
        <w:spacing w:after="0" w:line="18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u w:val="single" w:color="auto"/>
          <w:color w:val="auto"/>
        </w:rPr>
        <w:t>Grant</w:t>
      </w:r>
      <w:r>
        <w:rPr>
          <w:rFonts w:ascii="Arial" w:cs="Arial" w:eastAsia="Arial" w:hAnsi="Arial"/>
          <w:sz w:val="12"/>
          <w:szCs w:val="12"/>
          <w:color w:val="auto"/>
        </w:rPr>
        <w:t>.</w:t>
      </w:r>
    </w:p>
    <w:p>
      <w:pPr>
        <w:spacing w:after="0" w:line="176" w:lineRule="exact"/>
        <w:rPr>
          <w:sz w:val="20"/>
          <w:szCs w:val="20"/>
          <w:color w:val="auto"/>
        </w:rPr>
      </w:pPr>
    </w:p>
    <w:p>
      <w:pPr>
        <w:ind w:right="160" w:firstLine="505"/>
        <w:spacing w:after="0" w:line="317" w:lineRule="auto"/>
        <w:rPr>
          <w:sz w:val="20"/>
          <w:szCs w:val="20"/>
          <w:color w:val="auto"/>
        </w:rPr>
      </w:pPr>
      <w:r>
        <w:rPr>
          <w:rFonts w:ascii="Arial" w:cs="Arial" w:eastAsia="Arial" w:hAnsi="Arial"/>
          <w:sz w:val="13"/>
          <w:szCs w:val="13"/>
          <w:color w:val="auto"/>
        </w:rPr>
        <w:t>Subject to the terms of the Plan, the Board may from time to time grant Stock Options to Participants. Unless otherwise expressly provided at the time of the grant, Stock Options granted under the Plan to Key Employees will be NSOs. Stock Options granted under the Plan to Directors who are not employees of the Company or any Subsidiary will be NSOs.</w:t>
      </w:r>
    </w:p>
    <w:p>
      <w:pPr>
        <w:spacing w:after="0" w:line="11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u w:val="single" w:color="auto"/>
          <w:color w:val="auto"/>
        </w:rPr>
        <w:t>Stock Option Agreement</w:t>
      </w:r>
      <w:r>
        <w:rPr>
          <w:rFonts w:ascii="Arial" w:cs="Arial" w:eastAsia="Arial" w:hAnsi="Arial"/>
          <w:sz w:val="12"/>
          <w:szCs w:val="12"/>
          <w:color w:val="auto"/>
        </w:rPr>
        <w:t>.</w:t>
      </w:r>
    </w:p>
    <w:p>
      <w:pPr>
        <w:spacing w:after="0" w:line="176"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Board, in its sole discretion, not inconsistent with the Plan; provided, however, that no Stock Option shall be credited with any amounts equal to dividends and other distributions that a Participant would have received had he held the Shares subject to an unexercised Stock Option.</w:t>
      </w:r>
    </w:p>
    <w:p>
      <w:pPr>
        <w:spacing w:after="0" w:line="147"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2"/>
          <w:szCs w:val="12"/>
          <w:u w:val="single" w:color="auto"/>
          <w:color w:val="auto"/>
        </w:rPr>
        <w:t>Exercise Price and Exercise Period</w:t>
      </w:r>
      <w:r>
        <w:rPr>
          <w:rFonts w:ascii="Arial" w:cs="Arial" w:eastAsia="Arial" w:hAnsi="Arial"/>
          <w:sz w:val="12"/>
          <w:szCs w:val="12"/>
          <w:color w:val="auto"/>
        </w:rPr>
        <w: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With respect to each Stock Option granted to a Participant:</w:t>
      </w:r>
    </w:p>
    <w:p>
      <w:pPr>
        <w:spacing w:after="0" w:line="176" w:lineRule="exact"/>
        <w:rPr>
          <w:sz w:val="20"/>
          <w:szCs w:val="20"/>
          <w:color w:val="auto"/>
        </w:rPr>
      </w:pPr>
    </w:p>
    <w:p>
      <w:pPr>
        <w:ind w:left="1320" w:hanging="407"/>
        <w:spacing w:after="0"/>
        <w:tabs>
          <w:tab w:leader="none" w:pos="132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exercise price, if any, shall be determined by the Board, consistent with the provisions of Section 3 hereof.</w:t>
      </w:r>
    </w:p>
    <w:p>
      <w:pPr>
        <w:spacing w:after="0" w:line="175" w:lineRule="exact"/>
        <w:rPr>
          <w:rFonts w:ascii="Arial" w:cs="Arial" w:eastAsia="Arial" w:hAnsi="Arial"/>
          <w:sz w:val="14"/>
          <w:szCs w:val="14"/>
          <w:color w:val="auto"/>
        </w:rPr>
      </w:pPr>
    </w:p>
    <w:p>
      <w:pPr>
        <w:jc w:val="both"/>
        <w:ind w:left="500" w:right="200" w:firstLine="413"/>
        <w:spacing w:after="0" w:line="264" w:lineRule="auto"/>
        <w:tabs>
          <w:tab w:leader="none" w:pos="1313" w:val="left"/>
        </w:tabs>
        <w:numPr>
          <w:ilvl w:val="0"/>
          <w:numId w:val="204"/>
        </w:numPr>
        <w:rPr>
          <w:rFonts w:ascii="Arial" w:cs="Arial" w:eastAsia="Arial" w:hAnsi="Arial"/>
          <w:sz w:val="14"/>
          <w:szCs w:val="14"/>
          <w:color w:val="auto"/>
        </w:rPr>
      </w:pPr>
      <w:r>
        <w:rPr>
          <w:rFonts w:ascii="Arial" w:cs="Arial" w:eastAsia="Arial" w:hAnsi="Arial"/>
          <w:sz w:val="14"/>
          <w:szCs w:val="14"/>
          <w:color w:val="auto"/>
        </w:rPr>
        <w:t>Each Stock Option shall become exercisable as provided in the Stock Option Agreement; provided that the Board shall have the discretion to accelerate the date as of which any Stock Option shall become exercisable in the event of the Participant’s termination of employment with the Company, or service on the Board, without cause (as determined by the Board in its sole discretion).</w:t>
      </w:r>
    </w:p>
    <w:p>
      <w:pPr>
        <w:spacing w:after="0" w:line="142" w:lineRule="exact"/>
        <w:rPr>
          <w:rFonts w:ascii="Arial" w:cs="Arial" w:eastAsia="Arial" w:hAnsi="Arial"/>
          <w:sz w:val="14"/>
          <w:szCs w:val="14"/>
          <w:color w:val="auto"/>
        </w:rPr>
      </w:pPr>
    </w:p>
    <w:p>
      <w:pPr>
        <w:ind w:left="1320" w:hanging="407"/>
        <w:spacing w:after="0"/>
        <w:tabs>
          <w:tab w:leader="none" w:pos="132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Each Stock Option shall expire, and all rights to purchase Shares thereunder shall expire, on the date ten years after the date of grant.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655" w:right="219" w:bottom="1440" w:gutter="0" w:footer="0" w:header="0"/>
        </w:sectPr>
      </w:pPr>
    </w:p>
    <w:bookmarkStart w:id="210" w:name="page211"/>
    <w:bookmarkEnd w:id="210"/>
    <w:p>
      <w:pPr>
        <w:spacing w:after="0"/>
        <w:tabs>
          <w:tab w:leader="none" w:pos="4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2"/>
          <w:szCs w:val="12"/>
          <w:u w:val="single" w:color="auto"/>
          <w:color w:val="auto"/>
        </w:rPr>
        <w:t>Required Terms and Conditions of ISOs</w:t>
      </w:r>
      <w:r>
        <w:rPr>
          <w:rFonts w:ascii="Arial" w:cs="Arial" w:eastAsia="Arial" w:hAnsi="Arial"/>
          <w:sz w:val="12"/>
          <w:szCs w:val="12"/>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foregoing, each ISO granted to a Key Employee shall be subject to the following specific rules:</w:t>
      </w:r>
    </w:p>
    <w:p>
      <w:pPr>
        <w:spacing w:after="0" w:line="176" w:lineRule="exact"/>
        <w:rPr>
          <w:sz w:val="20"/>
          <w:szCs w:val="20"/>
          <w:color w:val="auto"/>
        </w:rPr>
      </w:pPr>
    </w:p>
    <w:p>
      <w:pPr>
        <w:ind w:right="40" w:firstLine="413"/>
        <w:spacing w:after="0" w:line="316" w:lineRule="auto"/>
        <w:tabs>
          <w:tab w:leader="none" w:pos="803"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aggregate Fair Market Value (determined with respect to each ISO at the time such Option is granted) of the Shares with respect to which ISOs are exercisable for the first time by a Key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spacing w:after="0" w:line="115" w:lineRule="exact"/>
        <w:rPr>
          <w:rFonts w:ascii="Arial" w:cs="Arial" w:eastAsia="Arial" w:hAnsi="Arial"/>
          <w:sz w:val="12"/>
          <w:szCs w:val="12"/>
          <w:color w:val="auto"/>
        </w:rPr>
      </w:pPr>
    </w:p>
    <w:p>
      <w:pPr>
        <w:ind w:right="200" w:firstLine="413"/>
        <w:spacing w:after="0" w:line="259" w:lineRule="auto"/>
        <w:tabs>
          <w:tab w:leader="none" w:pos="813" w:val="left"/>
        </w:tabs>
        <w:numPr>
          <w:ilvl w:val="0"/>
          <w:numId w:val="205"/>
        </w:numPr>
        <w:rPr>
          <w:rFonts w:ascii="Arial" w:cs="Arial" w:eastAsia="Arial" w:hAnsi="Arial"/>
          <w:sz w:val="14"/>
          <w:szCs w:val="14"/>
          <w:color w:val="auto"/>
        </w:rPr>
      </w:pPr>
      <w:r>
        <w:rPr>
          <w:rFonts w:ascii="Arial" w:cs="Arial" w:eastAsia="Arial" w:hAnsi="Arial"/>
          <w:sz w:val="14"/>
          <w:szCs w:val="14"/>
          <w:color w:val="auto"/>
        </w:rPr>
        <w:t>Notwithstanding anything herein to the contrary, if an ISO is granted to a Key Employee who owns stock possessing more than 10% of the total combined voting power of all classes of stock of the Company (or its parent or subsidiaries within the meaning of Section 422(b)(6) of the Code): (i) the purchase price of each Share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spacing w:after="0" w:line="146" w:lineRule="exact"/>
        <w:rPr>
          <w:rFonts w:ascii="Arial" w:cs="Arial" w:eastAsia="Arial" w:hAnsi="Arial"/>
          <w:sz w:val="14"/>
          <w:szCs w:val="14"/>
          <w:color w:val="auto"/>
        </w:rPr>
      </w:pPr>
    </w:p>
    <w:p>
      <w:pPr>
        <w:ind w:left="820" w:hanging="407"/>
        <w:spacing w:after="0"/>
        <w:tabs>
          <w:tab w:leader="none" w:pos="8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No ISOs shall be granted under the Plan after ten years from the earlier of the date the Plan is adopted or approved by shareholders of the Company.</w:t>
      </w:r>
    </w:p>
    <w:p>
      <w:pPr>
        <w:spacing w:after="0" w:line="17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2"/>
          <w:szCs w:val="12"/>
          <w:u w:val="single" w:color="auto"/>
          <w:color w:val="auto"/>
        </w:rPr>
        <w:t>Exercise of Stock Options</w:t>
      </w:r>
      <w:r>
        <w:rPr>
          <w:rFonts w:ascii="Arial" w:cs="Arial" w:eastAsia="Arial" w:hAnsi="Arial"/>
          <w:sz w:val="12"/>
          <w:szCs w:val="12"/>
          <w:color w:val="auto"/>
        </w:rPr>
        <w:t>.</w:t>
      </w:r>
    </w:p>
    <w:p>
      <w:pPr>
        <w:spacing w:after="0" w:line="176" w:lineRule="exact"/>
        <w:rPr>
          <w:sz w:val="20"/>
          <w:szCs w:val="20"/>
          <w:color w:val="auto"/>
        </w:rPr>
      </w:pPr>
    </w:p>
    <w:p>
      <w:pPr>
        <w:ind w:right="300" w:firstLine="413"/>
        <w:spacing w:after="0" w:line="317" w:lineRule="auto"/>
        <w:tabs>
          <w:tab w:leader="none" w:pos="797" w:val="left"/>
        </w:tabs>
        <w:numPr>
          <w:ilvl w:val="0"/>
          <w:numId w:val="206"/>
        </w:numPr>
        <w:rPr>
          <w:rFonts w:ascii="Arial" w:cs="Arial" w:eastAsia="Arial" w:hAnsi="Arial"/>
          <w:sz w:val="13"/>
          <w:szCs w:val="13"/>
          <w:color w:val="auto"/>
        </w:rPr>
      </w:pPr>
      <w:r>
        <w:rPr>
          <w:rFonts w:ascii="Arial" w:cs="Arial" w:eastAsia="Arial" w:hAnsi="Arial"/>
          <w:sz w:val="13"/>
          <w:szCs w:val="13"/>
          <w:color w:val="auto"/>
        </w:rPr>
        <w:t>A Participant entitled to exercise a Stock Option may do so by delivering written notice to that effect specifying the number of Shares with respect to which the Stock Option is being exercised and any other information the Board may prescribe. All notices or requests provided for herein shall be delivered to the Chief Financial Officer of the Company.</w:t>
      </w:r>
    </w:p>
    <w:p>
      <w:pPr>
        <w:spacing w:after="0" w:line="110" w:lineRule="exact"/>
        <w:rPr>
          <w:rFonts w:ascii="Arial" w:cs="Arial" w:eastAsia="Arial" w:hAnsi="Arial"/>
          <w:sz w:val="13"/>
          <w:szCs w:val="13"/>
          <w:color w:val="auto"/>
        </w:rPr>
      </w:pPr>
    </w:p>
    <w:p>
      <w:pPr>
        <w:ind w:left="820" w:hanging="407"/>
        <w:spacing w:after="0"/>
        <w:tabs>
          <w:tab w:leader="none" w:pos="82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Board in its sole discretion may make available one or more of the following alternatives for the payment of the Stock Option exercise price:</w:t>
      </w:r>
    </w:p>
    <w:p>
      <w:pPr>
        <w:spacing w:after="0" w:line="175" w:lineRule="exact"/>
        <w:rPr>
          <w:rFonts w:ascii="Arial" w:cs="Arial" w:eastAsia="Arial" w:hAnsi="Arial"/>
          <w:sz w:val="14"/>
          <w:szCs w:val="14"/>
          <w:color w:val="auto"/>
        </w:rPr>
      </w:pPr>
    </w:p>
    <w:p>
      <w:pPr>
        <w:ind w:left="1240" w:hanging="372"/>
        <w:spacing w:after="0"/>
        <w:tabs>
          <w:tab w:leader="none" w:pos="1240" w:val="left"/>
        </w:tabs>
        <w:numPr>
          <w:ilvl w:val="1"/>
          <w:numId w:val="206"/>
        </w:numPr>
        <w:rPr>
          <w:rFonts w:ascii="Arial" w:cs="Arial" w:eastAsia="Arial" w:hAnsi="Arial"/>
          <w:sz w:val="14"/>
          <w:szCs w:val="14"/>
          <w:color w:val="auto"/>
        </w:rPr>
      </w:pPr>
      <w:r>
        <w:rPr>
          <w:rFonts w:ascii="Arial" w:cs="Arial" w:eastAsia="Arial" w:hAnsi="Arial"/>
          <w:sz w:val="14"/>
          <w:szCs w:val="14"/>
          <w:color w:val="auto"/>
        </w:rPr>
        <w:t>in cash;</w:t>
      </w:r>
    </w:p>
    <w:p>
      <w:pPr>
        <w:spacing w:after="0" w:line="175" w:lineRule="exact"/>
        <w:rPr>
          <w:rFonts w:ascii="Arial" w:cs="Arial" w:eastAsia="Arial" w:hAnsi="Arial"/>
          <w:sz w:val="14"/>
          <w:szCs w:val="14"/>
          <w:color w:val="auto"/>
        </w:rPr>
      </w:pPr>
    </w:p>
    <w:p>
      <w:pPr>
        <w:ind w:left="420" w:firstLine="448"/>
        <w:spacing w:after="0" w:line="277" w:lineRule="auto"/>
        <w:tabs>
          <w:tab w:leader="none" w:pos="1256" w:val="left"/>
        </w:tabs>
        <w:numPr>
          <w:ilvl w:val="1"/>
          <w:numId w:val="206"/>
        </w:numPr>
        <w:rPr>
          <w:rFonts w:ascii="Arial" w:cs="Arial" w:eastAsia="Arial" w:hAnsi="Arial"/>
          <w:sz w:val="14"/>
          <w:szCs w:val="14"/>
          <w:color w:val="auto"/>
        </w:rPr>
      </w:pPr>
      <w:r>
        <w:rPr>
          <w:rFonts w:ascii="Arial" w:cs="Arial" w:eastAsia="Arial" w:hAnsi="Arial"/>
          <w:sz w:val="14"/>
          <w:szCs w:val="14"/>
          <w:color w:val="auto"/>
        </w:rPr>
        <w:t>in cash received from a broker-dealer to whom the Participant has submitted an exercise notice together with irrevocable instructions to deliver promptly to the Company the amount of sales proceeds from the sale of the shares subject to the Stock Option to pay the exercise price;</w:t>
      </w:r>
    </w:p>
    <w:p>
      <w:pPr>
        <w:spacing w:after="0" w:line="133" w:lineRule="exact"/>
        <w:rPr>
          <w:rFonts w:ascii="Arial" w:cs="Arial" w:eastAsia="Arial" w:hAnsi="Arial"/>
          <w:sz w:val="14"/>
          <w:szCs w:val="14"/>
          <w:color w:val="auto"/>
        </w:rPr>
      </w:pPr>
    </w:p>
    <w:p>
      <w:pPr>
        <w:ind w:left="420" w:right="40" w:firstLine="448"/>
        <w:spacing w:after="0" w:line="277" w:lineRule="auto"/>
        <w:tabs>
          <w:tab w:leader="none" w:pos="1260" w:val="left"/>
        </w:tabs>
        <w:numPr>
          <w:ilvl w:val="1"/>
          <w:numId w:val="206"/>
        </w:numPr>
        <w:rPr>
          <w:rFonts w:ascii="Arial" w:cs="Arial" w:eastAsia="Arial" w:hAnsi="Arial"/>
          <w:sz w:val="14"/>
          <w:szCs w:val="14"/>
          <w:color w:val="auto"/>
        </w:rPr>
      </w:pPr>
      <w:r>
        <w:rPr>
          <w:rFonts w:ascii="Arial" w:cs="Arial" w:eastAsia="Arial" w:hAnsi="Arial"/>
          <w:sz w:val="14"/>
          <w:szCs w:val="14"/>
          <w:color w:val="auto"/>
        </w:rPr>
        <w:t>by directing the Company to withhold such number of Shares otherwise issuable in connection with the exercise of the Stock Option having an aggregate Fair Market Value equal to the exercise price;</w:t>
      </w:r>
    </w:p>
    <w:p>
      <w:pPr>
        <w:spacing w:after="0" w:line="133" w:lineRule="exact"/>
        <w:rPr>
          <w:rFonts w:ascii="Arial" w:cs="Arial" w:eastAsia="Arial" w:hAnsi="Arial"/>
          <w:sz w:val="14"/>
          <w:szCs w:val="14"/>
          <w:color w:val="auto"/>
        </w:rPr>
      </w:pPr>
    </w:p>
    <w:p>
      <w:pPr>
        <w:ind w:left="420" w:right="260" w:firstLine="448"/>
        <w:spacing w:after="0" w:line="277" w:lineRule="auto"/>
        <w:tabs>
          <w:tab w:leader="none" w:pos="1252" w:val="left"/>
        </w:tabs>
        <w:numPr>
          <w:ilvl w:val="1"/>
          <w:numId w:val="206"/>
        </w:numPr>
        <w:rPr>
          <w:rFonts w:ascii="Arial" w:cs="Arial" w:eastAsia="Arial" w:hAnsi="Arial"/>
          <w:sz w:val="14"/>
          <w:szCs w:val="14"/>
          <w:color w:val="auto"/>
        </w:rPr>
      </w:pPr>
      <w:r>
        <w:rPr>
          <w:rFonts w:ascii="Arial" w:cs="Arial" w:eastAsia="Arial" w:hAnsi="Arial"/>
          <w:sz w:val="14"/>
          <w:szCs w:val="14"/>
          <w:color w:val="auto"/>
        </w:rPr>
        <w:t>by delivering previously acquired Shares that are acceptable to the Board and that have an aggregate Fair Market Value on the date of exercise equal to the Stock Option exercise price; or</w:t>
      </w: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13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960"/>
          </w:cols>
          <w:pgMar w:left="720" w:top="655" w:right="219" w:bottom="1440" w:gutter="0" w:footer="0" w:header="0"/>
        </w:sectPr>
      </w:pPr>
    </w:p>
    <w:bookmarkStart w:id="211" w:name="page212"/>
    <w:bookmarkEnd w:id="211"/>
    <w:p>
      <w:pPr>
        <w:ind w:left="1740" w:hanging="372"/>
        <w:spacing w:after="0"/>
        <w:tabs>
          <w:tab w:leader="none" w:pos="174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by certifying to ownership by attestation of such previously acquired Shares.</w:t>
      </w:r>
    </w:p>
    <w:p>
      <w:pPr>
        <w:spacing w:after="0" w:line="17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The Board shall have the sole discretion to establish the terms and conditions applicable to any alternative made available for payment of the Stock Option exercise price.</w:t>
      </w:r>
    </w:p>
    <w:p>
      <w:pPr>
        <w:spacing w:after="0" w:line="187" w:lineRule="exact"/>
        <w:rPr>
          <w:sz w:val="20"/>
          <w:szCs w:val="20"/>
          <w:color w:val="auto"/>
        </w:rPr>
      </w:pPr>
    </w:p>
    <w:p>
      <w:pPr>
        <w:ind w:left="500" w:firstLine="413"/>
        <w:spacing w:after="0" w:line="282" w:lineRule="auto"/>
        <w:tabs>
          <w:tab w:leader="none" w:pos="1303"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Company shall issue, in the name of the Participant, stock certificates representing the total number of Shares issuable pursuant to the exercise of any Stock Option as soon as reasonably practicable after such exercise; provided that any Shares purchased by a Participant through a broker-dealer pursuant to Section 5.5(b)(ii) shall be delivered to such broker-dealer in accordance with 12 C.F.R. §220.3(e)(4) or other applicable provision of law.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the Company, upon written request of the Participant, shall issue, in the name of the Participant, stock certificates representing such shares.</w:t>
      </w:r>
    </w:p>
    <w:p>
      <w:pPr>
        <w:spacing w:after="0" w:line="128"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6.</w:t>
      </w:r>
      <w:r>
        <w:rPr>
          <w:sz w:val="20"/>
          <w:szCs w:val="20"/>
          <w:color w:val="auto"/>
        </w:rPr>
        <w:tab/>
      </w:r>
      <w:r>
        <w:rPr>
          <w:rFonts w:ascii="Arial" w:cs="Arial" w:eastAsia="Arial" w:hAnsi="Arial"/>
          <w:sz w:val="12"/>
          <w:szCs w:val="12"/>
          <w:b w:val="1"/>
          <w:bCs w:val="1"/>
          <w:color w:val="auto"/>
        </w:rPr>
        <w:t>Stock Awards.</w:t>
      </w:r>
    </w:p>
    <w:p>
      <w:pPr>
        <w:spacing w:after="0" w:line="18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2"/>
          <w:szCs w:val="12"/>
          <w:u w:val="single" w:color="auto"/>
          <w:color w:val="auto"/>
        </w:rPr>
        <w:t>Grant</w:t>
      </w:r>
      <w:r>
        <w:rPr>
          <w:rFonts w:ascii="Arial" w:cs="Arial" w:eastAsia="Arial" w:hAnsi="Arial"/>
          <w:sz w:val="12"/>
          <w:szCs w:val="12"/>
          <w:color w:val="auto"/>
        </w:rPr>
        <w:t>.</w:t>
      </w:r>
    </w:p>
    <w:p>
      <w:pPr>
        <w:spacing w:after="0" w:line="17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The Board may, in its discretion, (a) grant Shares under the Plan to any Participant without consideration from such Participant or (b) sell Shares under the Plan to any Participant for such amount of cash, Shares or other consideration as the Board deems appropriate.</w:t>
      </w:r>
    </w:p>
    <w:p>
      <w:pPr>
        <w:spacing w:after="0" w:line="133"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u w:val="single" w:color="auto"/>
          <w:color w:val="auto"/>
        </w:rPr>
        <w:t>Stock Award Agreement</w:t>
      </w:r>
      <w:r>
        <w:rPr>
          <w:rFonts w:ascii="Arial" w:cs="Arial" w:eastAsia="Arial" w:hAnsi="Arial"/>
          <w:sz w:val="12"/>
          <w:szCs w:val="12"/>
          <w:color w:val="auto"/>
        </w:rPr>
        <w:t>.</w:t>
      </w:r>
    </w:p>
    <w:p>
      <w:pPr>
        <w:spacing w:after="0" w:line="176" w:lineRule="exact"/>
        <w:rPr>
          <w:sz w:val="20"/>
          <w:szCs w:val="20"/>
          <w:color w:val="auto"/>
        </w:rPr>
      </w:pPr>
    </w:p>
    <w:p>
      <w:pPr>
        <w:ind w:right="160" w:firstLine="505"/>
        <w:spacing w:after="0" w:line="277" w:lineRule="auto"/>
        <w:rPr>
          <w:sz w:val="20"/>
          <w:szCs w:val="20"/>
          <w:color w:val="auto"/>
        </w:rPr>
      </w:pPr>
      <w:r>
        <w:rPr>
          <w:rFonts w:ascii="Arial" w:cs="Arial" w:eastAsia="Arial" w:hAnsi="Arial"/>
          <w:sz w:val="14"/>
          <w:szCs w:val="14"/>
          <w:color w:val="auto"/>
        </w:rPr>
        <w:t>Each Share granted or sold hereunder shall be subject to such restrictions, conditions and other terms as the Board may determine at the time of grant or sale, the general provisions of the Plan, the restrictions, terms and conditions of the related Stock Award Agreement, and the following specific rules:</w:t>
      </w:r>
    </w:p>
    <w:p>
      <w:pPr>
        <w:spacing w:after="0" w:line="133" w:lineRule="exact"/>
        <w:rPr>
          <w:sz w:val="20"/>
          <w:szCs w:val="20"/>
          <w:color w:val="auto"/>
        </w:rPr>
      </w:pPr>
    </w:p>
    <w:p>
      <w:pPr>
        <w:ind w:left="500" w:right="20" w:firstLine="413"/>
        <w:spacing w:after="0" w:line="277" w:lineRule="auto"/>
        <w:tabs>
          <w:tab w:leader="none" w:pos="1305" w:val="left"/>
        </w:tabs>
        <w:numPr>
          <w:ilvl w:val="0"/>
          <w:numId w:val="209"/>
        </w:numPr>
        <w:rPr>
          <w:rFonts w:ascii="Arial" w:cs="Arial" w:eastAsia="Arial" w:hAnsi="Arial"/>
          <w:sz w:val="14"/>
          <w:szCs w:val="14"/>
          <w:color w:val="auto"/>
        </w:rPr>
      </w:pPr>
      <w:r>
        <w:rPr>
          <w:rFonts w:ascii="Arial" w:cs="Arial" w:eastAsia="Arial" w:hAnsi="Arial"/>
          <w:sz w:val="14"/>
          <w:szCs w:val="14"/>
          <w:color w:val="auto"/>
        </w:rPr>
        <w:t>Shares issued to a Participant under the Plan shall be evidenced by a Stock Award Agreement, which shall specify whether the Shares are granted or sold to the Participant and such other provisions, not inconsistent with the terms and conditions of the Plan, as the Board shall determine.</w:t>
      </w:r>
    </w:p>
    <w:p>
      <w:pPr>
        <w:spacing w:after="0" w:line="133" w:lineRule="exact"/>
        <w:rPr>
          <w:rFonts w:ascii="Arial" w:cs="Arial" w:eastAsia="Arial" w:hAnsi="Arial"/>
          <w:sz w:val="14"/>
          <w:szCs w:val="14"/>
          <w:color w:val="auto"/>
        </w:rPr>
      </w:pPr>
    </w:p>
    <w:p>
      <w:pPr>
        <w:ind w:left="500" w:right="120" w:firstLine="413"/>
        <w:spacing w:after="0" w:line="264" w:lineRule="auto"/>
        <w:tabs>
          <w:tab w:leader="none" w:pos="1311"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restrictions to which the Shares awarded hereunder are subject shall lapse as provided in Stock Award Agreement; provided that the Board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42" w:lineRule="exact"/>
        <w:rPr>
          <w:rFonts w:ascii="Arial" w:cs="Arial" w:eastAsia="Arial" w:hAnsi="Arial"/>
          <w:sz w:val="14"/>
          <w:szCs w:val="14"/>
          <w:color w:val="auto"/>
        </w:rPr>
      </w:pPr>
    </w:p>
    <w:p>
      <w:pPr>
        <w:ind w:left="500" w:firstLine="413"/>
        <w:spacing w:after="0" w:line="307" w:lineRule="auto"/>
        <w:tabs>
          <w:tab w:leader="none" w:pos="1305" w:val="left"/>
        </w:tabs>
        <w:numPr>
          <w:ilvl w:val="0"/>
          <w:numId w:val="209"/>
        </w:numPr>
        <w:rPr>
          <w:rFonts w:ascii="Arial" w:cs="Arial" w:eastAsia="Arial" w:hAnsi="Arial"/>
          <w:sz w:val="12"/>
          <w:szCs w:val="12"/>
          <w:color w:val="auto"/>
        </w:rPr>
      </w:pPr>
      <w:r>
        <w:rPr>
          <w:rFonts w:ascii="Arial" w:cs="Arial" w:eastAsia="Arial" w:hAnsi="Arial"/>
          <w:sz w:val="12"/>
          <w:szCs w:val="12"/>
          <w:color w:val="auto"/>
        </w:rPr>
        <w:t>Except as provided in this subsection (c) and unless otherwise set forth in the related Stock Award Agreement, the Participant receiving a grant of or purchasing Shares shall thereupon be a shareholder with respect to such shares and shall have the rights of a shareholder with respect to such shares, including the right to vote such shares and to receive dividends and other distributions paid with respect to such shares; provided that (i) in the case of a performance-based Stock Award as described in Section 3.3, any dividends or other distributions payable with respect to the Stock Award shall be accumulated and held by the Company and paid to the Participant only upon, and to the extent, the performance-based restrictions lapse in accordance with the terms of the applicable Stock Award Agreement and (ii) in the case of all other Stock Awards, the Board shall have the discretion to have the Company accumulate and hold such dividends or distributions. In either case, any such dividends or other distributions held by the Company attributable to the portion of a Stock Award that is forfeited shall also be forfeited.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655" w:right="239" w:bottom="1440" w:gutter="0" w:footer="0" w:header="0"/>
        </w:sectPr>
      </w:pPr>
    </w:p>
    <w:bookmarkStart w:id="212" w:name="page213"/>
    <w:bookmarkEnd w:id="212"/>
    <w:p>
      <w:pPr>
        <w:ind w:left="500" w:firstLine="413"/>
        <w:spacing w:after="0" w:line="282" w:lineRule="auto"/>
        <w:tabs>
          <w:tab w:leader="none" w:pos="1311"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Company shall issue, in the name of the Participant, stock certificates representing the total number of Shares granted or sold to the Participant, as soon as may be reasonably practicable after such grant or sale, which shall be held by the Secretary of the Company until such time as the Shares are forfeited, resold to the Company, or the restrictions lapse.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following the lapse of all restrictions with respect to the shares granted or sold to a Participant, the Company, upon the written request of the Participant, shall issue, in the name of the Participant, stock certificates representing such shares.</w:t>
      </w:r>
    </w:p>
    <w:p>
      <w:pPr>
        <w:spacing w:after="0" w:line="131" w:lineRule="exact"/>
        <w:rPr>
          <w:rFonts w:ascii="Arial" w:cs="Arial" w:eastAsia="Arial" w:hAnsi="Arial"/>
          <w:sz w:val="13"/>
          <w:szCs w:val="13"/>
          <w:color w:val="auto"/>
        </w:rPr>
      </w:pPr>
    </w:p>
    <w:p>
      <w:pPr>
        <w:ind w:left="500" w:right="80" w:firstLine="413"/>
        <w:spacing w:after="0" w:line="277" w:lineRule="auto"/>
        <w:tabs>
          <w:tab w:leader="none" w:pos="1305" w:val="left"/>
        </w:tabs>
        <w:numPr>
          <w:ilvl w:val="0"/>
          <w:numId w:val="210"/>
        </w:numPr>
        <w:rPr>
          <w:rFonts w:ascii="Arial" w:cs="Arial" w:eastAsia="Arial" w:hAnsi="Arial"/>
          <w:sz w:val="14"/>
          <w:szCs w:val="14"/>
          <w:color w:val="auto"/>
        </w:rPr>
      </w:pPr>
      <w:r>
        <w:rPr>
          <w:rFonts w:ascii="Arial" w:cs="Arial" w:eastAsia="Arial" w:hAnsi="Arial"/>
          <w:sz w:val="14"/>
          <w:szCs w:val="14"/>
          <w:color w:val="auto"/>
        </w:rPr>
        <w:t>Shares granted to the Participant pursuant to this Section shall be effective and exercisable as of the Company’s completion of an initial public offering of its securities (the “IPO”) and other terms, restrictions and qualifications that may be set forth in the individual agreement.</w:t>
      </w:r>
    </w:p>
    <w:p>
      <w:pPr>
        <w:spacing w:after="0" w:line="129"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7.</w:t>
      </w:r>
      <w:r>
        <w:rPr>
          <w:sz w:val="20"/>
          <w:szCs w:val="20"/>
          <w:color w:val="auto"/>
        </w:rPr>
        <w:tab/>
      </w:r>
      <w:r>
        <w:rPr>
          <w:rFonts w:ascii="Arial" w:cs="Arial" w:eastAsia="Arial" w:hAnsi="Arial"/>
          <w:sz w:val="12"/>
          <w:szCs w:val="12"/>
          <w:b w:val="1"/>
          <w:bCs w:val="1"/>
          <w:color w:val="auto"/>
        </w:rPr>
        <w:t>Stock Bonus Awards.</w:t>
      </w:r>
    </w:p>
    <w:p>
      <w:pPr>
        <w:spacing w:after="0" w:line="180" w:lineRule="exact"/>
        <w:rPr>
          <w:sz w:val="20"/>
          <w:szCs w:val="20"/>
          <w:color w:val="auto"/>
        </w:rPr>
      </w:pPr>
    </w:p>
    <w:p>
      <w:pPr>
        <w:ind w:right="20" w:firstLine="505"/>
        <w:spacing w:after="0" w:line="317" w:lineRule="auto"/>
        <w:rPr>
          <w:sz w:val="20"/>
          <w:szCs w:val="20"/>
          <w:color w:val="auto"/>
        </w:rPr>
      </w:pPr>
      <w:r>
        <w:rPr>
          <w:rFonts w:ascii="Arial" w:cs="Arial" w:eastAsia="Arial" w:hAnsi="Arial"/>
          <w:sz w:val="13"/>
          <w:szCs w:val="13"/>
          <w:color w:val="auto"/>
        </w:rPr>
        <w:t>A Stock Bonus Award is an award to an eligible Key Employee or Director of Shares for services to be rendered or for past services already rendered to the Company or any Subsidiary. All Stock Bonus Awards shall be made pursuant to an Award Agreement. No payment from the Participant will be required for Shares awarded pursuant to a Stock Bonus Award.</w:t>
      </w:r>
    </w:p>
    <w:p>
      <w:pPr>
        <w:spacing w:after="0" w:line="110" w:lineRule="exact"/>
        <w:rPr>
          <w:sz w:val="20"/>
          <w:szCs w:val="20"/>
          <w:color w:val="auto"/>
        </w:rPr>
      </w:pPr>
    </w:p>
    <w:p>
      <w:pPr>
        <w:ind w:right="140" w:firstLine="505"/>
        <w:spacing w:after="0" w:line="256"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Terms of Stock Bonus Awards</w:t>
      </w:r>
      <w:r>
        <w:rPr>
          <w:rFonts w:ascii="Arial" w:cs="Arial" w:eastAsia="Arial" w:hAnsi="Arial"/>
          <w:sz w:val="14"/>
          <w:szCs w:val="14"/>
          <w:color w:val="auto"/>
        </w:rPr>
        <w:t>. The Committee will determine the number of Shares to be awarded to the Participant under a 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48"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Form of Payment to Participant</w:t>
      </w:r>
      <w:r>
        <w:rPr>
          <w:rFonts w:ascii="Arial" w:cs="Arial" w:eastAsia="Arial" w:hAnsi="Arial"/>
          <w:sz w:val="14"/>
          <w:szCs w:val="14"/>
          <w:color w:val="auto"/>
        </w:rPr>
        <w:t>. Payment may be made in the form of cash, whole Shares, or a combination thereof as determined in the sole discretion of the Committee, based on the Fair Market Value of the Shares earned under a Stock Bonus Award on the date of payment.</w:t>
      </w:r>
    </w:p>
    <w:p>
      <w:pPr>
        <w:spacing w:after="0" w:line="133"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Termination of Service</w:t>
      </w:r>
      <w:r>
        <w:rPr>
          <w:rFonts w:ascii="Arial" w:cs="Arial" w:eastAsia="Arial" w:hAnsi="Arial"/>
          <w:sz w:val="14"/>
          <w:szCs w:val="14"/>
          <w:color w:val="auto"/>
        </w:rPr>
        <w:t>. Except as may be set forth in the Participant’s Award Agreement, vesting ceases on such date Participant’s service terminates (unless determined otherwise by the Committee).</w:t>
      </w:r>
    </w:p>
    <w:p>
      <w:pPr>
        <w:spacing w:after="0" w:line="129"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8.</w:t>
      </w:r>
      <w:r>
        <w:rPr>
          <w:sz w:val="20"/>
          <w:szCs w:val="20"/>
          <w:color w:val="auto"/>
        </w:rPr>
        <w:tab/>
      </w:r>
      <w:r>
        <w:rPr>
          <w:rFonts w:ascii="Arial" w:cs="Arial" w:eastAsia="Arial" w:hAnsi="Arial"/>
          <w:sz w:val="12"/>
          <w:szCs w:val="12"/>
          <w:b w:val="1"/>
          <w:bCs w:val="1"/>
          <w:color w:val="auto"/>
        </w:rPr>
        <w:t>Stock Appreciation Right Awards.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 Stock Appreciation Right (“SAR”) is an award to an eligible Key Employee or Director that may be settled in cash, or Shares (which may consist of Restricted Stock), having a value equal to</w:t>
      </w:r>
    </w:p>
    <w:p>
      <w:pPr>
        <w:spacing w:after="0" w:line="29" w:lineRule="exact"/>
        <w:rPr>
          <w:sz w:val="20"/>
          <w:szCs w:val="20"/>
          <w:color w:val="auto"/>
        </w:rPr>
      </w:pPr>
    </w:p>
    <w:p>
      <w:pPr>
        <w:ind w:right="400" w:firstLine="4"/>
        <w:spacing w:after="0" w:line="261" w:lineRule="auto"/>
        <w:tabs>
          <w:tab w:leader="none" w:pos="191"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655" w:right="239" w:bottom="1440" w:gutter="0" w:footer="0" w:header="0"/>
        </w:sectPr>
      </w:pPr>
    </w:p>
    <w:bookmarkStart w:id="213" w:name="page214"/>
    <w:bookmarkEnd w:id="213"/>
    <w:p>
      <w:pPr>
        <w:ind w:right="60" w:firstLine="505"/>
        <w:spacing w:after="0" w:line="279"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Terms of SARs</w:t>
      </w:r>
      <w:r>
        <w:rPr>
          <w:rFonts w:ascii="Arial" w:cs="Arial" w:eastAsia="Arial" w:hAnsi="Arial"/>
          <w:sz w:val="13"/>
          <w:szCs w:val="13"/>
          <w:color w:val="auto"/>
        </w:rPr>
        <w:t>. 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36"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Exercise Period and Expiration Date</w:t>
      </w:r>
      <w:r>
        <w:rPr>
          <w:rFonts w:ascii="Arial" w:cs="Arial" w:eastAsia="Arial" w:hAnsi="Arial"/>
          <w:sz w:val="13"/>
          <w:szCs w:val="13"/>
          <w:color w:val="auto"/>
        </w:rPr>
        <w:t>. A SAR will be exercisable within the times or upon the occurrence of events 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w:t>
      </w:r>
    </w:p>
    <w:p>
      <w:pPr>
        <w:spacing w:after="0" w:line="132" w:lineRule="exact"/>
        <w:rPr>
          <w:sz w:val="20"/>
          <w:szCs w:val="20"/>
          <w:color w:val="auto"/>
        </w:rPr>
      </w:pPr>
    </w:p>
    <w:p>
      <w:pPr>
        <w:ind w:right="140" w:firstLine="505"/>
        <w:spacing w:after="0" w:line="316"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u w:val="single" w:color="auto"/>
          <w:color w:val="auto"/>
        </w:rPr>
        <w:t>Form of Settlement</w:t>
      </w:r>
      <w:r>
        <w:rPr>
          <w:rFonts w:ascii="Arial" w:cs="Arial" w:eastAsia="Arial" w:hAnsi="Arial"/>
          <w:sz w:val="12"/>
          <w:szCs w:val="12"/>
          <w:color w:val="auto"/>
        </w:rPr>
        <w:t>. Upon exercise of a SAR, a Participant will be entitled to receive payment from the Company in an amount 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15"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Termination of Service</w:t>
      </w:r>
      <w:r>
        <w:rPr>
          <w:rFonts w:ascii="Arial" w:cs="Arial" w:eastAsia="Arial" w:hAnsi="Arial"/>
          <w:sz w:val="14"/>
          <w:szCs w:val="14"/>
          <w:color w:val="auto"/>
        </w:rPr>
        <w:t>. Except as may be set forth in the Participant’s Award Agreement, vesting ceases on such date Participant’s service terminates (unless determined otherwise by the Committee).</w:t>
      </w:r>
    </w:p>
    <w:p>
      <w:pPr>
        <w:spacing w:after="0" w:line="129"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9.</w:t>
      </w:r>
      <w:r>
        <w:rPr>
          <w:sz w:val="20"/>
          <w:szCs w:val="20"/>
          <w:color w:val="auto"/>
        </w:rPr>
        <w:tab/>
      </w:r>
      <w:r>
        <w:rPr>
          <w:rFonts w:ascii="Arial" w:cs="Arial" w:eastAsia="Arial" w:hAnsi="Arial"/>
          <w:sz w:val="12"/>
          <w:szCs w:val="12"/>
          <w:b w:val="1"/>
          <w:bCs w:val="1"/>
          <w:color w:val="auto"/>
        </w:rPr>
        <w:t>Stock Unit Awards.</w:t>
      </w:r>
    </w:p>
    <w:p>
      <w:pPr>
        <w:spacing w:after="0" w:line="18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2"/>
          <w:szCs w:val="12"/>
          <w:u w:val="single" w:color="auto"/>
          <w:color w:val="auto"/>
        </w:rPr>
        <w:t>Grant</w:t>
      </w:r>
      <w:r>
        <w:rPr>
          <w:rFonts w:ascii="Arial" w:cs="Arial" w:eastAsia="Arial" w:hAnsi="Arial"/>
          <w:sz w:val="12"/>
          <w:szCs w:val="12"/>
          <w:color w:val="auto"/>
        </w:rPr>
        <w:t>.</w:t>
      </w:r>
    </w:p>
    <w:p>
      <w:pPr>
        <w:spacing w:after="0" w:line="176" w:lineRule="exact"/>
        <w:rPr>
          <w:sz w:val="20"/>
          <w:szCs w:val="20"/>
          <w:color w:val="auto"/>
        </w:rPr>
      </w:pPr>
    </w:p>
    <w:p>
      <w:pPr>
        <w:ind w:firstLine="505"/>
        <w:spacing w:after="0" w:line="264" w:lineRule="auto"/>
        <w:rPr>
          <w:sz w:val="20"/>
          <w:szCs w:val="20"/>
          <w:color w:val="auto"/>
        </w:rPr>
      </w:pPr>
      <w:r>
        <w:rPr>
          <w:rFonts w:ascii="Arial" w:cs="Arial" w:eastAsia="Arial" w:hAnsi="Arial"/>
          <w:sz w:val="14"/>
          <w:szCs w:val="14"/>
          <w:color w:val="auto"/>
        </w:rPr>
        <w:t>The Board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20" w:top="655" w:right="239" w:bottom="1440" w:gutter="0" w:footer="0" w:header="0"/>
        </w:sectPr>
      </w:pPr>
    </w:p>
    <w:bookmarkStart w:id="214" w:name="page215"/>
    <w:bookmarkEnd w:id="214"/>
    <w:p>
      <w:pPr>
        <w:ind w:left="500"/>
        <w:spacing w:after="0"/>
        <w:tabs>
          <w:tab w:leader="none" w:pos="92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2"/>
          <w:szCs w:val="12"/>
          <w:u w:val="single" w:color="auto"/>
          <w:color w:val="auto"/>
        </w:rPr>
        <w:t>Stock Unit Agreement</w:t>
      </w:r>
      <w:r>
        <w:rPr>
          <w:rFonts w:ascii="Arial" w:cs="Arial" w:eastAsia="Arial" w:hAnsi="Arial"/>
          <w:sz w:val="12"/>
          <w:szCs w:val="12"/>
          <w:color w:val="auto"/>
        </w:rPr>
        <w:t>.</w:t>
      </w:r>
    </w:p>
    <w:p>
      <w:pPr>
        <w:spacing w:after="0" w:line="176" w:lineRule="exact"/>
        <w:rPr>
          <w:sz w:val="20"/>
          <w:szCs w:val="20"/>
          <w:color w:val="auto"/>
        </w:rPr>
      </w:pPr>
    </w:p>
    <w:p>
      <w:pPr>
        <w:ind w:right="120" w:firstLine="505"/>
        <w:spacing w:after="0" w:line="277" w:lineRule="auto"/>
        <w:rPr>
          <w:sz w:val="20"/>
          <w:szCs w:val="20"/>
          <w:color w:val="auto"/>
        </w:rPr>
      </w:pPr>
      <w:r>
        <w:rPr>
          <w:rFonts w:ascii="Arial" w:cs="Arial" w:eastAsia="Arial" w:hAnsi="Arial"/>
          <w:sz w:val="14"/>
          <w:szCs w:val="14"/>
          <w:color w:val="auto"/>
        </w:rPr>
        <w:t>Each Stock Unit Award shall be subject to such restrictions, conditions and other terms as the Board may determine at the time of grant, the general provisions of the Plan, the restrictions, terms and conditions of the related Stock Unit Award Agreement and the following specific rules:</w:t>
      </w:r>
    </w:p>
    <w:p>
      <w:pPr>
        <w:spacing w:after="0" w:line="133" w:lineRule="exact"/>
        <w:rPr>
          <w:sz w:val="20"/>
          <w:szCs w:val="20"/>
          <w:color w:val="auto"/>
        </w:rPr>
      </w:pPr>
    </w:p>
    <w:p>
      <w:pPr>
        <w:ind w:left="500" w:right="160" w:firstLine="413"/>
        <w:spacing w:after="0" w:line="277" w:lineRule="auto"/>
        <w:tabs>
          <w:tab w:leader="none" w:pos="1305" w:val="left"/>
        </w:tabs>
        <w:numPr>
          <w:ilvl w:val="0"/>
          <w:numId w:val="212"/>
        </w:numPr>
        <w:rPr>
          <w:rFonts w:ascii="Arial" w:cs="Arial" w:eastAsia="Arial" w:hAnsi="Arial"/>
          <w:sz w:val="14"/>
          <w:szCs w:val="14"/>
          <w:color w:val="auto"/>
        </w:rPr>
      </w:pPr>
      <w:r>
        <w:rPr>
          <w:rFonts w:ascii="Arial" w:cs="Arial" w:eastAsia="Arial" w:hAnsi="Arial"/>
          <w:sz w:val="14"/>
          <w:szCs w:val="14"/>
          <w:color w:val="auto"/>
        </w:rPr>
        <w:t>Shares issued to a Participant under the Plan shall be evidenced by a Stock Unit Agreement, which shall specify such provisions, not inconsistent with the terms and conditions of the Plan, as the Board shall determine.</w:t>
      </w:r>
    </w:p>
    <w:p>
      <w:pPr>
        <w:spacing w:after="0" w:line="133" w:lineRule="exact"/>
        <w:rPr>
          <w:rFonts w:ascii="Arial" w:cs="Arial" w:eastAsia="Arial" w:hAnsi="Arial"/>
          <w:sz w:val="14"/>
          <w:szCs w:val="14"/>
          <w:color w:val="auto"/>
        </w:rPr>
      </w:pPr>
    </w:p>
    <w:p>
      <w:pPr>
        <w:jc w:val="both"/>
        <w:ind w:left="500" w:firstLine="413"/>
        <w:spacing w:after="0" w:line="264" w:lineRule="auto"/>
        <w:tabs>
          <w:tab w:leader="none" w:pos="1311"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restrictions to which the shares of Stock Units awarded hereunder are subject shall lapse as provided in Stock Unit Agreement; provided that the Board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42" w:lineRule="exact"/>
        <w:rPr>
          <w:rFonts w:ascii="Arial" w:cs="Arial" w:eastAsia="Arial" w:hAnsi="Arial"/>
          <w:sz w:val="14"/>
          <w:szCs w:val="14"/>
          <w:color w:val="auto"/>
        </w:rPr>
      </w:pPr>
    </w:p>
    <w:p>
      <w:pPr>
        <w:ind w:left="500" w:right="20" w:firstLine="413"/>
        <w:spacing w:after="0" w:line="304" w:lineRule="auto"/>
        <w:tabs>
          <w:tab w:leader="none" w:pos="1305" w:val="left"/>
        </w:tabs>
        <w:numPr>
          <w:ilvl w:val="0"/>
          <w:numId w:val="212"/>
        </w:numPr>
        <w:rPr>
          <w:rFonts w:ascii="Arial" w:cs="Arial" w:eastAsia="Arial" w:hAnsi="Arial"/>
          <w:sz w:val="12"/>
          <w:szCs w:val="12"/>
          <w:color w:val="auto"/>
        </w:rPr>
      </w:pPr>
      <w:r>
        <w:rPr>
          <w:rFonts w:ascii="Arial" w:cs="Arial" w:eastAsia="Arial" w:hAnsi="Arial"/>
          <w:sz w:val="12"/>
          <w:szCs w:val="12"/>
          <w:color w:val="auto"/>
        </w:rPr>
        <w:t>Except as provided in this subsection (c) and unless otherwise set forth in the Stock Unit Agreement, the Participant receiving a Stock Unit Award shall have no rights of a shareholder, including voting or dividends or other distributions rights, with respect to any Stock Units prior to the date they are settled in Shares; provided that a Stock Unit Award Agreement may provide that until the Stock Units are settled in shares or cash, the Participant shall receive on each dividend or distribution payment date applicable to the Shares an amount equal to the dividends or other distributions that the Participant would have received had the Stock Units held by the Participant as of the related record date been actual Shares. In the case of a performance-based Stock Unit Award as described in Section 3.3 above, such amounts shall be accumulated and held by the Company and paid to the Participant only upon, and to the extent, the performance-based restrictions lapse in accordance with the terms of the applicable Stock Unit Award Agreement and in the case of all other Stock Unit Awards, the Board shall have the discretion to have the Company accumulate and hold such amounts. In either case, such amounts held by the Company attributable to the portion of the Stock Unit Award that is forfeited shall also be forfeited.</w:t>
      </w:r>
    </w:p>
    <w:p>
      <w:pPr>
        <w:spacing w:after="0" w:line="123" w:lineRule="exact"/>
        <w:rPr>
          <w:rFonts w:ascii="Arial" w:cs="Arial" w:eastAsia="Arial" w:hAnsi="Arial"/>
          <w:sz w:val="12"/>
          <w:szCs w:val="12"/>
          <w:color w:val="auto"/>
        </w:rPr>
      </w:pPr>
    </w:p>
    <w:p>
      <w:pPr>
        <w:ind w:left="500" w:right="20" w:firstLine="413"/>
        <w:spacing w:after="0" w:line="259" w:lineRule="auto"/>
        <w:tabs>
          <w:tab w:leader="none" w:pos="1313" w:val="left"/>
        </w:tabs>
        <w:numPr>
          <w:ilvl w:val="0"/>
          <w:numId w:val="212"/>
        </w:numPr>
        <w:rPr>
          <w:rFonts w:ascii="Arial" w:cs="Arial" w:eastAsia="Arial" w:hAnsi="Arial"/>
          <w:sz w:val="14"/>
          <w:szCs w:val="14"/>
          <w:color w:val="auto"/>
        </w:rPr>
      </w:pPr>
      <w:r>
        <w:rPr>
          <w:rFonts w:ascii="Arial" w:cs="Arial" w:eastAsia="Arial" w:hAnsi="Arial"/>
          <w:sz w:val="14"/>
          <w:szCs w:val="14"/>
          <w:color w:val="auto"/>
        </w:rPr>
        <w:t>Upon settlement of Stock Units into Shares, the Company shall issue, in the name of the Participant, stock certificates representing a number of Shares equal to the number of Stock Units being settled.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the Company, upon the written request of the Participant, shall issue in the name of the Participant, stock certificates representing such shares.</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10.</w:t>
      </w:r>
      <w:r>
        <w:rPr>
          <w:sz w:val="20"/>
          <w:szCs w:val="20"/>
          <w:color w:val="auto"/>
        </w:rPr>
        <w:tab/>
      </w:r>
      <w:r>
        <w:rPr>
          <w:rFonts w:ascii="Arial" w:cs="Arial" w:eastAsia="Arial" w:hAnsi="Arial"/>
          <w:sz w:val="12"/>
          <w:szCs w:val="12"/>
          <w:b w:val="1"/>
          <w:bCs w:val="1"/>
          <w:color w:val="auto"/>
        </w:rPr>
        <w:t>Change in Control.</w:t>
      </w:r>
    </w:p>
    <w:p>
      <w:pPr>
        <w:spacing w:after="0" w:line="18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2"/>
          <w:szCs w:val="12"/>
          <w:u w:val="single" w:color="auto"/>
          <w:color w:val="auto"/>
        </w:rPr>
        <w:t>Effect of a Change in Control</w:t>
      </w:r>
      <w:r>
        <w:rPr>
          <w:rFonts w:ascii="Arial" w:cs="Arial" w:eastAsia="Arial" w:hAnsi="Arial"/>
          <w:sz w:val="12"/>
          <w:szCs w:val="12"/>
          <w:color w:val="auto"/>
        </w:rPr>
        <w:t>.</w:t>
      </w:r>
    </w:p>
    <w:p>
      <w:pPr>
        <w:spacing w:after="0" w:line="176" w:lineRule="exact"/>
        <w:rPr>
          <w:sz w:val="20"/>
          <w:szCs w:val="20"/>
          <w:color w:val="auto"/>
        </w:rPr>
      </w:pPr>
    </w:p>
    <w:p>
      <w:pPr>
        <w:jc w:val="both"/>
        <w:ind w:left="500" w:right="80" w:firstLine="413"/>
        <w:spacing w:after="0" w:line="293" w:lineRule="auto"/>
        <w:tabs>
          <w:tab w:leader="none" w:pos="1305" w:val="left"/>
        </w:tabs>
        <w:numPr>
          <w:ilvl w:val="0"/>
          <w:numId w:val="213"/>
        </w:numPr>
        <w:rPr>
          <w:rFonts w:ascii="Arial" w:cs="Arial" w:eastAsia="Arial" w:hAnsi="Arial"/>
          <w:sz w:val="13"/>
          <w:szCs w:val="13"/>
          <w:color w:val="auto"/>
        </w:rPr>
      </w:pPr>
      <w:r>
        <w:rPr>
          <w:rFonts w:ascii="Arial" w:cs="Arial" w:eastAsia="Arial" w:hAnsi="Arial"/>
          <w:sz w:val="13"/>
          <w:szCs w:val="13"/>
          <w:color w:val="auto"/>
        </w:rPr>
        <w:t>Notwithstanding any of the provisions of the Plan or any outstanding Award Agreement, upon a Change in Control of the Company,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target level, as applicable, in order that Participants may fully realize the benefits thereunder.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655" w:right="219" w:bottom="1440" w:gutter="0" w:footer="0" w:header="0"/>
        </w:sectPr>
      </w:pPr>
    </w:p>
    <w:bookmarkStart w:id="215" w:name="page216"/>
    <w:bookmarkEnd w:id="215"/>
    <w:p>
      <w:pPr>
        <w:ind w:right="60" w:firstLine="413"/>
        <w:spacing w:after="0" w:line="257" w:lineRule="auto"/>
        <w:tabs>
          <w:tab w:leader="none" w:pos="813" w:val="left"/>
        </w:tabs>
        <w:numPr>
          <w:ilvl w:val="0"/>
          <w:numId w:val="214"/>
        </w:numPr>
        <w:rPr>
          <w:rFonts w:ascii="Arial" w:cs="Arial" w:eastAsia="Arial" w:hAnsi="Arial"/>
          <w:sz w:val="14"/>
          <w:szCs w:val="14"/>
          <w:color w:val="auto"/>
        </w:rPr>
      </w:pPr>
      <w:r>
        <w:rPr>
          <w:rFonts w:ascii="Arial" w:cs="Arial" w:eastAsia="Arial" w:hAnsi="Arial"/>
          <w:sz w:val="14"/>
          <w:szCs w:val="14"/>
          <w:color w:val="auto"/>
        </w:rPr>
        <w:t>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(i) provide for the purchase of any outstanding Stock Option, for an amount of cash equal to the difference between the exercise price and the then Fair Market Value of the Shares covered thereby had such Stock Option been currently exercisable; (ii) make such adjustment to any such Award then outstanding as the Board deems appropriate to reflect such Change in Control; and (iii) cause any such Award then outstanding to be assumed by the acquiring or surviving corporation after such Change in Control.</w:t>
      </w:r>
    </w:p>
    <w:p>
      <w:pPr>
        <w:spacing w:after="0" w:line="14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u w:val="single" w:color="auto"/>
          <w:color w:val="auto"/>
        </w:rPr>
        <w:t>Definition of Change in Control</w:t>
      </w:r>
      <w:r>
        <w:rPr>
          <w:rFonts w:ascii="Arial" w:cs="Arial" w:eastAsia="Arial" w:hAnsi="Arial"/>
          <w:sz w:val="13"/>
          <w:szCs w:val="13"/>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“Change in Control” of the Company shall be deemed to have occurred if at any time during the term of an Award granted under the Plan any of the following events occurs:</w:t>
      </w:r>
    </w:p>
    <w:p>
      <w:pPr>
        <w:spacing w:after="0" w:line="176" w:lineRule="exact"/>
        <w:rPr>
          <w:sz w:val="20"/>
          <w:szCs w:val="20"/>
          <w:color w:val="auto"/>
        </w:rPr>
      </w:pPr>
    </w:p>
    <w:p>
      <w:pPr>
        <w:jc w:val="both"/>
        <w:ind w:firstLine="413"/>
        <w:spacing w:after="0" w:line="259" w:lineRule="auto"/>
        <w:tabs>
          <w:tab w:leader="none" w:pos="805" w:val="left"/>
        </w:tabs>
        <w:numPr>
          <w:ilvl w:val="0"/>
          <w:numId w:val="215"/>
        </w:numPr>
        <w:rPr>
          <w:rFonts w:ascii="Arial" w:cs="Arial" w:eastAsia="Arial" w:hAnsi="Arial"/>
          <w:sz w:val="14"/>
          <w:szCs w:val="14"/>
          <w:color w:val="auto"/>
        </w:rPr>
      </w:pPr>
      <w:r>
        <w:rPr>
          <w:rFonts w:ascii="Arial" w:cs="Arial" w:eastAsia="Arial" w:hAnsi="Arial"/>
          <w:sz w:val="14"/>
          <w:szCs w:val="14"/>
          <w:color w:val="auto"/>
        </w:rPr>
        <w:t>any Person (other than the Company, a trustee or other fiduciary holding securities under an employee benefit plan of the Company, or a corporation owned directly or indirectly by the shareholders of the Company in substantially the same proportions as their ownership of Shares of the Company)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spacing w:after="0" w:line="146" w:lineRule="exact"/>
        <w:rPr>
          <w:rFonts w:ascii="Arial" w:cs="Arial" w:eastAsia="Arial" w:hAnsi="Arial"/>
          <w:sz w:val="14"/>
          <w:szCs w:val="14"/>
          <w:color w:val="auto"/>
        </w:rPr>
      </w:pPr>
    </w:p>
    <w:p>
      <w:pPr>
        <w:ind w:firstLine="413"/>
        <w:spacing w:after="0" w:line="282" w:lineRule="auto"/>
        <w:tabs>
          <w:tab w:leader="none" w:pos="813"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31" w:lineRule="exact"/>
        <w:rPr>
          <w:rFonts w:ascii="Arial" w:cs="Arial" w:eastAsia="Arial" w:hAnsi="Arial"/>
          <w:sz w:val="13"/>
          <w:szCs w:val="13"/>
          <w:color w:val="auto"/>
        </w:rPr>
      </w:pPr>
    </w:p>
    <w:p>
      <w:pPr>
        <w:ind w:right="20" w:firstLine="413"/>
        <w:spacing w:after="0" w:line="328" w:lineRule="auto"/>
        <w:tabs>
          <w:tab w:leader="none" w:pos="805" w:val="left"/>
        </w:tabs>
        <w:numPr>
          <w:ilvl w:val="0"/>
          <w:numId w:val="215"/>
        </w:numPr>
        <w:rPr>
          <w:rFonts w:ascii="Arial" w:cs="Arial" w:eastAsia="Arial" w:hAnsi="Arial"/>
          <w:sz w:val="12"/>
          <w:szCs w:val="12"/>
          <w:color w:val="auto"/>
        </w:rPr>
      </w:pPr>
      <w:r>
        <w:rPr>
          <w:rFonts w:ascii="Arial" w:cs="Arial" w:eastAsia="Arial" w:hAnsi="Arial"/>
          <w:sz w:val="12"/>
          <w:szCs w:val="12"/>
          <w:color w:val="auto"/>
        </w:rPr>
        <w:t>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spacing w:after="0" w:line="107" w:lineRule="exact"/>
        <w:rPr>
          <w:rFonts w:ascii="Arial" w:cs="Arial" w:eastAsia="Arial" w:hAnsi="Arial"/>
          <w:sz w:val="12"/>
          <w:szCs w:val="12"/>
          <w:color w:val="auto"/>
        </w:rPr>
      </w:pPr>
    </w:p>
    <w:p>
      <w:pPr>
        <w:ind w:firstLine="413"/>
        <w:spacing w:after="0" w:line="282" w:lineRule="auto"/>
        <w:tabs>
          <w:tab w:leader="none" w:pos="813"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21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133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940"/>
          </w:cols>
          <w:pgMar w:left="720" w:top="655" w:right="239" w:bottom="1440" w:gutter="0" w:footer="0" w:header="0"/>
        </w:sectPr>
      </w:pPr>
    </w:p>
    <w:bookmarkStart w:id="216" w:name="page217"/>
    <w:bookmarkEnd w:id="216"/>
    <w:p>
      <w:pPr>
        <w:ind w:right="340" w:firstLine="505"/>
        <w:spacing w:after="0" w:line="286" w:lineRule="auto"/>
        <w:rPr>
          <w:sz w:val="20"/>
          <w:szCs w:val="20"/>
          <w:color w:val="auto"/>
        </w:rPr>
      </w:pPr>
      <w:r>
        <w:rPr>
          <w:rFonts w:ascii="Arial" w:cs="Arial" w:eastAsia="Arial" w:hAnsi="Arial"/>
          <w:sz w:val="13"/>
          <w:szCs w:val="13"/>
          <w:color w:val="auto"/>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 (a) 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11.</w:t>
      </w:r>
      <w:r>
        <w:rPr>
          <w:sz w:val="20"/>
          <w:szCs w:val="20"/>
          <w:color w:val="auto"/>
        </w:rPr>
        <w:tab/>
      </w:r>
      <w:r>
        <w:rPr>
          <w:rFonts w:ascii="Arial" w:cs="Arial" w:eastAsia="Arial" w:hAnsi="Arial"/>
          <w:sz w:val="12"/>
          <w:szCs w:val="12"/>
          <w:b w:val="1"/>
          <w:bCs w:val="1"/>
          <w:color w:val="auto"/>
        </w:rPr>
        <w:t>Payment of Taxes.</w:t>
      </w:r>
    </w:p>
    <w:p>
      <w:pPr>
        <w:spacing w:after="0" w:line="180" w:lineRule="exact"/>
        <w:rPr>
          <w:sz w:val="20"/>
          <w:szCs w:val="20"/>
          <w:color w:val="auto"/>
        </w:rPr>
      </w:pPr>
    </w:p>
    <w:p>
      <w:pPr>
        <w:ind w:firstLine="505"/>
        <w:spacing w:after="0" w:line="293" w:lineRule="auto"/>
        <w:rPr>
          <w:sz w:val="20"/>
          <w:szCs w:val="20"/>
          <w:color w:val="auto"/>
        </w:rPr>
      </w:pPr>
      <w:r>
        <w:rPr>
          <w:rFonts w:ascii="Arial" w:cs="Arial" w:eastAsia="Arial" w:hAnsi="Arial"/>
          <w:sz w:val="13"/>
          <w:szCs w:val="13"/>
          <w:color w:val="auto"/>
        </w:rPr>
        <w:t>In connection with any Award, and as a condition to the issuance or delivery of any Shares to the Participant in connection therewith, the Company may require the Participant to pay the Company an amount equal to the minimum amount of the tax the Company or any Subsidiary may be required to withhold to obtain a deduction for federal, state or local income tax purposes as a result of such Award or to comply with applicable law. The Board in its sole discretion may make available one or more of the following alternatives for the payment of such taxes:</w:t>
      </w:r>
    </w:p>
    <w:p>
      <w:pPr>
        <w:spacing w:after="0" w:line="126" w:lineRule="exact"/>
        <w:rPr>
          <w:sz w:val="20"/>
          <w:szCs w:val="20"/>
          <w:color w:val="auto"/>
        </w:rPr>
      </w:pPr>
    </w:p>
    <w:p>
      <w:pPr>
        <w:ind w:left="1320" w:hanging="407"/>
        <w:spacing w:after="0"/>
        <w:tabs>
          <w:tab w:leader="none" w:pos="132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in cash;</w:t>
      </w:r>
    </w:p>
    <w:p>
      <w:pPr>
        <w:spacing w:after="0" w:line="175" w:lineRule="exact"/>
        <w:rPr>
          <w:rFonts w:ascii="Arial" w:cs="Arial" w:eastAsia="Arial" w:hAnsi="Arial"/>
          <w:sz w:val="14"/>
          <w:szCs w:val="14"/>
          <w:color w:val="auto"/>
        </w:rPr>
      </w:pPr>
    </w:p>
    <w:p>
      <w:pPr>
        <w:ind w:left="500" w:right="160" w:firstLine="413"/>
        <w:spacing w:after="0" w:line="277" w:lineRule="auto"/>
        <w:tabs>
          <w:tab w:leader="none" w:pos="1313" w:val="left"/>
        </w:tabs>
        <w:numPr>
          <w:ilvl w:val="0"/>
          <w:numId w:val="216"/>
        </w:numPr>
        <w:rPr>
          <w:rFonts w:ascii="Arial" w:cs="Arial" w:eastAsia="Arial" w:hAnsi="Arial"/>
          <w:sz w:val="14"/>
          <w:szCs w:val="14"/>
          <w:color w:val="auto"/>
        </w:rPr>
      </w:pPr>
      <w:r>
        <w:rPr>
          <w:rFonts w:ascii="Arial" w:cs="Arial" w:eastAsia="Arial" w:hAnsi="Arial"/>
          <w:sz w:val="14"/>
          <w:szCs w:val="14"/>
          <w:color w:val="auto"/>
        </w:rPr>
        <w:t>in cash received from a broker-dealer to whom the Participant has submitted notice together with irrevocable instructions to deliver promptly to the Company the amount of sales proceeds from the sale of the shares subject to the Award to pay the withholding taxes;</w:t>
      </w:r>
    </w:p>
    <w:p>
      <w:pPr>
        <w:spacing w:after="0" w:line="133" w:lineRule="exact"/>
        <w:rPr>
          <w:rFonts w:ascii="Arial" w:cs="Arial" w:eastAsia="Arial" w:hAnsi="Arial"/>
          <w:sz w:val="14"/>
          <w:szCs w:val="14"/>
          <w:color w:val="auto"/>
        </w:rPr>
      </w:pPr>
    </w:p>
    <w:p>
      <w:pPr>
        <w:ind w:left="500" w:right="440" w:firstLine="413"/>
        <w:spacing w:after="0" w:line="277" w:lineRule="auto"/>
        <w:tabs>
          <w:tab w:leader="none" w:pos="1305" w:val="left"/>
        </w:tabs>
        <w:numPr>
          <w:ilvl w:val="0"/>
          <w:numId w:val="216"/>
        </w:numPr>
        <w:rPr>
          <w:rFonts w:ascii="Arial" w:cs="Arial" w:eastAsia="Arial" w:hAnsi="Arial"/>
          <w:sz w:val="14"/>
          <w:szCs w:val="14"/>
          <w:color w:val="auto"/>
        </w:rPr>
      </w:pPr>
      <w:r>
        <w:rPr>
          <w:rFonts w:ascii="Arial" w:cs="Arial" w:eastAsia="Arial" w:hAnsi="Arial"/>
          <w:sz w:val="14"/>
          <w:szCs w:val="14"/>
          <w:color w:val="auto"/>
        </w:rPr>
        <w:t>by directing the Company to withhold such number of Shares otherwise issuable in connection with the Award having an aggregate Fair Market Value equal to the minimum amount of tax required to be withheld;</w:t>
      </w:r>
    </w:p>
    <w:p>
      <w:pPr>
        <w:spacing w:after="0" w:line="133" w:lineRule="exact"/>
        <w:rPr>
          <w:rFonts w:ascii="Arial" w:cs="Arial" w:eastAsia="Arial" w:hAnsi="Arial"/>
          <w:sz w:val="14"/>
          <w:szCs w:val="14"/>
          <w:color w:val="auto"/>
        </w:rPr>
      </w:pPr>
    </w:p>
    <w:p>
      <w:pPr>
        <w:ind w:left="1320" w:hanging="407"/>
        <w:spacing w:after="0"/>
        <w:tabs>
          <w:tab w:leader="none" w:pos="132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by delivering previously acquired Shares of the Company that are acceptable to the Board that have an aggregate Fair Market Value equal to the amount required to be withheld; or</w:t>
      </w:r>
    </w:p>
    <w:p>
      <w:pPr>
        <w:spacing w:after="0" w:line="198" w:lineRule="exact"/>
        <w:rPr>
          <w:rFonts w:ascii="Arial" w:cs="Arial" w:eastAsia="Arial" w:hAnsi="Arial"/>
          <w:sz w:val="12"/>
          <w:szCs w:val="12"/>
          <w:color w:val="auto"/>
        </w:rPr>
      </w:pPr>
    </w:p>
    <w:p>
      <w:pPr>
        <w:ind w:left="1320" w:hanging="407"/>
        <w:spacing w:after="0"/>
        <w:tabs>
          <w:tab w:leader="none" w:pos="132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by certifying to ownership by attestation of such previously acquired Shares.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Board shall have the sole discretion to establish the terms and conditions applicable to any alternative made available for payment of the required withholding taxes.</w:t>
      </w:r>
    </w:p>
    <w:p>
      <w:pPr>
        <w:spacing w:after="0" w:line="172"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12.</w:t>
      </w:r>
      <w:r>
        <w:rPr>
          <w:sz w:val="20"/>
          <w:szCs w:val="20"/>
          <w:color w:val="auto"/>
        </w:rPr>
        <w:tab/>
      </w:r>
      <w:r>
        <w:rPr>
          <w:rFonts w:ascii="Arial" w:cs="Arial" w:eastAsia="Arial" w:hAnsi="Arial"/>
          <w:sz w:val="12"/>
          <w:szCs w:val="12"/>
          <w:b w:val="1"/>
          <w:bCs w:val="1"/>
          <w:color w:val="auto"/>
        </w:rPr>
        <w:t>Postponement.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Board may postpone any grant or settlement of an Award or exercise of a Stock Option for such time as the Board in its sole discretion may deem necessary in order to permit the Company:</w:t>
      </w:r>
    </w:p>
    <w:p>
      <w:pPr>
        <w:spacing w:after="0" w:line="199" w:lineRule="exact"/>
        <w:rPr>
          <w:sz w:val="20"/>
          <w:szCs w:val="20"/>
          <w:color w:val="auto"/>
        </w:rPr>
      </w:pPr>
    </w:p>
    <w:p>
      <w:pPr>
        <w:ind w:left="500" w:firstLine="413"/>
        <w:spacing w:after="0" w:line="277" w:lineRule="auto"/>
        <w:tabs>
          <w:tab w:leader="none" w:pos="1305" w:val="left"/>
        </w:tabs>
        <w:numPr>
          <w:ilvl w:val="0"/>
          <w:numId w:val="217"/>
        </w:numPr>
        <w:rPr>
          <w:rFonts w:ascii="Arial" w:cs="Arial" w:eastAsia="Arial" w:hAnsi="Arial"/>
          <w:sz w:val="14"/>
          <w:szCs w:val="14"/>
          <w:color w:val="auto"/>
        </w:rPr>
      </w:pPr>
      <w:r>
        <w:rPr>
          <w:rFonts w:ascii="Arial" w:cs="Arial" w:eastAsia="Arial" w:hAnsi="Arial"/>
          <w:sz w:val="14"/>
          <w:szCs w:val="14"/>
          <w:color w:val="auto"/>
        </w:rPr>
        <w:t>to effect, amend or maintain any necessary registration of the Plan or the Shares issuable pursuant to an Award, including upon the exercise of an Option, under the Securities Act of 1933, as amended, or the securities laws of any applicable jurisdiction;</w:t>
      </w:r>
    </w:p>
    <w:p>
      <w:pPr>
        <w:spacing w:after="0" w:line="133" w:lineRule="exact"/>
        <w:rPr>
          <w:rFonts w:ascii="Arial" w:cs="Arial" w:eastAsia="Arial" w:hAnsi="Arial"/>
          <w:sz w:val="14"/>
          <w:szCs w:val="14"/>
          <w:color w:val="auto"/>
        </w:rPr>
      </w:pPr>
    </w:p>
    <w:p>
      <w:pPr>
        <w:ind w:left="500" w:right="60" w:firstLine="413"/>
        <w:spacing w:after="0" w:line="277" w:lineRule="auto"/>
        <w:tabs>
          <w:tab w:leader="none" w:pos="1313" w:val="left"/>
        </w:tabs>
        <w:numPr>
          <w:ilvl w:val="0"/>
          <w:numId w:val="217"/>
        </w:numPr>
        <w:rPr>
          <w:rFonts w:ascii="Arial" w:cs="Arial" w:eastAsia="Arial" w:hAnsi="Arial"/>
          <w:sz w:val="14"/>
          <w:szCs w:val="14"/>
          <w:color w:val="auto"/>
        </w:rPr>
      </w:pPr>
      <w:r>
        <w:rPr>
          <w:rFonts w:ascii="Arial" w:cs="Arial" w:eastAsia="Arial" w:hAnsi="Arial"/>
          <w:sz w:val="14"/>
          <w:szCs w:val="14"/>
          <w:color w:val="auto"/>
        </w:rPr>
        <w:t>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spacing w:after="0" w:line="133" w:lineRule="exact"/>
        <w:rPr>
          <w:rFonts w:ascii="Arial" w:cs="Arial" w:eastAsia="Arial" w:hAnsi="Arial"/>
          <w:sz w:val="14"/>
          <w:szCs w:val="14"/>
          <w:color w:val="auto"/>
        </w:rPr>
      </w:pPr>
    </w:p>
    <w:p>
      <w:pPr>
        <w:ind w:left="500" w:right="60" w:firstLine="413"/>
        <w:spacing w:after="0" w:line="264" w:lineRule="auto"/>
        <w:tabs>
          <w:tab w:leader="none" w:pos="1305" w:val="left"/>
        </w:tabs>
        <w:numPr>
          <w:ilvl w:val="0"/>
          <w:numId w:val="217"/>
        </w:numPr>
        <w:rPr>
          <w:rFonts w:ascii="Arial" w:cs="Arial" w:eastAsia="Arial" w:hAnsi="Arial"/>
          <w:sz w:val="14"/>
          <w:szCs w:val="14"/>
          <w:color w:val="auto"/>
        </w:rPr>
      </w:pPr>
      <w:r>
        <w:rPr>
          <w:rFonts w:ascii="Arial" w:cs="Arial" w:eastAsia="Arial" w:hAnsi="Arial"/>
          <w:sz w:val="14"/>
          <w:szCs w:val="14"/>
          <w:color w:val="auto"/>
        </w:rPr>
        <w:t>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655" w:right="219" w:bottom="1440" w:gutter="0" w:footer="0" w:header="0"/>
        </w:sectPr>
      </w:pPr>
    </w:p>
    <w:bookmarkStart w:id="217" w:name="page218"/>
    <w:bookmarkEnd w:id="217"/>
    <w:p>
      <w:pPr>
        <w:ind w:right="440" w:firstLine="505"/>
        <w:spacing w:after="0" w:line="277" w:lineRule="auto"/>
        <w:rPr>
          <w:sz w:val="20"/>
          <w:szCs w:val="20"/>
          <w:color w:val="auto"/>
        </w:rPr>
      </w:pPr>
      <w:r>
        <w:rPr>
          <w:rFonts w:ascii="Arial" w:cs="Arial" w:eastAsia="Arial" w:hAnsi="Arial"/>
          <w:sz w:val="14"/>
          <w:szCs w:val="14"/>
          <w:color w:val="auto"/>
        </w:rPr>
        <w:t>Any such postponement shall not extend the term of an Award and neither the Company nor its Directors or officers shall have any obligation or liability to a Participant, the Participant’s successor or any other person with respect to any Shares as to which the Award shall lapse because of such postponement.</w:t>
      </w:r>
    </w:p>
    <w:p>
      <w:pPr>
        <w:spacing w:after="0" w:line="129"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13.</w:t>
      </w:r>
      <w:r>
        <w:rPr>
          <w:sz w:val="20"/>
          <w:szCs w:val="20"/>
          <w:color w:val="auto"/>
        </w:rPr>
        <w:tab/>
      </w:r>
      <w:r>
        <w:rPr>
          <w:rFonts w:ascii="Arial" w:cs="Arial" w:eastAsia="Arial" w:hAnsi="Arial"/>
          <w:sz w:val="12"/>
          <w:szCs w:val="12"/>
          <w:b w:val="1"/>
          <w:bCs w:val="1"/>
          <w:color w:val="auto"/>
        </w:rPr>
        <w:t>Non-transferability.</w:t>
      </w:r>
    </w:p>
    <w:p>
      <w:pPr>
        <w:spacing w:after="0" w:line="180"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Awards granted under the Plan, and any rights and privileges pertaining thereto, may not be transferred, assigned, pledged or hypothecated in any manner, or be subject to execution, attachment or similar process, by operation of law or otherwise, other than by will or by the laws of descent and distribution.</w:t>
      </w:r>
    </w:p>
    <w:p>
      <w:pPr>
        <w:spacing w:after="0" w:line="129"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14.</w:t>
      </w:r>
      <w:r>
        <w:rPr>
          <w:sz w:val="20"/>
          <w:szCs w:val="20"/>
          <w:color w:val="auto"/>
        </w:rPr>
        <w:tab/>
      </w:r>
      <w:r>
        <w:rPr>
          <w:rFonts w:ascii="Arial" w:cs="Arial" w:eastAsia="Arial" w:hAnsi="Arial"/>
          <w:sz w:val="12"/>
          <w:szCs w:val="12"/>
          <w:b w:val="1"/>
          <w:bCs w:val="1"/>
          <w:color w:val="auto"/>
        </w:rPr>
        <w:t>Termination or Amendment of Plan and Award Agreements.</w:t>
      </w:r>
    </w:p>
    <w:p>
      <w:pPr>
        <w:spacing w:after="0" w:line="18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2"/>
          <w:szCs w:val="12"/>
          <w:u w:val="single" w:color="auto"/>
          <w:color w:val="auto"/>
        </w:rPr>
        <w:t>Termination or Amendment of Plan</w:t>
      </w:r>
      <w:r>
        <w:rPr>
          <w:rFonts w:ascii="Arial" w:cs="Arial" w:eastAsia="Arial" w:hAnsi="Arial"/>
          <w:sz w:val="12"/>
          <w:szCs w:val="12"/>
          <w:color w:val="auto"/>
        </w:rPr>
        <w:t>.</w:t>
      </w:r>
    </w:p>
    <w:p>
      <w:pPr>
        <w:spacing w:after="0" w:line="176" w:lineRule="exact"/>
        <w:rPr>
          <w:sz w:val="20"/>
          <w:szCs w:val="20"/>
          <w:color w:val="auto"/>
        </w:rPr>
      </w:pPr>
    </w:p>
    <w:p>
      <w:pPr>
        <w:ind w:left="500" w:right="60" w:firstLine="413"/>
        <w:spacing w:after="0" w:line="282" w:lineRule="auto"/>
        <w:tabs>
          <w:tab w:leader="none" w:pos="1305" w:val="left"/>
        </w:tabs>
        <w:numPr>
          <w:ilvl w:val="0"/>
          <w:numId w:val="218"/>
        </w:numPr>
        <w:rPr>
          <w:rFonts w:ascii="Arial" w:cs="Arial" w:eastAsia="Arial" w:hAnsi="Arial"/>
          <w:sz w:val="13"/>
          <w:szCs w:val="13"/>
          <w:color w:val="auto"/>
        </w:rPr>
      </w:pPr>
      <w:r>
        <w:rPr>
          <w:rFonts w:ascii="Arial" w:cs="Arial" w:eastAsia="Arial" w:hAnsi="Arial"/>
          <w:sz w:val="13"/>
          <w:szCs w:val="13"/>
          <w:color w:val="auto"/>
        </w:rPr>
        <w:t>Except as described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Board may correct any defect or supply an omission or reconcile any inconsistency in the Plan or in any Award granted hereunder in the manner and to the extent it shall deem desirable, in its sole discretion, to effectuate the Plan.</w:t>
      </w:r>
    </w:p>
    <w:p>
      <w:pPr>
        <w:spacing w:after="0" w:line="131" w:lineRule="exact"/>
        <w:rPr>
          <w:rFonts w:ascii="Arial" w:cs="Arial" w:eastAsia="Arial" w:hAnsi="Arial"/>
          <w:sz w:val="13"/>
          <w:szCs w:val="13"/>
          <w:color w:val="auto"/>
        </w:rPr>
      </w:pPr>
    </w:p>
    <w:p>
      <w:pPr>
        <w:ind w:left="500" w:right="440" w:firstLine="413"/>
        <w:spacing w:after="0" w:line="277" w:lineRule="auto"/>
        <w:tabs>
          <w:tab w:leader="none" w:pos="1311"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Board shall have the authority to amend the Plan to the extent necessary or appropriate to comply with applicable law, regulation or accounting rules in order to permit Participants who are located outside of the United States to participate in the Plan.</w:t>
      </w:r>
    </w:p>
    <w:p>
      <w:pPr>
        <w:spacing w:after="0" w:line="133"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2"/>
          <w:szCs w:val="12"/>
          <w:u w:val="single" w:color="auto"/>
          <w:color w:val="auto"/>
        </w:rPr>
        <w:t>Amendment of Award Agreements</w:t>
      </w:r>
      <w:r>
        <w:rPr>
          <w:rFonts w:ascii="Arial" w:cs="Arial" w:eastAsia="Arial" w:hAnsi="Arial"/>
          <w:sz w:val="12"/>
          <w:szCs w:val="12"/>
          <w:color w:val="auto"/>
        </w:rPr>
        <w:t>.</w:t>
      </w:r>
    </w:p>
    <w:p>
      <w:pPr>
        <w:spacing w:after="0" w:line="176" w:lineRule="exact"/>
        <w:rPr>
          <w:sz w:val="20"/>
          <w:szCs w:val="20"/>
          <w:color w:val="auto"/>
        </w:rPr>
      </w:pPr>
    </w:p>
    <w:p>
      <w:pPr>
        <w:ind w:right="20" w:firstLine="505"/>
        <w:spacing w:after="0" w:line="264" w:lineRule="auto"/>
        <w:rPr>
          <w:sz w:val="20"/>
          <w:szCs w:val="20"/>
          <w:color w:val="auto"/>
        </w:rPr>
      </w:pPr>
      <w:r>
        <w:rPr>
          <w:rFonts w:ascii="Arial" w:cs="Arial" w:eastAsia="Arial" w:hAnsi="Arial"/>
          <w:sz w:val="14"/>
          <w:szCs w:val="14"/>
          <w:color w:val="auto"/>
        </w:rPr>
        <w:t>The Board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15.</w:t>
      </w:r>
      <w:r>
        <w:rPr>
          <w:sz w:val="20"/>
          <w:szCs w:val="20"/>
          <w:color w:val="auto"/>
        </w:rPr>
        <w:tab/>
      </w:r>
      <w:r>
        <w:rPr>
          <w:rFonts w:ascii="Arial" w:cs="Arial" w:eastAsia="Arial" w:hAnsi="Arial"/>
          <w:sz w:val="12"/>
          <w:szCs w:val="12"/>
          <w:b w:val="1"/>
          <w:bCs w:val="1"/>
          <w:color w:val="auto"/>
        </w:rPr>
        <w:t>No Contract of Employment.</w:t>
      </w:r>
    </w:p>
    <w:p>
      <w:pPr>
        <w:spacing w:after="0" w:line="180" w:lineRule="exact"/>
        <w:rPr>
          <w:sz w:val="20"/>
          <w:szCs w:val="20"/>
          <w:color w:val="auto"/>
        </w:rPr>
      </w:pPr>
    </w:p>
    <w:p>
      <w:pPr>
        <w:ind w:right="240" w:firstLine="505"/>
        <w:spacing w:after="0" w:line="277" w:lineRule="auto"/>
        <w:rPr>
          <w:sz w:val="20"/>
          <w:szCs w:val="20"/>
          <w:color w:val="auto"/>
        </w:rPr>
      </w:pPr>
      <w:r>
        <w:rPr>
          <w:rFonts w:ascii="Arial" w:cs="Arial" w:eastAsia="Arial" w:hAnsi="Arial"/>
          <w:sz w:val="14"/>
          <w:szCs w:val="14"/>
          <w:color w:val="auto"/>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spacing w:after="0" w:line="129"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16.</w:t>
      </w:r>
      <w:r>
        <w:rPr>
          <w:sz w:val="20"/>
          <w:szCs w:val="20"/>
          <w:color w:val="auto"/>
        </w:rPr>
        <w:tab/>
      </w:r>
      <w:r>
        <w:rPr>
          <w:rFonts w:ascii="Arial" w:cs="Arial" w:eastAsia="Arial" w:hAnsi="Arial"/>
          <w:sz w:val="12"/>
          <w:szCs w:val="12"/>
          <w:b w:val="1"/>
          <w:bCs w:val="1"/>
          <w:color w:val="auto"/>
        </w:rPr>
        <w:t>Applicable Law.</w:t>
      </w:r>
    </w:p>
    <w:p>
      <w:pPr>
        <w:spacing w:after="0" w:line="18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All questions pertaining to the validity, construction and administration of the Plan and all Awards granted under the Plan shall be determined in conformity with the laws of Hong Kong, without regard to the conflict of law provisions of any state, and, in the case of Incentive Stock Options, Section 422 of the Code and regulations issued thereunder.</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220" w:top="655" w:right="299" w:bottom="1440" w:gutter="0" w:footer="0" w:header="0"/>
        </w:sectPr>
      </w:pPr>
    </w:p>
    <w:bookmarkStart w:id="218" w:name="page219"/>
    <w:bookmarkEnd w:id="218"/>
    <w:p>
      <w:pPr>
        <w:spacing w:after="0"/>
        <w:tabs>
          <w:tab w:leader="none" w:pos="800" w:val="left"/>
        </w:tabs>
        <w:rPr>
          <w:sz w:val="20"/>
          <w:szCs w:val="20"/>
          <w:color w:val="auto"/>
        </w:rPr>
      </w:pPr>
      <w:r>
        <w:rPr>
          <w:rFonts w:ascii="Arial" w:cs="Arial" w:eastAsia="Arial" w:hAnsi="Arial"/>
          <w:sz w:val="14"/>
          <w:szCs w:val="14"/>
          <w:b w:val="1"/>
          <w:bCs w:val="1"/>
          <w:color w:val="auto"/>
        </w:rPr>
        <w:t>Section 17.</w:t>
      </w:r>
      <w:r>
        <w:rPr>
          <w:sz w:val="20"/>
          <w:szCs w:val="20"/>
          <w:color w:val="auto"/>
        </w:rPr>
        <w:tab/>
      </w:r>
      <w:r>
        <w:rPr>
          <w:rFonts w:ascii="Arial" w:cs="Arial" w:eastAsia="Arial" w:hAnsi="Arial"/>
          <w:sz w:val="12"/>
          <w:szCs w:val="12"/>
          <w:b w:val="1"/>
          <w:bCs w:val="1"/>
          <w:color w:val="auto"/>
        </w:rPr>
        <w:t>Effective Date and Term of Plan.</w:t>
      </w:r>
    </w:p>
    <w:p>
      <w:pPr>
        <w:spacing w:after="0" w:line="180"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17.1</w:t>
      </w:r>
      <w:r>
        <w:rPr>
          <w:sz w:val="20"/>
          <w:szCs w:val="20"/>
          <w:color w:val="auto"/>
        </w:rPr>
        <w:tab/>
      </w:r>
      <w:r>
        <w:rPr>
          <w:rFonts w:ascii="Arial" w:cs="Arial" w:eastAsia="Arial" w:hAnsi="Arial"/>
          <w:sz w:val="12"/>
          <w:szCs w:val="12"/>
          <w:u w:val="single" w:color="auto"/>
          <w:color w:val="auto"/>
        </w:rPr>
        <w:t>Effective Date</w:t>
      </w:r>
      <w:r>
        <w:rPr>
          <w:rFonts w:ascii="Arial" w:cs="Arial" w:eastAsia="Arial" w:hAnsi="Arial"/>
          <w:sz w:val="12"/>
          <w:szCs w:val="12"/>
          <w:color w:val="auto"/>
        </w:rPr>
        <w:t>.</w:t>
      </w:r>
    </w:p>
    <w:p>
      <w:pPr>
        <w:spacing w:after="0" w:line="176" w:lineRule="exact"/>
        <w:rPr>
          <w:sz w:val="20"/>
          <w:szCs w:val="20"/>
          <w:color w:val="auto"/>
        </w:rPr>
      </w:pPr>
    </w:p>
    <w:p>
      <w:pPr>
        <w:ind w:left="1320" w:hanging="407"/>
        <w:spacing w:after="0"/>
        <w:tabs>
          <w:tab w:leader="none" w:pos="1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Plan has been adopted by the Board, and is effective, as of November 18, 2017, subject to the approval of the Plan by the shareholders of the Company.</w:t>
      </w:r>
    </w:p>
    <w:p>
      <w:pPr>
        <w:spacing w:after="0" w:line="175" w:lineRule="exact"/>
        <w:rPr>
          <w:rFonts w:ascii="Arial" w:cs="Arial" w:eastAsia="Arial" w:hAnsi="Arial"/>
          <w:sz w:val="14"/>
          <w:szCs w:val="14"/>
          <w:color w:val="auto"/>
        </w:rPr>
      </w:pPr>
    </w:p>
    <w:p>
      <w:pPr>
        <w:ind w:left="500" w:firstLine="413"/>
        <w:spacing w:after="0" w:line="277" w:lineRule="auto"/>
        <w:tabs>
          <w:tab w:leader="none" w:pos="1313" w:val="left"/>
        </w:tabs>
        <w:numPr>
          <w:ilvl w:val="0"/>
          <w:numId w:val="219"/>
        </w:numPr>
        <w:rPr>
          <w:rFonts w:ascii="Arial" w:cs="Arial" w:eastAsia="Arial" w:hAnsi="Arial"/>
          <w:sz w:val="14"/>
          <w:szCs w:val="14"/>
          <w:color w:val="auto"/>
        </w:rPr>
      </w:pPr>
      <w:r>
        <w:rPr>
          <w:rFonts w:ascii="Arial" w:cs="Arial" w:eastAsia="Arial" w:hAnsi="Arial"/>
          <w:sz w:val="14"/>
          <w:szCs w:val="14"/>
          <w:color w:val="auto"/>
        </w:rPr>
        <w:t>In the event the Plan is not approved by shareholders of the Company within 12 months of the date hereof, (i) the Plan shall have no effect, and (ii) any Awards granted on or after November 18, 2018 shall be cancelled.</w:t>
      </w:r>
    </w:p>
    <w:p>
      <w:pPr>
        <w:spacing w:after="0" w:line="133"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4"/>
          <w:szCs w:val="14"/>
          <w:color w:val="auto"/>
        </w:rPr>
        <w:t>17.2</w:t>
      </w:r>
      <w:r>
        <w:rPr>
          <w:sz w:val="20"/>
          <w:szCs w:val="20"/>
          <w:color w:val="auto"/>
        </w:rPr>
        <w:tab/>
      </w:r>
      <w:r>
        <w:rPr>
          <w:rFonts w:ascii="Arial" w:cs="Arial" w:eastAsia="Arial" w:hAnsi="Arial"/>
          <w:sz w:val="12"/>
          <w:szCs w:val="12"/>
          <w:u w:val="single" w:color="auto"/>
          <w:color w:val="auto"/>
        </w:rPr>
        <w:t>Term of Plan</w:t>
      </w:r>
      <w:r>
        <w:rPr>
          <w:rFonts w:ascii="Arial" w:cs="Arial" w:eastAsia="Arial" w:hAnsi="Arial"/>
          <w:sz w:val="12"/>
          <w:szCs w:val="12"/>
          <w:color w:val="auto"/>
        </w:rPr>
        <w: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Notwithstanding anything to the contrary contained herein, no Awards shall be granted on or after the 10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anniversary of the Plan’s effective date set forth in Section 17.1(a) above.</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40"/>
          </w:cols>
          <w:pgMar w:left="220" w:top="82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7"/>
          <w:szCs w:val="17"/>
          <w:b w:val="1"/>
          <w:bCs w:val="1"/>
          <w:color w:val="auto"/>
        </w:rPr>
        <w:t>Exhibit 10.2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DIRECTOR AGREEMENT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THIS AGREEMENT (the “</w:t>
      </w:r>
      <w:r>
        <w:rPr>
          <w:rFonts w:ascii="Arial" w:cs="Arial" w:eastAsia="Arial" w:hAnsi="Arial"/>
          <w:sz w:val="13"/>
          <w:szCs w:val="13"/>
          <w:b w:val="1"/>
          <w:bCs w:val="1"/>
          <w:u w:val="single" w:color="auto"/>
          <w:color w:val="auto"/>
        </w:rPr>
        <w:t>Agreement</w:t>
      </w:r>
      <w:r>
        <w:rPr>
          <w:rFonts w:ascii="Arial" w:cs="Arial" w:eastAsia="Arial" w:hAnsi="Arial"/>
          <w:sz w:val="13"/>
          <w:szCs w:val="13"/>
          <w:color w:val="auto"/>
        </w:rPr>
        <w:t>”) is made as of 2018, and is by and between CLPS Incorporation, a Cayman Islands corporation (hereinafter referred to as the “</w:t>
      </w:r>
      <w:r>
        <w:rPr>
          <w:rFonts w:ascii="Arial" w:cs="Arial" w:eastAsia="Arial" w:hAnsi="Arial"/>
          <w:sz w:val="13"/>
          <w:szCs w:val="13"/>
          <w:b w:val="1"/>
          <w:bCs w:val="1"/>
          <w:u w:val="single" w:color="auto"/>
          <w:color w:val="auto"/>
        </w:rPr>
        <w:t>Company</w:t>
      </w:r>
      <w:r>
        <w:rPr>
          <w:rFonts w:ascii="Arial" w:cs="Arial" w:eastAsia="Arial" w:hAnsi="Arial"/>
          <w:sz w:val="13"/>
          <w:szCs w:val="13"/>
          <w:color w:val="auto"/>
        </w:rPr>
        <w:t>”), and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 (hereinafter referred to as the “</w:t>
      </w:r>
      <w:r>
        <w:rPr>
          <w:rFonts w:ascii="Arial" w:cs="Arial" w:eastAsia="Arial" w:hAnsi="Arial"/>
          <w:sz w:val="14"/>
          <w:szCs w:val="14"/>
          <w:b w:val="1"/>
          <w:bCs w:val="1"/>
          <w:u w:val="single" w:color="auto"/>
          <w:color w:val="auto"/>
        </w:rPr>
        <w:t>Director</w:t>
      </w:r>
      <w:r>
        <w:rPr>
          <w:rFonts w:ascii="Arial" w:cs="Arial" w:eastAsia="Arial" w:hAnsi="Arial"/>
          <w:sz w:val="14"/>
          <w:szCs w:val="14"/>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BACKGROUND</w:t>
      </w:r>
    </w:p>
    <w:p>
      <w:pPr>
        <w:spacing w:after="0" w:line="180"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The Board of Directors of the Company desires to appoint or to ensure the continued appointment of the Director and to have or to continue to have the Director perform the duties of an independent director and the Director desires to be so appointed for or to remain appointed for such position and to perform or to continue to perform the duties required of such position in accordance with the terms and conditions of this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80"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In consideration for the above recited promises and the mutual promises contained herein, the adequacy and sufficiency of which are hereby acknowledged, the Company and the Director hereby agree as follows:</w:t>
      </w:r>
    </w:p>
    <w:p>
      <w:pPr>
        <w:spacing w:after="0" w:line="133" w:lineRule="exact"/>
        <w:rPr>
          <w:sz w:val="20"/>
          <w:szCs w:val="20"/>
          <w:color w:val="auto"/>
        </w:rPr>
      </w:pPr>
    </w:p>
    <w:p>
      <w:pPr>
        <w:jc w:val="both"/>
        <w:ind w:firstLine="509"/>
        <w:spacing w:after="0" w:line="257" w:lineRule="auto"/>
        <w:tabs>
          <w:tab w:leader="none" w:pos="892" w:val="left"/>
        </w:tabs>
        <w:numPr>
          <w:ilvl w:val="0"/>
          <w:numId w:val="220"/>
        </w:numPr>
        <w:rPr>
          <w:rFonts w:ascii="Arial" w:cs="Arial" w:eastAsia="Arial" w:hAnsi="Arial"/>
          <w:sz w:val="14"/>
          <w:szCs w:val="14"/>
          <w:color w:val="auto"/>
        </w:rPr>
      </w:pPr>
      <w:r>
        <w:rPr>
          <w:rFonts w:ascii="Arial" w:cs="Arial" w:eastAsia="Arial" w:hAnsi="Arial"/>
          <w:sz w:val="14"/>
          <w:szCs w:val="14"/>
          <w:color w:val="auto"/>
        </w:rPr>
        <w:t>DUTIES. The Company requires that the Director be available to perform the duties of an independent director customarily related to this function as may be determined and assigned by the Board of Directors of the Company and as may be required by the Company’s constituent instruments, including its Articles of Incorporation/Association, Bylaws and its corporate governance and board committee charters, each as amended or modified from time to time, and any applicable governing law, rule, regulation or statute (the “</w:t>
      </w:r>
      <w:r>
        <w:rPr>
          <w:rFonts w:ascii="Arial" w:cs="Arial" w:eastAsia="Arial" w:hAnsi="Arial"/>
          <w:sz w:val="14"/>
          <w:szCs w:val="14"/>
          <w:b w:val="1"/>
          <w:bCs w:val="1"/>
          <w:u w:val="single" w:color="auto"/>
          <w:color w:val="auto"/>
        </w:rPr>
        <w:t>Law</w:t>
      </w:r>
      <w:r>
        <w:rPr>
          <w:rFonts w:ascii="Arial" w:cs="Arial" w:eastAsia="Arial" w:hAnsi="Arial"/>
          <w:sz w:val="14"/>
          <w:szCs w:val="14"/>
          <w:color w:val="auto"/>
        </w:rPr>
        <w:t>”). The Director agrees to devote as much time as is necessary to perform completely the duties as the Director of the Company, including duties as a member of such committees as the Director may hereafter be appointed to. The Director will perform such duties described herein in accordance with the general fiduciary duty of directors arising under the Law.</w:t>
      </w:r>
    </w:p>
    <w:p>
      <w:pPr>
        <w:spacing w:after="0" w:line="148" w:lineRule="exact"/>
        <w:rPr>
          <w:rFonts w:ascii="Arial" w:cs="Arial" w:eastAsia="Arial" w:hAnsi="Arial"/>
          <w:sz w:val="14"/>
          <w:szCs w:val="14"/>
          <w:color w:val="auto"/>
        </w:rPr>
      </w:pPr>
    </w:p>
    <w:p>
      <w:pPr>
        <w:ind w:left="860" w:hanging="351"/>
        <w:spacing w:after="0"/>
        <w:tabs>
          <w:tab w:leader="none" w:pos="86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TERM. The term of this Agreement shall commence on the effective date of the IPO shall continue until the Director’s removal or resignation.</w:t>
      </w:r>
    </w:p>
    <w:p>
      <w:pPr>
        <w:spacing w:after="0" w:line="175" w:lineRule="exact"/>
        <w:rPr>
          <w:rFonts w:ascii="Arial" w:cs="Arial" w:eastAsia="Arial" w:hAnsi="Arial"/>
          <w:sz w:val="14"/>
          <w:szCs w:val="14"/>
          <w:color w:val="auto"/>
        </w:rPr>
      </w:pPr>
    </w:p>
    <w:p>
      <w:pPr>
        <w:ind w:firstLine="509"/>
        <w:spacing w:after="0" w:line="277" w:lineRule="auto"/>
        <w:tabs>
          <w:tab w:leader="none" w:pos="867" w:val="left"/>
        </w:tabs>
        <w:numPr>
          <w:ilvl w:val="0"/>
          <w:numId w:val="220"/>
        </w:numPr>
        <w:rPr>
          <w:rFonts w:ascii="Arial" w:cs="Arial" w:eastAsia="Arial" w:hAnsi="Arial"/>
          <w:sz w:val="14"/>
          <w:szCs w:val="14"/>
          <w:color w:val="auto"/>
        </w:rPr>
      </w:pPr>
      <w:r>
        <w:rPr>
          <w:rFonts w:ascii="Arial" w:cs="Arial" w:eastAsia="Arial" w:hAnsi="Arial"/>
          <w:sz w:val="14"/>
          <w:szCs w:val="14"/>
          <w:color w:val="auto"/>
        </w:rPr>
        <w:t>COMPENSATION. For all services to be rendered by the Director in any capacity hereunder, the Company agrees to pay the Director a fee of $1,500 per month. Such fee may be adjusted, up or down, from time to time as determined by the Company’s Board of Directors.</w:t>
      </w:r>
    </w:p>
    <w:p>
      <w:pPr>
        <w:spacing w:after="0" w:line="133" w:lineRule="exact"/>
        <w:rPr>
          <w:rFonts w:ascii="Arial" w:cs="Arial" w:eastAsia="Arial" w:hAnsi="Arial"/>
          <w:sz w:val="14"/>
          <w:szCs w:val="14"/>
          <w:color w:val="auto"/>
        </w:rPr>
      </w:pPr>
    </w:p>
    <w:p>
      <w:pPr>
        <w:jc w:val="both"/>
        <w:ind w:firstLine="509"/>
        <w:spacing w:after="0" w:line="264" w:lineRule="auto"/>
        <w:tabs>
          <w:tab w:leader="none" w:pos="895" w:val="left"/>
        </w:tabs>
        <w:numPr>
          <w:ilvl w:val="0"/>
          <w:numId w:val="220"/>
        </w:numPr>
        <w:rPr>
          <w:rFonts w:ascii="Arial" w:cs="Arial" w:eastAsia="Arial" w:hAnsi="Arial"/>
          <w:sz w:val="14"/>
          <w:szCs w:val="14"/>
          <w:color w:val="auto"/>
        </w:rPr>
      </w:pPr>
      <w:r>
        <w:rPr>
          <w:rFonts w:ascii="Arial" w:cs="Arial" w:eastAsia="Arial" w:hAnsi="Arial"/>
          <w:sz w:val="14"/>
          <w:szCs w:val="14"/>
          <w:color w:val="auto"/>
        </w:rPr>
        <w:t>EXPENSES. In addition to the compensation provided in paragraph 3 hereof, the Company will reimburse the Director for pre-approved reasonable business-related expenses incurred in good faith in the performance of the Director’s duties for the Company. Such payments shall be made by the Company upon submission by the Director of a signed statement itemizing the expenses incurred. Such statement shall be accompanied by sufficient documentary matter to support the expenditures.</w:t>
      </w:r>
    </w:p>
    <w:p>
      <w:pPr>
        <w:spacing w:after="0" w:line="142" w:lineRule="exact"/>
        <w:rPr>
          <w:rFonts w:ascii="Arial" w:cs="Arial" w:eastAsia="Arial" w:hAnsi="Arial"/>
          <w:sz w:val="14"/>
          <w:szCs w:val="14"/>
          <w:color w:val="auto"/>
        </w:rPr>
      </w:pPr>
    </w:p>
    <w:p>
      <w:pPr>
        <w:jc w:val="both"/>
        <w:ind w:firstLine="509"/>
        <w:spacing w:after="0" w:line="259" w:lineRule="auto"/>
        <w:tabs>
          <w:tab w:leader="none" w:pos="876" w:val="left"/>
        </w:tabs>
        <w:numPr>
          <w:ilvl w:val="0"/>
          <w:numId w:val="220"/>
        </w:numPr>
        <w:rPr>
          <w:rFonts w:ascii="Arial" w:cs="Arial" w:eastAsia="Arial" w:hAnsi="Arial"/>
          <w:sz w:val="14"/>
          <w:szCs w:val="14"/>
          <w:color w:val="auto"/>
        </w:rPr>
      </w:pPr>
      <w:r>
        <w:rPr>
          <w:rFonts w:ascii="Arial" w:cs="Arial" w:eastAsia="Arial" w:hAnsi="Arial"/>
          <w:sz w:val="14"/>
          <w:szCs w:val="14"/>
          <w:color w:val="auto"/>
        </w:rPr>
        <w:t>CONFIDENTIALITY. The Company and the Director each acknowledge that, in order for the intents and purposes of this Agreement to be accomplished, the Director shall necessarily be obtaining access to certain confidential information concerning the Company and its affairs, including, but not limited to business methods, information systems, financial data and strategic plans which are unique assets of the Company (“</w:t>
      </w:r>
      <w:r>
        <w:rPr>
          <w:rFonts w:ascii="Arial" w:cs="Arial" w:eastAsia="Arial" w:hAnsi="Arial"/>
          <w:sz w:val="14"/>
          <w:szCs w:val="14"/>
          <w:b w:val="1"/>
          <w:bCs w:val="1"/>
          <w:u w:val="single" w:color="auto"/>
          <w:color w:val="auto"/>
        </w:rPr>
        <w:t>Confidential Information</w:t>
      </w:r>
      <w:r>
        <w:rPr>
          <w:rFonts w:ascii="Arial" w:cs="Arial" w:eastAsia="Arial" w:hAnsi="Arial"/>
          <w:sz w:val="14"/>
          <w:szCs w:val="14"/>
          <w:color w:val="auto"/>
        </w:rPr>
        <w:t>”). The Director covenants not to, either directly or indirectly, in any manner, utilize or disclose to any person, firm, corporation, association or other entity any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277100" cy="13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0" w:name="page221"/>
    <w:bookmarkEnd w:id="220"/>
    <w:p>
      <w:pPr>
        <w:jc w:val="both"/>
        <w:ind w:firstLine="509"/>
        <w:spacing w:after="0" w:line="264" w:lineRule="auto"/>
        <w:tabs>
          <w:tab w:leader="none" w:pos="898" w:val="left"/>
        </w:tabs>
        <w:numPr>
          <w:ilvl w:val="0"/>
          <w:numId w:val="221"/>
        </w:numPr>
        <w:rPr>
          <w:rFonts w:ascii="Arial" w:cs="Arial" w:eastAsia="Arial" w:hAnsi="Arial"/>
          <w:sz w:val="14"/>
          <w:szCs w:val="14"/>
          <w:color w:val="auto"/>
        </w:rPr>
      </w:pPr>
      <w:r>
        <w:rPr>
          <w:rFonts w:ascii="Arial" w:cs="Arial" w:eastAsia="Arial" w:hAnsi="Arial"/>
          <w:sz w:val="14"/>
          <w:szCs w:val="14"/>
          <w:color w:val="auto"/>
        </w:rPr>
        <w:t>ASSIGNMENT. The rights and benefits of the Company under this Agreement shall be transferable, and all the covenants and agreements hereunder shall inure to the benefit of, and be enforceable by or against, its successors and assigns. The duties and obligations of the Director under this Agreement are personal and therefore the Director may not assign any right or duty under this Agreement without the prior written consent of the Company.</w:t>
      </w:r>
    </w:p>
    <w:p>
      <w:pPr>
        <w:spacing w:after="0" w:line="142" w:lineRule="exact"/>
        <w:rPr>
          <w:rFonts w:ascii="Arial" w:cs="Arial" w:eastAsia="Arial" w:hAnsi="Arial"/>
          <w:sz w:val="14"/>
          <w:szCs w:val="14"/>
          <w:color w:val="auto"/>
        </w:rPr>
      </w:pPr>
    </w:p>
    <w:p>
      <w:pPr>
        <w:ind w:firstLine="509"/>
        <w:spacing w:after="0" w:line="277" w:lineRule="auto"/>
        <w:tabs>
          <w:tab w:leader="none" w:pos="915" w:val="left"/>
        </w:tabs>
        <w:numPr>
          <w:ilvl w:val="0"/>
          <w:numId w:val="221"/>
        </w:numPr>
        <w:rPr>
          <w:rFonts w:ascii="Arial" w:cs="Arial" w:eastAsia="Arial" w:hAnsi="Arial"/>
          <w:sz w:val="14"/>
          <w:szCs w:val="14"/>
          <w:color w:val="auto"/>
        </w:rPr>
      </w:pPr>
      <w:r>
        <w:rPr>
          <w:rFonts w:ascii="Arial" w:cs="Arial" w:eastAsia="Arial" w:hAnsi="Arial"/>
          <w:sz w:val="14"/>
          <w:szCs w:val="14"/>
          <w:color w:val="auto"/>
        </w:rPr>
        <w:t>MISCELLANEOUS. If any provision of this Agreement shall be declared invalid or illegal, for any reason whatsoever, then, notwithstanding such invalidity or illegality, the remaining terms and provisions of this Agreement shall remain in full force and effect in the same manner as if the invalid or illegal provision had not been contained herein.</w:t>
      </w:r>
    </w:p>
    <w:p>
      <w:pPr>
        <w:spacing w:after="0" w:line="133" w:lineRule="exact"/>
        <w:rPr>
          <w:rFonts w:ascii="Arial" w:cs="Arial" w:eastAsia="Arial" w:hAnsi="Arial"/>
          <w:sz w:val="14"/>
          <w:szCs w:val="14"/>
          <w:color w:val="auto"/>
        </w:rPr>
      </w:pPr>
    </w:p>
    <w:p>
      <w:pPr>
        <w:ind w:firstLine="509"/>
        <w:spacing w:after="0" w:line="277" w:lineRule="auto"/>
        <w:tabs>
          <w:tab w:leader="none" w:pos="902" w:val="left"/>
        </w:tabs>
        <w:numPr>
          <w:ilvl w:val="0"/>
          <w:numId w:val="221"/>
        </w:numPr>
        <w:rPr>
          <w:rFonts w:ascii="Arial" w:cs="Arial" w:eastAsia="Arial" w:hAnsi="Arial"/>
          <w:sz w:val="14"/>
          <w:szCs w:val="14"/>
          <w:color w:val="auto"/>
        </w:rPr>
      </w:pPr>
      <w:r>
        <w:rPr>
          <w:rFonts w:ascii="Arial" w:cs="Arial" w:eastAsia="Arial" w:hAnsi="Arial"/>
          <w:sz w:val="14"/>
          <w:szCs w:val="14"/>
          <w:color w:val="auto"/>
        </w:rPr>
        <w:t>COUNTERPARTS. This Agreement may be executed in any number of counterparts, all of which taken together shall constitute one instrument. Facsimile or electronic .PDF (or similar format) execution and delivery of this Agreement is legal, valid and binding for all purposes.</w:t>
      </w:r>
    </w:p>
    <w:p>
      <w:pPr>
        <w:spacing w:after="0" w:line="133" w:lineRule="exact"/>
        <w:rPr>
          <w:rFonts w:ascii="Arial" w:cs="Arial" w:eastAsia="Arial" w:hAnsi="Arial"/>
          <w:sz w:val="14"/>
          <w:szCs w:val="14"/>
          <w:color w:val="auto"/>
        </w:rPr>
      </w:pPr>
    </w:p>
    <w:p>
      <w:pPr>
        <w:jc w:val="both"/>
        <w:ind w:firstLine="509"/>
        <w:spacing w:after="0" w:line="264" w:lineRule="auto"/>
        <w:tabs>
          <w:tab w:leader="none" w:pos="949" w:val="left"/>
        </w:tabs>
        <w:numPr>
          <w:ilvl w:val="0"/>
          <w:numId w:val="221"/>
        </w:numPr>
        <w:rPr>
          <w:rFonts w:ascii="Arial" w:cs="Arial" w:eastAsia="Arial" w:hAnsi="Arial"/>
          <w:sz w:val="14"/>
          <w:szCs w:val="14"/>
          <w:color w:val="auto"/>
        </w:rPr>
      </w:pPr>
      <w:r>
        <w:rPr>
          <w:rFonts w:ascii="Arial" w:cs="Arial" w:eastAsia="Arial" w:hAnsi="Arial"/>
          <w:sz w:val="14"/>
          <w:szCs w:val="14"/>
          <w:color w:val="auto"/>
        </w:rPr>
        <w:t>ENTIRE AGREEMENT. Except as provided elsewhere herein, this Agreement sets forth the entire agreement of the parties with respect to its subject matter and supersedes all prior agreements, promises, covenants, arrangements, communications, representations or warranties, whether oral or written, by any officer, employee or representative of any party to this Agreement with respect to such subject matter.</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WITNESS WHEREOF, the parties hereto have caused this Independent Director Agreement to be duly executed and signed as of the day and year first above written.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CLPS Incorporation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-101600</wp:posOffset>
            </wp:positionV>
            <wp:extent cx="2619375" cy="13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19375" cy="1333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619375"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19375" cy="1333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-101600</wp:posOffset>
            </wp:positionV>
            <wp:extent cx="2619375" cy="13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19375" cy="1333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2926715" cy="13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26715" cy="133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5080</wp:posOffset>
            </wp:positionV>
            <wp:extent cx="2606040" cy="13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6040" cy="1333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5080</wp:posOffset>
            </wp:positionV>
            <wp:extent cx="2606040" cy="13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604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339090</wp:posOffset>
            </wp:positionV>
            <wp:extent cx="7277100" cy="13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4"/>
          <w:szCs w:val="14"/>
          <w:b w:val="1"/>
          <w:bCs w:val="1"/>
          <w:color w:val="auto"/>
        </w:rPr>
        <w:t>Exhibit 10.3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EMPLOYMENT AGREEMENT</w:t>
      </w:r>
    </w:p>
    <w:p>
      <w:pPr>
        <w:spacing w:after="0" w:line="180"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This EMPLOYMENT AGREEMENT (the “Agreement”) is entered into as of December 9, 2017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CLPS INCORPORATION., a Cayman Islands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having its principal place of business at c/o 2nd Floor, Building 18, Shanghai Pudong Software Park, 498 Guoshoujin Road, Pudong, Shanghai 201203, People’s Republic of China, and Xiao Feng Yang (“</w:t>
      </w:r>
      <w:r>
        <w:rPr>
          <w:rFonts w:ascii="Arial" w:cs="Arial" w:eastAsia="Arial" w:hAnsi="Arial"/>
          <w:sz w:val="14"/>
          <w:szCs w:val="14"/>
          <w:u w:val="single" w:color="auto"/>
          <w:color w:val="auto"/>
        </w:rPr>
        <w:t>Executive</w:t>
      </w:r>
      <w:r>
        <w:rPr>
          <w:rFonts w:ascii="Arial" w:cs="Arial" w:eastAsia="Arial" w:hAnsi="Arial"/>
          <w:sz w:val="14"/>
          <w:szCs w:val="14"/>
          <w:color w:val="auto"/>
        </w:rPr>
        <w:t>”, and the Company and the Executive collectively referred to herein as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WITNESSETH</w:t>
      </w:r>
      <w:r>
        <w:rPr>
          <w:rFonts w:ascii="Arial" w:cs="Arial" w:eastAsia="Arial" w:hAnsi="Arial"/>
          <w:sz w:val="14"/>
          <w:szCs w:val="14"/>
          <w:color w:val="auto"/>
        </w:rPr>
        <w:t>:</w:t>
      </w:r>
    </w:p>
    <w:p>
      <w:pPr>
        <w:spacing w:after="0" w:line="176"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desires to hire Executive and to employ him as the Company’s Chairman &amp; President (“</w:t>
      </w:r>
      <w:r>
        <w:rPr>
          <w:rFonts w:ascii="Arial" w:cs="Arial" w:eastAsia="Arial" w:hAnsi="Arial"/>
          <w:sz w:val="14"/>
          <w:szCs w:val="14"/>
          <w:u w:val="single" w:color="auto"/>
          <w:color w:val="auto"/>
        </w:rPr>
        <w:t>Title</w:t>
      </w:r>
      <w:r>
        <w:rPr>
          <w:rFonts w:ascii="Arial" w:cs="Arial" w:eastAsia="Arial" w:hAnsi="Arial"/>
          <w:sz w:val="14"/>
          <w:szCs w:val="14"/>
          <w:color w:val="auto"/>
        </w:rPr>
        <w:t>”) commencing as of the Effective Date, and the Parties desire to enter</w:t>
      </w:r>
      <w:r>
        <w:rPr>
          <w:rFonts w:ascii="Arial" w:cs="Arial" w:eastAsia="Arial" w:hAnsi="Arial"/>
          <w:sz w:val="14"/>
          <w:szCs w:val="14"/>
          <w:b w:val="1"/>
          <w:bCs w:val="1"/>
          <w:color w:val="auto"/>
        </w:rPr>
        <w:t xml:space="preserve"> </w:t>
      </w:r>
      <w:r>
        <w:rPr>
          <w:rFonts w:ascii="Arial" w:cs="Arial" w:eastAsia="Arial" w:hAnsi="Arial"/>
          <w:sz w:val="14"/>
          <w:szCs w:val="14"/>
          <w:color w:val="auto"/>
        </w:rPr>
        <w:t>into this Agreement embodying the terms of such employment;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premises and the mutual covenants and promises of the Parties contained herein, the Parties, intending to be legally bound, hereby agree as follows:</w:t>
      </w:r>
    </w:p>
    <w:p>
      <w:pPr>
        <w:spacing w:after="0" w:line="203" w:lineRule="exact"/>
        <w:rPr>
          <w:sz w:val="20"/>
          <w:szCs w:val="20"/>
          <w:color w:val="auto"/>
        </w:rPr>
      </w:pPr>
    </w:p>
    <w:p>
      <w:pPr>
        <w:ind w:left="1040" w:hanging="531"/>
        <w:spacing w:after="0"/>
        <w:tabs>
          <w:tab w:leader="none" w:pos="104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Title and Job Duties</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left="1420" w:hanging="406"/>
        <w:spacing w:after="0"/>
        <w:tabs>
          <w:tab w:leader="none" w:pos="1420" w:val="left"/>
        </w:tabs>
        <w:numPr>
          <w:ilvl w:val="1"/>
          <w:numId w:val="222"/>
        </w:numPr>
        <w:rPr>
          <w:rFonts w:ascii="Arial" w:cs="Arial" w:eastAsia="Arial" w:hAnsi="Arial"/>
          <w:sz w:val="14"/>
          <w:szCs w:val="14"/>
          <w:color w:val="auto"/>
        </w:rPr>
      </w:pPr>
      <w:r>
        <w:rPr>
          <w:rFonts w:ascii="Arial" w:cs="Arial" w:eastAsia="Arial" w:hAnsi="Arial"/>
          <w:sz w:val="14"/>
          <w:szCs w:val="14"/>
          <w:color w:val="auto"/>
        </w:rPr>
        <w:t>Subject to the terms and conditions set forth in this Agreement, the Company agrees to employ Executive as the Chairman and President.</w:t>
      </w:r>
    </w:p>
    <w:p>
      <w:pPr>
        <w:spacing w:after="0" w:line="175" w:lineRule="exact"/>
        <w:rPr>
          <w:rFonts w:ascii="Arial" w:cs="Arial" w:eastAsia="Arial" w:hAnsi="Arial"/>
          <w:sz w:val="14"/>
          <w:szCs w:val="14"/>
          <w:color w:val="auto"/>
        </w:rPr>
      </w:pPr>
    </w:p>
    <w:p>
      <w:pPr>
        <w:ind w:firstLine="1014"/>
        <w:spacing w:after="0" w:line="277" w:lineRule="auto"/>
        <w:tabs>
          <w:tab w:leader="none" w:pos="1491" w:val="left"/>
        </w:tabs>
        <w:numPr>
          <w:ilvl w:val="1"/>
          <w:numId w:val="222"/>
        </w:numPr>
        <w:rPr>
          <w:rFonts w:ascii="Arial" w:cs="Arial" w:eastAsia="Arial" w:hAnsi="Arial"/>
          <w:sz w:val="14"/>
          <w:szCs w:val="14"/>
          <w:color w:val="auto"/>
        </w:rPr>
      </w:pPr>
      <w:r>
        <w:rPr>
          <w:rFonts w:ascii="Arial" w:cs="Arial" w:eastAsia="Arial" w:hAnsi="Arial"/>
          <w:sz w:val="14"/>
          <w:szCs w:val="14"/>
          <w:color w:val="auto"/>
        </w:rPr>
        <w:t>Executive accepts such employment and agrees, during the term of his employment, to devote his full business and professional time and energy to the Company, and agrees faithfully to perform his duties and responsibilities in an efficient, trustworthy and business-like manner.</w:t>
      </w:r>
    </w:p>
    <w:p>
      <w:pPr>
        <w:spacing w:after="0" w:line="133" w:lineRule="exact"/>
        <w:rPr>
          <w:rFonts w:ascii="Arial" w:cs="Arial" w:eastAsia="Arial" w:hAnsi="Arial"/>
          <w:sz w:val="14"/>
          <w:szCs w:val="14"/>
          <w:color w:val="auto"/>
        </w:rPr>
      </w:pPr>
    </w:p>
    <w:p>
      <w:pPr>
        <w:jc w:val="both"/>
        <w:ind w:firstLine="1014"/>
        <w:spacing w:after="0" w:line="282" w:lineRule="auto"/>
        <w:tabs>
          <w:tab w:leader="none" w:pos="1424" w:val="left"/>
        </w:tabs>
        <w:numPr>
          <w:ilvl w:val="1"/>
          <w:numId w:val="222"/>
        </w:numPr>
        <w:rPr>
          <w:rFonts w:ascii="Arial" w:cs="Arial" w:eastAsia="Arial" w:hAnsi="Arial"/>
          <w:sz w:val="13"/>
          <w:szCs w:val="13"/>
          <w:color w:val="auto"/>
        </w:rPr>
      </w:pPr>
      <w:r>
        <w:rPr>
          <w:rFonts w:ascii="Arial" w:cs="Arial" w:eastAsia="Arial" w:hAnsi="Arial"/>
          <w:sz w:val="13"/>
          <w:szCs w:val="13"/>
          <w:color w:val="auto"/>
        </w:rPr>
        <w:t>Without limiting the generality of the foregoing, Executive shall not, without the written approval of the Company, render services of a business or commercial nature on his own behalf or on behalf of any other person, firm, or corporation, whether for compensation or otherwise, during his employment hereunder; provided, however, the Company herby approves of the Executive’s limited activities, which shall not interfere with Executive’s ability to perform hereunder, in real estate and business to business lending in the automotive industry as they exist on the Effective Date.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31" w:lineRule="exact"/>
        <w:rPr>
          <w:rFonts w:ascii="Arial" w:cs="Arial" w:eastAsia="Arial" w:hAnsi="Arial"/>
          <w:sz w:val="13"/>
          <w:szCs w:val="13"/>
          <w:color w:val="auto"/>
        </w:rPr>
      </w:pPr>
    </w:p>
    <w:p>
      <w:pPr>
        <w:ind w:left="1040" w:hanging="531"/>
        <w:spacing w:after="0"/>
        <w:tabs>
          <w:tab w:leader="none" w:pos="104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Salary and Additional Compensation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firstLine="1014"/>
        <w:spacing w:after="0" w:line="264" w:lineRule="auto"/>
        <w:tabs>
          <w:tab w:leader="none" w:pos="1422" w:val="left"/>
        </w:tabs>
        <w:numPr>
          <w:ilvl w:val="1"/>
          <w:numId w:val="222"/>
        </w:numPr>
        <w:rPr>
          <w:rFonts w:ascii="Arial" w:cs="Arial" w:eastAsia="Arial" w:hAnsi="Arial"/>
          <w:sz w:val="14"/>
          <w:szCs w:val="14"/>
          <w:color w:val="auto"/>
        </w:rPr>
      </w:pPr>
      <w:r>
        <w:rPr>
          <w:rFonts w:ascii="Arial" w:cs="Arial" w:eastAsia="Arial" w:hAnsi="Arial"/>
          <w:sz w:val="14"/>
          <w:szCs w:val="14"/>
          <w:u w:val="single" w:color="auto"/>
          <w:color w:val="auto"/>
        </w:rPr>
        <w:t>Base Salary</w:t>
      </w:r>
      <w:r>
        <w:rPr>
          <w:rFonts w:ascii="Arial" w:cs="Arial" w:eastAsia="Arial" w:hAnsi="Arial"/>
          <w:sz w:val="14"/>
          <w:szCs w:val="14"/>
          <w:color w:val="auto"/>
        </w:rPr>
        <w:t>. The Company shall pay to Executive an annual base salary (“</w:t>
      </w:r>
      <w:r>
        <w:rPr>
          <w:rFonts w:ascii="Arial" w:cs="Arial" w:eastAsia="Arial" w:hAnsi="Arial"/>
          <w:sz w:val="14"/>
          <w:szCs w:val="14"/>
          <w:u w:val="single" w:color="auto"/>
          <w:color w:val="auto"/>
        </w:rPr>
        <w:t>Base Salary</w:t>
      </w:r>
      <w:r>
        <w:rPr>
          <w:rFonts w:ascii="Arial" w:cs="Arial" w:eastAsia="Arial" w:hAnsi="Arial"/>
          <w:sz w:val="14"/>
          <w:szCs w:val="14"/>
          <w:color w:val="auto"/>
        </w:rPr>
        <w:t>”) of RMB144,000 and HK$566,472 (a total of approximately USD$94,100) in accordance with the Company’s normal payroll procedures.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277100" cy="133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22" w:name="page223"/>
    <w:bookmarkEnd w:id="222"/>
    <w:p>
      <w:pPr>
        <w:jc w:val="both"/>
        <w:ind w:left="-20" w:firstLine="1014"/>
        <w:spacing w:after="0" w:line="282" w:lineRule="auto"/>
        <w:tabs>
          <w:tab w:leader="none" w:pos="1431" w:val="left"/>
        </w:tabs>
        <w:numPr>
          <w:ilvl w:val="1"/>
          <w:numId w:val="223"/>
        </w:numPr>
        <w:rPr>
          <w:rFonts w:ascii="Arial" w:cs="Arial" w:eastAsia="Arial" w:hAnsi="Arial"/>
          <w:sz w:val="13"/>
          <w:szCs w:val="13"/>
          <w:color w:val="auto"/>
        </w:rPr>
      </w:pPr>
      <w:r>
        <w:rPr>
          <w:rFonts w:ascii="Arial" w:cs="Arial" w:eastAsia="Arial" w:hAnsi="Arial"/>
          <w:sz w:val="13"/>
          <w:szCs w:val="13"/>
          <w:u w:val="single" w:color="auto"/>
          <w:color w:val="auto"/>
        </w:rPr>
        <w:t>Annual Bonus</w:t>
      </w:r>
      <w:r>
        <w:rPr>
          <w:rFonts w:ascii="Arial" w:cs="Arial" w:eastAsia="Arial" w:hAnsi="Arial"/>
          <w:sz w:val="13"/>
          <w:szCs w:val="13"/>
          <w:color w:val="auto"/>
        </w:rPr>
        <w:t>. Commencing with the year ending June 30, 2018, Executive will be entitled to receive an annual cash bonus (the “</w:t>
      </w:r>
      <w:r>
        <w:rPr>
          <w:rFonts w:ascii="Arial" w:cs="Arial" w:eastAsia="Arial" w:hAnsi="Arial"/>
          <w:sz w:val="13"/>
          <w:szCs w:val="13"/>
          <w:u w:val="single" w:color="auto"/>
          <w:color w:val="auto"/>
        </w:rPr>
        <w:t>Annual Bonus</w:t>
      </w:r>
      <w:r>
        <w:rPr>
          <w:rFonts w:ascii="Arial" w:cs="Arial" w:eastAsia="Arial" w:hAnsi="Arial"/>
          <w:sz w:val="13"/>
          <w:szCs w:val="13"/>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3"/>
          <w:szCs w:val="13"/>
          <w:u w:val="single" w:color="auto"/>
          <w:color w:val="auto"/>
        </w:rPr>
        <w:t>Board</w:t>
      </w:r>
      <w:r>
        <w:rPr>
          <w:rFonts w:ascii="Arial" w:cs="Arial" w:eastAsia="Arial" w:hAnsi="Arial"/>
          <w:sz w:val="13"/>
          <w:szCs w:val="13"/>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31" w:lineRule="exact"/>
        <w:rPr>
          <w:rFonts w:ascii="Arial" w:cs="Arial" w:eastAsia="Arial" w:hAnsi="Arial"/>
          <w:sz w:val="13"/>
          <w:szCs w:val="13"/>
          <w:color w:val="auto"/>
        </w:rPr>
      </w:pPr>
    </w:p>
    <w:p>
      <w:pPr>
        <w:jc w:val="both"/>
        <w:ind w:left="-20" w:firstLine="509"/>
        <w:spacing w:after="0" w:line="257" w:lineRule="auto"/>
        <w:tabs>
          <w:tab w:leader="none" w:pos="1106" w:val="left"/>
        </w:tabs>
        <w:numPr>
          <w:ilvl w:val="0"/>
          <w:numId w:val="224"/>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his duties under this Agreement, including without limitation all travel expenses to and from his designated office as set forth in the opening paragraph of this Agreement, upon his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48" w:lineRule="exact"/>
        <w:rPr>
          <w:rFonts w:ascii="Arial" w:cs="Arial" w:eastAsia="Arial" w:hAnsi="Arial"/>
          <w:sz w:val="14"/>
          <w:szCs w:val="14"/>
          <w:color w:val="auto"/>
        </w:rPr>
      </w:pPr>
    </w:p>
    <w:p>
      <w:pPr>
        <w:ind w:left="1020" w:hanging="531"/>
        <w:spacing w:after="0"/>
        <w:tabs>
          <w:tab w:leader="none" w:pos="1020" w:val="left"/>
        </w:tabs>
        <w:numPr>
          <w:ilvl w:val="0"/>
          <w:numId w:val="224"/>
        </w:numPr>
        <w:rPr>
          <w:rFonts w:ascii="Arial" w:cs="Arial" w:eastAsia="Arial" w:hAnsi="Arial"/>
          <w:sz w:val="14"/>
          <w:szCs w:val="14"/>
          <w:color w:val="auto"/>
        </w:rPr>
      </w:pPr>
      <w:r>
        <w:rPr>
          <w:rFonts w:ascii="Arial" w:cs="Arial" w:eastAsia="Arial" w:hAnsi="Arial"/>
          <w:sz w:val="14"/>
          <w:szCs w:val="14"/>
          <w:u w:val="single" w:color="auto"/>
          <w:color w:val="auto"/>
        </w:rPr>
        <w:t>Benefits</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left="-20" w:firstLine="1014"/>
        <w:spacing w:after="0" w:line="277" w:lineRule="auto"/>
        <w:tabs>
          <w:tab w:leader="none" w:pos="1423" w:val="left"/>
        </w:tabs>
        <w:numPr>
          <w:ilvl w:val="1"/>
          <w:numId w:val="224"/>
        </w:numPr>
        <w:rPr>
          <w:rFonts w:ascii="Arial" w:cs="Arial" w:eastAsia="Arial" w:hAnsi="Arial"/>
          <w:sz w:val="14"/>
          <w:szCs w:val="14"/>
          <w:color w:val="auto"/>
        </w:rPr>
      </w:pPr>
      <w:r>
        <w:rPr>
          <w:rFonts w:ascii="Arial" w:cs="Arial" w:eastAsia="Arial" w:hAnsi="Arial"/>
          <w:sz w:val="14"/>
          <w:szCs w:val="14"/>
          <w:u w:val="single" w:color="auto"/>
          <w:color w:val="auto"/>
        </w:rPr>
        <w:t>Vacation and Sick Leave</w:t>
      </w:r>
      <w:r>
        <w:rPr>
          <w:rFonts w:ascii="Arial" w:cs="Arial" w:eastAsia="Arial" w:hAnsi="Arial"/>
          <w:sz w:val="14"/>
          <w:szCs w:val="14"/>
          <w:color w:val="auto"/>
        </w:rPr>
        <w:t>. Executive shall be entitled to three weeks of vacation per year and 10 days of sick leave per year, which shall accrue at a pro rata rate per pay period. Vacation must be taken in the year in which it accrues and the dates of any vacation must be approved by the CEO.</w:t>
      </w:r>
    </w:p>
    <w:p>
      <w:pPr>
        <w:spacing w:after="0" w:line="133" w:lineRule="exact"/>
        <w:rPr>
          <w:rFonts w:ascii="Arial" w:cs="Arial" w:eastAsia="Arial" w:hAnsi="Arial"/>
          <w:sz w:val="14"/>
          <w:szCs w:val="14"/>
          <w:color w:val="auto"/>
        </w:rPr>
      </w:pPr>
    </w:p>
    <w:p>
      <w:pPr>
        <w:ind w:left="-20" w:firstLine="1014"/>
        <w:spacing w:after="0" w:line="277" w:lineRule="auto"/>
        <w:tabs>
          <w:tab w:leader="none" w:pos="1441" w:val="left"/>
        </w:tabs>
        <w:numPr>
          <w:ilvl w:val="1"/>
          <w:numId w:val="224"/>
        </w:numPr>
        <w:rPr>
          <w:rFonts w:ascii="Arial" w:cs="Arial" w:eastAsia="Arial" w:hAnsi="Arial"/>
          <w:sz w:val="14"/>
          <w:szCs w:val="14"/>
          <w:color w:val="auto"/>
        </w:rPr>
      </w:pPr>
      <w:r>
        <w:rPr>
          <w:rFonts w:ascii="Arial" w:cs="Arial" w:eastAsia="Arial" w:hAnsi="Arial"/>
          <w:sz w:val="14"/>
          <w:szCs w:val="14"/>
          <w:u w:val="single" w:color="auto"/>
          <w:color w:val="auto"/>
        </w:rPr>
        <w:t>Health Insurance and Other Plans</w:t>
      </w:r>
      <w:r>
        <w:rPr>
          <w:rFonts w:ascii="Arial" w:cs="Arial" w:eastAsia="Arial" w:hAnsi="Arial"/>
          <w:sz w:val="14"/>
          <w:szCs w:val="14"/>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33" w:lineRule="exact"/>
        <w:rPr>
          <w:rFonts w:ascii="Arial" w:cs="Arial" w:eastAsia="Arial" w:hAnsi="Arial"/>
          <w:sz w:val="14"/>
          <w:szCs w:val="14"/>
          <w:color w:val="auto"/>
        </w:rPr>
      </w:pPr>
    </w:p>
    <w:p>
      <w:pPr>
        <w:jc w:val="both"/>
        <w:ind w:left="-20" w:firstLine="509"/>
        <w:spacing w:after="0" w:line="255" w:lineRule="auto"/>
        <w:tabs>
          <w:tab w:leader="none" w:pos="1200" w:val="left"/>
        </w:tabs>
        <w:numPr>
          <w:ilvl w:val="0"/>
          <w:numId w:val="224"/>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The term of employment under this Agreement (the “Term) shall be for a five-year period commencing on the Effective Date and ending on May 10, 2022, and shall be automatically extended for an additional consecutive twelve (12)-month period on the fifth anniversary of the Effective Date and each subsequent anniversary thereof, unless and until the Company or Executive provides written notice to the other party not less than ninety (90) 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his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23" w:name="page224"/>
    <w:bookmarkEnd w:id="223"/>
    <w:p>
      <w:pPr>
        <w:ind w:left="1020" w:hanging="531"/>
        <w:spacing w:after="0"/>
        <w:tabs>
          <w:tab w:leader="none" w:pos="1020" w:val="left"/>
        </w:tabs>
        <w:numPr>
          <w:ilvl w:val="0"/>
          <w:numId w:val="225"/>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left="1540" w:hanging="546"/>
        <w:spacing w:after="0"/>
        <w:tabs>
          <w:tab w:leader="none" w:pos="1540" w:val="left"/>
        </w:tabs>
        <w:numPr>
          <w:ilvl w:val="1"/>
          <w:numId w:val="225"/>
        </w:numPr>
        <w:rPr>
          <w:rFonts w:ascii="Arial" w:cs="Arial" w:eastAsia="Arial" w:hAnsi="Arial"/>
          <w:sz w:val="14"/>
          <w:szCs w:val="14"/>
          <w:color w:val="auto"/>
        </w:rPr>
      </w:pPr>
      <w:r>
        <w:rPr>
          <w:rFonts w:ascii="Arial" w:cs="Arial" w:eastAsia="Arial" w:hAnsi="Arial"/>
          <w:sz w:val="14"/>
          <w:szCs w:val="14"/>
          <w:u w:val="single" w:color="auto"/>
          <w:color w:val="auto"/>
        </w:rPr>
        <w:t>Termination at the Company’s Election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520"/>
        <w:spacing w:after="0" w:line="279" w:lineRule="auto"/>
        <w:tabs>
          <w:tab w:leader="none" w:pos="1894" w:val="left"/>
        </w:tabs>
        <w:numPr>
          <w:ilvl w:val="2"/>
          <w:numId w:val="225"/>
        </w:numPr>
        <w:rPr>
          <w:rFonts w:ascii="Arial" w:cs="Arial" w:eastAsia="Arial" w:hAnsi="Arial"/>
          <w:sz w:val="13"/>
          <w:szCs w:val="13"/>
          <w:color w:val="auto"/>
        </w:rPr>
      </w:pPr>
      <w:r>
        <w:rPr>
          <w:rFonts w:ascii="Arial" w:cs="Arial" w:eastAsia="Arial" w:hAnsi="Arial"/>
          <w:sz w:val="13"/>
          <w:szCs w:val="13"/>
          <w:u w:val="single" w:color="auto"/>
          <w:color w:val="auto"/>
        </w:rPr>
        <w:t>For Cause</w:t>
      </w:r>
      <w:r>
        <w:rPr>
          <w:rFonts w:ascii="Arial" w:cs="Arial" w:eastAsia="Arial" w:hAnsi="Arial"/>
          <w:sz w:val="13"/>
          <w:szCs w:val="13"/>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3"/>
          <w:szCs w:val="13"/>
          <w:u w:val="single" w:color="auto"/>
          <w:color w:val="auto"/>
        </w:rPr>
        <w:t>Cause</w:t>
      </w:r>
      <w:r>
        <w:rPr>
          <w:rFonts w:ascii="Arial" w:cs="Arial" w:eastAsia="Arial" w:hAnsi="Arial"/>
          <w:sz w:val="13"/>
          <w:szCs w:val="13"/>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his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35" w:lineRule="exact"/>
        <w:rPr>
          <w:rFonts w:ascii="Arial" w:cs="Arial" w:eastAsia="Arial" w:hAnsi="Arial"/>
          <w:sz w:val="13"/>
          <w:szCs w:val="13"/>
          <w:color w:val="auto"/>
        </w:rPr>
      </w:pPr>
    </w:p>
    <w:p>
      <w:pPr>
        <w:jc w:val="both"/>
        <w:ind w:left="-20" w:firstLine="1520"/>
        <w:spacing w:after="0" w:line="264" w:lineRule="auto"/>
        <w:tabs>
          <w:tab w:leader="none" w:pos="1933" w:val="left"/>
        </w:tabs>
        <w:numPr>
          <w:ilvl w:val="2"/>
          <w:numId w:val="225"/>
        </w:numPr>
        <w:rPr>
          <w:rFonts w:ascii="Arial" w:cs="Arial" w:eastAsia="Arial" w:hAnsi="Arial"/>
          <w:sz w:val="14"/>
          <w:szCs w:val="14"/>
          <w:color w:val="auto"/>
        </w:rPr>
      </w:pPr>
      <w:r>
        <w:rPr>
          <w:rFonts w:ascii="Arial" w:cs="Arial" w:eastAsia="Arial" w:hAnsi="Arial"/>
          <w:sz w:val="14"/>
          <w:szCs w:val="14"/>
          <w:u w:val="single" w:color="auto"/>
          <w:color w:val="auto"/>
        </w:rPr>
        <w:t>Upon Disability, Death or Without Cause</w:t>
      </w:r>
      <w:r>
        <w:rPr>
          <w:rFonts w:ascii="Arial" w:cs="Arial" w:eastAsia="Arial" w:hAnsi="Arial"/>
          <w:sz w:val="14"/>
          <w:szCs w:val="14"/>
          <w:color w:val="auto"/>
        </w:rPr>
        <w:t>. At the election of the Company, Executive’s employment may be terminated: (A) should Executive have a physical or mental impairment that substantially limits a major life activity and Executive is unable to perform the essential functions of his job with or without reasonable accommodation (“</w:t>
      </w:r>
      <w:r>
        <w:rPr>
          <w:rFonts w:ascii="Arial" w:cs="Arial" w:eastAsia="Arial" w:hAnsi="Arial"/>
          <w:sz w:val="14"/>
          <w:szCs w:val="14"/>
          <w:u w:val="single" w:color="auto"/>
          <w:color w:val="auto"/>
        </w:rPr>
        <w:t>Disability</w:t>
      </w:r>
      <w:r>
        <w:rPr>
          <w:rFonts w:ascii="Arial" w:cs="Arial" w:eastAsia="Arial" w:hAnsi="Arial"/>
          <w:sz w:val="14"/>
          <w:szCs w:val="14"/>
          <w:color w:val="auto"/>
        </w:rPr>
        <w:t>”); (B) upon Executive’s death; or (C) with ninety (90) days prior written notice, at any time Without Cause for any or no reason.</w:t>
      </w:r>
    </w:p>
    <w:p>
      <w:pPr>
        <w:spacing w:after="0" w:line="142" w:lineRule="exact"/>
        <w:rPr>
          <w:rFonts w:ascii="Arial" w:cs="Arial" w:eastAsia="Arial" w:hAnsi="Arial"/>
          <w:sz w:val="14"/>
          <w:szCs w:val="14"/>
          <w:color w:val="auto"/>
        </w:rPr>
      </w:pPr>
    </w:p>
    <w:p>
      <w:pPr>
        <w:jc w:val="both"/>
        <w:ind w:left="-20" w:firstLine="1014"/>
        <w:spacing w:after="0" w:line="276" w:lineRule="auto"/>
        <w:tabs>
          <w:tab w:leader="none" w:pos="1536" w:val="left"/>
        </w:tabs>
        <w:numPr>
          <w:ilvl w:val="1"/>
          <w:numId w:val="225"/>
        </w:numPr>
        <w:rPr>
          <w:rFonts w:ascii="Arial" w:cs="Arial" w:eastAsia="Arial" w:hAnsi="Arial"/>
          <w:sz w:val="13"/>
          <w:szCs w:val="13"/>
          <w:color w:val="auto"/>
        </w:rPr>
      </w:pPr>
      <w:r>
        <w:rPr>
          <w:rFonts w:ascii="Arial" w:cs="Arial" w:eastAsia="Arial" w:hAnsi="Arial"/>
          <w:sz w:val="13"/>
          <w:szCs w:val="13"/>
          <w:u w:val="single" w:color="auto"/>
          <w:color w:val="auto"/>
        </w:rPr>
        <w:t>Termination at Executive’s Election; Good Reason Termination</w:t>
      </w:r>
      <w:r>
        <w:rPr>
          <w:rFonts w:ascii="Arial" w:cs="Arial" w:eastAsia="Arial" w:hAnsi="Arial"/>
          <w:sz w:val="13"/>
          <w:szCs w:val="13"/>
          <w:color w:val="auto"/>
        </w:rPr>
        <w:t>. Notwithstanding anything contained elsewhere in this Agreement to the contrary, Executive may terminate his employment hereunder at any time and for any reason, upon thirty (30) days’ prior written notice given pursuant to Section 12 of this Agreement (“</w:t>
      </w:r>
      <w:r>
        <w:rPr>
          <w:rFonts w:ascii="Arial" w:cs="Arial" w:eastAsia="Arial" w:hAnsi="Arial"/>
          <w:sz w:val="13"/>
          <w:szCs w:val="13"/>
          <w:u w:val="single" w:color="auto"/>
          <w:color w:val="auto"/>
        </w:rPr>
        <w:t>Voluntary Resignation</w:t>
      </w:r>
      <w:r>
        <w:rPr>
          <w:rFonts w:ascii="Arial" w:cs="Arial" w:eastAsia="Arial" w:hAnsi="Arial"/>
          <w:sz w:val="13"/>
          <w:szCs w:val="13"/>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3"/>
          <w:szCs w:val="13"/>
          <w:u w:val="single" w:color="auto"/>
          <w:color w:val="auto"/>
        </w:rPr>
        <w:t>Good Reason</w:t>
      </w:r>
      <w:r>
        <w:rPr>
          <w:rFonts w:ascii="Arial" w:cs="Arial" w:eastAsia="Arial" w:hAnsi="Arial"/>
          <w:sz w:val="13"/>
          <w:szCs w:val="13"/>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24" w:name="page225"/>
    <w:bookmarkEnd w:id="224"/>
    <w:p>
      <w:pPr>
        <w:jc w:val="both"/>
        <w:ind w:left="-20" w:firstLine="1014"/>
        <w:spacing w:after="0" w:line="316" w:lineRule="auto"/>
        <w:tabs>
          <w:tab w:leader="none" w:pos="1553" w:val="left"/>
        </w:tabs>
        <w:numPr>
          <w:ilvl w:val="1"/>
          <w:numId w:val="226"/>
        </w:numPr>
        <w:rPr>
          <w:rFonts w:ascii="Arial" w:cs="Arial" w:eastAsia="Arial" w:hAnsi="Arial"/>
          <w:sz w:val="12"/>
          <w:szCs w:val="12"/>
          <w:color w:val="auto"/>
        </w:rPr>
      </w:pPr>
      <w:r>
        <w:rPr>
          <w:rFonts w:ascii="Arial" w:cs="Arial" w:eastAsia="Arial" w:hAnsi="Arial"/>
          <w:sz w:val="12"/>
          <w:szCs w:val="12"/>
          <w:u w:val="single" w:color="auto"/>
          <w:color w:val="auto"/>
        </w:rPr>
        <w:t>Termination in General</w:t>
      </w:r>
      <w:r>
        <w:rPr>
          <w:rFonts w:ascii="Arial" w:cs="Arial" w:eastAsia="Arial" w:hAnsi="Arial"/>
          <w:sz w:val="12"/>
          <w:szCs w:val="12"/>
          <w:color w:val="auto"/>
        </w:rPr>
        <w:t>. If Executive’s employment with the Company terminates for any reason, the Company will pay or provide to 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115" w:lineRule="exact"/>
        <w:rPr>
          <w:rFonts w:ascii="Arial" w:cs="Arial" w:eastAsia="Arial" w:hAnsi="Arial"/>
          <w:sz w:val="12"/>
          <w:szCs w:val="12"/>
          <w:color w:val="auto"/>
        </w:rPr>
      </w:pPr>
    </w:p>
    <w:p>
      <w:pPr>
        <w:ind w:left="1020" w:hanging="531"/>
        <w:spacing w:after="0"/>
        <w:tabs>
          <w:tab w:leader="none" w:pos="1020" w:val="left"/>
        </w:tabs>
        <w:numPr>
          <w:ilvl w:val="0"/>
          <w:numId w:val="227"/>
        </w:numPr>
        <w:rPr>
          <w:rFonts w:ascii="Arial" w:cs="Arial" w:eastAsia="Arial" w:hAnsi="Arial"/>
          <w:sz w:val="14"/>
          <w:szCs w:val="14"/>
          <w:color w:val="auto"/>
        </w:rPr>
      </w:pPr>
      <w:r>
        <w:rPr>
          <w:rFonts w:ascii="Arial" w:cs="Arial" w:eastAsia="Arial" w:hAnsi="Arial"/>
          <w:sz w:val="14"/>
          <w:szCs w:val="14"/>
          <w:u w:val="single" w:color="auto"/>
          <w:color w:val="auto"/>
        </w:rPr>
        <w:t>Severance</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014"/>
        <w:spacing w:after="0" w:line="256" w:lineRule="auto"/>
        <w:tabs>
          <w:tab w:leader="none" w:pos="1693" w:val="left"/>
        </w:tabs>
        <w:numPr>
          <w:ilvl w:val="1"/>
          <w:numId w:val="227"/>
        </w:numPr>
        <w:rPr>
          <w:rFonts w:ascii="Arial" w:cs="Arial" w:eastAsia="Arial" w:hAnsi="Arial"/>
          <w:sz w:val="14"/>
          <w:szCs w:val="14"/>
          <w:color w:val="auto"/>
        </w:rPr>
      </w:pPr>
      <w:r>
        <w:rPr>
          <w:rFonts w:ascii="Arial" w:cs="Arial" w:eastAsia="Arial" w:hAnsi="Arial"/>
          <w:sz w:val="14"/>
          <w:szCs w:val="14"/>
          <w:color w:val="auto"/>
        </w:rPr>
        <w:t>Subject to Section 7(b) below, if Executive’s employment is terminated prior to the end of the Term by the Company without Cause or by Executive for Good Reason, Executive shall be entitled to receive a severance payment equal to (i) nine (9) months of Executive’s Base Salary, and (ii)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48" w:lineRule="exact"/>
        <w:rPr>
          <w:rFonts w:ascii="Arial" w:cs="Arial" w:eastAsia="Arial" w:hAnsi="Arial"/>
          <w:sz w:val="14"/>
          <w:szCs w:val="14"/>
          <w:color w:val="auto"/>
        </w:rPr>
      </w:pPr>
    </w:p>
    <w:p>
      <w:pPr>
        <w:jc w:val="both"/>
        <w:ind w:left="-20" w:firstLine="1014"/>
        <w:spacing w:after="0" w:line="276" w:lineRule="auto"/>
        <w:tabs>
          <w:tab w:leader="none" w:pos="1619" w:val="left"/>
        </w:tabs>
        <w:numPr>
          <w:ilvl w:val="1"/>
          <w:numId w:val="227"/>
        </w:numPr>
        <w:rPr>
          <w:rFonts w:ascii="Arial" w:cs="Arial" w:eastAsia="Arial" w:hAnsi="Arial"/>
          <w:sz w:val="13"/>
          <w:szCs w:val="13"/>
          <w:color w:val="auto"/>
        </w:rPr>
      </w:pPr>
      <w:r>
        <w:rPr>
          <w:rFonts w:ascii="Arial" w:cs="Arial" w:eastAsia="Arial" w:hAnsi="Arial"/>
          <w:sz w:val="13"/>
          <w:szCs w:val="13"/>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Stock Option Grant or, if the termination occurs after the Change of Control, the Substitute Grant, as applicable. For purposes of this Agreement, “</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3"/>
          <w:szCs w:val="13"/>
          <w:u w:val="single" w:color="auto"/>
          <w:color w:val="auto"/>
        </w:rPr>
        <w:t>Exchange Act</w:t>
      </w:r>
      <w:r>
        <w:rPr>
          <w:rFonts w:ascii="Arial" w:cs="Arial" w:eastAsia="Arial" w:hAnsi="Arial"/>
          <w:sz w:val="13"/>
          <w:szCs w:val="13"/>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36" w:lineRule="exact"/>
        <w:rPr>
          <w:rFonts w:ascii="Arial" w:cs="Arial" w:eastAsia="Arial" w:hAnsi="Arial"/>
          <w:sz w:val="13"/>
          <w:szCs w:val="13"/>
          <w:color w:val="auto"/>
        </w:rPr>
      </w:pPr>
    </w:p>
    <w:p>
      <w:pPr>
        <w:jc w:val="both"/>
        <w:ind w:left="-20" w:firstLine="1014"/>
        <w:spacing w:after="0" w:line="259" w:lineRule="auto"/>
        <w:tabs>
          <w:tab w:leader="none" w:pos="1615" w:val="left"/>
        </w:tabs>
        <w:numPr>
          <w:ilvl w:val="1"/>
          <w:numId w:val="227"/>
        </w:numPr>
        <w:rPr>
          <w:rFonts w:ascii="Arial" w:cs="Arial" w:eastAsia="Arial" w:hAnsi="Arial"/>
          <w:sz w:val="14"/>
          <w:szCs w:val="14"/>
          <w:color w:val="auto"/>
        </w:rPr>
      </w:pPr>
      <w:r>
        <w:rPr>
          <w:rFonts w:ascii="Arial" w:cs="Arial" w:eastAsia="Arial" w:hAnsi="Arial"/>
          <w:sz w:val="14"/>
          <w:szCs w:val="14"/>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25" w:name="page226"/>
    <w:bookmarkEnd w:id="225"/>
    <w:p>
      <w:pPr>
        <w:ind w:left="1020" w:hanging="531"/>
        <w:spacing w:after="0"/>
        <w:tabs>
          <w:tab w:leader="none" w:pos="1020" w:val="left"/>
        </w:tabs>
        <w:numPr>
          <w:ilvl w:val="0"/>
          <w:numId w:val="228"/>
        </w:numPr>
        <w:rPr>
          <w:rFonts w:ascii="Arial" w:cs="Arial" w:eastAsia="Arial" w:hAnsi="Arial"/>
          <w:sz w:val="14"/>
          <w:szCs w:val="14"/>
          <w:color w:val="auto"/>
        </w:rPr>
      </w:pP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014"/>
        <w:spacing w:after="0" w:line="275" w:lineRule="auto"/>
        <w:tabs>
          <w:tab w:leader="none" w:pos="1561" w:val="left"/>
        </w:tabs>
        <w:numPr>
          <w:ilvl w:val="1"/>
          <w:numId w:val="228"/>
        </w:numPr>
        <w:rPr>
          <w:rFonts w:ascii="Arial" w:cs="Arial" w:eastAsia="Arial" w:hAnsi="Arial"/>
          <w:sz w:val="13"/>
          <w:szCs w:val="13"/>
          <w:color w:val="auto"/>
        </w:rPr>
      </w:pPr>
      <w:r>
        <w:rPr>
          <w:rFonts w:ascii="Arial" w:cs="Arial" w:eastAsia="Arial" w:hAnsi="Arial"/>
          <w:sz w:val="13"/>
          <w:szCs w:val="13"/>
          <w:color w:val="auto"/>
        </w:rPr>
        <w:t>Executive understands that during the Term 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3"/>
          <w:szCs w:val="13"/>
          <w:u w:val="single" w:color="auto"/>
          <w:color w:val="auto"/>
        </w:rPr>
        <w:t>Affiliated Entities</w:t>
      </w:r>
      <w:r>
        <w:rPr>
          <w:rFonts w:ascii="Arial" w:cs="Arial" w:eastAsia="Arial" w:hAnsi="Arial"/>
          <w:sz w:val="13"/>
          <w:szCs w:val="13"/>
          <w:color w:val="auto"/>
        </w:rPr>
        <w:t>”),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others under agreements to hold such information confidential (collectively, the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Executive agrees to observe all Company policies and procedures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when necessary in the performance of his duties for the Company. Executive’s obligations under this Agreement will continue with respect to Confidential Information, whether or not his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he first notifies promptly the Company of such subpoena, order or other requirement and allows the Company the opportunity to obtain a protective order or other appropriate remedy.</w:t>
      </w:r>
    </w:p>
    <w:p>
      <w:pPr>
        <w:spacing w:after="0" w:line="136" w:lineRule="exact"/>
        <w:rPr>
          <w:rFonts w:ascii="Arial" w:cs="Arial" w:eastAsia="Arial" w:hAnsi="Arial"/>
          <w:sz w:val="13"/>
          <w:szCs w:val="13"/>
          <w:color w:val="auto"/>
        </w:rPr>
      </w:pPr>
    </w:p>
    <w:p>
      <w:pPr>
        <w:jc w:val="both"/>
        <w:ind w:left="-20" w:firstLine="1014"/>
        <w:spacing w:after="0" w:line="257" w:lineRule="auto"/>
        <w:tabs>
          <w:tab w:leader="none" w:pos="1579" w:val="left"/>
        </w:tabs>
        <w:numPr>
          <w:ilvl w:val="1"/>
          <w:numId w:val="228"/>
        </w:numPr>
        <w:rPr>
          <w:rFonts w:ascii="Arial" w:cs="Arial" w:eastAsia="Arial" w:hAnsi="Arial"/>
          <w:sz w:val="14"/>
          <w:szCs w:val="14"/>
          <w:color w:val="auto"/>
        </w:rPr>
      </w:pPr>
      <w:r>
        <w:rPr>
          <w:rFonts w:ascii="Arial" w:cs="Arial" w:eastAsia="Arial" w:hAnsi="Arial"/>
          <w:sz w:val="14"/>
          <w:szCs w:val="14"/>
          <w:color w:val="auto"/>
        </w:rPr>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Executive’s possession, custody or control.</w:t>
      </w:r>
    </w:p>
    <w:p>
      <w:pPr>
        <w:spacing w:after="0" w:line="148" w:lineRule="exact"/>
        <w:rPr>
          <w:rFonts w:ascii="Arial" w:cs="Arial" w:eastAsia="Arial" w:hAnsi="Arial"/>
          <w:sz w:val="14"/>
          <w:szCs w:val="14"/>
          <w:color w:val="auto"/>
        </w:rPr>
      </w:pPr>
    </w:p>
    <w:p>
      <w:pPr>
        <w:jc w:val="both"/>
        <w:ind w:left="-20" w:firstLine="1014"/>
        <w:spacing w:after="0" w:line="278" w:lineRule="auto"/>
        <w:tabs>
          <w:tab w:leader="none" w:pos="1573" w:val="left"/>
        </w:tabs>
        <w:numPr>
          <w:ilvl w:val="1"/>
          <w:numId w:val="228"/>
        </w:numPr>
        <w:rPr>
          <w:rFonts w:ascii="Arial" w:cs="Arial" w:eastAsia="Arial" w:hAnsi="Arial"/>
          <w:sz w:val="13"/>
          <w:szCs w:val="13"/>
          <w:color w:val="auto"/>
        </w:rPr>
      </w:pPr>
      <w:r>
        <w:rPr>
          <w:rFonts w:ascii="Arial" w:cs="Arial" w:eastAsia="Arial" w:hAnsi="Arial"/>
          <w:sz w:val="13"/>
          <w:szCs w:val="13"/>
          <w:color w:val="auto"/>
        </w:rPr>
        <w:t>Executive will promptly disclose to the Company any idea, invention, discovery or improvement, whether patentable or not (“</w:t>
      </w:r>
      <w:r>
        <w:rPr>
          <w:rFonts w:ascii="Arial" w:cs="Arial" w:eastAsia="Arial" w:hAnsi="Arial"/>
          <w:sz w:val="13"/>
          <w:szCs w:val="13"/>
          <w:u w:val="single" w:color="auto"/>
          <w:color w:val="auto"/>
        </w:rPr>
        <w:t>Creations</w:t>
      </w:r>
      <w:r>
        <w:rPr>
          <w:rFonts w:ascii="Arial" w:cs="Arial" w:eastAsia="Arial" w:hAnsi="Arial"/>
          <w:sz w:val="13"/>
          <w:szCs w:val="13"/>
          <w:color w:val="auto"/>
        </w:rPr>
        <w:t>”), conceived or made by him alone or with others at any time during his employment. Executive agrees that the Company owns all such Creations, conceived or made by Executive alone or with others at any time during his employment, and Executive hereby assigns and agrees to assign to the Company all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Executive understands that the obligation to assign Creations to the Company shall not apply to any Creation which is developed entirely on his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his work at the Company.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26" w:name="page227"/>
    <w:bookmarkEnd w:id="226"/>
    <w:p>
      <w:pPr>
        <w:ind w:left="-20" w:firstLine="1014"/>
        <w:spacing w:after="0" w:line="277" w:lineRule="auto"/>
        <w:tabs>
          <w:tab w:leader="none" w:pos="1609" w:val="left"/>
        </w:tabs>
        <w:numPr>
          <w:ilvl w:val="1"/>
          <w:numId w:val="229"/>
        </w:numPr>
        <w:rPr>
          <w:rFonts w:ascii="Arial" w:cs="Arial" w:eastAsia="Arial" w:hAnsi="Arial"/>
          <w:sz w:val="14"/>
          <w:szCs w:val="14"/>
          <w:color w:val="auto"/>
        </w:rPr>
      </w:pPr>
      <w:r>
        <w:rPr>
          <w:rFonts w:ascii="Arial" w:cs="Arial" w:eastAsia="Arial" w:hAnsi="Arial"/>
          <w:sz w:val="14"/>
          <w:szCs w:val="14"/>
          <w:color w:val="auto"/>
        </w:rPr>
        <w:t>Executive will not assert any rights to any invention, discovery, idea or improvement relating to the business of the Company or any of its Affiliated Entities or to his duties hereunder as having been made or acquired by Executive prior to his work for the Company.</w:t>
      </w:r>
    </w:p>
    <w:p>
      <w:pPr>
        <w:spacing w:after="0" w:line="133" w:lineRule="exact"/>
        <w:rPr>
          <w:rFonts w:ascii="Arial" w:cs="Arial" w:eastAsia="Arial" w:hAnsi="Arial"/>
          <w:sz w:val="14"/>
          <w:szCs w:val="14"/>
          <w:color w:val="auto"/>
        </w:rPr>
      </w:pPr>
    </w:p>
    <w:p>
      <w:pPr>
        <w:jc w:val="both"/>
        <w:ind w:left="-20" w:firstLine="1014"/>
        <w:spacing w:after="0" w:line="264" w:lineRule="auto"/>
        <w:tabs>
          <w:tab w:leader="none" w:pos="1584" w:val="left"/>
        </w:tabs>
        <w:numPr>
          <w:ilvl w:val="1"/>
          <w:numId w:val="229"/>
        </w:numPr>
        <w:rPr>
          <w:rFonts w:ascii="Arial" w:cs="Arial" w:eastAsia="Arial" w:hAnsi="Arial"/>
          <w:sz w:val="14"/>
          <w:szCs w:val="14"/>
          <w:color w:val="auto"/>
        </w:rPr>
      </w:pPr>
      <w:r>
        <w:rPr>
          <w:rFonts w:ascii="Arial" w:cs="Arial" w:eastAsia="Arial" w:hAnsi="Arial"/>
          <w:sz w:val="14"/>
          <w:szCs w:val="14"/>
          <w:color w:val="auto"/>
        </w:rPr>
        <w:t>During the Term, the Company is hereby granted and shall have a non-exclusive,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42" w:lineRule="exact"/>
        <w:rPr>
          <w:rFonts w:ascii="Arial" w:cs="Arial" w:eastAsia="Arial" w:hAnsi="Arial"/>
          <w:sz w:val="14"/>
          <w:szCs w:val="14"/>
          <w:color w:val="auto"/>
        </w:rPr>
      </w:pPr>
    </w:p>
    <w:p>
      <w:pPr>
        <w:jc w:val="both"/>
        <w:ind w:left="-20" w:firstLine="1014"/>
        <w:spacing w:after="0" w:line="255" w:lineRule="auto"/>
        <w:tabs>
          <w:tab w:leader="none" w:pos="1526" w:val="left"/>
        </w:tabs>
        <w:numPr>
          <w:ilvl w:val="1"/>
          <w:numId w:val="229"/>
        </w:numPr>
        <w:rPr>
          <w:rFonts w:ascii="Arial" w:cs="Arial" w:eastAsia="Arial" w:hAnsi="Arial"/>
          <w:sz w:val="14"/>
          <w:szCs w:val="14"/>
          <w:color w:val="auto"/>
        </w:rPr>
      </w:pPr>
      <w:r>
        <w:rPr>
          <w:rFonts w:ascii="Arial" w:cs="Arial" w:eastAsia="Arial" w:hAnsi="Arial"/>
          <w:sz w:val="14"/>
          <w:szCs w:val="14"/>
          <w:color w:val="auto"/>
        </w:rPr>
        <w:t>Executive agrees to cooperate fully with the Company,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w:t>
      </w:r>
    </w:p>
    <w:p>
      <w:pPr>
        <w:spacing w:after="0" w:line="149" w:lineRule="exact"/>
        <w:rPr>
          <w:rFonts w:ascii="Arial" w:cs="Arial" w:eastAsia="Arial" w:hAnsi="Arial"/>
          <w:sz w:val="14"/>
          <w:szCs w:val="14"/>
          <w:color w:val="auto"/>
        </w:rPr>
      </w:pPr>
    </w:p>
    <w:p>
      <w:pPr>
        <w:jc w:val="both"/>
        <w:ind w:left="-20" w:firstLine="509"/>
        <w:spacing w:after="0" w:line="259" w:lineRule="auto"/>
        <w:tabs>
          <w:tab w:leader="none" w:pos="1011" w:val="left"/>
        </w:tabs>
        <w:numPr>
          <w:ilvl w:val="0"/>
          <w:numId w:val="230"/>
        </w:numPr>
        <w:rPr>
          <w:rFonts w:ascii="Arial" w:cs="Arial" w:eastAsia="Arial" w:hAnsi="Arial"/>
          <w:sz w:val="14"/>
          <w:szCs w:val="14"/>
          <w:color w:val="auto"/>
        </w:rPr>
      </w:pPr>
      <w:r>
        <w:rPr>
          <w:rFonts w:ascii="Arial" w:cs="Arial" w:eastAsia="Arial" w:hAnsi="Arial"/>
          <w:sz w:val="14"/>
          <w:szCs w:val="14"/>
          <w:u w:val="single" w:color="auto"/>
          <w:color w:val="auto"/>
        </w:rPr>
        <w:t>Non-solicitation; non-competition</w:t>
      </w:r>
      <w:r>
        <w:rPr>
          <w:rFonts w:ascii="Arial" w:cs="Arial" w:eastAsia="Arial" w:hAnsi="Arial"/>
          <w:sz w:val="14"/>
          <w:szCs w:val="14"/>
          <w:color w:val="auto"/>
        </w:rPr>
        <w:t>. (a) Executive agrees that, during the Term and until nine (9) months after the termination of his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nine (9) months prior to the termination of Executive’s employment, or induce any such employee to terminate his or her employment with the Company or any of its Affiliated Entities.</w:t>
      </w:r>
    </w:p>
    <w:p>
      <w:pPr>
        <w:spacing w:after="0" w:line="146" w:lineRule="exact"/>
        <w:rPr>
          <w:rFonts w:ascii="Arial" w:cs="Arial" w:eastAsia="Arial" w:hAnsi="Arial"/>
          <w:sz w:val="14"/>
          <w:szCs w:val="14"/>
          <w:color w:val="auto"/>
        </w:rPr>
      </w:pPr>
    </w:p>
    <w:p>
      <w:pPr>
        <w:jc w:val="both"/>
        <w:ind w:left="-20" w:firstLine="1014"/>
        <w:spacing w:after="0" w:line="282" w:lineRule="auto"/>
        <w:tabs>
          <w:tab w:leader="none" w:pos="1574" w:val="left"/>
        </w:tabs>
        <w:numPr>
          <w:ilvl w:val="1"/>
          <w:numId w:val="230"/>
        </w:numPr>
        <w:rPr>
          <w:rFonts w:ascii="Arial" w:cs="Arial" w:eastAsia="Arial" w:hAnsi="Arial"/>
          <w:sz w:val="13"/>
          <w:szCs w:val="13"/>
          <w:color w:val="auto"/>
        </w:rPr>
      </w:pPr>
      <w:r>
        <w:rPr>
          <w:rFonts w:ascii="Arial" w:cs="Arial" w:eastAsia="Arial" w:hAnsi="Arial"/>
          <w:sz w:val="13"/>
          <w:szCs w:val="13"/>
          <w:color w:val="auto"/>
        </w:rPr>
        <w:t>Executive further agrees that, during the Term and until nine (9) months after the termination of his employment,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27" w:name="page228"/>
    <w:bookmarkEnd w:id="227"/>
    <w:p>
      <w:pPr>
        <w:jc w:val="both"/>
        <w:ind w:left="-20" w:firstLine="1014"/>
        <w:spacing w:after="0" w:line="264" w:lineRule="auto"/>
        <w:tabs>
          <w:tab w:leader="none" w:pos="1731" w:val="left"/>
        </w:tabs>
        <w:numPr>
          <w:ilvl w:val="1"/>
          <w:numId w:val="23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Competing Business</w:t>
      </w:r>
      <w:r>
        <w:rPr>
          <w:rFonts w:ascii="Arial" w:cs="Arial" w:eastAsia="Arial" w:hAnsi="Arial"/>
          <w:sz w:val="14"/>
          <w:szCs w:val="14"/>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142" w:lineRule="exact"/>
        <w:rPr>
          <w:rFonts w:ascii="Arial" w:cs="Arial" w:eastAsia="Arial" w:hAnsi="Arial"/>
          <w:sz w:val="14"/>
          <w:szCs w:val="14"/>
          <w:color w:val="auto"/>
        </w:rPr>
      </w:pPr>
    </w:p>
    <w:p>
      <w:pPr>
        <w:ind w:left="-20" w:firstLine="1014"/>
        <w:spacing w:after="0" w:line="277" w:lineRule="auto"/>
        <w:tabs>
          <w:tab w:leader="none" w:pos="1571" w:val="left"/>
        </w:tabs>
        <w:numPr>
          <w:ilvl w:val="1"/>
          <w:numId w:val="23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Territory</w:t>
      </w:r>
      <w:r>
        <w:rPr>
          <w:rFonts w:ascii="Arial" w:cs="Arial" w:eastAsia="Arial" w:hAnsi="Arial"/>
          <w:sz w:val="14"/>
          <w:szCs w:val="14"/>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33" w:lineRule="exact"/>
        <w:rPr>
          <w:rFonts w:ascii="Arial" w:cs="Arial" w:eastAsia="Arial" w:hAnsi="Arial"/>
          <w:sz w:val="14"/>
          <w:szCs w:val="14"/>
          <w:color w:val="auto"/>
        </w:rPr>
      </w:pPr>
    </w:p>
    <w:p>
      <w:pPr>
        <w:jc w:val="both"/>
        <w:ind w:left="-20" w:firstLine="1014"/>
        <w:spacing w:after="0" w:line="282" w:lineRule="auto"/>
        <w:tabs>
          <w:tab w:leader="none" w:pos="1563" w:val="left"/>
        </w:tabs>
        <w:numPr>
          <w:ilvl w:val="1"/>
          <w:numId w:val="231"/>
        </w:numPr>
        <w:rPr>
          <w:rFonts w:ascii="Arial" w:cs="Arial" w:eastAsia="Arial" w:hAnsi="Arial"/>
          <w:sz w:val="13"/>
          <w:szCs w:val="13"/>
          <w:color w:val="auto"/>
        </w:rPr>
      </w:pPr>
      <w:r>
        <w:rPr>
          <w:rFonts w:ascii="Arial" w:cs="Arial" w:eastAsia="Arial" w:hAnsi="Arial"/>
          <w:sz w:val="13"/>
          <w:szCs w:val="13"/>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31" w:lineRule="exact"/>
        <w:rPr>
          <w:rFonts w:ascii="Arial" w:cs="Arial" w:eastAsia="Arial" w:hAnsi="Arial"/>
          <w:sz w:val="13"/>
          <w:szCs w:val="13"/>
          <w:color w:val="auto"/>
        </w:rPr>
      </w:pPr>
    </w:p>
    <w:p>
      <w:pPr>
        <w:jc w:val="both"/>
        <w:ind w:left="-20" w:firstLine="509"/>
        <w:spacing w:after="0" w:line="254" w:lineRule="auto"/>
        <w:tabs>
          <w:tab w:leader="none" w:pos="1046" w:val="left"/>
        </w:tabs>
        <w:numPr>
          <w:ilvl w:val="0"/>
          <w:numId w:val="232"/>
        </w:numPr>
        <w:rPr>
          <w:rFonts w:ascii="Arial" w:cs="Arial" w:eastAsia="Arial" w:hAnsi="Arial"/>
          <w:sz w:val="14"/>
          <w:szCs w:val="14"/>
          <w:color w:val="auto"/>
        </w:rPr>
      </w:pPr>
      <w:r>
        <w:rPr>
          <w:rFonts w:ascii="Arial" w:cs="Arial" w:eastAsia="Arial" w:hAnsi="Arial"/>
          <w:sz w:val="14"/>
          <w:szCs w:val="14"/>
          <w:u w:val="single" w:color="auto"/>
          <w:color w:val="auto"/>
        </w:rPr>
        <w:t>Representation and Warranty</w:t>
      </w:r>
      <w:r>
        <w:rPr>
          <w:rFonts w:ascii="Arial" w:cs="Arial" w:eastAsia="Arial" w:hAnsi="Arial"/>
          <w:sz w:val="14"/>
          <w:szCs w:val="14"/>
          <w:color w:val="auto"/>
        </w:rPr>
        <w:t>. The Executive hereby acknowledges and represents that he has had the opportunity to consult with legal counsel regarding his rights and obligations under this Agreement and that 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52" w:lineRule="exact"/>
        <w:rPr>
          <w:rFonts w:ascii="Arial" w:cs="Arial" w:eastAsia="Arial" w:hAnsi="Arial"/>
          <w:sz w:val="14"/>
          <w:szCs w:val="14"/>
          <w:color w:val="auto"/>
        </w:rPr>
      </w:pPr>
    </w:p>
    <w:p>
      <w:pPr>
        <w:jc w:val="both"/>
        <w:ind w:left="-20" w:firstLine="509"/>
        <w:spacing w:after="0" w:line="286" w:lineRule="auto"/>
        <w:tabs>
          <w:tab w:leader="none" w:pos="1041"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Injunctive Relief</w:t>
      </w:r>
      <w:r>
        <w:rPr>
          <w:rFonts w:ascii="Arial" w:cs="Arial" w:eastAsia="Arial" w:hAnsi="Arial"/>
          <w:sz w:val="13"/>
          <w:szCs w:val="13"/>
          <w:color w:val="auto"/>
        </w:rPr>
        <w:t>. Without limiting the remedies available to the Company, Executive acknowledges that a breach of any of the covenants contained in Sections 8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8 and 9 of this Agreement.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28" w:name="page229"/>
    <w:bookmarkEnd w:id="228"/>
    <w:p>
      <w:pPr>
        <w:ind w:firstLine="509"/>
        <w:spacing w:after="0" w:line="277" w:lineRule="auto"/>
        <w:tabs>
          <w:tab w:leader="none" w:pos="1150" w:val="left"/>
        </w:tabs>
        <w:numPr>
          <w:ilvl w:val="0"/>
          <w:numId w:val="233"/>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or other communication required or permitted to be given to the Parties shall be deemed to have been given if either personally delivered, or if sent for next-day delivery by nationally recognized overnight courier, and addressed as follows:</w:t>
      </w:r>
    </w:p>
    <w:p>
      <w:pPr>
        <w:spacing w:after="0" w:line="133" w:lineRule="exact"/>
        <w:rPr>
          <w:rFonts w:ascii="Arial" w:cs="Arial" w:eastAsia="Arial" w:hAnsi="Arial"/>
          <w:sz w:val="14"/>
          <w:szCs w:val="14"/>
          <w:color w:val="auto"/>
        </w:rPr>
      </w:pPr>
    </w:p>
    <w:p>
      <w:pPr>
        <w:ind w:left="1520" w:hanging="506"/>
        <w:spacing w:after="0"/>
        <w:tabs>
          <w:tab w:leader="none" w:pos="152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If to Executive, to:</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2nd Floor, Building 18, Shanghai Pudong Software Park, 498 Guoshoujin Road, Pudong, Shanghai 201203, People’s Republic of China</w:t>
      </w:r>
    </w:p>
    <w:p>
      <w:pPr>
        <w:spacing w:after="0" w:line="176" w:lineRule="exact"/>
        <w:rPr>
          <w:sz w:val="20"/>
          <w:szCs w:val="20"/>
          <w:color w:val="auto"/>
        </w:rPr>
      </w:pPr>
    </w:p>
    <w:p>
      <w:pPr>
        <w:ind w:left="1520" w:hanging="506"/>
        <w:spacing w:after="0"/>
        <w:tabs>
          <w:tab w:leader="none" w:pos="152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If to the Company, to:</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2nd Floor, Building 18, Shanghai Pudong Software Park, 498 Guoshoujin Road, Pudong, Shanghai 201203, People’s Republic of China</w:t>
      </w:r>
    </w:p>
    <w:p>
      <w:pPr>
        <w:spacing w:after="0" w:line="176" w:lineRule="exact"/>
        <w:rPr>
          <w:sz w:val="20"/>
          <w:szCs w:val="20"/>
          <w:color w:val="auto"/>
        </w:rPr>
      </w:pPr>
    </w:p>
    <w:p>
      <w:pPr>
        <w:ind w:left="1140" w:hanging="631"/>
        <w:spacing w:after="0"/>
        <w:tabs>
          <w:tab w:leader="none" w:pos="1140" w:val="left"/>
        </w:tabs>
        <w:numPr>
          <w:ilvl w:val="0"/>
          <w:numId w:val="235"/>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declared void or unenforceable by a court of competent jurisdiction, all other provisions shall nonetheless remain in full force and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effect.</w:t>
      </w:r>
    </w:p>
    <w:p>
      <w:pPr>
        <w:spacing w:after="0" w:line="165" w:lineRule="exact"/>
        <w:rPr>
          <w:sz w:val="20"/>
          <w:szCs w:val="20"/>
          <w:color w:val="auto"/>
        </w:rPr>
      </w:pPr>
    </w:p>
    <w:p>
      <w:pPr>
        <w:ind w:firstLine="509"/>
        <w:spacing w:after="0" w:line="277" w:lineRule="auto"/>
        <w:tabs>
          <w:tab w:leader="none" w:pos="1108" w:val="left"/>
        </w:tabs>
        <w:numPr>
          <w:ilvl w:val="0"/>
          <w:numId w:val="236"/>
        </w:numPr>
        <w:rPr>
          <w:rFonts w:ascii="Arial" w:cs="Arial" w:eastAsia="Arial" w:hAnsi="Arial"/>
          <w:sz w:val="14"/>
          <w:szCs w:val="14"/>
          <w:color w:val="auto"/>
        </w:rPr>
      </w:pPr>
      <w:r>
        <w:rPr>
          <w:rFonts w:ascii="Arial" w:cs="Arial" w:eastAsia="Arial" w:hAnsi="Arial"/>
          <w:sz w:val="14"/>
          <w:szCs w:val="14"/>
          <w:u w:val="single" w:color="auto"/>
          <w:color w:val="auto"/>
        </w:rPr>
        <w:t>Withholding</w:t>
      </w:r>
      <w:r>
        <w:rPr>
          <w:rFonts w:ascii="Arial" w:cs="Arial" w:eastAsia="Arial" w:hAnsi="Arial"/>
          <w:sz w:val="14"/>
          <w:szCs w:val="14"/>
          <w:color w:val="auto"/>
        </w:rPr>
        <w:t>. The Company may withhold from any payment that it is required to make under this Agreement amounts sufficient to satisfy applicable withholding requirements under any federal, state or local law.</w:t>
      </w:r>
    </w:p>
    <w:p>
      <w:pPr>
        <w:spacing w:after="0" w:line="133" w:lineRule="exact"/>
        <w:rPr>
          <w:rFonts w:ascii="Arial" w:cs="Arial" w:eastAsia="Arial" w:hAnsi="Arial"/>
          <w:sz w:val="14"/>
          <w:szCs w:val="14"/>
          <w:color w:val="auto"/>
        </w:rPr>
      </w:pPr>
    </w:p>
    <w:p>
      <w:pPr>
        <w:ind w:left="1080" w:hanging="571"/>
        <w:spacing w:after="0"/>
        <w:tabs>
          <w:tab w:leader="none" w:pos="1080" w:val="left"/>
        </w:tabs>
        <w:numPr>
          <w:ilvl w:val="0"/>
          <w:numId w:val="236"/>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The Company agrees that Executive will be covered by any “directors and officers” insurance policies then in effect with respect to Executive’s acts as an officer.</w:t>
      </w:r>
    </w:p>
    <w:p>
      <w:pPr>
        <w:spacing w:after="0" w:line="187" w:lineRule="exact"/>
        <w:rPr>
          <w:rFonts w:ascii="Arial" w:cs="Arial" w:eastAsia="Arial" w:hAnsi="Arial"/>
          <w:sz w:val="13"/>
          <w:szCs w:val="13"/>
          <w:color w:val="auto"/>
        </w:rPr>
      </w:pPr>
    </w:p>
    <w:p>
      <w:pPr>
        <w:ind w:left="1080" w:hanging="571"/>
        <w:spacing w:after="0"/>
        <w:tabs>
          <w:tab w:leader="none" w:pos="1080" w:val="left"/>
        </w:tabs>
        <w:numPr>
          <w:ilvl w:val="0"/>
          <w:numId w:val="236"/>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and enforced in accordance with, the laws of Hong Kong.</w:t>
      </w:r>
    </w:p>
    <w:p>
      <w:pPr>
        <w:spacing w:after="0" w:line="175" w:lineRule="exact"/>
        <w:rPr>
          <w:rFonts w:ascii="Arial" w:cs="Arial" w:eastAsia="Arial" w:hAnsi="Arial"/>
          <w:sz w:val="14"/>
          <w:szCs w:val="14"/>
          <w:color w:val="auto"/>
        </w:rPr>
      </w:pPr>
    </w:p>
    <w:p>
      <w:pPr>
        <w:jc w:val="both"/>
        <w:ind w:firstLine="509"/>
        <w:spacing w:after="0" w:line="264" w:lineRule="auto"/>
        <w:tabs>
          <w:tab w:leader="none" w:pos="1066" w:val="left"/>
        </w:tabs>
        <w:numPr>
          <w:ilvl w:val="0"/>
          <w:numId w:val="236"/>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142" w:lineRule="exact"/>
        <w:rPr>
          <w:rFonts w:ascii="Arial" w:cs="Arial" w:eastAsia="Arial" w:hAnsi="Arial"/>
          <w:sz w:val="14"/>
          <w:szCs w:val="14"/>
          <w:color w:val="auto"/>
        </w:rPr>
      </w:pPr>
    </w:p>
    <w:p>
      <w:pPr>
        <w:jc w:val="both"/>
        <w:ind w:firstLine="509"/>
        <w:spacing w:after="0" w:line="259" w:lineRule="auto"/>
        <w:tabs>
          <w:tab w:leader="none" w:pos="1234" w:val="left"/>
        </w:tabs>
        <w:numPr>
          <w:ilvl w:val="0"/>
          <w:numId w:val="236"/>
        </w:numPr>
        <w:rPr>
          <w:rFonts w:ascii="Arial" w:cs="Arial" w:eastAsia="Arial" w:hAnsi="Arial"/>
          <w:sz w:val="14"/>
          <w:szCs w:val="14"/>
          <w:color w:val="auto"/>
        </w:rPr>
      </w:pPr>
      <w:r>
        <w:rPr>
          <w:rFonts w:ascii="Arial" w:cs="Arial" w:eastAsia="Arial" w:hAnsi="Arial"/>
          <w:sz w:val="14"/>
          <w:szCs w:val="14"/>
          <w:u w:val="single" w:color="auto"/>
          <w:color w:val="auto"/>
        </w:rPr>
        <w:t>Assignment</w:t>
      </w:r>
      <w:r>
        <w:rPr>
          <w:rFonts w:ascii="Arial" w:cs="Arial" w:eastAsia="Arial" w:hAnsi="Arial"/>
          <w:sz w:val="14"/>
          <w:szCs w:val="14"/>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146" w:lineRule="exact"/>
        <w:rPr>
          <w:rFonts w:ascii="Arial" w:cs="Arial" w:eastAsia="Arial" w:hAnsi="Arial"/>
          <w:sz w:val="14"/>
          <w:szCs w:val="14"/>
          <w:color w:val="auto"/>
        </w:rPr>
      </w:pPr>
    </w:p>
    <w:p>
      <w:pPr>
        <w:jc w:val="both"/>
        <w:ind w:firstLine="509"/>
        <w:spacing w:after="0" w:line="293" w:lineRule="auto"/>
        <w:tabs>
          <w:tab w:leader="none" w:pos="1119" w:val="left"/>
        </w:tabs>
        <w:numPr>
          <w:ilvl w:val="0"/>
          <w:numId w:val="236"/>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29" w:name="page230"/>
    <w:bookmarkEnd w:id="229"/>
    <w:p>
      <w:pPr>
        <w:ind w:left="500"/>
        <w:spacing w:after="0"/>
        <w:rPr>
          <w:sz w:val="20"/>
          <w:szCs w:val="20"/>
          <w:color w:val="auto"/>
        </w:rPr>
      </w:pPr>
      <w:r>
        <w:rPr>
          <w:rFonts w:ascii="Arial" w:cs="Arial" w:eastAsia="Arial" w:hAnsi="Arial"/>
          <w:sz w:val="14"/>
          <w:szCs w:val="14"/>
          <w:color w:val="auto"/>
        </w:rPr>
        <w:t>IN WITNESS WHEREOF, the Parties have caused this Agreement to be duly executed and delivered on the date first written above.</w:t>
      </w:r>
    </w:p>
    <w:p>
      <w:pPr>
        <w:spacing w:after="0" w:line="176" w:lineRule="exact"/>
        <w:rPr>
          <w:sz w:val="20"/>
          <w:szCs w:val="20"/>
          <w:color w:val="auto"/>
        </w:rPr>
      </w:pPr>
    </w:p>
    <w:p>
      <w:pPr>
        <w:jc w:val="right"/>
        <w:ind w:right="3080"/>
        <w:spacing w:after="0"/>
        <w:rPr>
          <w:sz w:val="20"/>
          <w:szCs w:val="20"/>
          <w:color w:val="auto"/>
        </w:rPr>
      </w:pPr>
      <w:r>
        <w:rPr>
          <w:rFonts w:ascii="Arial" w:cs="Arial" w:eastAsia="Arial" w:hAnsi="Arial"/>
          <w:sz w:val="14"/>
          <w:szCs w:val="14"/>
          <w:color w:val="auto"/>
        </w:rPr>
        <w:t>CLPS INCORPORATION</w:t>
      </w:r>
    </w:p>
    <w:p>
      <w:pPr>
        <w:spacing w:after="0" w:line="176" w:lineRule="exact"/>
        <w:rPr>
          <w:sz w:val="20"/>
          <w:szCs w:val="20"/>
          <w:color w:val="auto"/>
        </w:rPr>
      </w:pPr>
    </w:p>
    <w:tbl>
      <w:tblPr>
        <w:tblLayout w:type="fixed"/>
        <w:tblInd w:w="688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Raymond Ming Hui Lin</w:t>
            </w:r>
          </w:p>
        </w:tc>
      </w:tr>
      <w:tr>
        <w:trPr>
          <w:trHeight w:val="158"/>
        </w:trPr>
        <w:tc>
          <w:tcPr>
            <w:tcW w:w="460" w:type="dxa"/>
            <w:vAlign w:val="bottom"/>
          </w:tcPr>
          <w:p>
            <w:pPr>
              <w:spacing w:after="0" w:line="158" w:lineRule="exact"/>
              <w:rPr>
                <w:sz w:val="20"/>
                <w:szCs w:val="20"/>
                <w:color w:val="auto"/>
              </w:rPr>
            </w:pPr>
            <w:r>
              <w:rPr>
                <w:rFonts w:ascii="Arial" w:cs="Arial" w:eastAsia="Arial" w:hAnsi="Arial"/>
                <w:sz w:val="14"/>
                <w:szCs w:val="14"/>
                <w:color w:val="auto"/>
              </w:rPr>
              <w:t>Name:</w:t>
            </w:r>
          </w:p>
        </w:tc>
        <w:tc>
          <w:tcPr>
            <w:tcW w:w="4120" w:type="dxa"/>
            <w:vAlign w:val="bottom"/>
          </w:tcPr>
          <w:p>
            <w:pPr>
              <w:spacing w:after="0" w:line="158" w:lineRule="exact"/>
              <w:rPr>
                <w:sz w:val="20"/>
                <w:szCs w:val="20"/>
                <w:color w:val="auto"/>
              </w:rPr>
            </w:pPr>
            <w:r>
              <w:rPr>
                <w:rFonts w:ascii="Arial" w:cs="Arial" w:eastAsia="Arial" w:hAnsi="Arial"/>
                <w:sz w:val="14"/>
                <w:szCs w:val="14"/>
                <w:color w:val="auto"/>
              </w:rPr>
              <w:t>Raymond Ming Hui Lin</w:t>
            </w:r>
          </w:p>
        </w:tc>
      </w:tr>
      <w:tr>
        <w:trPr>
          <w:trHeight w:val="179"/>
        </w:trPr>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4120" w:type="dxa"/>
            <w:vAlign w:val="bottom"/>
          </w:tcPr>
          <w:p>
            <w:pPr>
              <w:spacing w:after="0"/>
              <w:rPr>
                <w:sz w:val="20"/>
                <w:szCs w:val="20"/>
                <w:color w:val="auto"/>
              </w:rPr>
            </w:pPr>
            <w:r>
              <w:rPr>
                <w:rFonts w:ascii="Arial" w:cs="Arial" w:eastAsia="Arial" w:hAnsi="Arial"/>
                <w:sz w:val="14"/>
                <w:szCs w:val="14"/>
                <w:color w:val="auto"/>
              </w:rPr>
              <w:t>Chief Executive Officer</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Agreed to and Accepted: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641725" cy="133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41725" cy="1333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Date: December 9, 2017</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4"/>
          <w:szCs w:val="14"/>
          <w:b w:val="1"/>
          <w:bCs w:val="1"/>
          <w:color w:val="auto"/>
        </w:rPr>
        <w:t>Exhibit 10.4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EMPLOYMENT AGREEMENT</w:t>
      </w:r>
    </w:p>
    <w:p>
      <w:pPr>
        <w:spacing w:after="0" w:line="180"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This EMPLOYMENT AGREEMENT (the “Agreement”) is entered into as of December 9, 2017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CLPS INCORPORATION, a Cayman Islands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having its principal place of business at c/o 2nd Floor, Building 18, Shanghai Pudong Software Park, 498 Guoshoujin Road, Pudong, Shanghai 201203, People’s Republic of China, and Raymond Ming Hui Lin (“</w:t>
      </w:r>
      <w:r>
        <w:rPr>
          <w:rFonts w:ascii="Arial" w:cs="Arial" w:eastAsia="Arial" w:hAnsi="Arial"/>
          <w:sz w:val="14"/>
          <w:szCs w:val="14"/>
          <w:u w:val="single" w:color="auto"/>
          <w:color w:val="auto"/>
        </w:rPr>
        <w:t>Executive</w:t>
      </w:r>
      <w:r>
        <w:rPr>
          <w:rFonts w:ascii="Arial" w:cs="Arial" w:eastAsia="Arial" w:hAnsi="Arial"/>
          <w:sz w:val="14"/>
          <w:szCs w:val="14"/>
          <w:color w:val="auto"/>
        </w:rPr>
        <w:t>”, and the Company and the Executive collectively referred to herein as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WITNESSETH</w:t>
      </w:r>
      <w:r>
        <w:rPr>
          <w:rFonts w:ascii="Arial" w:cs="Arial" w:eastAsia="Arial" w:hAnsi="Arial"/>
          <w:sz w:val="14"/>
          <w:szCs w:val="14"/>
          <w:color w:val="auto"/>
        </w:rPr>
        <w:t>:</w:t>
      </w:r>
    </w:p>
    <w:p>
      <w:pPr>
        <w:spacing w:after="0" w:line="176"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desires to hire Executive and to employ him as the Company’s Chief Executive Officer (“</w:t>
      </w:r>
      <w:r>
        <w:rPr>
          <w:rFonts w:ascii="Arial" w:cs="Arial" w:eastAsia="Arial" w:hAnsi="Arial"/>
          <w:sz w:val="14"/>
          <w:szCs w:val="14"/>
          <w:u w:val="single" w:color="auto"/>
          <w:color w:val="auto"/>
        </w:rPr>
        <w:t>Title</w:t>
      </w:r>
      <w:r>
        <w:rPr>
          <w:rFonts w:ascii="Arial" w:cs="Arial" w:eastAsia="Arial" w:hAnsi="Arial"/>
          <w:sz w:val="14"/>
          <w:szCs w:val="14"/>
          <w:color w:val="auto"/>
        </w:rPr>
        <w:t>”) commencing as of the Effective Date, and the Parties desire to enter</w:t>
      </w:r>
      <w:r>
        <w:rPr>
          <w:rFonts w:ascii="Arial" w:cs="Arial" w:eastAsia="Arial" w:hAnsi="Arial"/>
          <w:sz w:val="14"/>
          <w:szCs w:val="14"/>
          <w:b w:val="1"/>
          <w:bCs w:val="1"/>
          <w:color w:val="auto"/>
        </w:rPr>
        <w:t xml:space="preserve"> </w:t>
      </w:r>
      <w:r>
        <w:rPr>
          <w:rFonts w:ascii="Arial" w:cs="Arial" w:eastAsia="Arial" w:hAnsi="Arial"/>
          <w:sz w:val="14"/>
          <w:szCs w:val="14"/>
          <w:color w:val="auto"/>
        </w:rPr>
        <w:t>into this Agreement embodying the terms of such employment;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premises and the mutual covenants and promises of the Parties contained herein, the Parties, intending to be legally bound, hereby agree as follows:</w:t>
      </w:r>
    </w:p>
    <w:p>
      <w:pPr>
        <w:spacing w:after="0" w:line="203" w:lineRule="exact"/>
        <w:rPr>
          <w:sz w:val="20"/>
          <w:szCs w:val="20"/>
          <w:color w:val="auto"/>
        </w:rPr>
      </w:pPr>
    </w:p>
    <w:p>
      <w:pPr>
        <w:ind w:left="1000" w:hanging="491"/>
        <w:spacing w:after="0"/>
        <w:tabs>
          <w:tab w:leader="none" w:pos="1000"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Title and Job Duties</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left="1560" w:hanging="546"/>
        <w:spacing w:after="0"/>
        <w:tabs>
          <w:tab w:leader="none" w:pos="1560" w:val="left"/>
        </w:tabs>
        <w:numPr>
          <w:ilvl w:val="1"/>
          <w:numId w:val="237"/>
        </w:numPr>
        <w:rPr>
          <w:rFonts w:ascii="Arial" w:cs="Arial" w:eastAsia="Arial" w:hAnsi="Arial"/>
          <w:sz w:val="14"/>
          <w:szCs w:val="14"/>
          <w:color w:val="auto"/>
        </w:rPr>
      </w:pPr>
      <w:r>
        <w:rPr>
          <w:rFonts w:ascii="Arial" w:cs="Arial" w:eastAsia="Arial" w:hAnsi="Arial"/>
          <w:sz w:val="14"/>
          <w:szCs w:val="14"/>
          <w:color w:val="auto"/>
        </w:rPr>
        <w:t>Subject to the terms and conditions set forth in this Agreement, the Company agrees to employ Executive as Chief Executive Officer.</w:t>
      </w:r>
    </w:p>
    <w:p>
      <w:pPr>
        <w:spacing w:after="0" w:line="175" w:lineRule="exact"/>
        <w:rPr>
          <w:rFonts w:ascii="Arial" w:cs="Arial" w:eastAsia="Arial" w:hAnsi="Arial"/>
          <w:sz w:val="14"/>
          <w:szCs w:val="14"/>
          <w:color w:val="auto"/>
        </w:rPr>
      </w:pPr>
    </w:p>
    <w:p>
      <w:pPr>
        <w:ind w:firstLine="1014"/>
        <w:spacing w:after="0" w:line="277" w:lineRule="auto"/>
        <w:tabs>
          <w:tab w:leader="none" w:pos="1619" w:val="left"/>
        </w:tabs>
        <w:numPr>
          <w:ilvl w:val="1"/>
          <w:numId w:val="237"/>
        </w:numPr>
        <w:rPr>
          <w:rFonts w:ascii="Arial" w:cs="Arial" w:eastAsia="Arial" w:hAnsi="Arial"/>
          <w:sz w:val="14"/>
          <w:szCs w:val="14"/>
          <w:color w:val="auto"/>
        </w:rPr>
      </w:pPr>
      <w:r>
        <w:rPr>
          <w:rFonts w:ascii="Arial" w:cs="Arial" w:eastAsia="Arial" w:hAnsi="Arial"/>
          <w:sz w:val="14"/>
          <w:szCs w:val="14"/>
          <w:color w:val="auto"/>
        </w:rPr>
        <w:t>Executive accepts such employment and agrees, during the term of his employment, to devote his full business and professional time and energy to the Company, and agrees faithfully to perform his duties and responsibilities in an efficient, trustworthy and business-like manner.</w:t>
      </w:r>
    </w:p>
    <w:p>
      <w:pPr>
        <w:spacing w:after="0" w:line="133" w:lineRule="exact"/>
        <w:rPr>
          <w:rFonts w:ascii="Arial" w:cs="Arial" w:eastAsia="Arial" w:hAnsi="Arial"/>
          <w:sz w:val="14"/>
          <w:szCs w:val="14"/>
          <w:color w:val="auto"/>
        </w:rPr>
      </w:pPr>
    </w:p>
    <w:p>
      <w:pPr>
        <w:jc w:val="both"/>
        <w:ind w:firstLine="1014"/>
        <w:spacing w:after="0" w:line="282" w:lineRule="auto"/>
        <w:tabs>
          <w:tab w:leader="none" w:pos="1612" w:val="left"/>
        </w:tabs>
        <w:numPr>
          <w:ilvl w:val="1"/>
          <w:numId w:val="237"/>
        </w:numPr>
        <w:rPr>
          <w:rFonts w:ascii="Arial" w:cs="Arial" w:eastAsia="Arial" w:hAnsi="Arial"/>
          <w:sz w:val="13"/>
          <w:szCs w:val="13"/>
          <w:color w:val="auto"/>
        </w:rPr>
      </w:pPr>
      <w:r>
        <w:rPr>
          <w:rFonts w:ascii="Arial" w:cs="Arial" w:eastAsia="Arial" w:hAnsi="Arial"/>
          <w:sz w:val="13"/>
          <w:szCs w:val="13"/>
          <w:color w:val="auto"/>
        </w:rPr>
        <w:t>Without limiting the generality of the foregoing, Executive shall not, without the written approval of the Company, render services of a business or commercial nature on his own behalf or on behalf of any other person, firm, or corporation, whether for compensation or otherwise, during his employment hereunder; provided, however, the Company herby approves of the Executive’s limited activities, which shall not interfere with Executive’s ability to perform hereunder, in real estate and business to business lending in the automotive industry as they exist on the Effective Date.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31" w:lineRule="exact"/>
        <w:rPr>
          <w:rFonts w:ascii="Arial" w:cs="Arial" w:eastAsia="Arial" w:hAnsi="Arial"/>
          <w:sz w:val="13"/>
          <w:szCs w:val="13"/>
          <w:color w:val="auto"/>
        </w:rPr>
      </w:pPr>
    </w:p>
    <w:p>
      <w:pPr>
        <w:ind w:left="1040" w:hanging="531"/>
        <w:spacing w:after="0"/>
        <w:tabs>
          <w:tab w:leader="none" w:pos="1040"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Salary and Additional Compensation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firstLine="1014"/>
        <w:spacing w:after="0" w:line="264" w:lineRule="auto"/>
        <w:tabs>
          <w:tab w:leader="none" w:pos="1562" w:val="left"/>
        </w:tabs>
        <w:numPr>
          <w:ilvl w:val="1"/>
          <w:numId w:val="237"/>
        </w:numPr>
        <w:rPr>
          <w:rFonts w:ascii="Arial" w:cs="Arial" w:eastAsia="Arial" w:hAnsi="Arial"/>
          <w:sz w:val="14"/>
          <w:szCs w:val="14"/>
          <w:color w:val="auto"/>
        </w:rPr>
      </w:pPr>
      <w:r>
        <w:rPr>
          <w:rFonts w:ascii="Arial" w:cs="Arial" w:eastAsia="Arial" w:hAnsi="Arial"/>
          <w:sz w:val="14"/>
          <w:szCs w:val="14"/>
          <w:u w:val="single" w:color="auto"/>
          <w:color w:val="auto"/>
        </w:rPr>
        <w:t>Base Salary</w:t>
      </w:r>
      <w:r>
        <w:rPr>
          <w:rFonts w:ascii="Arial" w:cs="Arial" w:eastAsia="Arial" w:hAnsi="Arial"/>
          <w:sz w:val="14"/>
          <w:szCs w:val="14"/>
          <w:color w:val="auto"/>
        </w:rPr>
        <w:t>. The Company shall pay to Executive an annual base salary (“</w:t>
      </w:r>
      <w:r>
        <w:rPr>
          <w:rFonts w:ascii="Arial" w:cs="Arial" w:eastAsia="Arial" w:hAnsi="Arial"/>
          <w:sz w:val="14"/>
          <w:szCs w:val="14"/>
          <w:u w:val="single" w:color="auto"/>
          <w:color w:val="auto"/>
        </w:rPr>
        <w:t>Base Salary</w:t>
      </w:r>
      <w:r>
        <w:rPr>
          <w:rFonts w:ascii="Arial" w:cs="Arial" w:eastAsia="Arial" w:hAnsi="Arial"/>
          <w:sz w:val="14"/>
          <w:szCs w:val="14"/>
          <w:color w:val="auto"/>
        </w:rPr>
        <w:t>”) of RMB144,000 and HK$389,880 (a total of approximately US$71,400) in accordance with the Company’s normal payroll procedures.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277100" cy="133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31" w:name="page232"/>
    <w:bookmarkEnd w:id="231"/>
    <w:p>
      <w:pPr>
        <w:jc w:val="both"/>
        <w:ind w:left="-20" w:firstLine="1014"/>
        <w:spacing w:after="0" w:line="282" w:lineRule="auto"/>
        <w:tabs>
          <w:tab w:leader="none" w:pos="1539" w:val="left"/>
        </w:tabs>
        <w:numPr>
          <w:ilvl w:val="1"/>
          <w:numId w:val="238"/>
        </w:numPr>
        <w:rPr>
          <w:rFonts w:ascii="Arial" w:cs="Arial" w:eastAsia="Arial" w:hAnsi="Arial"/>
          <w:sz w:val="13"/>
          <w:szCs w:val="13"/>
          <w:color w:val="auto"/>
        </w:rPr>
      </w:pPr>
      <w:r>
        <w:rPr>
          <w:rFonts w:ascii="Arial" w:cs="Arial" w:eastAsia="Arial" w:hAnsi="Arial"/>
          <w:sz w:val="13"/>
          <w:szCs w:val="13"/>
          <w:u w:val="single" w:color="auto"/>
          <w:color w:val="auto"/>
        </w:rPr>
        <w:t>Annual Bonus</w:t>
      </w:r>
      <w:r>
        <w:rPr>
          <w:rFonts w:ascii="Arial" w:cs="Arial" w:eastAsia="Arial" w:hAnsi="Arial"/>
          <w:sz w:val="13"/>
          <w:szCs w:val="13"/>
          <w:color w:val="auto"/>
        </w:rPr>
        <w:t>. Commencing with the year ending June 30, 2018, Executive will be entitled to receive an annual cash bonus (the “</w:t>
      </w:r>
      <w:r>
        <w:rPr>
          <w:rFonts w:ascii="Arial" w:cs="Arial" w:eastAsia="Arial" w:hAnsi="Arial"/>
          <w:sz w:val="13"/>
          <w:szCs w:val="13"/>
          <w:u w:val="single" w:color="auto"/>
          <w:color w:val="auto"/>
        </w:rPr>
        <w:t>Annual Bonus</w:t>
      </w:r>
      <w:r>
        <w:rPr>
          <w:rFonts w:ascii="Arial" w:cs="Arial" w:eastAsia="Arial" w:hAnsi="Arial"/>
          <w:sz w:val="13"/>
          <w:szCs w:val="13"/>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3"/>
          <w:szCs w:val="13"/>
          <w:u w:val="single" w:color="auto"/>
          <w:color w:val="auto"/>
        </w:rPr>
        <w:t>Board</w:t>
      </w:r>
      <w:r>
        <w:rPr>
          <w:rFonts w:ascii="Arial" w:cs="Arial" w:eastAsia="Arial" w:hAnsi="Arial"/>
          <w:sz w:val="13"/>
          <w:szCs w:val="13"/>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31" w:lineRule="exact"/>
        <w:rPr>
          <w:rFonts w:ascii="Arial" w:cs="Arial" w:eastAsia="Arial" w:hAnsi="Arial"/>
          <w:sz w:val="13"/>
          <w:szCs w:val="13"/>
          <w:color w:val="auto"/>
        </w:rPr>
      </w:pPr>
    </w:p>
    <w:p>
      <w:pPr>
        <w:jc w:val="both"/>
        <w:ind w:left="-20" w:firstLine="509"/>
        <w:spacing w:after="0" w:line="257" w:lineRule="auto"/>
        <w:tabs>
          <w:tab w:leader="none" w:pos="1081" w:val="left"/>
        </w:tabs>
        <w:numPr>
          <w:ilvl w:val="0"/>
          <w:numId w:val="239"/>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his duties under this Agreement, including without limitation all travel expenses to and from his designated office as set forth in the opening paragraph of this Agreement, upon his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48" w:lineRule="exact"/>
        <w:rPr>
          <w:rFonts w:ascii="Arial" w:cs="Arial" w:eastAsia="Arial" w:hAnsi="Arial"/>
          <w:sz w:val="14"/>
          <w:szCs w:val="14"/>
          <w:color w:val="auto"/>
        </w:rPr>
      </w:pPr>
    </w:p>
    <w:p>
      <w:pPr>
        <w:ind w:left="980" w:hanging="491"/>
        <w:spacing w:after="0"/>
        <w:tabs>
          <w:tab w:leader="none" w:pos="980" w:val="left"/>
        </w:tabs>
        <w:numPr>
          <w:ilvl w:val="0"/>
          <w:numId w:val="239"/>
        </w:numPr>
        <w:rPr>
          <w:rFonts w:ascii="Arial" w:cs="Arial" w:eastAsia="Arial" w:hAnsi="Arial"/>
          <w:sz w:val="14"/>
          <w:szCs w:val="14"/>
          <w:color w:val="auto"/>
        </w:rPr>
      </w:pPr>
      <w:r>
        <w:rPr>
          <w:rFonts w:ascii="Arial" w:cs="Arial" w:eastAsia="Arial" w:hAnsi="Arial"/>
          <w:sz w:val="14"/>
          <w:szCs w:val="14"/>
          <w:u w:val="single" w:color="auto"/>
          <w:color w:val="auto"/>
        </w:rPr>
        <w:t>Benefits</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left="-20" w:firstLine="1014"/>
        <w:spacing w:after="0" w:line="277" w:lineRule="auto"/>
        <w:tabs>
          <w:tab w:leader="none" w:pos="1553" w:val="left"/>
        </w:tabs>
        <w:numPr>
          <w:ilvl w:val="1"/>
          <w:numId w:val="239"/>
        </w:numPr>
        <w:rPr>
          <w:rFonts w:ascii="Arial" w:cs="Arial" w:eastAsia="Arial" w:hAnsi="Arial"/>
          <w:sz w:val="14"/>
          <w:szCs w:val="14"/>
          <w:color w:val="auto"/>
        </w:rPr>
      </w:pPr>
      <w:r>
        <w:rPr>
          <w:rFonts w:ascii="Arial" w:cs="Arial" w:eastAsia="Arial" w:hAnsi="Arial"/>
          <w:sz w:val="14"/>
          <w:szCs w:val="14"/>
          <w:u w:val="single" w:color="auto"/>
          <w:color w:val="auto"/>
        </w:rPr>
        <w:t>Vacation and Sick Leave</w:t>
      </w:r>
      <w:r>
        <w:rPr>
          <w:rFonts w:ascii="Arial" w:cs="Arial" w:eastAsia="Arial" w:hAnsi="Arial"/>
          <w:sz w:val="14"/>
          <w:szCs w:val="14"/>
          <w:color w:val="auto"/>
        </w:rPr>
        <w:t>. Executive shall be entitled to three weeks of vacation per year and 10 days of sick leave per year, which shall accrue at a pro rata rate per pay period. Vacation must be taken in the year in which it accrues and the dates of any vacation must be approved by the CEO.</w:t>
      </w:r>
    </w:p>
    <w:p>
      <w:pPr>
        <w:spacing w:after="0" w:line="133" w:lineRule="exact"/>
        <w:rPr>
          <w:rFonts w:ascii="Arial" w:cs="Arial" w:eastAsia="Arial" w:hAnsi="Arial"/>
          <w:sz w:val="14"/>
          <w:szCs w:val="14"/>
          <w:color w:val="auto"/>
        </w:rPr>
      </w:pPr>
    </w:p>
    <w:p>
      <w:pPr>
        <w:ind w:left="-20" w:firstLine="1014"/>
        <w:spacing w:after="0" w:line="277" w:lineRule="auto"/>
        <w:tabs>
          <w:tab w:leader="none" w:pos="1550" w:val="left"/>
        </w:tabs>
        <w:numPr>
          <w:ilvl w:val="1"/>
          <w:numId w:val="239"/>
        </w:numPr>
        <w:rPr>
          <w:rFonts w:ascii="Arial" w:cs="Arial" w:eastAsia="Arial" w:hAnsi="Arial"/>
          <w:sz w:val="14"/>
          <w:szCs w:val="14"/>
          <w:color w:val="auto"/>
        </w:rPr>
      </w:pPr>
      <w:r>
        <w:rPr>
          <w:rFonts w:ascii="Arial" w:cs="Arial" w:eastAsia="Arial" w:hAnsi="Arial"/>
          <w:sz w:val="14"/>
          <w:szCs w:val="14"/>
          <w:u w:val="single" w:color="auto"/>
          <w:color w:val="auto"/>
        </w:rPr>
        <w:t>Health Insurance and Other Plans</w:t>
      </w:r>
      <w:r>
        <w:rPr>
          <w:rFonts w:ascii="Arial" w:cs="Arial" w:eastAsia="Arial" w:hAnsi="Arial"/>
          <w:sz w:val="14"/>
          <w:szCs w:val="14"/>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33" w:lineRule="exact"/>
        <w:rPr>
          <w:rFonts w:ascii="Arial" w:cs="Arial" w:eastAsia="Arial" w:hAnsi="Arial"/>
          <w:sz w:val="14"/>
          <w:szCs w:val="14"/>
          <w:color w:val="auto"/>
        </w:rPr>
      </w:pPr>
    </w:p>
    <w:p>
      <w:pPr>
        <w:jc w:val="both"/>
        <w:ind w:left="-20" w:firstLine="509"/>
        <w:spacing w:after="0" w:line="255" w:lineRule="auto"/>
        <w:tabs>
          <w:tab w:leader="none" w:pos="1200" w:val="left"/>
        </w:tabs>
        <w:numPr>
          <w:ilvl w:val="0"/>
          <w:numId w:val="239"/>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The term of employment under this Agreement (the “Term) shall be for a five-year period commencing on the Effective Date and ending on May 10, 2022, and shall be automatically extended for an additional consecutive twelve (12)-month period on the fifth anniversary of the Effective Date and each subsequent anniversary thereof, unless and until the Company or Executive provides written notice to the other party not less than ninety (90) 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his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32" w:name="page233"/>
    <w:bookmarkEnd w:id="232"/>
    <w:p>
      <w:pPr>
        <w:ind w:left="1020" w:hanging="531"/>
        <w:spacing w:after="0"/>
        <w:tabs>
          <w:tab w:leader="none" w:pos="1020" w:val="left"/>
        </w:tabs>
        <w:numPr>
          <w:ilvl w:val="0"/>
          <w:numId w:val="240"/>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left="1500" w:hanging="506"/>
        <w:spacing w:after="0"/>
        <w:tabs>
          <w:tab w:leader="none" w:pos="1500" w:val="left"/>
        </w:tabs>
        <w:numPr>
          <w:ilvl w:val="1"/>
          <w:numId w:val="240"/>
        </w:numPr>
        <w:rPr>
          <w:rFonts w:ascii="Arial" w:cs="Arial" w:eastAsia="Arial" w:hAnsi="Arial"/>
          <w:sz w:val="14"/>
          <w:szCs w:val="14"/>
          <w:color w:val="auto"/>
        </w:rPr>
      </w:pPr>
      <w:r>
        <w:rPr>
          <w:rFonts w:ascii="Arial" w:cs="Arial" w:eastAsia="Arial" w:hAnsi="Arial"/>
          <w:sz w:val="14"/>
          <w:szCs w:val="14"/>
          <w:u w:val="single" w:color="auto"/>
          <w:color w:val="auto"/>
        </w:rPr>
        <w:t>Termination at the Company’s Election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520"/>
        <w:spacing w:after="0" w:line="279" w:lineRule="auto"/>
        <w:tabs>
          <w:tab w:leader="none" w:pos="2255" w:val="left"/>
        </w:tabs>
        <w:numPr>
          <w:ilvl w:val="2"/>
          <w:numId w:val="240"/>
        </w:numPr>
        <w:rPr>
          <w:rFonts w:ascii="Arial" w:cs="Arial" w:eastAsia="Arial" w:hAnsi="Arial"/>
          <w:sz w:val="13"/>
          <w:szCs w:val="13"/>
          <w:color w:val="auto"/>
        </w:rPr>
      </w:pPr>
      <w:r>
        <w:rPr>
          <w:rFonts w:ascii="Arial" w:cs="Arial" w:eastAsia="Arial" w:hAnsi="Arial"/>
          <w:sz w:val="13"/>
          <w:szCs w:val="13"/>
          <w:u w:val="single" w:color="auto"/>
          <w:color w:val="auto"/>
        </w:rPr>
        <w:t>For Cause</w:t>
      </w:r>
      <w:r>
        <w:rPr>
          <w:rFonts w:ascii="Arial" w:cs="Arial" w:eastAsia="Arial" w:hAnsi="Arial"/>
          <w:sz w:val="13"/>
          <w:szCs w:val="13"/>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3"/>
          <w:szCs w:val="13"/>
          <w:u w:val="single" w:color="auto"/>
          <w:color w:val="auto"/>
        </w:rPr>
        <w:t>Cause</w:t>
      </w:r>
      <w:r>
        <w:rPr>
          <w:rFonts w:ascii="Arial" w:cs="Arial" w:eastAsia="Arial" w:hAnsi="Arial"/>
          <w:sz w:val="13"/>
          <w:szCs w:val="13"/>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his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35" w:lineRule="exact"/>
        <w:rPr>
          <w:rFonts w:ascii="Arial" w:cs="Arial" w:eastAsia="Arial" w:hAnsi="Arial"/>
          <w:sz w:val="13"/>
          <w:szCs w:val="13"/>
          <w:color w:val="auto"/>
        </w:rPr>
      </w:pPr>
    </w:p>
    <w:p>
      <w:pPr>
        <w:jc w:val="both"/>
        <w:ind w:left="-20" w:firstLine="1520"/>
        <w:spacing w:after="0" w:line="264" w:lineRule="auto"/>
        <w:tabs>
          <w:tab w:leader="none" w:pos="2252" w:val="left"/>
        </w:tabs>
        <w:numPr>
          <w:ilvl w:val="2"/>
          <w:numId w:val="240"/>
        </w:numPr>
        <w:rPr>
          <w:rFonts w:ascii="Arial" w:cs="Arial" w:eastAsia="Arial" w:hAnsi="Arial"/>
          <w:sz w:val="14"/>
          <w:szCs w:val="14"/>
          <w:color w:val="auto"/>
        </w:rPr>
      </w:pPr>
      <w:r>
        <w:rPr>
          <w:rFonts w:ascii="Arial" w:cs="Arial" w:eastAsia="Arial" w:hAnsi="Arial"/>
          <w:sz w:val="14"/>
          <w:szCs w:val="14"/>
          <w:u w:val="single" w:color="auto"/>
          <w:color w:val="auto"/>
        </w:rPr>
        <w:t>Upon Disability, Death or Without Cause</w:t>
      </w:r>
      <w:r>
        <w:rPr>
          <w:rFonts w:ascii="Arial" w:cs="Arial" w:eastAsia="Arial" w:hAnsi="Arial"/>
          <w:sz w:val="14"/>
          <w:szCs w:val="14"/>
          <w:color w:val="auto"/>
        </w:rPr>
        <w:t>. At the election of the Company, Executive’s employment may be terminated: (A) should Executive have a physical or mental impairment that substantially limits a major life activity and Executive is unable to perform the essential functions of his job with or without reasonable accommodation (“</w:t>
      </w:r>
      <w:r>
        <w:rPr>
          <w:rFonts w:ascii="Arial" w:cs="Arial" w:eastAsia="Arial" w:hAnsi="Arial"/>
          <w:sz w:val="14"/>
          <w:szCs w:val="14"/>
          <w:u w:val="single" w:color="auto"/>
          <w:color w:val="auto"/>
        </w:rPr>
        <w:t>Disability</w:t>
      </w:r>
      <w:r>
        <w:rPr>
          <w:rFonts w:ascii="Arial" w:cs="Arial" w:eastAsia="Arial" w:hAnsi="Arial"/>
          <w:sz w:val="14"/>
          <w:szCs w:val="14"/>
          <w:color w:val="auto"/>
        </w:rPr>
        <w:t>”); (B) upon Executive’s death; or (C) with ninety (90) days prior written notice, at any time Without Cause for any or no reason.</w:t>
      </w:r>
    </w:p>
    <w:p>
      <w:pPr>
        <w:spacing w:after="0" w:line="142" w:lineRule="exact"/>
        <w:rPr>
          <w:rFonts w:ascii="Arial" w:cs="Arial" w:eastAsia="Arial" w:hAnsi="Arial"/>
          <w:sz w:val="14"/>
          <w:szCs w:val="14"/>
          <w:color w:val="auto"/>
        </w:rPr>
      </w:pPr>
    </w:p>
    <w:p>
      <w:pPr>
        <w:jc w:val="both"/>
        <w:ind w:left="-20" w:firstLine="1014"/>
        <w:spacing w:after="0" w:line="276" w:lineRule="auto"/>
        <w:tabs>
          <w:tab w:leader="none" w:pos="1511" w:val="left"/>
        </w:tabs>
        <w:numPr>
          <w:ilvl w:val="1"/>
          <w:numId w:val="240"/>
        </w:numPr>
        <w:rPr>
          <w:rFonts w:ascii="Arial" w:cs="Arial" w:eastAsia="Arial" w:hAnsi="Arial"/>
          <w:sz w:val="13"/>
          <w:szCs w:val="13"/>
          <w:color w:val="auto"/>
        </w:rPr>
      </w:pPr>
      <w:r>
        <w:rPr>
          <w:rFonts w:ascii="Arial" w:cs="Arial" w:eastAsia="Arial" w:hAnsi="Arial"/>
          <w:sz w:val="13"/>
          <w:szCs w:val="13"/>
          <w:u w:val="single" w:color="auto"/>
          <w:color w:val="auto"/>
        </w:rPr>
        <w:t>Termination at Executive’s Election; Good Reason Termination</w:t>
      </w:r>
      <w:r>
        <w:rPr>
          <w:rFonts w:ascii="Arial" w:cs="Arial" w:eastAsia="Arial" w:hAnsi="Arial"/>
          <w:sz w:val="13"/>
          <w:szCs w:val="13"/>
          <w:color w:val="auto"/>
        </w:rPr>
        <w:t>. Notwithstanding anything contained elsewhere in this Agreement to the contrary, Executive may terminate his employment hereunder at any time and for any reason, upon thirty (30) days’ prior written notice given pursuant to Section 12 of this Agreement (“</w:t>
      </w:r>
      <w:r>
        <w:rPr>
          <w:rFonts w:ascii="Arial" w:cs="Arial" w:eastAsia="Arial" w:hAnsi="Arial"/>
          <w:sz w:val="13"/>
          <w:szCs w:val="13"/>
          <w:u w:val="single" w:color="auto"/>
          <w:color w:val="auto"/>
        </w:rPr>
        <w:t>Voluntary Resignation</w:t>
      </w:r>
      <w:r>
        <w:rPr>
          <w:rFonts w:ascii="Arial" w:cs="Arial" w:eastAsia="Arial" w:hAnsi="Arial"/>
          <w:sz w:val="13"/>
          <w:szCs w:val="13"/>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3"/>
          <w:szCs w:val="13"/>
          <w:u w:val="single" w:color="auto"/>
          <w:color w:val="auto"/>
        </w:rPr>
        <w:t>Good Reason</w:t>
      </w:r>
      <w:r>
        <w:rPr>
          <w:rFonts w:ascii="Arial" w:cs="Arial" w:eastAsia="Arial" w:hAnsi="Arial"/>
          <w:sz w:val="13"/>
          <w:szCs w:val="13"/>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33" w:name="page234"/>
    <w:bookmarkEnd w:id="233"/>
    <w:p>
      <w:pPr>
        <w:jc w:val="both"/>
        <w:ind w:left="-20" w:firstLine="1014"/>
        <w:spacing w:after="0" w:line="316" w:lineRule="auto"/>
        <w:tabs>
          <w:tab w:leader="none" w:pos="1553" w:val="left"/>
        </w:tabs>
        <w:numPr>
          <w:ilvl w:val="1"/>
          <w:numId w:val="241"/>
        </w:numPr>
        <w:rPr>
          <w:rFonts w:ascii="Arial" w:cs="Arial" w:eastAsia="Arial" w:hAnsi="Arial"/>
          <w:sz w:val="12"/>
          <w:szCs w:val="12"/>
          <w:color w:val="auto"/>
        </w:rPr>
      </w:pPr>
      <w:r>
        <w:rPr>
          <w:rFonts w:ascii="Arial" w:cs="Arial" w:eastAsia="Arial" w:hAnsi="Arial"/>
          <w:sz w:val="12"/>
          <w:szCs w:val="12"/>
          <w:u w:val="single" w:color="auto"/>
          <w:color w:val="auto"/>
        </w:rPr>
        <w:t>Termination in General</w:t>
      </w:r>
      <w:r>
        <w:rPr>
          <w:rFonts w:ascii="Arial" w:cs="Arial" w:eastAsia="Arial" w:hAnsi="Arial"/>
          <w:sz w:val="12"/>
          <w:szCs w:val="12"/>
          <w:color w:val="auto"/>
        </w:rPr>
        <w:t>. If Executive’s employment with the Company terminates for any reason, the Company will pay or provide to 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115" w:lineRule="exact"/>
        <w:rPr>
          <w:rFonts w:ascii="Arial" w:cs="Arial" w:eastAsia="Arial" w:hAnsi="Arial"/>
          <w:sz w:val="12"/>
          <w:szCs w:val="12"/>
          <w:color w:val="auto"/>
        </w:rPr>
      </w:pPr>
    </w:p>
    <w:p>
      <w:pPr>
        <w:ind w:left="1020" w:hanging="531"/>
        <w:spacing w:after="0"/>
        <w:tabs>
          <w:tab w:leader="none" w:pos="1020"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Severance</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014"/>
        <w:spacing w:after="0" w:line="256" w:lineRule="auto"/>
        <w:tabs>
          <w:tab w:leader="none" w:pos="1693" w:val="left"/>
        </w:tabs>
        <w:numPr>
          <w:ilvl w:val="1"/>
          <w:numId w:val="242"/>
        </w:numPr>
        <w:rPr>
          <w:rFonts w:ascii="Arial" w:cs="Arial" w:eastAsia="Arial" w:hAnsi="Arial"/>
          <w:sz w:val="14"/>
          <w:szCs w:val="14"/>
          <w:color w:val="auto"/>
        </w:rPr>
      </w:pPr>
      <w:r>
        <w:rPr>
          <w:rFonts w:ascii="Arial" w:cs="Arial" w:eastAsia="Arial" w:hAnsi="Arial"/>
          <w:sz w:val="14"/>
          <w:szCs w:val="14"/>
          <w:color w:val="auto"/>
        </w:rPr>
        <w:t>Subject to Section 7(b) below, if Executive’s employment is terminated prior to the end of the Term by the Company without Cause or by Executive for Good Reason, Executive shall be entitled to receive a severance payment equal to (i) nine (9) months of Executive’s Base Salary, and (ii)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48" w:lineRule="exact"/>
        <w:rPr>
          <w:rFonts w:ascii="Arial" w:cs="Arial" w:eastAsia="Arial" w:hAnsi="Arial"/>
          <w:sz w:val="14"/>
          <w:szCs w:val="14"/>
          <w:color w:val="auto"/>
        </w:rPr>
      </w:pPr>
    </w:p>
    <w:p>
      <w:pPr>
        <w:jc w:val="both"/>
        <w:ind w:left="-20" w:firstLine="1014"/>
        <w:spacing w:after="0" w:line="276" w:lineRule="auto"/>
        <w:tabs>
          <w:tab w:leader="none" w:pos="1619" w:val="left"/>
        </w:tabs>
        <w:numPr>
          <w:ilvl w:val="1"/>
          <w:numId w:val="242"/>
        </w:numPr>
        <w:rPr>
          <w:rFonts w:ascii="Arial" w:cs="Arial" w:eastAsia="Arial" w:hAnsi="Arial"/>
          <w:sz w:val="13"/>
          <w:szCs w:val="13"/>
          <w:color w:val="auto"/>
        </w:rPr>
      </w:pPr>
      <w:r>
        <w:rPr>
          <w:rFonts w:ascii="Arial" w:cs="Arial" w:eastAsia="Arial" w:hAnsi="Arial"/>
          <w:sz w:val="13"/>
          <w:szCs w:val="13"/>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Stock Option Grant or, if the termination occurs after the Change of Control, the Substitute Grant, as applicable. For purposes of this Agreement, “</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3"/>
          <w:szCs w:val="13"/>
          <w:u w:val="single" w:color="auto"/>
          <w:color w:val="auto"/>
        </w:rPr>
        <w:t>Exchange Act</w:t>
      </w:r>
      <w:r>
        <w:rPr>
          <w:rFonts w:ascii="Arial" w:cs="Arial" w:eastAsia="Arial" w:hAnsi="Arial"/>
          <w:sz w:val="13"/>
          <w:szCs w:val="13"/>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36" w:lineRule="exact"/>
        <w:rPr>
          <w:rFonts w:ascii="Arial" w:cs="Arial" w:eastAsia="Arial" w:hAnsi="Arial"/>
          <w:sz w:val="13"/>
          <w:szCs w:val="13"/>
          <w:color w:val="auto"/>
        </w:rPr>
      </w:pPr>
    </w:p>
    <w:p>
      <w:pPr>
        <w:jc w:val="both"/>
        <w:ind w:left="-20" w:firstLine="1014"/>
        <w:spacing w:after="0" w:line="259" w:lineRule="auto"/>
        <w:tabs>
          <w:tab w:leader="none" w:pos="1621" w:val="left"/>
        </w:tabs>
        <w:numPr>
          <w:ilvl w:val="1"/>
          <w:numId w:val="242"/>
        </w:numPr>
        <w:rPr>
          <w:rFonts w:ascii="Arial" w:cs="Arial" w:eastAsia="Arial" w:hAnsi="Arial"/>
          <w:sz w:val="14"/>
          <w:szCs w:val="14"/>
          <w:color w:val="auto"/>
        </w:rPr>
      </w:pPr>
      <w:r>
        <w:rPr>
          <w:rFonts w:ascii="Arial" w:cs="Arial" w:eastAsia="Arial" w:hAnsi="Arial"/>
          <w:sz w:val="14"/>
          <w:szCs w:val="14"/>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34" w:name="page235"/>
    <w:bookmarkEnd w:id="234"/>
    <w:p>
      <w:pPr>
        <w:ind w:left="1020" w:hanging="531"/>
        <w:spacing w:after="0"/>
        <w:tabs>
          <w:tab w:leader="none" w:pos="1020"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014"/>
        <w:spacing w:after="0" w:line="275" w:lineRule="auto"/>
        <w:tabs>
          <w:tab w:leader="none" w:pos="1561" w:val="left"/>
        </w:tabs>
        <w:numPr>
          <w:ilvl w:val="1"/>
          <w:numId w:val="243"/>
        </w:numPr>
        <w:rPr>
          <w:rFonts w:ascii="Arial" w:cs="Arial" w:eastAsia="Arial" w:hAnsi="Arial"/>
          <w:sz w:val="13"/>
          <w:szCs w:val="13"/>
          <w:color w:val="auto"/>
        </w:rPr>
      </w:pPr>
      <w:r>
        <w:rPr>
          <w:rFonts w:ascii="Arial" w:cs="Arial" w:eastAsia="Arial" w:hAnsi="Arial"/>
          <w:sz w:val="13"/>
          <w:szCs w:val="13"/>
          <w:color w:val="auto"/>
        </w:rPr>
        <w:t>Executive understands that during the Term 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3"/>
          <w:szCs w:val="13"/>
          <w:u w:val="single" w:color="auto"/>
          <w:color w:val="auto"/>
        </w:rPr>
        <w:t>Affiliated Entities</w:t>
      </w:r>
      <w:r>
        <w:rPr>
          <w:rFonts w:ascii="Arial" w:cs="Arial" w:eastAsia="Arial" w:hAnsi="Arial"/>
          <w:sz w:val="13"/>
          <w:szCs w:val="13"/>
          <w:color w:val="auto"/>
        </w:rPr>
        <w:t>”),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others under agreements to hold such information confidential (collectively, the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Executive agrees to observe all Company policies and procedures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when necessary in the performance of his duties for the Company. Executive’s obligations under this Agreement will continue with respect to Confidential Information, whether or not his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he first notifies promptly the Company of such subpoena, order or other requirement and allows the Company the opportunity to obtain a protective order or other appropriate remedy.</w:t>
      </w:r>
    </w:p>
    <w:p>
      <w:pPr>
        <w:spacing w:after="0" w:line="136" w:lineRule="exact"/>
        <w:rPr>
          <w:rFonts w:ascii="Arial" w:cs="Arial" w:eastAsia="Arial" w:hAnsi="Arial"/>
          <w:sz w:val="13"/>
          <w:szCs w:val="13"/>
          <w:color w:val="auto"/>
        </w:rPr>
      </w:pPr>
    </w:p>
    <w:p>
      <w:pPr>
        <w:jc w:val="both"/>
        <w:ind w:left="-20" w:firstLine="1014"/>
        <w:spacing w:after="0" w:line="257" w:lineRule="auto"/>
        <w:tabs>
          <w:tab w:leader="none" w:pos="1579" w:val="left"/>
        </w:tabs>
        <w:numPr>
          <w:ilvl w:val="1"/>
          <w:numId w:val="243"/>
        </w:numPr>
        <w:rPr>
          <w:rFonts w:ascii="Arial" w:cs="Arial" w:eastAsia="Arial" w:hAnsi="Arial"/>
          <w:sz w:val="14"/>
          <w:szCs w:val="14"/>
          <w:color w:val="auto"/>
        </w:rPr>
      </w:pPr>
      <w:r>
        <w:rPr>
          <w:rFonts w:ascii="Arial" w:cs="Arial" w:eastAsia="Arial" w:hAnsi="Arial"/>
          <w:sz w:val="14"/>
          <w:szCs w:val="14"/>
          <w:color w:val="auto"/>
        </w:rPr>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Executive’s possession, custody or control.</w:t>
      </w:r>
    </w:p>
    <w:p>
      <w:pPr>
        <w:spacing w:after="0" w:line="148" w:lineRule="exact"/>
        <w:rPr>
          <w:rFonts w:ascii="Arial" w:cs="Arial" w:eastAsia="Arial" w:hAnsi="Arial"/>
          <w:sz w:val="14"/>
          <w:szCs w:val="14"/>
          <w:color w:val="auto"/>
        </w:rPr>
      </w:pPr>
    </w:p>
    <w:p>
      <w:pPr>
        <w:jc w:val="both"/>
        <w:ind w:left="-20" w:firstLine="1014"/>
        <w:spacing w:after="0" w:line="278" w:lineRule="auto"/>
        <w:tabs>
          <w:tab w:leader="none" w:pos="1573" w:val="left"/>
        </w:tabs>
        <w:numPr>
          <w:ilvl w:val="1"/>
          <w:numId w:val="243"/>
        </w:numPr>
        <w:rPr>
          <w:rFonts w:ascii="Arial" w:cs="Arial" w:eastAsia="Arial" w:hAnsi="Arial"/>
          <w:sz w:val="13"/>
          <w:szCs w:val="13"/>
          <w:color w:val="auto"/>
        </w:rPr>
      </w:pPr>
      <w:r>
        <w:rPr>
          <w:rFonts w:ascii="Arial" w:cs="Arial" w:eastAsia="Arial" w:hAnsi="Arial"/>
          <w:sz w:val="13"/>
          <w:szCs w:val="13"/>
          <w:color w:val="auto"/>
        </w:rPr>
        <w:t>Executive will promptly disclose to the Company any idea, invention, discovery or improvement, whether patentable or not (“</w:t>
      </w:r>
      <w:r>
        <w:rPr>
          <w:rFonts w:ascii="Arial" w:cs="Arial" w:eastAsia="Arial" w:hAnsi="Arial"/>
          <w:sz w:val="13"/>
          <w:szCs w:val="13"/>
          <w:u w:val="single" w:color="auto"/>
          <w:color w:val="auto"/>
        </w:rPr>
        <w:t>Creations</w:t>
      </w:r>
      <w:r>
        <w:rPr>
          <w:rFonts w:ascii="Arial" w:cs="Arial" w:eastAsia="Arial" w:hAnsi="Arial"/>
          <w:sz w:val="13"/>
          <w:szCs w:val="13"/>
          <w:color w:val="auto"/>
        </w:rPr>
        <w:t>”), conceived or made by him alone or with others at any time during his employment. Executive agrees that the Company owns all such Creations, conceived or made by Executive alone or with others at any time during his employment, and Executive hereby assigns and agrees to assign to the Company all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Executive understands that the obligation to assign Creations to the Company shall not apply to any Creation which is developed entirely on his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his work at the Company.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35" w:name="page236"/>
    <w:bookmarkEnd w:id="235"/>
    <w:p>
      <w:pPr>
        <w:ind w:left="-20" w:firstLine="1014"/>
        <w:spacing w:after="0" w:line="277" w:lineRule="auto"/>
        <w:tabs>
          <w:tab w:leader="none" w:pos="1609" w:val="left"/>
        </w:tabs>
        <w:numPr>
          <w:ilvl w:val="1"/>
          <w:numId w:val="244"/>
        </w:numPr>
        <w:rPr>
          <w:rFonts w:ascii="Arial" w:cs="Arial" w:eastAsia="Arial" w:hAnsi="Arial"/>
          <w:sz w:val="14"/>
          <w:szCs w:val="14"/>
          <w:color w:val="auto"/>
        </w:rPr>
      </w:pPr>
      <w:r>
        <w:rPr>
          <w:rFonts w:ascii="Arial" w:cs="Arial" w:eastAsia="Arial" w:hAnsi="Arial"/>
          <w:sz w:val="14"/>
          <w:szCs w:val="14"/>
          <w:color w:val="auto"/>
        </w:rPr>
        <w:t>Executive will not assert any rights to any invention, discovery, idea or improvement relating to the business of the Company or any of its Affiliated Entities or to his duties hereunder as having been made or acquired by Executive prior to his work for the Company.</w:t>
      </w:r>
    </w:p>
    <w:p>
      <w:pPr>
        <w:spacing w:after="0" w:line="133" w:lineRule="exact"/>
        <w:rPr>
          <w:rFonts w:ascii="Arial" w:cs="Arial" w:eastAsia="Arial" w:hAnsi="Arial"/>
          <w:sz w:val="14"/>
          <w:szCs w:val="14"/>
          <w:color w:val="auto"/>
        </w:rPr>
      </w:pPr>
    </w:p>
    <w:p>
      <w:pPr>
        <w:jc w:val="both"/>
        <w:ind w:left="-20" w:firstLine="1014"/>
        <w:spacing w:after="0" w:line="264" w:lineRule="auto"/>
        <w:tabs>
          <w:tab w:leader="none" w:pos="1584" w:val="left"/>
        </w:tabs>
        <w:numPr>
          <w:ilvl w:val="1"/>
          <w:numId w:val="244"/>
        </w:numPr>
        <w:rPr>
          <w:rFonts w:ascii="Arial" w:cs="Arial" w:eastAsia="Arial" w:hAnsi="Arial"/>
          <w:sz w:val="14"/>
          <w:szCs w:val="14"/>
          <w:color w:val="auto"/>
        </w:rPr>
      </w:pPr>
      <w:r>
        <w:rPr>
          <w:rFonts w:ascii="Arial" w:cs="Arial" w:eastAsia="Arial" w:hAnsi="Arial"/>
          <w:sz w:val="14"/>
          <w:szCs w:val="14"/>
          <w:color w:val="auto"/>
        </w:rPr>
        <w:t>During the Term, the Company is hereby granted and shall have a non-exclusive,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42" w:lineRule="exact"/>
        <w:rPr>
          <w:rFonts w:ascii="Arial" w:cs="Arial" w:eastAsia="Arial" w:hAnsi="Arial"/>
          <w:sz w:val="14"/>
          <w:szCs w:val="14"/>
          <w:color w:val="auto"/>
        </w:rPr>
      </w:pPr>
    </w:p>
    <w:p>
      <w:pPr>
        <w:jc w:val="both"/>
        <w:ind w:left="-20" w:firstLine="1014"/>
        <w:spacing w:after="0" w:line="255" w:lineRule="auto"/>
        <w:tabs>
          <w:tab w:leader="none" w:pos="1551" w:val="left"/>
        </w:tabs>
        <w:numPr>
          <w:ilvl w:val="1"/>
          <w:numId w:val="244"/>
        </w:numPr>
        <w:rPr>
          <w:rFonts w:ascii="Arial" w:cs="Arial" w:eastAsia="Arial" w:hAnsi="Arial"/>
          <w:sz w:val="14"/>
          <w:szCs w:val="14"/>
          <w:color w:val="auto"/>
        </w:rPr>
      </w:pPr>
      <w:r>
        <w:rPr>
          <w:rFonts w:ascii="Arial" w:cs="Arial" w:eastAsia="Arial" w:hAnsi="Arial"/>
          <w:sz w:val="14"/>
          <w:szCs w:val="14"/>
          <w:color w:val="auto"/>
        </w:rPr>
        <w:t>Executive agrees to cooperate fully with the Company,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w:t>
      </w:r>
    </w:p>
    <w:p>
      <w:pPr>
        <w:spacing w:after="0" w:line="149" w:lineRule="exact"/>
        <w:rPr>
          <w:rFonts w:ascii="Arial" w:cs="Arial" w:eastAsia="Arial" w:hAnsi="Arial"/>
          <w:sz w:val="14"/>
          <w:szCs w:val="14"/>
          <w:color w:val="auto"/>
        </w:rPr>
      </w:pPr>
    </w:p>
    <w:p>
      <w:pPr>
        <w:jc w:val="both"/>
        <w:ind w:left="-20" w:firstLine="509"/>
        <w:spacing w:after="0" w:line="259" w:lineRule="auto"/>
        <w:tabs>
          <w:tab w:leader="none" w:pos="1011" w:val="left"/>
        </w:tabs>
        <w:numPr>
          <w:ilvl w:val="0"/>
          <w:numId w:val="245"/>
        </w:numPr>
        <w:rPr>
          <w:rFonts w:ascii="Arial" w:cs="Arial" w:eastAsia="Arial" w:hAnsi="Arial"/>
          <w:sz w:val="14"/>
          <w:szCs w:val="14"/>
          <w:color w:val="auto"/>
        </w:rPr>
      </w:pPr>
      <w:r>
        <w:rPr>
          <w:rFonts w:ascii="Arial" w:cs="Arial" w:eastAsia="Arial" w:hAnsi="Arial"/>
          <w:sz w:val="14"/>
          <w:szCs w:val="14"/>
          <w:u w:val="single" w:color="auto"/>
          <w:color w:val="auto"/>
        </w:rPr>
        <w:t>Non-solicitation; non-competition</w:t>
      </w:r>
      <w:r>
        <w:rPr>
          <w:rFonts w:ascii="Arial" w:cs="Arial" w:eastAsia="Arial" w:hAnsi="Arial"/>
          <w:sz w:val="14"/>
          <w:szCs w:val="14"/>
          <w:color w:val="auto"/>
        </w:rPr>
        <w:t>. (a) Executive agrees that, during the Term and until nine (9) months after the termination of his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nine (9) months prior to the termination of Executive’s employment, or induce any such employee to terminate his or her employment with the Company or any of its Affiliated Entities.</w:t>
      </w:r>
    </w:p>
    <w:p>
      <w:pPr>
        <w:spacing w:after="0" w:line="146" w:lineRule="exact"/>
        <w:rPr>
          <w:rFonts w:ascii="Arial" w:cs="Arial" w:eastAsia="Arial" w:hAnsi="Arial"/>
          <w:sz w:val="14"/>
          <w:szCs w:val="14"/>
          <w:color w:val="auto"/>
        </w:rPr>
      </w:pPr>
    </w:p>
    <w:p>
      <w:pPr>
        <w:jc w:val="both"/>
        <w:ind w:left="-20" w:firstLine="1014"/>
        <w:spacing w:after="0" w:line="282" w:lineRule="auto"/>
        <w:tabs>
          <w:tab w:leader="none" w:pos="1504" w:val="left"/>
        </w:tabs>
        <w:numPr>
          <w:ilvl w:val="1"/>
          <w:numId w:val="245"/>
        </w:numPr>
        <w:rPr>
          <w:rFonts w:ascii="Arial" w:cs="Arial" w:eastAsia="Arial" w:hAnsi="Arial"/>
          <w:sz w:val="13"/>
          <w:szCs w:val="13"/>
          <w:color w:val="auto"/>
        </w:rPr>
      </w:pPr>
      <w:r>
        <w:rPr>
          <w:rFonts w:ascii="Arial" w:cs="Arial" w:eastAsia="Arial" w:hAnsi="Arial"/>
          <w:sz w:val="13"/>
          <w:szCs w:val="13"/>
          <w:color w:val="auto"/>
        </w:rPr>
        <w:t>Executive further agrees that, during the Term and until nine (9) months after the termination of his employment,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36" w:name="page237"/>
    <w:bookmarkEnd w:id="236"/>
    <w:p>
      <w:pPr>
        <w:jc w:val="both"/>
        <w:ind w:left="-20" w:firstLine="1014"/>
        <w:spacing w:after="0" w:line="264" w:lineRule="auto"/>
        <w:tabs>
          <w:tab w:leader="none" w:pos="1412" w:val="left"/>
        </w:tabs>
        <w:numPr>
          <w:ilvl w:val="1"/>
          <w:numId w:val="2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Competing Business</w:t>
      </w:r>
      <w:r>
        <w:rPr>
          <w:rFonts w:ascii="Arial" w:cs="Arial" w:eastAsia="Arial" w:hAnsi="Arial"/>
          <w:sz w:val="14"/>
          <w:szCs w:val="14"/>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142" w:lineRule="exact"/>
        <w:rPr>
          <w:rFonts w:ascii="Arial" w:cs="Arial" w:eastAsia="Arial" w:hAnsi="Arial"/>
          <w:sz w:val="14"/>
          <w:szCs w:val="14"/>
          <w:color w:val="auto"/>
        </w:rPr>
      </w:pPr>
    </w:p>
    <w:p>
      <w:pPr>
        <w:ind w:left="-20" w:firstLine="1014"/>
        <w:spacing w:after="0" w:line="277" w:lineRule="auto"/>
        <w:tabs>
          <w:tab w:leader="none" w:pos="1452" w:val="left"/>
        </w:tabs>
        <w:numPr>
          <w:ilvl w:val="1"/>
          <w:numId w:val="2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Territory</w:t>
      </w:r>
      <w:r>
        <w:rPr>
          <w:rFonts w:ascii="Arial" w:cs="Arial" w:eastAsia="Arial" w:hAnsi="Arial"/>
          <w:sz w:val="14"/>
          <w:szCs w:val="14"/>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33" w:lineRule="exact"/>
        <w:rPr>
          <w:rFonts w:ascii="Arial" w:cs="Arial" w:eastAsia="Arial" w:hAnsi="Arial"/>
          <w:sz w:val="14"/>
          <w:szCs w:val="14"/>
          <w:color w:val="auto"/>
        </w:rPr>
      </w:pPr>
    </w:p>
    <w:p>
      <w:pPr>
        <w:jc w:val="both"/>
        <w:ind w:left="-20" w:firstLine="1014"/>
        <w:spacing w:after="0" w:line="282" w:lineRule="auto"/>
        <w:tabs>
          <w:tab w:leader="none" w:pos="1431" w:val="left"/>
        </w:tabs>
        <w:numPr>
          <w:ilvl w:val="1"/>
          <w:numId w:val="246"/>
        </w:numPr>
        <w:rPr>
          <w:rFonts w:ascii="Arial" w:cs="Arial" w:eastAsia="Arial" w:hAnsi="Arial"/>
          <w:sz w:val="13"/>
          <w:szCs w:val="13"/>
          <w:color w:val="auto"/>
        </w:rPr>
      </w:pPr>
      <w:r>
        <w:rPr>
          <w:rFonts w:ascii="Arial" w:cs="Arial" w:eastAsia="Arial" w:hAnsi="Arial"/>
          <w:sz w:val="13"/>
          <w:szCs w:val="13"/>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31" w:lineRule="exact"/>
        <w:rPr>
          <w:rFonts w:ascii="Arial" w:cs="Arial" w:eastAsia="Arial" w:hAnsi="Arial"/>
          <w:sz w:val="13"/>
          <w:szCs w:val="13"/>
          <w:color w:val="auto"/>
        </w:rPr>
      </w:pPr>
    </w:p>
    <w:p>
      <w:pPr>
        <w:jc w:val="both"/>
        <w:ind w:left="-20" w:firstLine="509"/>
        <w:spacing w:after="0" w:line="254" w:lineRule="auto"/>
        <w:tabs>
          <w:tab w:leader="none" w:pos="1021" w:val="left"/>
        </w:tabs>
        <w:numPr>
          <w:ilvl w:val="0"/>
          <w:numId w:val="247"/>
        </w:numPr>
        <w:rPr>
          <w:rFonts w:ascii="Arial" w:cs="Arial" w:eastAsia="Arial" w:hAnsi="Arial"/>
          <w:sz w:val="14"/>
          <w:szCs w:val="14"/>
          <w:color w:val="auto"/>
        </w:rPr>
      </w:pPr>
      <w:r>
        <w:rPr>
          <w:rFonts w:ascii="Arial" w:cs="Arial" w:eastAsia="Arial" w:hAnsi="Arial"/>
          <w:sz w:val="14"/>
          <w:szCs w:val="14"/>
          <w:u w:val="single" w:color="auto"/>
          <w:color w:val="auto"/>
        </w:rPr>
        <w:t>Representation and Warranty</w:t>
      </w:r>
      <w:r>
        <w:rPr>
          <w:rFonts w:ascii="Arial" w:cs="Arial" w:eastAsia="Arial" w:hAnsi="Arial"/>
          <w:sz w:val="14"/>
          <w:szCs w:val="14"/>
          <w:color w:val="auto"/>
        </w:rPr>
        <w:t>. The Executive hereby acknowledges and represents that he has had the opportunity to consult with legal counsel regarding his rights and obligations under this Agreement and that 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52" w:lineRule="exact"/>
        <w:rPr>
          <w:rFonts w:ascii="Arial" w:cs="Arial" w:eastAsia="Arial" w:hAnsi="Arial"/>
          <w:sz w:val="14"/>
          <w:szCs w:val="14"/>
          <w:color w:val="auto"/>
        </w:rPr>
      </w:pPr>
    </w:p>
    <w:p>
      <w:pPr>
        <w:jc w:val="both"/>
        <w:ind w:left="-20" w:firstLine="509"/>
        <w:spacing w:after="0" w:line="286" w:lineRule="auto"/>
        <w:tabs>
          <w:tab w:leader="none" w:pos="1016" w:val="left"/>
        </w:tabs>
        <w:numPr>
          <w:ilvl w:val="0"/>
          <w:numId w:val="247"/>
        </w:numPr>
        <w:rPr>
          <w:rFonts w:ascii="Arial" w:cs="Arial" w:eastAsia="Arial" w:hAnsi="Arial"/>
          <w:sz w:val="13"/>
          <w:szCs w:val="13"/>
          <w:color w:val="auto"/>
        </w:rPr>
      </w:pPr>
      <w:r>
        <w:rPr>
          <w:rFonts w:ascii="Arial" w:cs="Arial" w:eastAsia="Arial" w:hAnsi="Arial"/>
          <w:sz w:val="13"/>
          <w:szCs w:val="13"/>
          <w:u w:val="single" w:color="auto"/>
          <w:color w:val="auto"/>
        </w:rPr>
        <w:t>Injunctive Relief</w:t>
      </w:r>
      <w:r>
        <w:rPr>
          <w:rFonts w:ascii="Arial" w:cs="Arial" w:eastAsia="Arial" w:hAnsi="Arial"/>
          <w:sz w:val="13"/>
          <w:szCs w:val="13"/>
          <w:color w:val="auto"/>
        </w:rPr>
        <w:t>. Without limiting the remedies available to the Company, Executive acknowledges that a breach of any of the covenants contained in Sections 8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8 and 9 of this Agreement.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37" w:name="page238"/>
    <w:bookmarkEnd w:id="237"/>
    <w:p>
      <w:pPr>
        <w:ind w:firstLine="509"/>
        <w:spacing w:after="0" w:line="277" w:lineRule="auto"/>
        <w:tabs>
          <w:tab w:leader="none" w:pos="1150"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or other communication required or permitted to be given to the Parties shall be deemed to have been given if either personally delivered, or if sent for next-day delivery by nationally recognized overnight courier, and addressed as follows:</w:t>
      </w:r>
    </w:p>
    <w:p>
      <w:pPr>
        <w:spacing w:after="0" w:line="133" w:lineRule="exact"/>
        <w:rPr>
          <w:rFonts w:ascii="Arial" w:cs="Arial" w:eastAsia="Arial" w:hAnsi="Arial"/>
          <w:sz w:val="14"/>
          <w:szCs w:val="14"/>
          <w:color w:val="auto"/>
        </w:rPr>
      </w:pPr>
    </w:p>
    <w:p>
      <w:pPr>
        <w:ind w:left="1260" w:hanging="246"/>
        <w:spacing w:after="0"/>
        <w:tabs>
          <w:tab w:leader="none" w:pos="1260" w:val="left"/>
        </w:tabs>
        <w:numPr>
          <w:ilvl w:val="1"/>
          <w:numId w:val="248"/>
        </w:numPr>
        <w:rPr>
          <w:rFonts w:ascii="Arial" w:cs="Arial" w:eastAsia="Arial" w:hAnsi="Arial"/>
          <w:sz w:val="14"/>
          <w:szCs w:val="14"/>
          <w:color w:val="auto"/>
        </w:rPr>
      </w:pPr>
      <w:r>
        <w:rPr>
          <w:rFonts w:ascii="Arial" w:cs="Arial" w:eastAsia="Arial" w:hAnsi="Arial"/>
          <w:sz w:val="14"/>
          <w:szCs w:val="14"/>
          <w:color w:val="auto"/>
        </w:rPr>
        <w:t>If to Executive, to:</w:t>
      </w:r>
    </w:p>
    <w:p>
      <w:pPr>
        <w:spacing w:after="0" w:line="175" w:lineRule="exact"/>
        <w:rPr>
          <w:rFonts w:ascii="Arial" w:cs="Arial" w:eastAsia="Arial" w:hAnsi="Arial"/>
          <w:sz w:val="14"/>
          <w:szCs w:val="14"/>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2nd Floor, Building 18, Shanghai Pudong Software Park, 498 Guoshoujin Road, Pudong, Shanghai 201203, People’s Republic of China</w:t>
      </w:r>
    </w:p>
    <w:p>
      <w:pPr>
        <w:spacing w:after="0" w:line="175" w:lineRule="exact"/>
        <w:rPr>
          <w:rFonts w:ascii="Arial" w:cs="Arial" w:eastAsia="Arial" w:hAnsi="Arial"/>
          <w:sz w:val="14"/>
          <w:szCs w:val="14"/>
          <w:color w:val="auto"/>
        </w:rPr>
      </w:pPr>
    </w:p>
    <w:p>
      <w:pPr>
        <w:ind w:left="1260" w:hanging="246"/>
        <w:spacing w:after="0"/>
        <w:tabs>
          <w:tab w:leader="none" w:pos="1260" w:val="left"/>
        </w:tabs>
        <w:numPr>
          <w:ilvl w:val="1"/>
          <w:numId w:val="248"/>
        </w:numPr>
        <w:rPr>
          <w:rFonts w:ascii="Arial" w:cs="Arial" w:eastAsia="Arial" w:hAnsi="Arial"/>
          <w:sz w:val="14"/>
          <w:szCs w:val="14"/>
          <w:color w:val="auto"/>
        </w:rPr>
      </w:pPr>
      <w:r>
        <w:rPr>
          <w:rFonts w:ascii="Arial" w:cs="Arial" w:eastAsia="Arial" w:hAnsi="Arial"/>
          <w:sz w:val="14"/>
          <w:szCs w:val="14"/>
          <w:color w:val="auto"/>
        </w:rPr>
        <w:t>If to the Company, to:</w:t>
      </w:r>
    </w:p>
    <w:p>
      <w:pPr>
        <w:spacing w:after="0" w:line="175" w:lineRule="exact"/>
        <w:rPr>
          <w:rFonts w:ascii="Arial" w:cs="Arial" w:eastAsia="Arial" w:hAnsi="Arial"/>
          <w:sz w:val="14"/>
          <w:szCs w:val="14"/>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2nd Floor, Building 18, Shanghai Pudong Software Park, 498 Guoshoujin Road, Pudong, Shanghai 201203, People’s Republic of China</w:t>
      </w:r>
    </w:p>
    <w:p>
      <w:pPr>
        <w:spacing w:after="0" w:line="175" w:lineRule="exact"/>
        <w:rPr>
          <w:rFonts w:ascii="Arial" w:cs="Arial" w:eastAsia="Arial" w:hAnsi="Arial"/>
          <w:sz w:val="14"/>
          <w:szCs w:val="14"/>
          <w:color w:val="auto"/>
        </w:rPr>
      </w:pPr>
    </w:p>
    <w:p>
      <w:pPr>
        <w:ind w:left="1100" w:hanging="591"/>
        <w:spacing w:after="0"/>
        <w:tabs>
          <w:tab w:leader="none" w:pos="1100"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declared void or unenforceable by a court of competent jurisdiction, all other provisions shall nonetheless remain in full force and</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effect.</w:t>
      </w:r>
    </w:p>
    <w:p>
      <w:pPr>
        <w:spacing w:after="0" w:line="165" w:lineRule="exact"/>
        <w:rPr>
          <w:rFonts w:ascii="Arial" w:cs="Arial" w:eastAsia="Arial" w:hAnsi="Arial"/>
          <w:sz w:val="13"/>
          <w:szCs w:val="13"/>
          <w:color w:val="auto"/>
        </w:rPr>
      </w:pPr>
    </w:p>
    <w:p>
      <w:pPr>
        <w:ind w:firstLine="509"/>
        <w:spacing w:after="0" w:line="277" w:lineRule="auto"/>
        <w:tabs>
          <w:tab w:leader="none" w:pos="1084"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Withholding</w:t>
      </w:r>
      <w:r>
        <w:rPr>
          <w:rFonts w:ascii="Arial" w:cs="Arial" w:eastAsia="Arial" w:hAnsi="Arial"/>
          <w:sz w:val="14"/>
          <w:szCs w:val="14"/>
          <w:color w:val="auto"/>
        </w:rPr>
        <w:t>. The Company may withhold from any payment that it is required to make under this Agreement amounts sufficient to satisfy applicable withholding requirements under any federal, state or local law.</w:t>
      </w:r>
    </w:p>
    <w:p>
      <w:pPr>
        <w:spacing w:after="0" w:line="133" w:lineRule="exact"/>
        <w:rPr>
          <w:rFonts w:ascii="Arial" w:cs="Arial" w:eastAsia="Arial" w:hAnsi="Arial"/>
          <w:sz w:val="14"/>
          <w:szCs w:val="14"/>
          <w:color w:val="auto"/>
        </w:rPr>
      </w:pPr>
    </w:p>
    <w:p>
      <w:pPr>
        <w:ind w:left="1040" w:hanging="531"/>
        <w:spacing w:after="0"/>
        <w:tabs>
          <w:tab w:leader="none" w:pos="1040"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The Company agrees that Executive will be covered by any “directors and officers” insurance policies then in effect with respect to Executive’s acts as an officer.</w:t>
      </w:r>
    </w:p>
    <w:p>
      <w:pPr>
        <w:spacing w:after="0" w:line="187" w:lineRule="exact"/>
        <w:rPr>
          <w:rFonts w:ascii="Arial" w:cs="Arial" w:eastAsia="Arial" w:hAnsi="Arial"/>
          <w:sz w:val="13"/>
          <w:szCs w:val="13"/>
          <w:color w:val="auto"/>
        </w:rPr>
      </w:pPr>
    </w:p>
    <w:p>
      <w:pPr>
        <w:ind w:left="1040" w:hanging="531"/>
        <w:spacing w:after="0"/>
        <w:tabs>
          <w:tab w:leader="none" w:pos="1040"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and enforced in accordance with, the laws of Hong Kong.</w:t>
      </w:r>
    </w:p>
    <w:p>
      <w:pPr>
        <w:spacing w:after="0" w:line="175" w:lineRule="exact"/>
        <w:rPr>
          <w:rFonts w:ascii="Arial" w:cs="Arial" w:eastAsia="Arial" w:hAnsi="Arial"/>
          <w:sz w:val="14"/>
          <w:szCs w:val="14"/>
          <w:color w:val="auto"/>
        </w:rPr>
      </w:pPr>
    </w:p>
    <w:p>
      <w:pPr>
        <w:jc w:val="both"/>
        <w:ind w:firstLine="509"/>
        <w:spacing w:after="0" w:line="264" w:lineRule="auto"/>
        <w:tabs>
          <w:tab w:leader="none" w:pos="1031"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142" w:lineRule="exact"/>
        <w:rPr>
          <w:rFonts w:ascii="Arial" w:cs="Arial" w:eastAsia="Arial" w:hAnsi="Arial"/>
          <w:sz w:val="14"/>
          <w:szCs w:val="14"/>
          <w:color w:val="auto"/>
        </w:rPr>
      </w:pPr>
    </w:p>
    <w:p>
      <w:pPr>
        <w:jc w:val="both"/>
        <w:ind w:firstLine="509"/>
        <w:spacing w:after="0" w:line="259" w:lineRule="auto"/>
        <w:tabs>
          <w:tab w:leader="none" w:pos="1031"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Assignment</w:t>
      </w:r>
      <w:r>
        <w:rPr>
          <w:rFonts w:ascii="Arial" w:cs="Arial" w:eastAsia="Arial" w:hAnsi="Arial"/>
          <w:sz w:val="14"/>
          <w:szCs w:val="14"/>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146" w:lineRule="exact"/>
        <w:rPr>
          <w:rFonts w:ascii="Arial" w:cs="Arial" w:eastAsia="Arial" w:hAnsi="Arial"/>
          <w:sz w:val="14"/>
          <w:szCs w:val="14"/>
          <w:color w:val="auto"/>
        </w:rPr>
      </w:pPr>
    </w:p>
    <w:p>
      <w:pPr>
        <w:jc w:val="both"/>
        <w:ind w:firstLine="509"/>
        <w:spacing w:after="0" w:line="293" w:lineRule="auto"/>
        <w:tabs>
          <w:tab w:leader="none" w:pos="1084"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38" w:name="page239"/>
    <w:bookmarkEnd w:id="238"/>
    <w:p>
      <w:pPr>
        <w:ind w:left="500"/>
        <w:spacing w:after="0"/>
        <w:rPr>
          <w:sz w:val="20"/>
          <w:szCs w:val="20"/>
          <w:color w:val="auto"/>
        </w:rPr>
      </w:pPr>
      <w:r>
        <w:rPr>
          <w:rFonts w:ascii="Arial" w:cs="Arial" w:eastAsia="Arial" w:hAnsi="Arial"/>
          <w:sz w:val="14"/>
          <w:szCs w:val="14"/>
          <w:color w:val="auto"/>
        </w:rPr>
        <w:t>IN WITNESS WHEREOF, the Parties have caused this Agreement to be duly executed and delivered on the date first written above.</w:t>
      </w:r>
    </w:p>
    <w:p>
      <w:pPr>
        <w:spacing w:after="0" w:line="176" w:lineRule="exact"/>
        <w:rPr>
          <w:sz w:val="20"/>
          <w:szCs w:val="20"/>
          <w:color w:val="auto"/>
        </w:rPr>
      </w:pPr>
    </w:p>
    <w:p>
      <w:pPr>
        <w:jc w:val="right"/>
        <w:ind w:right="3080"/>
        <w:spacing w:after="0"/>
        <w:rPr>
          <w:sz w:val="20"/>
          <w:szCs w:val="20"/>
          <w:color w:val="auto"/>
        </w:rPr>
      </w:pPr>
      <w:r>
        <w:rPr>
          <w:rFonts w:ascii="Arial" w:cs="Arial" w:eastAsia="Arial" w:hAnsi="Arial"/>
          <w:sz w:val="14"/>
          <w:szCs w:val="14"/>
          <w:color w:val="auto"/>
        </w:rPr>
        <w:t>CLPS INCORPORATION</w:t>
      </w:r>
    </w:p>
    <w:p>
      <w:pPr>
        <w:spacing w:after="0" w:line="176" w:lineRule="exact"/>
        <w:rPr>
          <w:sz w:val="20"/>
          <w:szCs w:val="20"/>
          <w:color w:val="auto"/>
        </w:rPr>
      </w:pPr>
    </w:p>
    <w:tbl>
      <w:tblPr>
        <w:tblLayout w:type="fixed"/>
        <w:tblInd w:w="6880" w:type="dxa"/>
        <w:tblCellMar>
          <w:top w:w="0" w:type="dxa"/>
          <w:left w:w="0" w:type="dxa"/>
          <w:bottom w:w="0" w:type="dxa"/>
          <w:right w:w="0" w:type="dxa"/>
        </w:tblCellMar>
      </w:tblPr>
      <w:tr>
        <w:trPr>
          <w:trHeight w:val="180"/>
        </w:trPr>
        <w:tc>
          <w:tcPr>
            <w:tcW w:w="700" w:type="dxa"/>
            <w:vAlign w:val="bottom"/>
          </w:tcPr>
          <w:p>
            <w:pPr>
              <w:spacing w:after="0"/>
              <w:rPr>
                <w:sz w:val="20"/>
                <w:szCs w:val="20"/>
                <w:color w:val="auto"/>
              </w:rPr>
            </w:pPr>
            <w:r>
              <w:rPr>
                <w:rFonts w:ascii="Arial" w:cs="Arial" w:eastAsia="Arial" w:hAnsi="Arial"/>
                <w:sz w:val="14"/>
                <w:szCs w:val="14"/>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Xiao Feng Yang</w:t>
            </w:r>
          </w:p>
        </w:tc>
      </w:tr>
      <w:tr>
        <w:trPr>
          <w:trHeight w:val="158"/>
        </w:trPr>
        <w:tc>
          <w:tcPr>
            <w:tcW w:w="700" w:type="dxa"/>
            <w:vAlign w:val="bottom"/>
          </w:tcPr>
          <w:p>
            <w:pPr>
              <w:spacing w:after="0" w:line="158" w:lineRule="exact"/>
              <w:rPr>
                <w:sz w:val="20"/>
                <w:szCs w:val="20"/>
                <w:color w:val="auto"/>
              </w:rPr>
            </w:pPr>
            <w:r>
              <w:rPr>
                <w:rFonts w:ascii="Arial" w:cs="Arial" w:eastAsia="Arial" w:hAnsi="Arial"/>
                <w:sz w:val="14"/>
                <w:szCs w:val="14"/>
                <w:color w:val="auto"/>
              </w:rPr>
              <w:t>Name:</w:t>
            </w:r>
          </w:p>
        </w:tc>
        <w:tc>
          <w:tcPr>
            <w:tcW w:w="3880" w:type="dxa"/>
            <w:vAlign w:val="bottom"/>
          </w:tcPr>
          <w:p>
            <w:pPr>
              <w:spacing w:after="0" w:line="158" w:lineRule="exact"/>
              <w:rPr>
                <w:sz w:val="20"/>
                <w:szCs w:val="20"/>
                <w:color w:val="auto"/>
              </w:rPr>
            </w:pPr>
            <w:r>
              <w:rPr>
                <w:rFonts w:ascii="Arial" w:cs="Arial" w:eastAsia="Arial" w:hAnsi="Arial"/>
                <w:sz w:val="14"/>
                <w:szCs w:val="14"/>
                <w:color w:val="auto"/>
              </w:rPr>
              <w:t>Xiao Feng Yang</w:t>
            </w:r>
          </w:p>
        </w:tc>
      </w:tr>
      <w:tr>
        <w:trPr>
          <w:trHeight w:val="179"/>
        </w:trPr>
        <w:tc>
          <w:tcPr>
            <w:tcW w:w="700" w:type="dxa"/>
            <w:vAlign w:val="bottom"/>
          </w:tcPr>
          <w:p>
            <w:pPr>
              <w:spacing w:after="0"/>
              <w:rPr>
                <w:sz w:val="20"/>
                <w:szCs w:val="20"/>
                <w:color w:val="auto"/>
              </w:rPr>
            </w:pPr>
            <w:r>
              <w:rPr>
                <w:rFonts w:ascii="Arial" w:cs="Arial" w:eastAsia="Arial" w:hAnsi="Arial"/>
                <w:sz w:val="14"/>
                <w:szCs w:val="14"/>
                <w:color w:val="auto"/>
              </w:rPr>
              <w:t>Title:</w:t>
            </w:r>
          </w:p>
        </w:tc>
        <w:tc>
          <w:tcPr>
            <w:tcW w:w="3880" w:type="dxa"/>
            <w:vAlign w:val="bottom"/>
          </w:tcPr>
          <w:p>
            <w:pPr>
              <w:spacing w:after="0"/>
              <w:rPr>
                <w:sz w:val="20"/>
                <w:szCs w:val="20"/>
                <w:color w:val="auto"/>
              </w:rPr>
            </w:pPr>
            <w:r>
              <w:rPr>
                <w:rFonts w:ascii="Arial" w:cs="Arial" w:eastAsia="Arial" w:hAnsi="Arial"/>
                <w:sz w:val="14"/>
                <w:szCs w:val="14"/>
                <w:color w:val="auto"/>
              </w:rPr>
              <w:t>President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Agreed to and Accepted: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913380" cy="133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913380" cy="1333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Date: December 9, 2017</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907" w:right="2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b w:val="1"/>
          <w:bCs w:val="1"/>
          <w:color w:val="auto"/>
        </w:rPr>
        <w:t>Exhibit 10.5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EMPLOYMENT AGREEMENT</w:t>
      </w:r>
    </w:p>
    <w:p>
      <w:pPr>
        <w:spacing w:after="0" w:line="180"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This EMPLOYMENT AGREEMENT (the “Agreement”) is effective as of December 9, 2017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CLPS INCORPORATION, a Cayman Islands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having its principal place of business at c/o 2nd Floor, Building 18, Shanghai Pudong Software Park, 498 Guoshoujin Road, Pudong, Shanghai 201203, People’s Republic of China, and Tian van Acken (“</w:t>
      </w:r>
      <w:r>
        <w:rPr>
          <w:rFonts w:ascii="Arial" w:cs="Arial" w:eastAsia="Arial" w:hAnsi="Arial"/>
          <w:sz w:val="14"/>
          <w:szCs w:val="14"/>
          <w:u w:val="single" w:color="auto"/>
          <w:color w:val="auto"/>
        </w:rPr>
        <w:t>Executive</w:t>
      </w:r>
      <w:r>
        <w:rPr>
          <w:rFonts w:ascii="Arial" w:cs="Arial" w:eastAsia="Arial" w:hAnsi="Arial"/>
          <w:sz w:val="14"/>
          <w:szCs w:val="14"/>
          <w:color w:val="auto"/>
        </w:rPr>
        <w:t>”, and the Company and the Executive collectively referred to herein as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WITNESSETH</w:t>
      </w:r>
      <w:r>
        <w:rPr>
          <w:rFonts w:ascii="Arial" w:cs="Arial" w:eastAsia="Arial" w:hAnsi="Arial"/>
          <w:sz w:val="14"/>
          <w:szCs w:val="14"/>
          <w:color w:val="auto"/>
        </w:rPr>
        <w:t>:</w:t>
      </w:r>
    </w:p>
    <w:p>
      <w:pPr>
        <w:spacing w:after="0" w:line="176"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desires to hire Executive and to employ her as the Company’s Chief Financial Officer (“CFO”), and the Parties desire to enter into this Agreement embodying the</w:t>
      </w:r>
      <w:r>
        <w:rPr>
          <w:rFonts w:ascii="Arial" w:cs="Arial" w:eastAsia="Arial" w:hAnsi="Arial"/>
          <w:sz w:val="14"/>
          <w:szCs w:val="14"/>
          <w:b w:val="1"/>
          <w:bCs w:val="1"/>
          <w:color w:val="auto"/>
        </w:rPr>
        <w:t xml:space="preserve"> </w:t>
      </w:r>
      <w:r>
        <w:rPr>
          <w:rFonts w:ascii="Arial" w:cs="Arial" w:eastAsia="Arial" w:hAnsi="Arial"/>
          <w:sz w:val="14"/>
          <w:szCs w:val="14"/>
          <w:color w:val="auto"/>
        </w:rPr>
        <w:t>terms of such employment;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NOW, THISEFORE</w:t>
      </w:r>
      <w:r>
        <w:rPr>
          <w:rFonts w:ascii="Arial" w:cs="Arial" w:eastAsia="Arial" w:hAnsi="Arial"/>
          <w:sz w:val="12"/>
          <w:szCs w:val="12"/>
          <w:color w:val="auto"/>
        </w:rPr>
        <w:t>, in consideration of the premises and the mutual covenants and promises of the Parties contained herein, the Parties, intending to be legally bound, hereby agree as follows:</w:t>
      </w:r>
    </w:p>
    <w:p>
      <w:pPr>
        <w:spacing w:after="0" w:line="203" w:lineRule="exact"/>
        <w:rPr>
          <w:sz w:val="20"/>
          <w:szCs w:val="20"/>
          <w:color w:val="auto"/>
        </w:rPr>
      </w:pPr>
    </w:p>
    <w:p>
      <w:pPr>
        <w:ind w:left="1040" w:hanging="531"/>
        <w:spacing w:after="0"/>
        <w:tabs>
          <w:tab w:leader="none" w:pos="1040" w:val="left"/>
        </w:tabs>
        <w:numPr>
          <w:ilvl w:val="0"/>
          <w:numId w:val="249"/>
        </w:numPr>
        <w:rPr>
          <w:rFonts w:ascii="Arial" w:cs="Arial" w:eastAsia="Arial" w:hAnsi="Arial"/>
          <w:sz w:val="14"/>
          <w:szCs w:val="14"/>
          <w:color w:val="auto"/>
        </w:rPr>
      </w:pPr>
      <w:r>
        <w:rPr>
          <w:rFonts w:ascii="Arial" w:cs="Arial" w:eastAsia="Arial" w:hAnsi="Arial"/>
          <w:sz w:val="14"/>
          <w:szCs w:val="14"/>
          <w:u w:val="single" w:color="auto"/>
          <w:color w:val="auto"/>
        </w:rPr>
        <w:t>Title and Job Duties</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firstLine="1014"/>
        <w:spacing w:after="0" w:line="277" w:lineRule="auto"/>
        <w:tabs>
          <w:tab w:leader="none" w:pos="1534" w:val="left"/>
        </w:tabs>
        <w:numPr>
          <w:ilvl w:val="1"/>
          <w:numId w:val="249"/>
        </w:numPr>
        <w:rPr>
          <w:rFonts w:ascii="Arial" w:cs="Arial" w:eastAsia="Arial" w:hAnsi="Arial"/>
          <w:sz w:val="14"/>
          <w:szCs w:val="14"/>
          <w:color w:val="auto"/>
        </w:rPr>
      </w:pPr>
      <w:r>
        <w:rPr>
          <w:rFonts w:ascii="Arial" w:cs="Arial" w:eastAsia="Arial" w:hAnsi="Arial"/>
          <w:sz w:val="14"/>
          <w:szCs w:val="14"/>
          <w:color w:val="auto"/>
        </w:rPr>
        <w:t>Subject to the terms and conditions set forth in this Agreement, the Company agrees to employ Executive as Chief Financial Officer. Executive shall report directly to the Chief Executive Officer of the Company (the “</w:t>
      </w:r>
      <w:r>
        <w:rPr>
          <w:rFonts w:ascii="Arial" w:cs="Arial" w:eastAsia="Arial" w:hAnsi="Arial"/>
          <w:sz w:val="14"/>
          <w:szCs w:val="14"/>
          <w:u w:val="single" w:color="auto"/>
          <w:color w:val="auto"/>
        </w:rPr>
        <w:t>CEO</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jc w:val="both"/>
        <w:ind w:firstLine="1014"/>
        <w:spacing w:after="0" w:line="293" w:lineRule="auto"/>
        <w:tabs>
          <w:tab w:leader="none" w:pos="158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Executive accepts such employment and agrees, during the term of her employment, to devote her full business and professional time and energy to the Company, and agrees faithfully to perform her duties and responsibilities in an efficient, trustworthy and business-like manner. Executive also agrees that the CEO shall determine from time to time such of her duties as may be assigned to her. Executive agrees to carry out and abide by such directions of the CEO. Visible leadership is expected from Executive, which will require frequent travelling.</w:t>
      </w:r>
    </w:p>
    <w:p>
      <w:pPr>
        <w:spacing w:after="0" w:line="125" w:lineRule="exact"/>
        <w:rPr>
          <w:rFonts w:ascii="Arial" w:cs="Arial" w:eastAsia="Arial" w:hAnsi="Arial"/>
          <w:sz w:val="13"/>
          <w:szCs w:val="13"/>
          <w:color w:val="auto"/>
        </w:rPr>
      </w:pPr>
    </w:p>
    <w:p>
      <w:pPr>
        <w:jc w:val="both"/>
        <w:ind w:firstLine="1014"/>
        <w:spacing w:after="0" w:line="259" w:lineRule="auto"/>
        <w:tabs>
          <w:tab w:leader="none" w:pos="1578" w:val="left"/>
        </w:tabs>
        <w:numPr>
          <w:ilvl w:val="1"/>
          <w:numId w:val="249"/>
        </w:numPr>
        <w:rPr>
          <w:rFonts w:ascii="Arial" w:cs="Arial" w:eastAsia="Arial" w:hAnsi="Arial"/>
          <w:sz w:val="14"/>
          <w:szCs w:val="14"/>
          <w:color w:val="auto"/>
        </w:rPr>
      </w:pPr>
      <w:r>
        <w:rPr>
          <w:rFonts w:ascii="Arial" w:cs="Arial" w:eastAsia="Arial" w:hAnsi="Arial"/>
          <w:sz w:val="14"/>
          <w:szCs w:val="14"/>
          <w:color w:val="auto"/>
        </w:rPr>
        <w:t>Without limiting the generality of the foregoing, Executive shall not, without the written approval of the Company, render services of a business or commercial nature on her own behalf or on behalf of any person, firm, or corporation, whether for compensation or otherwise, during her employment hereunder.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46" w:lineRule="exact"/>
        <w:rPr>
          <w:rFonts w:ascii="Arial" w:cs="Arial" w:eastAsia="Arial" w:hAnsi="Arial"/>
          <w:sz w:val="14"/>
          <w:szCs w:val="14"/>
          <w:color w:val="auto"/>
        </w:rPr>
      </w:pPr>
    </w:p>
    <w:p>
      <w:pPr>
        <w:ind w:left="1040" w:hanging="531"/>
        <w:spacing w:after="0"/>
        <w:tabs>
          <w:tab w:leader="none" w:pos="1040" w:val="left"/>
        </w:tabs>
        <w:numPr>
          <w:ilvl w:val="0"/>
          <w:numId w:val="249"/>
        </w:numPr>
        <w:rPr>
          <w:rFonts w:ascii="Arial" w:cs="Arial" w:eastAsia="Arial" w:hAnsi="Arial"/>
          <w:sz w:val="14"/>
          <w:szCs w:val="14"/>
          <w:color w:val="auto"/>
        </w:rPr>
      </w:pPr>
      <w:r>
        <w:rPr>
          <w:rFonts w:ascii="Arial" w:cs="Arial" w:eastAsia="Arial" w:hAnsi="Arial"/>
          <w:sz w:val="14"/>
          <w:szCs w:val="14"/>
          <w:u w:val="single" w:color="auto"/>
          <w:color w:val="auto"/>
        </w:rPr>
        <w:t>Salary and Additional Compensation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firstLine="1014"/>
        <w:spacing w:after="0" w:line="264" w:lineRule="auto"/>
        <w:tabs>
          <w:tab w:leader="none" w:pos="1569" w:val="left"/>
        </w:tabs>
        <w:numPr>
          <w:ilvl w:val="1"/>
          <w:numId w:val="249"/>
        </w:numPr>
        <w:rPr>
          <w:rFonts w:ascii="Arial" w:cs="Arial" w:eastAsia="Arial" w:hAnsi="Arial"/>
          <w:sz w:val="14"/>
          <w:szCs w:val="14"/>
          <w:color w:val="auto"/>
        </w:rPr>
      </w:pPr>
      <w:r>
        <w:rPr>
          <w:rFonts w:ascii="Arial" w:cs="Arial" w:eastAsia="Arial" w:hAnsi="Arial"/>
          <w:sz w:val="14"/>
          <w:szCs w:val="14"/>
          <w:u w:val="single" w:color="auto"/>
          <w:color w:val="auto"/>
        </w:rPr>
        <w:t>Base Salary</w:t>
      </w:r>
      <w:r>
        <w:rPr>
          <w:rFonts w:ascii="Arial" w:cs="Arial" w:eastAsia="Arial" w:hAnsi="Arial"/>
          <w:sz w:val="14"/>
          <w:szCs w:val="14"/>
          <w:color w:val="auto"/>
        </w:rPr>
        <w:t>. The Company shall pay to Executive an annual base salary (“</w:t>
      </w:r>
      <w:r>
        <w:rPr>
          <w:rFonts w:ascii="Arial" w:cs="Arial" w:eastAsia="Arial" w:hAnsi="Arial"/>
          <w:sz w:val="14"/>
          <w:szCs w:val="14"/>
          <w:u w:val="single" w:color="auto"/>
          <w:color w:val="auto"/>
        </w:rPr>
        <w:t>Base Salary</w:t>
      </w:r>
      <w:r>
        <w:rPr>
          <w:rFonts w:ascii="Arial" w:cs="Arial" w:eastAsia="Arial" w:hAnsi="Arial"/>
          <w:sz w:val="14"/>
          <w:szCs w:val="14"/>
          <w:color w:val="auto"/>
        </w:rPr>
        <w:t>”) of a total of RMB144,000 and HK$558,000 (a total of approximately US$93,010) in accordance with the Company’s normal payroll procedures.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311150</wp:posOffset>
            </wp:positionV>
            <wp:extent cx="7277100" cy="133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40" w:name="page241"/>
    <w:bookmarkEnd w:id="240"/>
    <w:p>
      <w:pPr>
        <w:jc w:val="both"/>
        <w:ind w:firstLine="1014"/>
        <w:spacing w:after="0" w:line="282" w:lineRule="auto"/>
        <w:tabs>
          <w:tab w:leader="none" w:pos="1510" w:val="left"/>
        </w:tabs>
        <w:numPr>
          <w:ilvl w:val="1"/>
          <w:numId w:val="250"/>
        </w:numPr>
        <w:rPr>
          <w:rFonts w:ascii="Arial" w:cs="Arial" w:eastAsia="Arial" w:hAnsi="Arial"/>
          <w:sz w:val="13"/>
          <w:szCs w:val="13"/>
          <w:color w:val="auto"/>
        </w:rPr>
      </w:pPr>
      <w:r>
        <w:rPr>
          <w:rFonts w:ascii="Arial" w:cs="Arial" w:eastAsia="Arial" w:hAnsi="Arial"/>
          <w:sz w:val="13"/>
          <w:szCs w:val="13"/>
          <w:u w:val="single" w:color="auto"/>
          <w:color w:val="auto"/>
        </w:rPr>
        <w:t>Annual Bonus</w:t>
      </w:r>
      <w:r>
        <w:rPr>
          <w:rFonts w:ascii="Arial" w:cs="Arial" w:eastAsia="Arial" w:hAnsi="Arial"/>
          <w:sz w:val="13"/>
          <w:szCs w:val="13"/>
          <w:color w:val="auto"/>
        </w:rPr>
        <w:t>. Commencing with the year ending June 30, 2018, Executive will be entitled to receive an annual cash bonus (the “</w:t>
      </w:r>
      <w:r>
        <w:rPr>
          <w:rFonts w:ascii="Arial" w:cs="Arial" w:eastAsia="Arial" w:hAnsi="Arial"/>
          <w:sz w:val="13"/>
          <w:szCs w:val="13"/>
          <w:u w:val="single" w:color="auto"/>
          <w:color w:val="auto"/>
        </w:rPr>
        <w:t>Annual Bonus</w:t>
      </w:r>
      <w:r>
        <w:rPr>
          <w:rFonts w:ascii="Arial" w:cs="Arial" w:eastAsia="Arial" w:hAnsi="Arial"/>
          <w:sz w:val="13"/>
          <w:szCs w:val="13"/>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3"/>
          <w:szCs w:val="13"/>
          <w:u w:val="single" w:color="auto"/>
          <w:color w:val="auto"/>
        </w:rPr>
        <w:t>Board</w:t>
      </w:r>
      <w:r>
        <w:rPr>
          <w:rFonts w:ascii="Arial" w:cs="Arial" w:eastAsia="Arial" w:hAnsi="Arial"/>
          <w:sz w:val="13"/>
          <w:szCs w:val="13"/>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31" w:lineRule="exact"/>
        <w:rPr>
          <w:rFonts w:ascii="Arial" w:cs="Arial" w:eastAsia="Arial" w:hAnsi="Arial"/>
          <w:sz w:val="13"/>
          <w:szCs w:val="13"/>
          <w:color w:val="auto"/>
        </w:rPr>
      </w:pPr>
    </w:p>
    <w:p>
      <w:pPr>
        <w:jc w:val="both"/>
        <w:ind w:firstLine="509"/>
        <w:spacing w:after="0" w:line="257" w:lineRule="auto"/>
        <w:tabs>
          <w:tab w:leader="none" w:pos="1126"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her duties under this Agreement, including without limitation all travel expenses to and from her designated office as set forth in the opening paragraph of this Agreement, upon her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48" w:lineRule="exact"/>
        <w:rPr>
          <w:rFonts w:ascii="Arial" w:cs="Arial" w:eastAsia="Arial" w:hAnsi="Arial"/>
          <w:sz w:val="14"/>
          <w:szCs w:val="14"/>
          <w:color w:val="auto"/>
        </w:rPr>
      </w:pPr>
    </w:p>
    <w:p>
      <w:pPr>
        <w:ind w:left="1040" w:hanging="531"/>
        <w:spacing w:after="0"/>
        <w:tabs>
          <w:tab w:leader="none" w:pos="1040"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Benefits</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firstLine="1014"/>
        <w:spacing w:after="0" w:line="277" w:lineRule="auto"/>
        <w:tabs>
          <w:tab w:leader="none" w:pos="1492" w:val="left"/>
        </w:tabs>
        <w:numPr>
          <w:ilvl w:val="1"/>
          <w:numId w:val="251"/>
        </w:numPr>
        <w:rPr>
          <w:rFonts w:ascii="Arial" w:cs="Arial" w:eastAsia="Arial" w:hAnsi="Arial"/>
          <w:sz w:val="14"/>
          <w:szCs w:val="14"/>
          <w:color w:val="auto"/>
        </w:rPr>
      </w:pPr>
      <w:r>
        <w:rPr>
          <w:rFonts w:ascii="Arial" w:cs="Arial" w:eastAsia="Arial" w:hAnsi="Arial"/>
          <w:sz w:val="14"/>
          <w:szCs w:val="14"/>
          <w:u w:val="single" w:color="auto"/>
          <w:color w:val="auto"/>
        </w:rPr>
        <w:t>Vacation and Sick Leave</w:t>
      </w:r>
      <w:r>
        <w:rPr>
          <w:rFonts w:ascii="Arial" w:cs="Arial" w:eastAsia="Arial" w:hAnsi="Arial"/>
          <w:sz w:val="14"/>
          <w:szCs w:val="14"/>
          <w:color w:val="auto"/>
        </w:rPr>
        <w:t>. Executive shall be entitled to three (3) weeks of vacation per year and ten (10) days of sick leave per year, which shall accrue at a pro rata rate per pay period. Vacation must be taken in the year in which it accrues and the dates of any vacation must be approved by the CEO.</w:t>
      </w:r>
    </w:p>
    <w:p>
      <w:pPr>
        <w:spacing w:after="0" w:line="133" w:lineRule="exact"/>
        <w:rPr>
          <w:rFonts w:ascii="Arial" w:cs="Arial" w:eastAsia="Arial" w:hAnsi="Arial"/>
          <w:sz w:val="14"/>
          <w:szCs w:val="14"/>
          <w:color w:val="auto"/>
        </w:rPr>
      </w:pPr>
    </w:p>
    <w:p>
      <w:pPr>
        <w:ind w:firstLine="1014"/>
        <w:spacing w:after="0" w:line="277" w:lineRule="auto"/>
        <w:tabs>
          <w:tab w:leader="none" w:pos="1521" w:val="left"/>
        </w:tabs>
        <w:numPr>
          <w:ilvl w:val="1"/>
          <w:numId w:val="251"/>
        </w:numPr>
        <w:rPr>
          <w:rFonts w:ascii="Arial" w:cs="Arial" w:eastAsia="Arial" w:hAnsi="Arial"/>
          <w:sz w:val="14"/>
          <w:szCs w:val="14"/>
          <w:color w:val="auto"/>
        </w:rPr>
      </w:pPr>
      <w:r>
        <w:rPr>
          <w:rFonts w:ascii="Arial" w:cs="Arial" w:eastAsia="Arial" w:hAnsi="Arial"/>
          <w:sz w:val="14"/>
          <w:szCs w:val="14"/>
          <w:u w:val="single" w:color="auto"/>
          <w:color w:val="auto"/>
        </w:rPr>
        <w:t>Health Insurance and Other Plans</w:t>
      </w:r>
      <w:r>
        <w:rPr>
          <w:rFonts w:ascii="Arial" w:cs="Arial" w:eastAsia="Arial" w:hAnsi="Arial"/>
          <w:sz w:val="14"/>
          <w:szCs w:val="14"/>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33" w:lineRule="exact"/>
        <w:rPr>
          <w:rFonts w:ascii="Arial" w:cs="Arial" w:eastAsia="Arial" w:hAnsi="Arial"/>
          <w:sz w:val="14"/>
          <w:szCs w:val="14"/>
          <w:color w:val="auto"/>
        </w:rPr>
      </w:pPr>
    </w:p>
    <w:p>
      <w:pPr>
        <w:ind w:left="1040" w:hanging="531"/>
        <w:spacing w:after="0"/>
        <w:tabs>
          <w:tab w:leader="none" w:pos="1040" w:val="left"/>
        </w:tabs>
        <w:numPr>
          <w:ilvl w:val="0"/>
          <w:numId w:val="251"/>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employment under this Agreement (the “Term) shall be for a five-year period commencing on the Effective Date and shall be automatically extended for an additional</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consecutive twelve (12)-month period on the fifth (5</w:t>
      </w:r>
      <w:r>
        <w:rPr>
          <w:rFonts w:ascii="Arial" w:cs="Arial" w:eastAsia="Arial" w:hAnsi="Arial"/>
          <w:sz w:val="19"/>
          <w:szCs w:val="19"/>
          <w:color w:val="auto"/>
          <w:vertAlign w:val="superscript"/>
        </w:rPr>
        <w:t>th</w:t>
      </w:r>
      <w:r>
        <w:rPr>
          <w:rFonts w:ascii="Arial" w:cs="Arial" w:eastAsia="Arial" w:hAnsi="Arial"/>
          <w:sz w:val="12"/>
          <w:szCs w:val="12"/>
          <w:color w:val="auto"/>
        </w:rPr>
        <w:t>) anniversary of the effective date and each subsequent anniversary thereof, unless and until the Company or Executive provides written notice to the other party not less than ninety (90) 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her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41" w:name="page242"/>
    <w:bookmarkEnd w:id="241"/>
    <w:p>
      <w:pPr>
        <w:ind w:left="1020" w:hanging="531"/>
        <w:spacing w:after="0"/>
        <w:tabs>
          <w:tab w:leader="none" w:pos="1020" w:val="left"/>
        </w:tabs>
        <w:numPr>
          <w:ilvl w:val="0"/>
          <w:numId w:val="252"/>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ind w:left="1500" w:hanging="506"/>
        <w:spacing w:after="0"/>
        <w:tabs>
          <w:tab w:leader="none" w:pos="1500" w:val="left"/>
        </w:tabs>
        <w:numPr>
          <w:ilvl w:val="1"/>
          <w:numId w:val="252"/>
        </w:numPr>
        <w:rPr>
          <w:rFonts w:ascii="Arial" w:cs="Arial" w:eastAsia="Arial" w:hAnsi="Arial"/>
          <w:sz w:val="14"/>
          <w:szCs w:val="14"/>
          <w:color w:val="auto"/>
        </w:rPr>
      </w:pPr>
      <w:r>
        <w:rPr>
          <w:rFonts w:ascii="Arial" w:cs="Arial" w:eastAsia="Arial" w:hAnsi="Arial"/>
          <w:sz w:val="14"/>
          <w:szCs w:val="14"/>
          <w:u w:val="single" w:color="auto"/>
          <w:color w:val="auto"/>
        </w:rPr>
        <w:t>Termination at the Company’s Election</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520"/>
        <w:spacing w:after="0" w:line="279" w:lineRule="auto"/>
        <w:tabs>
          <w:tab w:leader="none" w:pos="1894" w:val="left"/>
        </w:tabs>
        <w:numPr>
          <w:ilvl w:val="2"/>
          <w:numId w:val="252"/>
        </w:numPr>
        <w:rPr>
          <w:rFonts w:ascii="Arial" w:cs="Arial" w:eastAsia="Arial" w:hAnsi="Arial"/>
          <w:sz w:val="13"/>
          <w:szCs w:val="13"/>
          <w:color w:val="auto"/>
        </w:rPr>
      </w:pPr>
      <w:r>
        <w:rPr>
          <w:rFonts w:ascii="Arial" w:cs="Arial" w:eastAsia="Arial" w:hAnsi="Arial"/>
          <w:sz w:val="13"/>
          <w:szCs w:val="13"/>
          <w:u w:val="single" w:color="auto"/>
          <w:color w:val="auto"/>
        </w:rPr>
        <w:t>For Cause</w:t>
      </w:r>
      <w:r>
        <w:rPr>
          <w:rFonts w:ascii="Arial" w:cs="Arial" w:eastAsia="Arial" w:hAnsi="Arial"/>
          <w:sz w:val="13"/>
          <w:szCs w:val="13"/>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3"/>
          <w:szCs w:val="13"/>
          <w:u w:val="single" w:color="auto"/>
          <w:color w:val="auto"/>
        </w:rPr>
        <w:t>Cause</w:t>
      </w:r>
      <w:r>
        <w:rPr>
          <w:rFonts w:ascii="Arial" w:cs="Arial" w:eastAsia="Arial" w:hAnsi="Arial"/>
          <w:sz w:val="13"/>
          <w:szCs w:val="13"/>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her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35" w:lineRule="exact"/>
        <w:rPr>
          <w:rFonts w:ascii="Arial" w:cs="Arial" w:eastAsia="Arial" w:hAnsi="Arial"/>
          <w:sz w:val="13"/>
          <w:szCs w:val="13"/>
          <w:color w:val="auto"/>
        </w:rPr>
      </w:pPr>
    </w:p>
    <w:p>
      <w:pPr>
        <w:jc w:val="both"/>
        <w:ind w:left="-20" w:firstLine="1520"/>
        <w:spacing w:after="0" w:line="264" w:lineRule="auto"/>
        <w:tabs>
          <w:tab w:leader="none" w:pos="1933" w:val="left"/>
        </w:tabs>
        <w:numPr>
          <w:ilvl w:val="2"/>
          <w:numId w:val="252"/>
        </w:numPr>
        <w:rPr>
          <w:rFonts w:ascii="Arial" w:cs="Arial" w:eastAsia="Arial" w:hAnsi="Arial"/>
          <w:sz w:val="14"/>
          <w:szCs w:val="14"/>
          <w:color w:val="auto"/>
        </w:rPr>
      </w:pPr>
      <w:r>
        <w:rPr>
          <w:rFonts w:ascii="Arial" w:cs="Arial" w:eastAsia="Arial" w:hAnsi="Arial"/>
          <w:sz w:val="14"/>
          <w:szCs w:val="14"/>
          <w:u w:val="single" w:color="auto"/>
          <w:color w:val="auto"/>
        </w:rPr>
        <w:t>Upon Disability, Death or Without Cause</w:t>
      </w:r>
      <w:r>
        <w:rPr>
          <w:rFonts w:ascii="Arial" w:cs="Arial" w:eastAsia="Arial" w:hAnsi="Arial"/>
          <w:sz w:val="14"/>
          <w:szCs w:val="14"/>
          <w:color w:val="auto"/>
        </w:rPr>
        <w:t>. At the election of the Company, Executive’s employment may be terminated: (A) should Executive have a physical or mental impairment that substantially limits a major life activity and Executive is unable to perform the essential functions of her job with or without reasonable accommodation (“</w:t>
      </w:r>
      <w:r>
        <w:rPr>
          <w:rFonts w:ascii="Arial" w:cs="Arial" w:eastAsia="Arial" w:hAnsi="Arial"/>
          <w:sz w:val="14"/>
          <w:szCs w:val="14"/>
          <w:u w:val="single" w:color="auto"/>
          <w:color w:val="auto"/>
        </w:rPr>
        <w:t>Disability</w:t>
      </w:r>
      <w:r>
        <w:rPr>
          <w:rFonts w:ascii="Arial" w:cs="Arial" w:eastAsia="Arial" w:hAnsi="Arial"/>
          <w:sz w:val="14"/>
          <w:szCs w:val="14"/>
          <w:color w:val="auto"/>
        </w:rPr>
        <w:t>”); (B) upon Executive’s death; or (C) with ninety (90) days prior written notice, at any time Without Cause for any or no reason.</w:t>
      </w:r>
    </w:p>
    <w:p>
      <w:pPr>
        <w:spacing w:after="0" w:line="142" w:lineRule="exact"/>
        <w:rPr>
          <w:rFonts w:ascii="Arial" w:cs="Arial" w:eastAsia="Arial" w:hAnsi="Arial"/>
          <w:sz w:val="14"/>
          <w:szCs w:val="14"/>
          <w:color w:val="auto"/>
        </w:rPr>
      </w:pPr>
    </w:p>
    <w:p>
      <w:pPr>
        <w:jc w:val="both"/>
        <w:ind w:left="-20" w:firstLine="1014"/>
        <w:spacing w:after="0" w:line="276" w:lineRule="auto"/>
        <w:tabs>
          <w:tab w:leader="none" w:pos="1536" w:val="left"/>
        </w:tabs>
        <w:numPr>
          <w:ilvl w:val="1"/>
          <w:numId w:val="252"/>
        </w:numPr>
        <w:rPr>
          <w:rFonts w:ascii="Arial" w:cs="Arial" w:eastAsia="Arial" w:hAnsi="Arial"/>
          <w:sz w:val="13"/>
          <w:szCs w:val="13"/>
          <w:color w:val="auto"/>
        </w:rPr>
      </w:pPr>
      <w:r>
        <w:rPr>
          <w:rFonts w:ascii="Arial" w:cs="Arial" w:eastAsia="Arial" w:hAnsi="Arial"/>
          <w:sz w:val="13"/>
          <w:szCs w:val="13"/>
          <w:u w:val="single" w:color="auto"/>
          <w:color w:val="auto"/>
        </w:rPr>
        <w:t>Termination at Executive’s Election; Good Reason Termination</w:t>
      </w:r>
      <w:r>
        <w:rPr>
          <w:rFonts w:ascii="Arial" w:cs="Arial" w:eastAsia="Arial" w:hAnsi="Arial"/>
          <w:sz w:val="13"/>
          <w:szCs w:val="13"/>
          <w:color w:val="auto"/>
        </w:rPr>
        <w:t>. Notwithstanding anything contained elsewhere in this Agreement to the contrary, Executive may terminate her employment hereunder at any time and for any reason, upon thirty (30) days’ prior written notice given pursuant to Section 12 of this Agreement (“</w:t>
      </w:r>
      <w:r>
        <w:rPr>
          <w:rFonts w:ascii="Arial" w:cs="Arial" w:eastAsia="Arial" w:hAnsi="Arial"/>
          <w:sz w:val="13"/>
          <w:szCs w:val="13"/>
          <w:u w:val="single" w:color="auto"/>
          <w:color w:val="auto"/>
        </w:rPr>
        <w:t>Voluntary Resignation</w:t>
      </w:r>
      <w:r>
        <w:rPr>
          <w:rFonts w:ascii="Arial" w:cs="Arial" w:eastAsia="Arial" w:hAnsi="Arial"/>
          <w:sz w:val="13"/>
          <w:szCs w:val="13"/>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3"/>
          <w:szCs w:val="13"/>
          <w:u w:val="single" w:color="auto"/>
          <w:color w:val="auto"/>
        </w:rPr>
        <w:t>Good Reason</w:t>
      </w:r>
      <w:r>
        <w:rPr>
          <w:rFonts w:ascii="Arial" w:cs="Arial" w:eastAsia="Arial" w:hAnsi="Arial"/>
          <w:sz w:val="13"/>
          <w:szCs w:val="13"/>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136" w:lineRule="exact"/>
        <w:rPr>
          <w:rFonts w:ascii="Arial" w:cs="Arial" w:eastAsia="Arial" w:hAnsi="Arial"/>
          <w:sz w:val="13"/>
          <w:szCs w:val="13"/>
          <w:color w:val="auto"/>
        </w:rPr>
      </w:pPr>
    </w:p>
    <w:p>
      <w:pPr>
        <w:jc w:val="both"/>
        <w:ind w:left="-20" w:firstLine="1014"/>
        <w:spacing w:after="0" w:line="316" w:lineRule="auto"/>
        <w:tabs>
          <w:tab w:leader="none" w:pos="1528" w:val="left"/>
        </w:tabs>
        <w:numPr>
          <w:ilvl w:val="1"/>
          <w:numId w:val="252"/>
        </w:numPr>
        <w:rPr>
          <w:rFonts w:ascii="Arial" w:cs="Arial" w:eastAsia="Arial" w:hAnsi="Arial"/>
          <w:sz w:val="12"/>
          <w:szCs w:val="12"/>
          <w:color w:val="auto"/>
        </w:rPr>
      </w:pPr>
      <w:r>
        <w:rPr>
          <w:rFonts w:ascii="Arial" w:cs="Arial" w:eastAsia="Arial" w:hAnsi="Arial"/>
          <w:sz w:val="12"/>
          <w:szCs w:val="12"/>
          <w:u w:val="single" w:color="auto"/>
          <w:color w:val="auto"/>
        </w:rPr>
        <w:t>Termination in General</w:t>
      </w:r>
      <w:r>
        <w:rPr>
          <w:rFonts w:ascii="Arial" w:cs="Arial" w:eastAsia="Arial" w:hAnsi="Arial"/>
          <w:sz w:val="12"/>
          <w:szCs w:val="12"/>
          <w:color w:val="auto"/>
        </w:rPr>
        <w:t>. If Executive’s employment with the Company terminates for any reason, the Company will pay or provide to 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42" w:name="page243"/>
    <w:bookmarkEnd w:id="242"/>
    <w:p>
      <w:pPr>
        <w:ind w:left="1020" w:hanging="531"/>
        <w:spacing w:after="0"/>
        <w:tabs>
          <w:tab w:leader="none" w:pos="102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Severance</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014"/>
        <w:spacing w:after="0" w:line="310" w:lineRule="auto"/>
        <w:tabs>
          <w:tab w:leader="none" w:pos="1496" w:val="left"/>
        </w:tabs>
        <w:numPr>
          <w:ilvl w:val="1"/>
          <w:numId w:val="253"/>
        </w:numPr>
        <w:rPr>
          <w:rFonts w:ascii="Arial" w:cs="Arial" w:eastAsia="Arial" w:hAnsi="Arial"/>
          <w:sz w:val="12"/>
          <w:szCs w:val="12"/>
          <w:color w:val="auto"/>
        </w:rPr>
      </w:pPr>
      <w:r>
        <w:rPr>
          <w:rFonts w:ascii="Arial" w:cs="Arial" w:eastAsia="Arial" w:hAnsi="Arial"/>
          <w:sz w:val="12"/>
          <w:szCs w:val="12"/>
          <w:color w:val="auto"/>
        </w:rPr>
        <w:t>Subject to Section 7(b) below, if Executive’s employment is terminated prior to the end of the Term by the Company without Cause or by Executive for Good Reason, Executive shall be entitled to receive a severance payment equal to (i) nine (9) months of Executive’s Base Salary, and (ii)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19" w:lineRule="exact"/>
        <w:rPr>
          <w:rFonts w:ascii="Arial" w:cs="Arial" w:eastAsia="Arial" w:hAnsi="Arial"/>
          <w:sz w:val="12"/>
          <w:szCs w:val="12"/>
          <w:color w:val="auto"/>
        </w:rPr>
      </w:pPr>
    </w:p>
    <w:p>
      <w:pPr>
        <w:jc w:val="both"/>
        <w:ind w:left="-20" w:firstLine="1014"/>
        <w:spacing w:after="0" w:line="276" w:lineRule="auto"/>
        <w:tabs>
          <w:tab w:leader="none" w:pos="1587" w:val="left"/>
        </w:tabs>
        <w:numPr>
          <w:ilvl w:val="1"/>
          <w:numId w:val="253"/>
        </w:numPr>
        <w:rPr>
          <w:rFonts w:ascii="Arial" w:cs="Arial" w:eastAsia="Arial" w:hAnsi="Arial"/>
          <w:sz w:val="13"/>
          <w:szCs w:val="13"/>
          <w:color w:val="auto"/>
        </w:rPr>
      </w:pPr>
      <w:r>
        <w:rPr>
          <w:rFonts w:ascii="Arial" w:cs="Arial" w:eastAsia="Arial" w:hAnsi="Arial"/>
          <w:sz w:val="13"/>
          <w:szCs w:val="13"/>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RS Grant or, if the termination occurs after the Change of Control, the Substitute Grant, as applicable. For purposes of this Agreement, “</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3"/>
          <w:szCs w:val="13"/>
          <w:u w:val="single" w:color="auto"/>
          <w:color w:val="auto"/>
        </w:rPr>
        <w:t>Exchange Act</w:t>
      </w:r>
      <w:r>
        <w:rPr>
          <w:rFonts w:ascii="Arial" w:cs="Arial" w:eastAsia="Arial" w:hAnsi="Arial"/>
          <w:sz w:val="13"/>
          <w:szCs w:val="13"/>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36" w:lineRule="exact"/>
        <w:rPr>
          <w:rFonts w:ascii="Arial" w:cs="Arial" w:eastAsia="Arial" w:hAnsi="Arial"/>
          <w:sz w:val="13"/>
          <w:szCs w:val="13"/>
          <w:color w:val="auto"/>
        </w:rPr>
      </w:pPr>
    </w:p>
    <w:p>
      <w:pPr>
        <w:jc w:val="both"/>
        <w:ind w:left="-20" w:firstLine="1014"/>
        <w:spacing w:after="0" w:line="259" w:lineRule="auto"/>
        <w:tabs>
          <w:tab w:leader="none" w:pos="1496" w:val="left"/>
        </w:tabs>
        <w:numPr>
          <w:ilvl w:val="1"/>
          <w:numId w:val="253"/>
        </w:numPr>
        <w:rPr>
          <w:rFonts w:ascii="Arial" w:cs="Arial" w:eastAsia="Arial" w:hAnsi="Arial"/>
          <w:sz w:val="14"/>
          <w:szCs w:val="14"/>
          <w:color w:val="auto"/>
        </w:rPr>
      </w:pPr>
      <w:r>
        <w:rPr>
          <w:rFonts w:ascii="Arial" w:cs="Arial" w:eastAsia="Arial" w:hAnsi="Arial"/>
          <w:sz w:val="14"/>
          <w:szCs w:val="14"/>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43" w:name="page244"/>
    <w:bookmarkEnd w:id="243"/>
    <w:p>
      <w:pPr>
        <w:ind w:left="1020" w:hanging="531"/>
        <w:spacing w:after="0"/>
        <w:tabs>
          <w:tab w:leader="none" w:pos="1020"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20" w:firstLine="1014"/>
        <w:spacing w:after="0" w:line="275" w:lineRule="auto"/>
        <w:tabs>
          <w:tab w:leader="none" w:pos="1518" w:val="left"/>
        </w:tabs>
        <w:numPr>
          <w:ilvl w:val="1"/>
          <w:numId w:val="254"/>
        </w:numPr>
        <w:rPr>
          <w:rFonts w:ascii="Arial" w:cs="Arial" w:eastAsia="Arial" w:hAnsi="Arial"/>
          <w:sz w:val="13"/>
          <w:szCs w:val="13"/>
          <w:color w:val="auto"/>
        </w:rPr>
      </w:pPr>
      <w:r>
        <w:rPr>
          <w:rFonts w:ascii="Arial" w:cs="Arial" w:eastAsia="Arial" w:hAnsi="Arial"/>
          <w:sz w:val="13"/>
          <w:szCs w:val="13"/>
          <w:color w:val="auto"/>
        </w:rPr>
        <w:t>Executive understands that during the Term she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3"/>
          <w:szCs w:val="13"/>
          <w:u w:val="single" w:color="auto"/>
          <w:color w:val="auto"/>
        </w:rPr>
        <w:t>Affiliated Entities</w:t>
      </w:r>
      <w:r>
        <w:rPr>
          <w:rFonts w:ascii="Arial" w:cs="Arial" w:eastAsia="Arial" w:hAnsi="Arial"/>
          <w:sz w:val="13"/>
          <w:szCs w:val="13"/>
          <w:color w:val="auto"/>
        </w:rPr>
        <w:t>”), or clients, including without limitation any of their actual or anticipated business, research or development, any of their technology or the implementation or exploitation thereof, including without limitation information Executive and other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 under agreements to hold such information confidential (collectively, the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Executive agrees to observe all Company policies and procedures concerning such Confidential Information. Executive further agrees not to disclose or use, either during her employment or at any time thereafter, any Confidential Information for any purpose, including without limitation any competitive purpose, unless authorized to do so by the Company in writing, except that she may disclose and use such information when necessary in the performance of her duties for the Company. Executive’s obligations under this Agreement will continue with respect to Confidential Information, whether or not her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she first notifies promptly the Company of such subpoena, order or other requirement and allows the Company the opportunity to obtain a protective order or other appropriate remedy.</w:t>
      </w:r>
    </w:p>
    <w:p>
      <w:pPr>
        <w:spacing w:after="0" w:line="136" w:lineRule="exact"/>
        <w:rPr>
          <w:rFonts w:ascii="Arial" w:cs="Arial" w:eastAsia="Arial" w:hAnsi="Arial"/>
          <w:sz w:val="13"/>
          <w:szCs w:val="13"/>
          <w:color w:val="auto"/>
        </w:rPr>
      </w:pPr>
    </w:p>
    <w:p>
      <w:pPr>
        <w:jc w:val="both"/>
        <w:ind w:left="-20" w:firstLine="1014"/>
        <w:spacing w:after="0" w:line="257" w:lineRule="auto"/>
        <w:tabs>
          <w:tab w:leader="none" w:pos="1545" w:val="left"/>
        </w:tabs>
        <w:numPr>
          <w:ilvl w:val="1"/>
          <w:numId w:val="254"/>
        </w:numPr>
        <w:rPr>
          <w:rFonts w:ascii="Arial" w:cs="Arial" w:eastAsia="Arial" w:hAnsi="Arial"/>
          <w:sz w:val="14"/>
          <w:szCs w:val="14"/>
          <w:color w:val="auto"/>
        </w:rPr>
      </w:pPr>
      <w:r>
        <w:rPr>
          <w:rFonts w:ascii="Arial" w:cs="Arial" w:eastAsia="Arial" w:hAnsi="Arial"/>
          <w:sz w:val="14"/>
          <w:szCs w:val="14"/>
          <w:color w:val="auto"/>
        </w:rPr>
        <w:t>During Executive’s employment, upon the Company’s request, or upon the termination of her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 and all copies of such materials, whether of a technical, business or fiscal nature, whether on the hard drive of a laptop or desktop computer, in hard copy, disk or any other format, which are in Executive’s possession, custody or control.</w:t>
      </w:r>
    </w:p>
    <w:p>
      <w:pPr>
        <w:spacing w:after="0" w:line="148" w:lineRule="exact"/>
        <w:rPr>
          <w:rFonts w:ascii="Arial" w:cs="Arial" w:eastAsia="Arial" w:hAnsi="Arial"/>
          <w:sz w:val="14"/>
          <w:szCs w:val="14"/>
          <w:color w:val="auto"/>
        </w:rPr>
      </w:pPr>
    </w:p>
    <w:p>
      <w:pPr>
        <w:jc w:val="both"/>
        <w:ind w:left="-20" w:firstLine="1014"/>
        <w:spacing w:after="0" w:line="278" w:lineRule="auto"/>
        <w:tabs>
          <w:tab w:leader="none" w:pos="1543" w:val="left"/>
        </w:tabs>
        <w:numPr>
          <w:ilvl w:val="1"/>
          <w:numId w:val="254"/>
        </w:numPr>
        <w:rPr>
          <w:rFonts w:ascii="Arial" w:cs="Arial" w:eastAsia="Arial" w:hAnsi="Arial"/>
          <w:sz w:val="13"/>
          <w:szCs w:val="13"/>
          <w:color w:val="auto"/>
        </w:rPr>
      </w:pPr>
      <w:r>
        <w:rPr>
          <w:rFonts w:ascii="Arial" w:cs="Arial" w:eastAsia="Arial" w:hAnsi="Arial"/>
          <w:sz w:val="13"/>
          <w:szCs w:val="13"/>
          <w:color w:val="auto"/>
        </w:rPr>
        <w:t>Executive will promptly disclose to the Company any idea, invention, discovery or improvement, whether patentable or not (“</w:t>
      </w:r>
      <w:r>
        <w:rPr>
          <w:rFonts w:ascii="Arial" w:cs="Arial" w:eastAsia="Arial" w:hAnsi="Arial"/>
          <w:sz w:val="13"/>
          <w:szCs w:val="13"/>
          <w:u w:val="single" w:color="auto"/>
          <w:color w:val="auto"/>
        </w:rPr>
        <w:t>Creations</w:t>
      </w:r>
      <w:r>
        <w:rPr>
          <w:rFonts w:ascii="Arial" w:cs="Arial" w:eastAsia="Arial" w:hAnsi="Arial"/>
          <w:sz w:val="13"/>
          <w:szCs w:val="13"/>
          <w:color w:val="auto"/>
        </w:rPr>
        <w:t>”), conceived or made by him alone or with other at any time during her employment. Executive agrees that the Company owns all such Creations, conceived or made by Executive alone or with other at any time during her employment, and Executive hereby assigns and agrees to assign to the Company all rights she has or may acquire their and agrees to execute any and all applications, assignments and other instruments relating thereto which the Company deems necessary or desirable. These obligations shall continue beyond the termination of her employment with respect to Creations and derivatives of such Creations conceived or made during her employment with the Company. Executive understands that the obligation to assign Creations to the Company shall not apply to any Creation which is developed entirely on her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her work at the Company.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44" w:name="page245"/>
    <w:bookmarkEnd w:id="244"/>
    <w:p>
      <w:pPr>
        <w:ind w:left="-20" w:firstLine="1014"/>
        <w:spacing w:after="0" w:line="277" w:lineRule="auto"/>
        <w:tabs>
          <w:tab w:leader="none" w:pos="1575" w:val="left"/>
        </w:tabs>
        <w:numPr>
          <w:ilvl w:val="1"/>
          <w:numId w:val="255"/>
        </w:numPr>
        <w:rPr>
          <w:rFonts w:ascii="Arial" w:cs="Arial" w:eastAsia="Arial" w:hAnsi="Arial"/>
          <w:sz w:val="14"/>
          <w:szCs w:val="14"/>
          <w:color w:val="auto"/>
        </w:rPr>
      </w:pPr>
      <w:r>
        <w:rPr>
          <w:rFonts w:ascii="Arial" w:cs="Arial" w:eastAsia="Arial" w:hAnsi="Arial"/>
          <w:sz w:val="14"/>
          <w:szCs w:val="14"/>
          <w:color w:val="auto"/>
        </w:rPr>
        <w:t>Executive will not assert any rights to any invention, discovery, idea or improvement relating to the business of the Company or any of its Affiliated Entities or to her duties hereunder as having been made or acquired by Executive prior to her work for the Company.</w:t>
      </w:r>
    </w:p>
    <w:p>
      <w:pPr>
        <w:spacing w:after="0" w:line="133" w:lineRule="exact"/>
        <w:rPr>
          <w:rFonts w:ascii="Arial" w:cs="Arial" w:eastAsia="Arial" w:hAnsi="Arial"/>
          <w:sz w:val="14"/>
          <w:szCs w:val="14"/>
          <w:color w:val="auto"/>
        </w:rPr>
      </w:pPr>
    </w:p>
    <w:p>
      <w:pPr>
        <w:jc w:val="both"/>
        <w:ind w:left="-20" w:firstLine="1014"/>
        <w:spacing w:after="0" w:line="264" w:lineRule="auto"/>
        <w:tabs>
          <w:tab w:leader="none" w:pos="1558" w:val="left"/>
        </w:tabs>
        <w:numPr>
          <w:ilvl w:val="1"/>
          <w:numId w:val="255"/>
        </w:numPr>
        <w:rPr>
          <w:rFonts w:ascii="Arial" w:cs="Arial" w:eastAsia="Arial" w:hAnsi="Arial"/>
          <w:sz w:val="14"/>
          <w:szCs w:val="14"/>
          <w:color w:val="auto"/>
        </w:rPr>
      </w:pPr>
      <w:r>
        <w:rPr>
          <w:rFonts w:ascii="Arial" w:cs="Arial" w:eastAsia="Arial" w:hAnsi="Arial"/>
          <w:sz w:val="14"/>
          <w:szCs w:val="14"/>
          <w:color w:val="auto"/>
        </w:rPr>
        <w:t>During the Term</w:t>
      </w:r>
      <w:r>
        <w:rPr>
          <w:rFonts w:ascii="Arial" w:cs="Arial" w:eastAsia="Arial" w:hAnsi="Arial"/>
          <w:sz w:val="14"/>
          <w:szCs w:val="14"/>
          <w:i w:val="1"/>
          <w:iCs w:val="1"/>
          <w:color w:val="auto"/>
        </w:rPr>
        <w:t>,</w:t>
      </w:r>
      <w:r>
        <w:rPr>
          <w:rFonts w:ascii="Arial" w:cs="Arial" w:eastAsia="Arial" w:hAnsi="Arial"/>
          <w:sz w:val="14"/>
          <w:szCs w:val="14"/>
          <w:color w:val="auto"/>
        </w:rPr>
        <w:t xml:space="preserve"> the Company is hereby granted and shall have a non-exclusive,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42" w:lineRule="exact"/>
        <w:rPr>
          <w:rFonts w:ascii="Arial" w:cs="Arial" w:eastAsia="Arial" w:hAnsi="Arial"/>
          <w:sz w:val="14"/>
          <w:szCs w:val="14"/>
          <w:color w:val="auto"/>
        </w:rPr>
      </w:pPr>
    </w:p>
    <w:p>
      <w:pPr>
        <w:jc w:val="both"/>
        <w:ind w:left="-20" w:firstLine="1014"/>
        <w:spacing w:after="0" w:line="255" w:lineRule="auto"/>
        <w:tabs>
          <w:tab w:leader="none" w:pos="1496" w:val="left"/>
        </w:tabs>
        <w:numPr>
          <w:ilvl w:val="1"/>
          <w:numId w:val="255"/>
        </w:numPr>
        <w:rPr>
          <w:rFonts w:ascii="Arial" w:cs="Arial" w:eastAsia="Arial" w:hAnsi="Arial"/>
          <w:sz w:val="14"/>
          <w:szCs w:val="14"/>
          <w:color w:val="auto"/>
        </w:rPr>
      </w:pPr>
      <w:r>
        <w:rPr>
          <w:rFonts w:ascii="Arial" w:cs="Arial" w:eastAsia="Arial" w:hAnsi="Arial"/>
          <w:sz w:val="14"/>
          <w:szCs w:val="14"/>
          <w:color w:val="auto"/>
        </w:rPr>
        <w:t>Executive agrees to cooperate fully with the Company, both during and after her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her agent and attorney-in-fact and Executive hereby irrevocably designates and appoints each officer of the Company as her agent and attorney-in-fact to execute any such papers on her behalf and to take any and all actions as the Company may deem necessary or desirable in order to protect its rights and interests in any Creations, under the conditions described in this paragraph.</w:t>
      </w:r>
    </w:p>
    <w:p>
      <w:pPr>
        <w:spacing w:after="0" w:line="149" w:lineRule="exact"/>
        <w:rPr>
          <w:rFonts w:ascii="Arial" w:cs="Arial" w:eastAsia="Arial" w:hAnsi="Arial"/>
          <w:sz w:val="14"/>
          <w:szCs w:val="14"/>
          <w:color w:val="auto"/>
        </w:rPr>
      </w:pPr>
    </w:p>
    <w:p>
      <w:pPr>
        <w:jc w:val="both"/>
        <w:ind w:left="-20" w:firstLine="509"/>
        <w:spacing w:after="0" w:line="259" w:lineRule="auto"/>
        <w:tabs>
          <w:tab w:leader="none" w:pos="1011" w:val="left"/>
        </w:tabs>
        <w:numPr>
          <w:ilvl w:val="0"/>
          <w:numId w:val="256"/>
        </w:numPr>
        <w:rPr>
          <w:rFonts w:ascii="Arial" w:cs="Arial" w:eastAsia="Arial" w:hAnsi="Arial"/>
          <w:sz w:val="14"/>
          <w:szCs w:val="14"/>
          <w:color w:val="auto"/>
        </w:rPr>
      </w:pPr>
      <w:r>
        <w:rPr>
          <w:rFonts w:ascii="Arial" w:cs="Arial" w:eastAsia="Arial" w:hAnsi="Arial"/>
          <w:sz w:val="14"/>
          <w:szCs w:val="14"/>
          <w:u w:val="single" w:color="auto"/>
          <w:color w:val="auto"/>
        </w:rPr>
        <w:t>Non-solicitation; non-competition</w:t>
      </w:r>
      <w:r>
        <w:rPr>
          <w:rFonts w:ascii="Arial" w:cs="Arial" w:eastAsia="Arial" w:hAnsi="Arial"/>
          <w:sz w:val="14"/>
          <w:szCs w:val="14"/>
          <w:color w:val="auto"/>
        </w:rPr>
        <w:t>. (a) Executive agrees that, during the Term and until nine (9) months after the termination of her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nine (9) months prior to the termination of Executive’s employment, or induce any such employee to terminate her or her employment with the Company or any of its Affiliated Entities.</w:t>
      </w:r>
    </w:p>
    <w:p>
      <w:pPr>
        <w:spacing w:after="0" w:line="146" w:lineRule="exact"/>
        <w:rPr>
          <w:rFonts w:ascii="Arial" w:cs="Arial" w:eastAsia="Arial" w:hAnsi="Arial"/>
          <w:sz w:val="14"/>
          <w:szCs w:val="14"/>
          <w:color w:val="auto"/>
        </w:rPr>
      </w:pPr>
    </w:p>
    <w:p>
      <w:pPr>
        <w:jc w:val="both"/>
        <w:ind w:left="-20" w:firstLine="1014"/>
        <w:spacing w:after="0" w:line="282" w:lineRule="auto"/>
        <w:tabs>
          <w:tab w:leader="none" w:pos="1542" w:val="left"/>
        </w:tabs>
        <w:numPr>
          <w:ilvl w:val="1"/>
          <w:numId w:val="256"/>
        </w:numPr>
        <w:rPr>
          <w:rFonts w:ascii="Arial" w:cs="Arial" w:eastAsia="Arial" w:hAnsi="Arial"/>
          <w:sz w:val="13"/>
          <w:szCs w:val="13"/>
          <w:color w:val="auto"/>
        </w:rPr>
      </w:pPr>
      <w:r>
        <w:rPr>
          <w:rFonts w:ascii="Arial" w:cs="Arial" w:eastAsia="Arial" w:hAnsi="Arial"/>
          <w:sz w:val="13"/>
          <w:szCs w:val="13"/>
          <w:color w:val="auto"/>
        </w:rPr>
        <w:t>Executive further agrees that, during the Term and until nine (9) months after the termination of her employment,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45" w:name="page246"/>
    <w:bookmarkEnd w:id="245"/>
    <w:p>
      <w:pPr>
        <w:jc w:val="both"/>
        <w:ind w:left="-20" w:firstLine="1014"/>
        <w:spacing w:after="0" w:line="264" w:lineRule="auto"/>
        <w:tabs>
          <w:tab w:leader="none" w:pos="1496" w:val="left"/>
        </w:tabs>
        <w:numPr>
          <w:ilvl w:val="1"/>
          <w:numId w:val="2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Competing Business</w:t>
      </w:r>
      <w:r>
        <w:rPr>
          <w:rFonts w:ascii="Arial" w:cs="Arial" w:eastAsia="Arial" w:hAnsi="Arial"/>
          <w:sz w:val="14"/>
          <w:szCs w:val="14"/>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142" w:lineRule="exact"/>
        <w:rPr>
          <w:rFonts w:ascii="Arial" w:cs="Arial" w:eastAsia="Arial" w:hAnsi="Arial"/>
          <w:sz w:val="14"/>
          <w:szCs w:val="14"/>
          <w:color w:val="auto"/>
        </w:rPr>
      </w:pPr>
    </w:p>
    <w:p>
      <w:pPr>
        <w:ind w:left="-20" w:firstLine="1014"/>
        <w:spacing w:after="0" w:line="277" w:lineRule="auto"/>
        <w:tabs>
          <w:tab w:leader="none" w:pos="1546" w:val="left"/>
        </w:tabs>
        <w:numPr>
          <w:ilvl w:val="1"/>
          <w:numId w:val="2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Territory</w:t>
      </w:r>
      <w:r>
        <w:rPr>
          <w:rFonts w:ascii="Arial" w:cs="Arial" w:eastAsia="Arial" w:hAnsi="Arial"/>
          <w:sz w:val="14"/>
          <w:szCs w:val="14"/>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33" w:lineRule="exact"/>
        <w:rPr>
          <w:rFonts w:ascii="Arial" w:cs="Arial" w:eastAsia="Arial" w:hAnsi="Arial"/>
          <w:sz w:val="14"/>
          <w:szCs w:val="14"/>
          <w:color w:val="auto"/>
        </w:rPr>
      </w:pPr>
    </w:p>
    <w:p>
      <w:pPr>
        <w:jc w:val="both"/>
        <w:ind w:left="-20" w:firstLine="1014"/>
        <w:spacing w:after="0" w:line="310" w:lineRule="auto"/>
        <w:tabs>
          <w:tab w:leader="none" w:pos="1537" w:val="left"/>
        </w:tabs>
        <w:numPr>
          <w:ilvl w:val="1"/>
          <w:numId w:val="257"/>
        </w:numPr>
        <w:rPr>
          <w:rFonts w:ascii="Arial" w:cs="Arial" w:eastAsia="Arial" w:hAnsi="Arial"/>
          <w:sz w:val="12"/>
          <w:szCs w:val="12"/>
          <w:color w:val="auto"/>
        </w:rPr>
      </w:pPr>
      <w:r>
        <w:rPr>
          <w:rFonts w:ascii="Arial" w:cs="Arial" w:eastAsia="Arial" w:hAnsi="Arial"/>
          <w:sz w:val="12"/>
          <w:szCs w:val="12"/>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the People’s Republic of China,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19" w:lineRule="exact"/>
        <w:rPr>
          <w:rFonts w:ascii="Arial" w:cs="Arial" w:eastAsia="Arial" w:hAnsi="Arial"/>
          <w:sz w:val="12"/>
          <w:szCs w:val="12"/>
          <w:color w:val="auto"/>
        </w:rPr>
      </w:pPr>
    </w:p>
    <w:p>
      <w:pPr>
        <w:jc w:val="both"/>
        <w:ind w:left="-20" w:firstLine="509"/>
        <w:spacing w:after="0" w:line="254" w:lineRule="auto"/>
        <w:tabs>
          <w:tab w:leader="none" w:pos="1106" w:val="left"/>
        </w:tabs>
        <w:numPr>
          <w:ilvl w:val="0"/>
          <w:numId w:val="258"/>
        </w:numPr>
        <w:rPr>
          <w:rFonts w:ascii="Arial" w:cs="Arial" w:eastAsia="Arial" w:hAnsi="Arial"/>
          <w:sz w:val="14"/>
          <w:szCs w:val="14"/>
          <w:color w:val="auto"/>
        </w:rPr>
      </w:pPr>
      <w:r>
        <w:rPr>
          <w:rFonts w:ascii="Arial" w:cs="Arial" w:eastAsia="Arial" w:hAnsi="Arial"/>
          <w:sz w:val="14"/>
          <w:szCs w:val="14"/>
          <w:u w:val="single" w:color="auto"/>
          <w:color w:val="auto"/>
        </w:rPr>
        <w:t>Representation and Warranty</w:t>
      </w:r>
      <w:r>
        <w:rPr>
          <w:rFonts w:ascii="Arial" w:cs="Arial" w:eastAsia="Arial" w:hAnsi="Arial"/>
          <w:sz w:val="14"/>
          <w:szCs w:val="14"/>
          <w:color w:val="auto"/>
        </w:rPr>
        <w:t>. The Executive hereby acknowledges and represents that she has had the opportunity to consult with legal counsel regarding her rights and obligations under this Agreement and that she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52" w:lineRule="exact"/>
        <w:rPr>
          <w:rFonts w:ascii="Arial" w:cs="Arial" w:eastAsia="Arial" w:hAnsi="Arial"/>
          <w:sz w:val="14"/>
          <w:szCs w:val="14"/>
          <w:color w:val="auto"/>
        </w:rPr>
      </w:pPr>
    </w:p>
    <w:p>
      <w:pPr>
        <w:jc w:val="both"/>
        <w:ind w:left="-20" w:firstLine="509"/>
        <w:spacing w:after="0" w:line="286" w:lineRule="auto"/>
        <w:tabs>
          <w:tab w:leader="none" w:pos="1058" w:val="left"/>
        </w:tabs>
        <w:numPr>
          <w:ilvl w:val="0"/>
          <w:numId w:val="258"/>
        </w:numPr>
        <w:rPr>
          <w:rFonts w:ascii="Arial" w:cs="Arial" w:eastAsia="Arial" w:hAnsi="Arial"/>
          <w:sz w:val="13"/>
          <w:szCs w:val="13"/>
          <w:color w:val="auto"/>
        </w:rPr>
      </w:pPr>
      <w:r>
        <w:rPr>
          <w:rFonts w:ascii="Arial" w:cs="Arial" w:eastAsia="Arial" w:hAnsi="Arial"/>
          <w:sz w:val="13"/>
          <w:szCs w:val="13"/>
          <w:u w:val="single" w:color="auto"/>
          <w:color w:val="auto"/>
        </w:rPr>
        <w:t>Injunctive Relief</w:t>
      </w:r>
      <w:r>
        <w:rPr>
          <w:rFonts w:ascii="Arial" w:cs="Arial" w:eastAsia="Arial" w:hAnsi="Arial"/>
          <w:sz w:val="13"/>
          <w:szCs w:val="13"/>
          <w:color w:val="auto"/>
        </w:rPr>
        <w:t>. Without limiting the remedies available to the Company, Executive acknowledges that a breach of any of the covenants contained in Sections 7(c)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7(c) and 9 of this Agreement.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46" w:name="page247"/>
    <w:bookmarkEnd w:id="246"/>
    <w:p>
      <w:pPr>
        <w:ind w:firstLine="509"/>
        <w:spacing w:after="0" w:line="277" w:lineRule="auto"/>
        <w:tabs>
          <w:tab w:leader="none" w:pos="1115" w:val="left"/>
        </w:tabs>
        <w:numPr>
          <w:ilvl w:val="0"/>
          <w:numId w:val="259"/>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or other communication required or permitted to be given to the Parties shall be deemed to have been given if either personally delivered, or if sent for next-day delivery by nationally recognized overnight courier, and addressed as follows:</w:t>
      </w:r>
    </w:p>
    <w:p>
      <w:pPr>
        <w:spacing w:after="0" w:line="133" w:lineRule="exact"/>
        <w:rPr>
          <w:rFonts w:ascii="Arial" w:cs="Arial" w:eastAsia="Arial" w:hAnsi="Arial"/>
          <w:sz w:val="14"/>
          <w:szCs w:val="14"/>
          <w:color w:val="auto"/>
        </w:rPr>
      </w:pPr>
    </w:p>
    <w:p>
      <w:pPr>
        <w:ind w:left="1520" w:hanging="506"/>
        <w:spacing w:after="0"/>
        <w:tabs>
          <w:tab w:leader="none" w:pos="1520" w:val="left"/>
        </w:tabs>
        <w:numPr>
          <w:ilvl w:val="1"/>
          <w:numId w:val="259"/>
        </w:numPr>
        <w:rPr>
          <w:rFonts w:ascii="Arial" w:cs="Arial" w:eastAsia="Arial" w:hAnsi="Arial"/>
          <w:sz w:val="14"/>
          <w:szCs w:val="14"/>
          <w:color w:val="auto"/>
        </w:rPr>
      </w:pPr>
      <w:r>
        <w:rPr>
          <w:rFonts w:ascii="Arial" w:cs="Arial" w:eastAsia="Arial" w:hAnsi="Arial"/>
          <w:sz w:val="14"/>
          <w:szCs w:val="14"/>
          <w:color w:val="auto"/>
        </w:rPr>
        <w:t>If to Executive, to:</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2nd Floor, Building 18, Shanghai Pudong Software Park,</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498 Guoshoujin Road, Pudong, Shanghai 201203</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People’s Republic of China</w:t>
      </w:r>
    </w:p>
    <w:p>
      <w:pPr>
        <w:spacing w:after="0" w:line="165" w:lineRule="exact"/>
        <w:rPr>
          <w:sz w:val="20"/>
          <w:szCs w:val="20"/>
          <w:color w:val="auto"/>
        </w:rPr>
      </w:pPr>
    </w:p>
    <w:p>
      <w:pPr>
        <w:ind w:left="1520" w:hanging="506"/>
        <w:spacing w:after="0"/>
        <w:tabs>
          <w:tab w:leader="none" w:pos="152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If to the Company, to:</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2nd Floor, Building 18, Shanghai Pudong Software Park,</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498 Guoshoujin Road, Pudong, Shanghai 201203</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People’s Republic of China</w:t>
      </w:r>
    </w:p>
    <w:p>
      <w:pPr>
        <w:spacing w:after="0" w:line="165" w:lineRule="exact"/>
        <w:rPr>
          <w:sz w:val="20"/>
          <w:szCs w:val="20"/>
          <w:color w:val="auto"/>
        </w:rPr>
      </w:pPr>
    </w:p>
    <w:p>
      <w:pPr>
        <w:ind w:left="1100" w:hanging="591"/>
        <w:spacing w:after="0"/>
        <w:tabs>
          <w:tab w:leader="none" w:pos="1100" w:val="left"/>
        </w:tabs>
        <w:numPr>
          <w:ilvl w:val="0"/>
          <w:numId w:val="261"/>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declared void or unenforceable by a court of competent jurisdiction, all other provisions shall nonetheless remain in full force and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effect.</w:t>
      </w:r>
    </w:p>
    <w:p>
      <w:pPr>
        <w:spacing w:after="0" w:line="165" w:lineRule="exact"/>
        <w:rPr>
          <w:sz w:val="20"/>
          <w:szCs w:val="20"/>
          <w:color w:val="auto"/>
        </w:rPr>
      </w:pPr>
    </w:p>
    <w:p>
      <w:pPr>
        <w:ind w:firstLine="509"/>
        <w:spacing w:after="0" w:line="277" w:lineRule="auto"/>
        <w:tabs>
          <w:tab w:leader="none" w:pos="1059" w:val="left"/>
        </w:tabs>
        <w:numPr>
          <w:ilvl w:val="0"/>
          <w:numId w:val="262"/>
        </w:numPr>
        <w:rPr>
          <w:rFonts w:ascii="Arial" w:cs="Arial" w:eastAsia="Arial" w:hAnsi="Arial"/>
          <w:sz w:val="14"/>
          <w:szCs w:val="14"/>
          <w:color w:val="auto"/>
        </w:rPr>
      </w:pPr>
      <w:r>
        <w:rPr>
          <w:rFonts w:ascii="Arial" w:cs="Arial" w:eastAsia="Arial" w:hAnsi="Arial"/>
          <w:sz w:val="14"/>
          <w:szCs w:val="14"/>
          <w:u w:val="single" w:color="auto"/>
          <w:color w:val="auto"/>
        </w:rPr>
        <w:t>Withholding</w:t>
      </w:r>
      <w:r>
        <w:rPr>
          <w:rFonts w:ascii="Arial" w:cs="Arial" w:eastAsia="Arial" w:hAnsi="Arial"/>
          <w:sz w:val="14"/>
          <w:szCs w:val="14"/>
          <w:color w:val="auto"/>
        </w:rPr>
        <w:t>. The Company may withhold from any payment that it is required to make under this Agreement amounts sufficient to satisfy applicable withholding requirements under any federal, state or local law.</w:t>
      </w:r>
    </w:p>
    <w:p>
      <w:pPr>
        <w:spacing w:after="0" w:line="133" w:lineRule="exact"/>
        <w:rPr>
          <w:rFonts w:ascii="Arial" w:cs="Arial" w:eastAsia="Arial" w:hAnsi="Arial"/>
          <w:sz w:val="14"/>
          <w:szCs w:val="14"/>
          <w:color w:val="auto"/>
        </w:rPr>
      </w:pPr>
    </w:p>
    <w:p>
      <w:pPr>
        <w:ind w:left="1040" w:hanging="531"/>
        <w:spacing w:after="0"/>
        <w:tabs>
          <w:tab w:leader="none" w:pos="1040" w:val="left"/>
        </w:tabs>
        <w:numPr>
          <w:ilvl w:val="0"/>
          <w:numId w:val="262"/>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The Company agrees that Executive will be covered by any “directors and officers” insurance policies then in effect with respect to Executive’s acts as an officer.</w:t>
      </w:r>
    </w:p>
    <w:p>
      <w:pPr>
        <w:spacing w:after="0" w:line="187" w:lineRule="exact"/>
        <w:rPr>
          <w:rFonts w:ascii="Arial" w:cs="Arial" w:eastAsia="Arial" w:hAnsi="Arial"/>
          <w:sz w:val="13"/>
          <w:szCs w:val="13"/>
          <w:color w:val="auto"/>
        </w:rPr>
      </w:pPr>
    </w:p>
    <w:p>
      <w:pPr>
        <w:ind w:left="1040" w:hanging="531"/>
        <w:spacing w:after="0"/>
        <w:tabs>
          <w:tab w:leader="none" w:pos="1040" w:val="left"/>
        </w:tabs>
        <w:numPr>
          <w:ilvl w:val="0"/>
          <w:numId w:val="26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and construed and enforced in accordance with, the laws of Hong Kong, without regard to the conflict of laws provisions thereof.</w:t>
      </w:r>
    </w:p>
    <w:p>
      <w:pPr>
        <w:spacing w:after="0" w:line="198" w:lineRule="exact"/>
        <w:rPr>
          <w:rFonts w:ascii="Arial" w:cs="Arial" w:eastAsia="Arial" w:hAnsi="Arial"/>
          <w:sz w:val="12"/>
          <w:szCs w:val="12"/>
          <w:color w:val="auto"/>
        </w:rPr>
      </w:pPr>
    </w:p>
    <w:p>
      <w:pPr>
        <w:jc w:val="both"/>
        <w:ind w:firstLine="509"/>
        <w:spacing w:after="0" w:line="264" w:lineRule="auto"/>
        <w:tabs>
          <w:tab w:leader="none" w:pos="1031" w:val="left"/>
        </w:tabs>
        <w:numPr>
          <w:ilvl w:val="0"/>
          <w:numId w:val="262"/>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47" w:name="page248"/>
    <w:bookmarkEnd w:id="247"/>
    <w:p>
      <w:pPr>
        <w:jc w:val="both"/>
        <w:ind w:firstLine="509"/>
        <w:spacing w:after="0" w:line="259" w:lineRule="auto"/>
        <w:tabs>
          <w:tab w:leader="none" w:pos="1031" w:val="left"/>
        </w:tabs>
        <w:numPr>
          <w:ilvl w:val="0"/>
          <w:numId w:val="263"/>
        </w:numPr>
        <w:rPr>
          <w:rFonts w:ascii="Arial" w:cs="Arial" w:eastAsia="Arial" w:hAnsi="Arial"/>
          <w:sz w:val="14"/>
          <w:szCs w:val="14"/>
          <w:color w:val="auto"/>
        </w:rPr>
      </w:pPr>
      <w:r>
        <w:rPr>
          <w:rFonts w:ascii="Arial" w:cs="Arial" w:eastAsia="Arial" w:hAnsi="Arial"/>
          <w:sz w:val="14"/>
          <w:szCs w:val="14"/>
          <w:u w:val="single" w:color="auto"/>
          <w:color w:val="auto"/>
        </w:rPr>
        <w:t>Assignment</w:t>
      </w:r>
      <w:r>
        <w:rPr>
          <w:rFonts w:ascii="Arial" w:cs="Arial" w:eastAsia="Arial" w:hAnsi="Arial"/>
          <w:sz w:val="14"/>
          <w:szCs w:val="14"/>
          <w:color w:val="auto"/>
        </w:rPr>
        <w:t>. This Agreement is a personal contract and Executive may not sell, transfer, assign, pledge or hypothecate her rights, interests and obligations hereunder. Except as otherwise herein expressly provided, this Agreement shall be binding upon and shall inure to the benefit of Executive and her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146" w:lineRule="exact"/>
        <w:rPr>
          <w:rFonts w:ascii="Arial" w:cs="Arial" w:eastAsia="Arial" w:hAnsi="Arial"/>
          <w:sz w:val="14"/>
          <w:szCs w:val="14"/>
          <w:color w:val="auto"/>
        </w:rPr>
      </w:pPr>
    </w:p>
    <w:p>
      <w:pPr>
        <w:jc w:val="both"/>
        <w:ind w:firstLine="509"/>
        <w:spacing w:after="0" w:line="293" w:lineRule="auto"/>
        <w:tabs>
          <w:tab w:leader="none" w:pos="1094" w:val="left"/>
        </w:tabs>
        <w:numPr>
          <w:ilvl w:val="0"/>
          <w:numId w:val="263"/>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48" w:name="page249"/>
    <w:bookmarkEnd w:id="248"/>
    <w:p>
      <w:pPr>
        <w:ind w:left="500"/>
        <w:spacing w:after="0"/>
        <w:rPr>
          <w:sz w:val="20"/>
          <w:szCs w:val="20"/>
          <w:color w:val="auto"/>
        </w:rPr>
      </w:pPr>
      <w:r>
        <w:rPr>
          <w:rFonts w:ascii="Arial" w:cs="Arial" w:eastAsia="Arial" w:hAnsi="Arial"/>
          <w:sz w:val="14"/>
          <w:szCs w:val="14"/>
          <w:color w:val="auto"/>
        </w:rPr>
        <w:t>IN WITNESS WHEREOF, the Parties have caused this Agreement to be duly executed and delivered on the date first written above.</w:t>
      </w:r>
    </w:p>
    <w:p>
      <w:pPr>
        <w:spacing w:after="0" w:line="176"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CLPS INCORPORATION</w:t>
      </w:r>
    </w:p>
    <w:p>
      <w:pPr>
        <w:spacing w:after="0" w:line="176" w:lineRule="exact"/>
        <w:rPr>
          <w:sz w:val="20"/>
          <w:szCs w:val="20"/>
          <w:color w:val="auto"/>
        </w:rPr>
      </w:pPr>
    </w:p>
    <w:p>
      <w:pPr>
        <w:jc w:val="both"/>
        <w:ind w:left="6880"/>
        <w:spacing w:after="0"/>
        <w:tabs>
          <w:tab w:leader="none" w:pos="73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Raymond Ming Hui Lin</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-101600</wp:posOffset>
            </wp:positionV>
            <wp:extent cx="2619375" cy="13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19375" cy="1333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auto"/>
        </w:rPr>
        <w:t>Title: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Agreed to and Accepted: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/s/ 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913380" cy="133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913380" cy="1333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Date: December 9, 2017</w:t>
      </w:r>
    </w:p>
    <w:p>
      <w:pPr>
        <w:spacing w:after="0" w:line="34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239"/>
          </w:cols>
          <w:pgMar w:left="220" w:top="739"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14"/>
          <w:szCs w:val="14"/>
          <w:b w:val="1"/>
          <w:bCs w:val="1"/>
          <w:color w:val="auto"/>
        </w:rPr>
        <w:t>Exhibit 10.6</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ANZ CONTRACT NUMBER: 2014C217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441960</wp:posOffset>
            </wp:positionV>
            <wp:extent cx="2566035" cy="802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66035" cy="80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SERVICE AGREEMENT</w:t>
      </w:r>
    </w:p>
    <w:p>
      <w:pPr>
        <w:spacing w:after="0" w:line="222" w:lineRule="exact"/>
        <w:rPr>
          <w:sz w:val="20"/>
          <w:szCs w:val="20"/>
          <w:color w:val="auto"/>
        </w:rPr>
      </w:pPr>
    </w:p>
    <w:p>
      <w:pPr>
        <w:ind w:left="3220"/>
        <w:spacing w:after="0"/>
        <w:rPr>
          <w:sz w:val="20"/>
          <w:szCs w:val="20"/>
          <w:color w:val="auto"/>
        </w:rPr>
      </w:pPr>
      <w:r>
        <w:rPr>
          <w:rFonts w:ascii="Arial" w:cs="Arial" w:eastAsia="Arial" w:hAnsi="Arial"/>
          <w:sz w:val="9"/>
          <w:szCs w:val="9"/>
          <w:b w:val="1"/>
          <w:bCs w:val="1"/>
          <w:color w:val="auto"/>
        </w:rPr>
        <w:t>FOR THE PROVISION OF CONTRACTING SERVICES TO</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ANZ GLOBAL SERVICES AND OPERATIONS</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(CHENGDU)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873125</wp:posOffset>
            </wp:positionV>
            <wp:extent cx="7277100" cy="133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0" w:type="dxa"/>
            <w:vAlign w:val="bottom"/>
          </w:tcPr>
          <w:p>
            <w:pPr>
              <w:spacing w:after="0"/>
              <w:rPr>
                <w:sz w:val="15"/>
                <w:szCs w:val="15"/>
                <w:color w:val="auto"/>
              </w:rPr>
            </w:pPr>
          </w:p>
        </w:tc>
        <w:tc>
          <w:tcPr>
            <w:tcW w:w="8120" w:type="dxa"/>
            <w:vAlign w:val="bottom"/>
          </w:tcPr>
          <w:p>
            <w:pPr>
              <w:ind w:left="4420"/>
              <w:spacing w:after="0"/>
              <w:rPr>
                <w:sz w:val="20"/>
                <w:szCs w:val="20"/>
                <w:color w:val="auto"/>
              </w:rPr>
            </w:pPr>
            <w:r>
              <w:rPr>
                <w:rFonts w:ascii="Arial" w:cs="Arial" w:eastAsia="Arial" w:hAnsi="Arial"/>
                <w:sz w:val="14"/>
                <w:szCs w:val="14"/>
                <w:b w:val="1"/>
                <w:bCs w:val="1"/>
                <w:color w:val="auto"/>
              </w:rPr>
              <w:t>TABLE OF CONTENTS</w:t>
            </w:r>
          </w:p>
        </w:tc>
        <w:tc>
          <w:tcPr>
            <w:tcW w:w="2780" w:type="dxa"/>
            <w:vAlign w:val="bottom"/>
          </w:tcPr>
          <w:p>
            <w:pPr>
              <w:spacing w:after="0"/>
              <w:rPr>
                <w:sz w:val="15"/>
                <w:szCs w:val="15"/>
                <w:color w:val="auto"/>
              </w:rPr>
            </w:pPr>
          </w:p>
        </w:tc>
      </w:tr>
      <w:tr>
        <w:trPr>
          <w:trHeight w:val="168"/>
        </w:trPr>
        <w:tc>
          <w:tcPr>
            <w:tcW w:w="5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INTERPRETATION</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b w:val="1"/>
                <w:bCs w:val="1"/>
                <w:color w:val="auto"/>
                <w:w w:val="76"/>
              </w:rPr>
              <w:t>4</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1.1</w:t>
            </w:r>
          </w:p>
        </w:tc>
        <w:tc>
          <w:tcPr>
            <w:tcW w:w="8120" w:type="dxa"/>
            <w:vAlign w:val="bottom"/>
          </w:tcPr>
          <w:p>
            <w:pPr>
              <w:ind w:left="380"/>
              <w:spacing w:after="0"/>
              <w:rPr>
                <w:sz w:val="20"/>
                <w:szCs w:val="20"/>
                <w:color w:val="auto"/>
              </w:rPr>
            </w:pPr>
            <w:r>
              <w:rPr>
                <w:rFonts w:ascii="Arial" w:cs="Arial" w:eastAsia="Arial" w:hAnsi="Arial"/>
                <w:sz w:val="14"/>
                <w:szCs w:val="14"/>
                <w:color w:val="auto"/>
              </w:rPr>
              <w:t>Definitions</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76"/>
              </w:rPr>
              <w:t>4</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1.2</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76"/>
              </w:rPr>
              <w:t>8</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1.3</w:t>
            </w:r>
          </w:p>
        </w:tc>
        <w:tc>
          <w:tcPr>
            <w:tcW w:w="8120" w:type="dxa"/>
            <w:vAlign w:val="bottom"/>
          </w:tcPr>
          <w:p>
            <w:pPr>
              <w:ind w:left="380"/>
              <w:spacing w:after="0"/>
              <w:rPr>
                <w:sz w:val="20"/>
                <w:szCs w:val="20"/>
                <w:color w:val="auto"/>
              </w:rPr>
            </w:pPr>
            <w:r>
              <w:rPr>
                <w:rFonts w:ascii="Arial" w:cs="Arial" w:eastAsia="Arial" w:hAnsi="Arial"/>
                <w:sz w:val="14"/>
                <w:szCs w:val="14"/>
                <w:color w:val="auto"/>
              </w:rPr>
              <w:t>Business Day</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76"/>
              </w:rPr>
              <w:t>9</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1.4</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Consents and approvals</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76"/>
              </w:rPr>
              <w:t>9</w:t>
            </w:r>
          </w:p>
        </w:tc>
      </w:tr>
      <w:tr>
        <w:trPr>
          <w:trHeight w:val="168"/>
        </w:trPr>
        <w:tc>
          <w:tcPr>
            <w:tcW w:w="560" w:type="dxa"/>
            <w:vAlign w:val="bottom"/>
          </w:tcPr>
          <w:p>
            <w:pPr>
              <w:spacing w:after="0"/>
              <w:rPr>
                <w:sz w:val="20"/>
                <w:szCs w:val="20"/>
                <w:color w:val="auto"/>
              </w:rPr>
            </w:pPr>
            <w:r>
              <w:rPr>
                <w:rFonts w:ascii="Arial" w:cs="Arial" w:eastAsia="Arial" w:hAnsi="Arial"/>
                <w:sz w:val="14"/>
                <w:szCs w:val="14"/>
                <w:b w:val="1"/>
                <w:bCs w:val="1"/>
                <w:color w:val="auto"/>
              </w:rPr>
              <w:t>2.</w:t>
            </w:r>
          </w:p>
        </w:tc>
        <w:tc>
          <w:tcPr>
            <w:tcW w:w="8120" w:type="dxa"/>
            <w:vAlign w:val="bottom"/>
          </w:tcPr>
          <w:p>
            <w:pPr>
              <w:ind w:left="380"/>
              <w:spacing w:after="0"/>
              <w:rPr>
                <w:sz w:val="20"/>
                <w:szCs w:val="20"/>
                <w:color w:val="auto"/>
              </w:rPr>
            </w:pPr>
            <w:r>
              <w:rPr>
                <w:rFonts w:ascii="Arial" w:cs="Arial" w:eastAsia="Arial" w:hAnsi="Arial"/>
                <w:sz w:val="14"/>
                <w:szCs w:val="14"/>
                <w:b w:val="1"/>
                <w:bCs w:val="1"/>
                <w:color w:val="auto"/>
              </w:rPr>
              <w:t>TERM AND TERMINATION</w:t>
            </w:r>
          </w:p>
        </w:tc>
        <w:tc>
          <w:tcPr>
            <w:tcW w:w="2780" w:type="dxa"/>
            <w:vAlign w:val="bottom"/>
          </w:tcPr>
          <w:p>
            <w:pPr>
              <w:jc w:val="center"/>
              <w:ind w:left="1690"/>
              <w:spacing w:after="0"/>
              <w:rPr>
                <w:sz w:val="20"/>
                <w:szCs w:val="20"/>
                <w:color w:val="auto"/>
              </w:rPr>
            </w:pPr>
            <w:r>
              <w:rPr>
                <w:rFonts w:ascii="Arial" w:cs="Arial" w:eastAsia="Arial" w:hAnsi="Arial"/>
                <w:sz w:val="14"/>
                <w:szCs w:val="14"/>
                <w:b w:val="1"/>
                <w:bCs w:val="1"/>
                <w:color w:val="auto"/>
                <w:w w:val="76"/>
              </w:rPr>
              <w:t>9</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2.1</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Term</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76"/>
              </w:rPr>
              <w:t>9</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2.2</w:t>
            </w:r>
          </w:p>
        </w:tc>
        <w:tc>
          <w:tcPr>
            <w:tcW w:w="8120" w:type="dxa"/>
            <w:vAlign w:val="bottom"/>
          </w:tcPr>
          <w:p>
            <w:pPr>
              <w:ind w:left="380"/>
              <w:spacing w:after="0"/>
              <w:rPr>
                <w:sz w:val="20"/>
                <w:szCs w:val="20"/>
                <w:color w:val="auto"/>
              </w:rPr>
            </w:pPr>
            <w:r>
              <w:rPr>
                <w:rFonts w:ascii="Arial" w:cs="Arial" w:eastAsia="Arial" w:hAnsi="Arial"/>
                <w:sz w:val="14"/>
                <w:szCs w:val="14"/>
                <w:color w:val="auto"/>
              </w:rPr>
              <w:t>Termination by ANZ for cause</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76"/>
              </w:rPr>
              <w:t>9</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2.3</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Termination by the Service Provider for cause</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76"/>
              </w:rPr>
              <w:t>9</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2.4</w:t>
            </w:r>
          </w:p>
        </w:tc>
        <w:tc>
          <w:tcPr>
            <w:tcW w:w="8120" w:type="dxa"/>
            <w:vAlign w:val="bottom"/>
          </w:tcPr>
          <w:p>
            <w:pPr>
              <w:ind w:left="380"/>
              <w:spacing w:after="0"/>
              <w:rPr>
                <w:sz w:val="20"/>
                <w:szCs w:val="20"/>
                <w:color w:val="auto"/>
              </w:rPr>
            </w:pPr>
            <w:r>
              <w:rPr>
                <w:rFonts w:ascii="Arial" w:cs="Arial" w:eastAsia="Arial" w:hAnsi="Arial"/>
                <w:sz w:val="14"/>
                <w:szCs w:val="14"/>
                <w:color w:val="auto"/>
              </w:rPr>
              <w:t>Consequences of termination</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76"/>
              </w:rPr>
              <w:t>9</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APPOINTMENT</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b w:val="1"/>
                <w:bCs w:val="1"/>
                <w:color w:val="auto"/>
                <w:w w:val="89"/>
              </w:rPr>
              <w:t>10</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3.1</w:t>
            </w:r>
          </w:p>
        </w:tc>
        <w:tc>
          <w:tcPr>
            <w:tcW w:w="8120" w:type="dxa"/>
            <w:vAlign w:val="bottom"/>
          </w:tcPr>
          <w:p>
            <w:pPr>
              <w:ind w:left="380"/>
              <w:spacing w:after="0"/>
              <w:rPr>
                <w:sz w:val="20"/>
                <w:szCs w:val="20"/>
                <w:color w:val="auto"/>
              </w:rPr>
            </w:pPr>
            <w:r>
              <w:rPr>
                <w:rFonts w:ascii="Arial" w:cs="Arial" w:eastAsia="Arial" w:hAnsi="Arial"/>
                <w:sz w:val="14"/>
                <w:szCs w:val="14"/>
                <w:color w:val="auto"/>
              </w:rPr>
              <w:t>Independent Contractor</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10</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3.2</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 employment relationship</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10</w:t>
            </w:r>
          </w:p>
        </w:tc>
      </w:tr>
      <w:tr>
        <w:trPr>
          <w:trHeight w:val="168"/>
        </w:trPr>
        <w:tc>
          <w:tcPr>
            <w:tcW w:w="560" w:type="dxa"/>
            <w:vAlign w:val="bottom"/>
          </w:tcPr>
          <w:p>
            <w:pPr>
              <w:spacing w:after="0"/>
              <w:rPr>
                <w:sz w:val="20"/>
                <w:szCs w:val="20"/>
                <w:color w:val="auto"/>
              </w:rPr>
            </w:pPr>
            <w:r>
              <w:rPr>
                <w:rFonts w:ascii="Arial" w:cs="Arial" w:eastAsia="Arial" w:hAnsi="Arial"/>
                <w:sz w:val="14"/>
                <w:szCs w:val="14"/>
                <w:b w:val="1"/>
                <w:bCs w:val="1"/>
                <w:color w:val="auto"/>
              </w:rPr>
              <w:t>4.</w:t>
            </w:r>
          </w:p>
        </w:tc>
        <w:tc>
          <w:tcPr>
            <w:tcW w:w="8120" w:type="dxa"/>
            <w:vAlign w:val="bottom"/>
          </w:tcPr>
          <w:p>
            <w:pPr>
              <w:ind w:left="380"/>
              <w:spacing w:after="0"/>
              <w:rPr>
                <w:sz w:val="20"/>
                <w:szCs w:val="20"/>
                <w:color w:val="auto"/>
              </w:rPr>
            </w:pPr>
            <w:r>
              <w:rPr>
                <w:rFonts w:ascii="Arial" w:cs="Arial" w:eastAsia="Arial" w:hAnsi="Arial"/>
                <w:sz w:val="14"/>
                <w:szCs w:val="14"/>
                <w:b w:val="1"/>
                <w:bCs w:val="1"/>
                <w:color w:val="auto"/>
              </w:rPr>
              <w:t>PROVISION OF SERVICES</w:t>
            </w:r>
          </w:p>
        </w:tc>
        <w:tc>
          <w:tcPr>
            <w:tcW w:w="2780" w:type="dxa"/>
            <w:vAlign w:val="bottom"/>
          </w:tcPr>
          <w:p>
            <w:pPr>
              <w:jc w:val="center"/>
              <w:ind w:left="1690"/>
              <w:spacing w:after="0"/>
              <w:rPr>
                <w:sz w:val="20"/>
                <w:szCs w:val="20"/>
                <w:color w:val="auto"/>
              </w:rPr>
            </w:pPr>
            <w:r>
              <w:rPr>
                <w:rFonts w:ascii="Arial" w:cs="Arial" w:eastAsia="Arial" w:hAnsi="Arial"/>
                <w:sz w:val="14"/>
                <w:szCs w:val="14"/>
                <w:b w:val="1"/>
                <w:bCs w:val="1"/>
                <w:color w:val="auto"/>
                <w:w w:val="89"/>
              </w:rPr>
              <w:t>10</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4.1</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Commencement of Services</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10</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4.2</w:t>
            </w:r>
          </w:p>
        </w:tc>
        <w:tc>
          <w:tcPr>
            <w:tcW w:w="8120" w:type="dxa"/>
            <w:vAlign w:val="bottom"/>
          </w:tcPr>
          <w:p>
            <w:pPr>
              <w:ind w:left="380"/>
              <w:spacing w:after="0"/>
              <w:rPr>
                <w:sz w:val="20"/>
                <w:szCs w:val="20"/>
                <w:color w:val="auto"/>
              </w:rPr>
            </w:pPr>
            <w:r>
              <w:rPr>
                <w:rFonts w:ascii="Arial" w:cs="Arial" w:eastAsia="Arial" w:hAnsi="Arial"/>
                <w:sz w:val="14"/>
                <w:szCs w:val="14"/>
                <w:color w:val="auto"/>
              </w:rPr>
              <w:t>Performance</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10</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5.</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GENERAL RESPONSIBILITIES AND OBLIGATIONS OF SERVICE PROVIDER</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b w:val="1"/>
                <w:bCs w:val="1"/>
                <w:color w:val="auto"/>
                <w:w w:val="89"/>
              </w:rPr>
              <w:t>11</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5.1</w:t>
            </w:r>
          </w:p>
        </w:tc>
        <w:tc>
          <w:tcPr>
            <w:tcW w:w="8120" w:type="dxa"/>
            <w:vAlign w:val="bottom"/>
          </w:tcPr>
          <w:p>
            <w:pPr>
              <w:ind w:left="380"/>
              <w:spacing w:after="0"/>
              <w:rPr>
                <w:sz w:val="20"/>
                <w:szCs w:val="20"/>
                <w:color w:val="auto"/>
              </w:rPr>
            </w:pPr>
            <w:r>
              <w:rPr>
                <w:rFonts w:ascii="Arial" w:cs="Arial" w:eastAsia="Arial" w:hAnsi="Arial"/>
                <w:sz w:val="14"/>
                <w:szCs w:val="14"/>
                <w:color w:val="auto"/>
              </w:rPr>
              <w:t>General obligations</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11</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5.2</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Compliance with Laws</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11</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5.3</w:t>
            </w:r>
          </w:p>
        </w:tc>
        <w:tc>
          <w:tcPr>
            <w:tcW w:w="8120" w:type="dxa"/>
            <w:vAlign w:val="bottom"/>
          </w:tcPr>
          <w:p>
            <w:pPr>
              <w:ind w:left="380"/>
              <w:spacing w:after="0"/>
              <w:rPr>
                <w:sz w:val="20"/>
                <w:szCs w:val="20"/>
                <w:color w:val="auto"/>
              </w:rPr>
            </w:pPr>
            <w:r>
              <w:rPr>
                <w:rFonts w:ascii="Arial" w:cs="Arial" w:eastAsia="Arial" w:hAnsi="Arial"/>
                <w:sz w:val="14"/>
                <w:szCs w:val="14"/>
                <w:color w:val="auto"/>
              </w:rPr>
              <w:t>Engagement and Withdrawal of Personnel</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11</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5.4</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Conflicts of interest</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12</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5.5</w:t>
            </w:r>
          </w:p>
        </w:tc>
        <w:tc>
          <w:tcPr>
            <w:tcW w:w="8120" w:type="dxa"/>
            <w:vAlign w:val="bottom"/>
          </w:tcPr>
          <w:p>
            <w:pPr>
              <w:ind w:left="380"/>
              <w:spacing w:after="0"/>
              <w:rPr>
                <w:sz w:val="20"/>
                <w:szCs w:val="20"/>
                <w:color w:val="auto"/>
              </w:rPr>
            </w:pPr>
            <w:r>
              <w:rPr>
                <w:rFonts w:ascii="Arial" w:cs="Arial" w:eastAsia="Arial" w:hAnsi="Arial"/>
                <w:sz w:val="14"/>
                <w:szCs w:val="14"/>
                <w:color w:val="auto"/>
              </w:rPr>
              <w:t>Contractors</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12</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5.6</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Obligations in respect of Personnel</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12</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5.7</w:t>
            </w:r>
          </w:p>
        </w:tc>
        <w:tc>
          <w:tcPr>
            <w:tcW w:w="8120" w:type="dxa"/>
            <w:vAlign w:val="bottom"/>
          </w:tcPr>
          <w:p>
            <w:pPr>
              <w:ind w:left="380"/>
              <w:spacing w:after="0"/>
              <w:rPr>
                <w:sz w:val="20"/>
                <w:szCs w:val="20"/>
                <w:color w:val="auto"/>
              </w:rPr>
            </w:pPr>
            <w:r>
              <w:rPr>
                <w:rFonts w:ascii="Arial" w:cs="Arial" w:eastAsia="Arial" w:hAnsi="Arial"/>
                <w:sz w:val="14"/>
                <w:szCs w:val="14"/>
                <w:color w:val="auto"/>
              </w:rPr>
              <w:t>Management of Personnel</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13</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5.8</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Service Provider to Protect ANZ Property</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13</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5.9</w:t>
            </w:r>
          </w:p>
        </w:tc>
        <w:tc>
          <w:tcPr>
            <w:tcW w:w="8120" w:type="dxa"/>
            <w:vAlign w:val="bottom"/>
          </w:tcPr>
          <w:p>
            <w:pPr>
              <w:ind w:left="380"/>
              <w:spacing w:after="0"/>
              <w:rPr>
                <w:sz w:val="20"/>
                <w:szCs w:val="20"/>
                <w:color w:val="auto"/>
              </w:rPr>
            </w:pPr>
            <w:r>
              <w:rPr>
                <w:rFonts w:ascii="Arial" w:cs="Arial" w:eastAsia="Arial" w:hAnsi="Arial"/>
                <w:sz w:val="14"/>
                <w:szCs w:val="14"/>
                <w:color w:val="auto"/>
              </w:rPr>
              <w:t>ANZ Electronic Processes</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13</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6.</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SUBCONTRACTORS</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b w:val="1"/>
                <w:bCs w:val="1"/>
                <w:color w:val="auto"/>
                <w:w w:val="89"/>
              </w:rPr>
              <w:t>13</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6.1</w:t>
            </w:r>
          </w:p>
        </w:tc>
        <w:tc>
          <w:tcPr>
            <w:tcW w:w="8120" w:type="dxa"/>
            <w:vAlign w:val="bottom"/>
          </w:tcPr>
          <w:p>
            <w:pPr>
              <w:ind w:left="380"/>
              <w:spacing w:after="0"/>
              <w:rPr>
                <w:sz w:val="20"/>
                <w:szCs w:val="20"/>
                <w:color w:val="auto"/>
              </w:rPr>
            </w:pPr>
            <w:r>
              <w:rPr>
                <w:rFonts w:ascii="Arial" w:cs="Arial" w:eastAsia="Arial" w:hAnsi="Arial"/>
                <w:sz w:val="14"/>
                <w:szCs w:val="14"/>
                <w:color w:val="auto"/>
              </w:rPr>
              <w:t>No subcontracting without consent</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13</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6.2</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Obligations in relation to subcontractors</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13</w:t>
            </w:r>
          </w:p>
        </w:tc>
      </w:tr>
      <w:tr>
        <w:trPr>
          <w:trHeight w:val="168"/>
        </w:trPr>
        <w:tc>
          <w:tcPr>
            <w:tcW w:w="560" w:type="dxa"/>
            <w:vAlign w:val="bottom"/>
          </w:tcPr>
          <w:p>
            <w:pPr>
              <w:spacing w:after="0"/>
              <w:rPr>
                <w:sz w:val="20"/>
                <w:szCs w:val="20"/>
                <w:color w:val="auto"/>
              </w:rPr>
            </w:pPr>
            <w:r>
              <w:rPr>
                <w:rFonts w:ascii="Arial" w:cs="Arial" w:eastAsia="Arial" w:hAnsi="Arial"/>
                <w:sz w:val="14"/>
                <w:szCs w:val="14"/>
                <w:b w:val="1"/>
                <w:bCs w:val="1"/>
                <w:color w:val="auto"/>
              </w:rPr>
              <w:t>7.</w:t>
            </w:r>
          </w:p>
        </w:tc>
        <w:tc>
          <w:tcPr>
            <w:tcW w:w="8120" w:type="dxa"/>
            <w:vAlign w:val="bottom"/>
          </w:tcPr>
          <w:p>
            <w:pPr>
              <w:ind w:left="380"/>
              <w:spacing w:after="0"/>
              <w:rPr>
                <w:sz w:val="20"/>
                <w:szCs w:val="20"/>
                <w:color w:val="auto"/>
              </w:rPr>
            </w:pPr>
            <w:r>
              <w:rPr>
                <w:rFonts w:ascii="Arial" w:cs="Arial" w:eastAsia="Arial" w:hAnsi="Arial"/>
                <w:sz w:val="14"/>
                <w:szCs w:val="14"/>
                <w:b w:val="1"/>
                <w:bCs w:val="1"/>
                <w:color w:val="auto"/>
              </w:rPr>
              <w:t>FEES, INVOICING AND PAYMENT</w:t>
            </w:r>
          </w:p>
        </w:tc>
        <w:tc>
          <w:tcPr>
            <w:tcW w:w="2780" w:type="dxa"/>
            <w:vAlign w:val="bottom"/>
          </w:tcPr>
          <w:p>
            <w:pPr>
              <w:jc w:val="center"/>
              <w:ind w:left="1690"/>
              <w:spacing w:after="0"/>
              <w:rPr>
                <w:sz w:val="20"/>
                <w:szCs w:val="20"/>
                <w:color w:val="auto"/>
              </w:rPr>
            </w:pPr>
            <w:r>
              <w:rPr>
                <w:rFonts w:ascii="Arial" w:cs="Arial" w:eastAsia="Arial" w:hAnsi="Arial"/>
                <w:sz w:val="14"/>
                <w:szCs w:val="14"/>
                <w:b w:val="1"/>
                <w:bCs w:val="1"/>
                <w:color w:val="auto"/>
                <w:w w:val="89"/>
              </w:rPr>
              <w:t>14</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7.1</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Fees</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14</w:t>
            </w:r>
          </w:p>
        </w:tc>
      </w:tr>
      <w:tr>
        <w:trPr>
          <w:trHeight w:val="168"/>
        </w:trPr>
        <w:tc>
          <w:tcPr>
            <w:tcW w:w="560" w:type="dxa"/>
            <w:vAlign w:val="bottom"/>
          </w:tcPr>
          <w:p>
            <w:pPr>
              <w:spacing w:after="0"/>
              <w:rPr>
                <w:sz w:val="20"/>
                <w:szCs w:val="20"/>
                <w:color w:val="auto"/>
              </w:rPr>
            </w:pPr>
            <w:r>
              <w:rPr>
                <w:rFonts w:ascii="Arial" w:cs="Arial" w:eastAsia="Arial" w:hAnsi="Arial"/>
                <w:sz w:val="14"/>
                <w:szCs w:val="14"/>
                <w:b w:val="1"/>
                <w:bCs w:val="1"/>
                <w:color w:val="auto"/>
              </w:rPr>
              <w:t>8.</w:t>
            </w:r>
          </w:p>
        </w:tc>
        <w:tc>
          <w:tcPr>
            <w:tcW w:w="8120" w:type="dxa"/>
            <w:vAlign w:val="bottom"/>
          </w:tcPr>
          <w:p>
            <w:pPr>
              <w:ind w:left="380"/>
              <w:spacing w:after="0"/>
              <w:rPr>
                <w:sz w:val="20"/>
                <w:szCs w:val="20"/>
                <w:color w:val="auto"/>
              </w:rPr>
            </w:pPr>
            <w:r>
              <w:rPr>
                <w:rFonts w:ascii="Arial" w:cs="Arial" w:eastAsia="Arial" w:hAnsi="Arial"/>
                <w:sz w:val="14"/>
                <w:szCs w:val="14"/>
                <w:b w:val="1"/>
                <w:bCs w:val="1"/>
                <w:color w:val="auto"/>
              </w:rPr>
              <w:t>CONFIDENTIALITY</w:t>
            </w:r>
          </w:p>
        </w:tc>
        <w:tc>
          <w:tcPr>
            <w:tcW w:w="2780" w:type="dxa"/>
            <w:vAlign w:val="bottom"/>
          </w:tcPr>
          <w:p>
            <w:pPr>
              <w:jc w:val="center"/>
              <w:ind w:left="1690"/>
              <w:spacing w:after="0"/>
              <w:rPr>
                <w:sz w:val="20"/>
                <w:szCs w:val="20"/>
                <w:color w:val="auto"/>
              </w:rPr>
            </w:pPr>
            <w:r>
              <w:rPr>
                <w:rFonts w:ascii="Arial" w:cs="Arial" w:eastAsia="Arial" w:hAnsi="Arial"/>
                <w:sz w:val="14"/>
                <w:szCs w:val="14"/>
                <w:b w:val="1"/>
                <w:bCs w:val="1"/>
                <w:color w:val="auto"/>
                <w:w w:val="89"/>
              </w:rPr>
              <w:t>15</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8.1</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Ownership of Confidential Information</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15</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8.2</w:t>
            </w:r>
          </w:p>
        </w:tc>
        <w:tc>
          <w:tcPr>
            <w:tcW w:w="8120" w:type="dxa"/>
            <w:vAlign w:val="bottom"/>
          </w:tcPr>
          <w:p>
            <w:pPr>
              <w:ind w:left="380"/>
              <w:spacing w:after="0"/>
              <w:rPr>
                <w:sz w:val="20"/>
                <w:szCs w:val="20"/>
                <w:color w:val="auto"/>
              </w:rPr>
            </w:pPr>
            <w:r>
              <w:rPr>
                <w:rFonts w:ascii="Arial" w:cs="Arial" w:eastAsia="Arial" w:hAnsi="Arial"/>
                <w:sz w:val="14"/>
                <w:szCs w:val="14"/>
                <w:color w:val="auto"/>
              </w:rPr>
              <w:t>Protection of Confidential Information</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15</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8.3</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Authorised use of Confidential Information</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15</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8.4</w:t>
            </w:r>
          </w:p>
        </w:tc>
        <w:tc>
          <w:tcPr>
            <w:tcW w:w="8120" w:type="dxa"/>
            <w:vAlign w:val="bottom"/>
          </w:tcPr>
          <w:p>
            <w:pPr>
              <w:ind w:left="380"/>
              <w:spacing w:after="0"/>
              <w:rPr>
                <w:sz w:val="20"/>
                <w:szCs w:val="20"/>
                <w:color w:val="auto"/>
              </w:rPr>
            </w:pPr>
            <w:r>
              <w:rPr>
                <w:rFonts w:ascii="Arial" w:cs="Arial" w:eastAsia="Arial" w:hAnsi="Arial"/>
                <w:sz w:val="14"/>
                <w:szCs w:val="14"/>
                <w:color w:val="auto"/>
              </w:rPr>
              <w:t>Authorised disclosure of Confidential Information</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16</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8.5</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Insider trading</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16</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8.6</w:t>
            </w:r>
          </w:p>
        </w:tc>
        <w:tc>
          <w:tcPr>
            <w:tcW w:w="8120" w:type="dxa"/>
            <w:vAlign w:val="bottom"/>
          </w:tcPr>
          <w:p>
            <w:pPr>
              <w:ind w:left="380"/>
              <w:spacing w:after="0"/>
              <w:rPr>
                <w:sz w:val="20"/>
                <w:szCs w:val="20"/>
                <w:color w:val="auto"/>
              </w:rPr>
            </w:pPr>
            <w:r>
              <w:rPr>
                <w:rFonts w:ascii="Arial" w:cs="Arial" w:eastAsia="Arial" w:hAnsi="Arial"/>
                <w:sz w:val="14"/>
                <w:szCs w:val="14"/>
                <w:color w:val="auto"/>
              </w:rPr>
              <w:t>Reasonable precautions to maintain confidentiality</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16</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8.7</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Confidential Information</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17</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8.8</w:t>
            </w:r>
          </w:p>
        </w:tc>
        <w:tc>
          <w:tcPr>
            <w:tcW w:w="8120" w:type="dxa"/>
            <w:vAlign w:val="bottom"/>
          </w:tcPr>
          <w:p>
            <w:pPr>
              <w:ind w:left="380"/>
              <w:spacing w:after="0"/>
              <w:rPr>
                <w:sz w:val="20"/>
                <w:szCs w:val="20"/>
                <w:color w:val="auto"/>
              </w:rPr>
            </w:pPr>
            <w:r>
              <w:rPr>
                <w:rFonts w:ascii="Arial" w:cs="Arial" w:eastAsia="Arial" w:hAnsi="Arial"/>
                <w:sz w:val="14"/>
                <w:szCs w:val="14"/>
                <w:color w:val="auto"/>
              </w:rPr>
              <w:t>Retention of Confidential Information</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17</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8.9</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Unauthorised Disclosure or Use of Confidential Information</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17</w:t>
            </w:r>
          </w:p>
        </w:tc>
      </w:tr>
      <w:tr>
        <w:trPr>
          <w:trHeight w:val="168"/>
        </w:trPr>
        <w:tc>
          <w:tcPr>
            <w:tcW w:w="560" w:type="dxa"/>
            <w:vAlign w:val="bottom"/>
          </w:tcPr>
          <w:p>
            <w:pPr>
              <w:spacing w:after="0"/>
              <w:rPr>
                <w:sz w:val="20"/>
                <w:szCs w:val="20"/>
                <w:color w:val="auto"/>
              </w:rPr>
            </w:pPr>
            <w:r>
              <w:rPr>
                <w:rFonts w:ascii="Arial" w:cs="Arial" w:eastAsia="Arial" w:hAnsi="Arial"/>
                <w:sz w:val="14"/>
                <w:szCs w:val="14"/>
                <w:b w:val="1"/>
                <w:bCs w:val="1"/>
                <w:color w:val="auto"/>
              </w:rPr>
              <w:t>9.</w:t>
            </w:r>
          </w:p>
        </w:tc>
        <w:tc>
          <w:tcPr>
            <w:tcW w:w="8120" w:type="dxa"/>
            <w:vAlign w:val="bottom"/>
          </w:tcPr>
          <w:p>
            <w:pPr>
              <w:ind w:left="380"/>
              <w:spacing w:after="0"/>
              <w:rPr>
                <w:sz w:val="20"/>
                <w:szCs w:val="20"/>
                <w:color w:val="auto"/>
              </w:rPr>
            </w:pPr>
            <w:r>
              <w:rPr>
                <w:rFonts w:ascii="Arial" w:cs="Arial" w:eastAsia="Arial" w:hAnsi="Arial"/>
                <w:sz w:val="14"/>
                <w:szCs w:val="14"/>
                <w:b w:val="1"/>
                <w:bCs w:val="1"/>
                <w:color w:val="auto"/>
              </w:rPr>
              <w:t>DATA PROTECTION</w:t>
            </w:r>
          </w:p>
        </w:tc>
        <w:tc>
          <w:tcPr>
            <w:tcW w:w="2780" w:type="dxa"/>
            <w:vAlign w:val="bottom"/>
          </w:tcPr>
          <w:p>
            <w:pPr>
              <w:jc w:val="center"/>
              <w:ind w:left="1690"/>
              <w:spacing w:after="0"/>
              <w:rPr>
                <w:sz w:val="20"/>
                <w:szCs w:val="20"/>
                <w:color w:val="auto"/>
              </w:rPr>
            </w:pPr>
            <w:r>
              <w:rPr>
                <w:rFonts w:ascii="Arial" w:cs="Arial" w:eastAsia="Arial" w:hAnsi="Arial"/>
                <w:sz w:val="14"/>
                <w:szCs w:val="14"/>
                <w:b w:val="1"/>
                <w:bCs w:val="1"/>
                <w:color w:val="auto"/>
                <w:w w:val="89"/>
              </w:rPr>
              <w:t>17</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9.1</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Compliance with Data Protection Legislation and Laws</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17</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9.2</w:t>
            </w:r>
          </w:p>
        </w:tc>
        <w:tc>
          <w:tcPr>
            <w:tcW w:w="8120" w:type="dxa"/>
            <w:vAlign w:val="bottom"/>
          </w:tcPr>
          <w:p>
            <w:pPr>
              <w:ind w:left="380"/>
              <w:spacing w:after="0"/>
              <w:rPr>
                <w:sz w:val="20"/>
                <w:szCs w:val="20"/>
                <w:color w:val="auto"/>
              </w:rPr>
            </w:pPr>
            <w:r>
              <w:rPr>
                <w:rFonts w:ascii="Arial" w:cs="Arial" w:eastAsia="Arial" w:hAnsi="Arial"/>
                <w:sz w:val="14"/>
                <w:szCs w:val="14"/>
                <w:color w:val="auto"/>
              </w:rPr>
              <w:t>Service Provider’s Warranties and Undertakings</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17</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9.3</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Indemnity</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18</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9.4</w:t>
            </w:r>
          </w:p>
        </w:tc>
        <w:tc>
          <w:tcPr>
            <w:tcW w:w="8120" w:type="dxa"/>
            <w:vAlign w:val="bottom"/>
          </w:tcPr>
          <w:p>
            <w:pPr>
              <w:ind w:left="380"/>
              <w:spacing w:after="0"/>
              <w:rPr>
                <w:sz w:val="20"/>
                <w:szCs w:val="20"/>
                <w:color w:val="auto"/>
              </w:rPr>
            </w:pPr>
            <w:r>
              <w:rPr>
                <w:rFonts w:ascii="Arial" w:cs="Arial" w:eastAsia="Arial" w:hAnsi="Arial"/>
                <w:sz w:val="14"/>
                <w:szCs w:val="14"/>
                <w:color w:val="auto"/>
              </w:rPr>
              <w:t>Service Provider’s obligation to protect Personal Data</w:t>
            </w:r>
          </w:p>
        </w:tc>
        <w:tc>
          <w:tcPr>
            <w:tcW w:w="2780" w:type="dxa"/>
            <w:vAlign w:val="bottom"/>
          </w:tcPr>
          <w:p>
            <w:pPr>
              <w:jc w:val="center"/>
              <w:ind w:left="1690"/>
              <w:spacing w:after="0"/>
              <w:rPr>
                <w:sz w:val="20"/>
                <w:szCs w:val="20"/>
                <w:color w:val="auto"/>
              </w:rPr>
            </w:pPr>
            <w:r>
              <w:rPr>
                <w:rFonts w:ascii="Arial" w:cs="Arial" w:eastAsia="Arial" w:hAnsi="Arial"/>
                <w:sz w:val="14"/>
                <w:szCs w:val="14"/>
                <w:color w:val="auto"/>
                <w:w w:val="89"/>
              </w:rPr>
              <w:t>18</w:t>
            </w: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9.5</w:t>
            </w:r>
          </w:p>
        </w:tc>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Incident notification</w:t>
            </w:r>
          </w:p>
        </w:tc>
        <w:tc>
          <w:tcPr>
            <w:tcW w:w="2780" w:type="dxa"/>
            <w:vAlign w:val="bottom"/>
            <w:shd w:val="clear" w:color="auto" w:fill="CCEEFF"/>
          </w:tcPr>
          <w:p>
            <w:pPr>
              <w:jc w:val="center"/>
              <w:ind w:left="1690"/>
              <w:spacing w:after="0"/>
              <w:rPr>
                <w:sz w:val="20"/>
                <w:szCs w:val="20"/>
                <w:color w:val="auto"/>
              </w:rPr>
            </w:pPr>
            <w:r>
              <w:rPr>
                <w:rFonts w:ascii="Arial" w:cs="Arial" w:eastAsia="Arial" w:hAnsi="Arial"/>
                <w:sz w:val="14"/>
                <w:szCs w:val="14"/>
                <w:color w:val="auto"/>
                <w:w w:val="89"/>
              </w:rPr>
              <w:t>18</w:t>
            </w:r>
          </w:p>
        </w:tc>
      </w:tr>
      <w:tr>
        <w:trPr>
          <w:trHeight w:val="183"/>
        </w:trPr>
        <w:tc>
          <w:tcPr>
            <w:tcW w:w="560" w:type="dxa"/>
            <w:vAlign w:val="bottom"/>
          </w:tcPr>
          <w:p>
            <w:pPr>
              <w:spacing w:after="0"/>
              <w:rPr>
                <w:sz w:val="20"/>
                <w:szCs w:val="20"/>
                <w:color w:val="auto"/>
              </w:rPr>
            </w:pPr>
            <w:r>
              <w:rPr>
                <w:rFonts w:ascii="Arial" w:cs="Arial" w:eastAsia="Arial" w:hAnsi="Arial"/>
                <w:sz w:val="14"/>
                <w:szCs w:val="14"/>
                <w:b w:val="1"/>
                <w:bCs w:val="1"/>
                <w:color w:val="auto"/>
              </w:rPr>
              <w:t>10.</w:t>
            </w:r>
          </w:p>
        </w:tc>
        <w:tc>
          <w:tcPr>
            <w:tcW w:w="8120" w:type="dxa"/>
            <w:vAlign w:val="bottom"/>
          </w:tcPr>
          <w:p>
            <w:pPr>
              <w:ind w:left="380"/>
              <w:spacing w:after="0"/>
              <w:rPr>
                <w:sz w:val="20"/>
                <w:szCs w:val="20"/>
                <w:color w:val="auto"/>
              </w:rPr>
            </w:pPr>
            <w:r>
              <w:rPr>
                <w:rFonts w:ascii="Arial" w:cs="Arial" w:eastAsia="Arial" w:hAnsi="Arial"/>
                <w:sz w:val="14"/>
                <w:szCs w:val="14"/>
                <w:b w:val="1"/>
                <w:bCs w:val="1"/>
                <w:color w:val="auto"/>
              </w:rPr>
              <w:t>PUBLICITY</w:t>
            </w:r>
          </w:p>
        </w:tc>
        <w:tc>
          <w:tcPr>
            <w:tcW w:w="2780" w:type="dxa"/>
            <w:vAlign w:val="bottom"/>
          </w:tcPr>
          <w:p>
            <w:pPr>
              <w:jc w:val="center"/>
              <w:ind w:left="1690"/>
              <w:spacing w:after="0"/>
              <w:rPr>
                <w:sz w:val="20"/>
                <w:szCs w:val="20"/>
                <w:color w:val="auto"/>
              </w:rPr>
            </w:pPr>
            <w:r>
              <w:rPr>
                <w:rFonts w:ascii="Arial" w:cs="Arial" w:eastAsia="Arial" w:hAnsi="Arial"/>
                <w:sz w:val="14"/>
                <w:szCs w:val="14"/>
                <w:b w:val="1"/>
                <w:bCs w:val="1"/>
                <w:color w:val="auto"/>
                <w:w w:val="89"/>
              </w:rPr>
              <w:t>18</w:t>
            </w:r>
          </w:p>
        </w:tc>
      </w:tr>
      <w:tr>
        <w:trPr>
          <w:trHeight w:val="513"/>
        </w:trPr>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ANZ CONTRACT NUMBER: [ 2014C217  ]</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1093" w:right="219" w:bottom="1440" w:gutter="0" w:footer="0" w:header="0"/>
        </w:sectPr>
      </w:pPr>
    </w:p>
    <w:bookmarkStart w:id="251" w:name="page252"/>
    <w:bookmarkEnd w:id="25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489585</wp:posOffset>
            </wp:positionV>
            <wp:extent cx="868680" cy="2940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11.</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INTELLECTUAL PROPERTY AND MORAL RIGHTS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18</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11.1</w:t>
            </w:r>
          </w:p>
        </w:tc>
        <w:tc>
          <w:tcPr>
            <w:tcW w:w="7340" w:type="dxa"/>
            <w:vAlign w:val="bottom"/>
          </w:tcPr>
          <w:p>
            <w:pPr>
              <w:ind w:left="320"/>
              <w:spacing w:after="0"/>
              <w:rPr>
                <w:sz w:val="20"/>
                <w:szCs w:val="20"/>
                <w:color w:val="auto"/>
              </w:rPr>
            </w:pPr>
            <w:r>
              <w:rPr>
                <w:rFonts w:ascii="Arial" w:cs="Arial" w:eastAsia="Arial" w:hAnsi="Arial"/>
                <w:sz w:val="14"/>
                <w:szCs w:val="14"/>
                <w:color w:val="auto"/>
              </w:rPr>
              <w:t>Service Provider’s Intellectual Property</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18</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11.2</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Assignment of Intellectual Property to ANZ</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19</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11.3</w:t>
            </w:r>
          </w:p>
        </w:tc>
        <w:tc>
          <w:tcPr>
            <w:tcW w:w="7340" w:type="dxa"/>
            <w:vAlign w:val="bottom"/>
          </w:tcPr>
          <w:p>
            <w:pPr>
              <w:ind w:left="320"/>
              <w:spacing w:after="0"/>
              <w:rPr>
                <w:sz w:val="20"/>
                <w:szCs w:val="20"/>
                <w:color w:val="auto"/>
              </w:rPr>
            </w:pPr>
            <w:r>
              <w:rPr>
                <w:rFonts w:ascii="Arial" w:cs="Arial" w:eastAsia="Arial" w:hAnsi="Arial"/>
                <w:sz w:val="14"/>
                <w:szCs w:val="14"/>
                <w:color w:val="auto"/>
              </w:rPr>
              <w:t>ANZ’s Intellectual Property</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19</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11.4</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Notification of infringement by third parties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19</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11.5</w:t>
            </w:r>
          </w:p>
        </w:tc>
        <w:tc>
          <w:tcPr>
            <w:tcW w:w="7340" w:type="dxa"/>
            <w:vAlign w:val="bottom"/>
          </w:tcPr>
          <w:p>
            <w:pPr>
              <w:ind w:left="320"/>
              <w:spacing w:after="0"/>
              <w:rPr>
                <w:sz w:val="20"/>
                <w:szCs w:val="20"/>
                <w:color w:val="auto"/>
              </w:rPr>
            </w:pPr>
            <w:r>
              <w:rPr>
                <w:rFonts w:ascii="Arial" w:cs="Arial" w:eastAsia="Arial" w:hAnsi="Arial"/>
                <w:sz w:val="14"/>
                <w:szCs w:val="14"/>
                <w:color w:val="auto"/>
              </w:rPr>
              <w:t>Moral Rights</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19</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12.</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INSURANCE AND WORKERS COMPENSATION</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20</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12.1</w:t>
            </w:r>
          </w:p>
        </w:tc>
        <w:tc>
          <w:tcPr>
            <w:tcW w:w="7340" w:type="dxa"/>
            <w:vAlign w:val="bottom"/>
          </w:tcPr>
          <w:p>
            <w:pPr>
              <w:ind w:left="320"/>
              <w:spacing w:after="0"/>
              <w:rPr>
                <w:sz w:val="20"/>
                <w:szCs w:val="20"/>
                <w:color w:val="auto"/>
              </w:rPr>
            </w:pPr>
            <w:r>
              <w:rPr>
                <w:rFonts w:ascii="Arial" w:cs="Arial" w:eastAsia="Arial" w:hAnsi="Arial"/>
                <w:sz w:val="14"/>
                <w:szCs w:val="14"/>
                <w:color w:val="auto"/>
              </w:rPr>
              <w:t>Types of insurance</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20</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12.2</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Evidence of Insurance</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20</w:t>
            </w:r>
          </w:p>
        </w:tc>
      </w:tr>
      <w:tr>
        <w:trPr>
          <w:trHeight w:val="168"/>
        </w:trPr>
        <w:tc>
          <w:tcPr>
            <w:tcW w:w="620" w:type="dxa"/>
            <w:vAlign w:val="bottom"/>
          </w:tcPr>
          <w:p>
            <w:pPr>
              <w:spacing w:after="0"/>
              <w:rPr>
                <w:sz w:val="20"/>
                <w:szCs w:val="20"/>
                <w:color w:val="auto"/>
              </w:rPr>
            </w:pPr>
            <w:r>
              <w:rPr>
                <w:rFonts w:ascii="Arial" w:cs="Arial" w:eastAsia="Arial" w:hAnsi="Arial"/>
                <w:sz w:val="14"/>
                <w:szCs w:val="14"/>
                <w:b w:val="1"/>
                <w:bCs w:val="1"/>
                <w:color w:val="auto"/>
              </w:rPr>
              <w:t>13.</w:t>
            </w:r>
          </w:p>
        </w:tc>
        <w:tc>
          <w:tcPr>
            <w:tcW w:w="7340" w:type="dxa"/>
            <w:vAlign w:val="bottom"/>
          </w:tcPr>
          <w:p>
            <w:pPr>
              <w:ind w:left="320"/>
              <w:spacing w:after="0"/>
              <w:rPr>
                <w:sz w:val="20"/>
                <w:szCs w:val="20"/>
                <w:color w:val="auto"/>
              </w:rPr>
            </w:pPr>
            <w:r>
              <w:rPr>
                <w:rFonts w:ascii="Arial" w:cs="Arial" w:eastAsia="Arial" w:hAnsi="Arial"/>
                <w:sz w:val="14"/>
                <w:szCs w:val="14"/>
                <w:b w:val="1"/>
                <w:bCs w:val="1"/>
                <w:color w:val="auto"/>
              </w:rPr>
              <w:t>POWER AND AUTHORITY</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20</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14.</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SERVICE PROVIDER'S WARRANTIES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20</w:t>
            </w:r>
          </w:p>
        </w:tc>
      </w:tr>
      <w:tr>
        <w:trPr>
          <w:trHeight w:val="168"/>
        </w:trPr>
        <w:tc>
          <w:tcPr>
            <w:tcW w:w="620" w:type="dxa"/>
            <w:vAlign w:val="bottom"/>
          </w:tcPr>
          <w:p>
            <w:pPr>
              <w:spacing w:after="0"/>
              <w:rPr>
                <w:sz w:val="20"/>
                <w:szCs w:val="20"/>
                <w:color w:val="auto"/>
              </w:rPr>
            </w:pPr>
            <w:r>
              <w:rPr>
                <w:rFonts w:ascii="Arial" w:cs="Arial" w:eastAsia="Arial" w:hAnsi="Arial"/>
                <w:sz w:val="14"/>
                <w:szCs w:val="14"/>
                <w:b w:val="1"/>
                <w:bCs w:val="1"/>
                <w:color w:val="auto"/>
              </w:rPr>
              <w:t>15.</w:t>
            </w:r>
          </w:p>
        </w:tc>
        <w:tc>
          <w:tcPr>
            <w:tcW w:w="7340" w:type="dxa"/>
            <w:vAlign w:val="bottom"/>
          </w:tcPr>
          <w:p>
            <w:pPr>
              <w:ind w:left="320"/>
              <w:spacing w:after="0"/>
              <w:rPr>
                <w:sz w:val="20"/>
                <w:szCs w:val="20"/>
                <w:color w:val="auto"/>
              </w:rPr>
            </w:pPr>
            <w:r>
              <w:rPr>
                <w:rFonts w:ascii="Arial" w:cs="Arial" w:eastAsia="Arial" w:hAnsi="Arial"/>
                <w:sz w:val="14"/>
                <w:szCs w:val="14"/>
                <w:b w:val="1"/>
                <w:bCs w:val="1"/>
                <w:color w:val="auto"/>
              </w:rPr>
              <w:t>INDEMNITIES AND LIABILITY</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20</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15.1</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Indemnities from Service Provider</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20</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15.2</w:t>
            </w:r>
          </w:p>
        </w:tc>
        <w:tc>
          <w:tcPr>
            <w:tcW w:w="7340" w:type="dxa"/>
            <w:vAlign w:val="bottom"/>
          </w:tcPr>
          <w:p>
            <w:pPr>
              <w:ind w:left="320"/>
              <w:spacing w:after="0"/>
              <w:rPr>
                <w:sz w:val="20"/>
                <w:szCs w:val="20"/>
                <w:color w:val="auto"/>
              </w:rPr>
            </w:pPr>
            <w:r>
              <w:rPr>
                <w:rFonts w:ascii="Arial" w:cs="Arial" w:eastAsia="Arial" w:hAnsi="Arial"/>
                <w:sz w:val="14"/>
                <w:szCs w:val="14"/>
                <w:color w:val="auto"/>
              </w:rPr>
              <w:t>Operation and nature of indemnities</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21</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15.3</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Limitation of liability</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21</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15.4</w:t>
            </w:r>
          </w:p>
        </w:tc>
        <w:tc>
          <w:tcPr>
            <w:tcW w:w="7340" w:type="dxa"/>
            <w:vAlign w:val="bottom"/>
          </w:tcPr>
          <w:p>
            <w:pPr>
              <w:ind w:left="320"/>
              <w:spacing w:after="0"/>
              <w:rPr>
                <w:sz w:val="20"/>
                <w:szCs w:val="20"/>
                <w:color w:val="auto"/>
              </w:rPr>
            </w:pPr>
            <w:r>
              <w:rPr>
                <w:rFonts w:ascii="Arial" w:cs="Arial" w:eastAsia="Arial" w:hAnsi="Arial"/>
                <w:sz w:val="14"/>
                <w:szCs w:val="14"/>
                <w:color w:val="auto"/>
              </w:rPr>
              <w:t>Application of Indemnification Rights</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21</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16.</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SET-OFF AND DEDUCTIONS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17.</w:t>
            </w:r>
          </w:p>
        </w:tc>
        <w:tc>
          <w:tcPr>
            <w:tcW w:w="7340" w:type="dxa"/>
            <w:vAlign w:val="bottom"/>
          </w:tcPr>
          <w:p>
            <w:pPr>
              <w:ind w:left="320"/>
              <w:spacing w:after="0"/>
              <w:rPr>
                <w:sz w:val="20"/>
                <w:szCs w:val="20"/>
                <w:color w:val="auto"/>
              </w:rPr>
            </w:pPr>
            <w:r>
              <w:rPr>
                <w:rFonts w:ascii="Arial" w:cs="Arial" w:eastAsia="Arial" w:hAnsi="Arial"/>
                <w:sz w:val="14"/>
                <w:szCs w:val="14"/>
                <w:color w:val="auto"/>
              </w:rPr>
              <w:t>DISPUTE RESOLUTION</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17.1</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Application of clause</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17.2</w:t>
            </w:r>
          </w:p>
        </w:tc>
        <w:tc>
          <w:tcPr>
            <w:tcW w:w="7340" w:type="dxa"/>
            <w:vAlign w:val="bottom"/>
          </w:tcPr>
          <w:p>
            <w:pPr>
              <w:ind w:left="320"/>
              <w:spacing w:after="0"/>
              <w:rPr>
                <w:sz w:val="20"/>
                <w:szCs w:val="20"/>
                <w:color w:val="auto"/>
              </w:rPr>
            </w:pPr>
            <w:r>
              <w:rPr>
                <w:rFonts w:ascii="Arial" w:cs="Arial" w:eastAsia="Arial" w:hAnsi="Arial"/>
                <w:sz w:val="14"/>
                <w:szCs w:val="14"/>
                <w:color w:val="auto"/>
              </w:rPr>
              <w:t>Continued performance of Agreement during dispute</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17.3</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Further Proceedings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tcPr>
          <w:p>
            <w:pPr>
              <w:spacing w:after="0"/>
              <w:rPr>
                <w:sz w:val="20"/>
                <w:szCs w:val="20"/>
                <w:color w:val="auto"/>
              </w:rPr>
            </w:pPr>
            <w:r>
              <w:rPr>
                <w:rFonts w:ascii="Arial" w:cs="Arial" w:eastAsia="Arial" w:hAnsi="Arial"/>
                <w:sz w:val="14"/>
                <w:szCs w:val="14"/>
                <w:b w:val="1"/>
                <w:bCs w:val="1"/>
                <w:color w:val="auto"/>
              </w:rPr>
              <w:t>18.</w:t>
            </w:r>
          </w:p>
        </w:tc>
        <w:tc>
          <w:tcPr>
            <w:tcW w:w="7340" w:type="dxa"/>
            <w:vAlign w:val="bottom"/>
          </w:tcPr>
          <w:p>
            <w:pPr>
              <w:ind w:left="320"/>
              <w:spacing w:after="0"/>
              <w:rPr>
                <w:sz w:val="20"/>
                <w:szCs w:val="20"/>
                <w:color w:val="auto"/>
              </w:rPr>
            </w:pPr>
            <w:r>
              <w:rPr>
                <w:rFonts w:ascii="Arial" w:cs="Arial" w:eastAsia="Arial" w:hAnsi="Arial"/>
                <w:sz w:val="14"/>
                <w:szCs w:val="14"/>
                <w:b w:val="1"/>
                <w:bCs w:val="1"/>
                <w:color w:val="auto"/>
              </w:rPr>
              <w:t>NOTICES</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18.1</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How notices must be given</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18.2</w:t>
            </w:r>
          </w:p>
        </w:tc>
        <w:tc>
          <w:tcPr>
            <w:tcW w:w="7340" w:type="dxa"/>
            <w:vAlign w:val="bottom"/>
          </w:tcPr>
          <w:p>
            <w:pPr>
              <w:ind w:left="320"/>
              <w:spacing w:after="0"/>
              <w:rPr>
                <w:sz w:val="20"/>
                <w:szCs w:val="20"/>
                <w:color w:val="auto"/>
              </w:rPr>
            </w:pPr>
            <w:r>
              <w:rPr>
                <w:rFonts w:ascii="Arial" w:cs="Arial" w:eastAsia="Arial" w:hAnsi="Arial"/>
                <w:sz w:val="14"/>
                <w:szCs w:val="14"/>
                <w:color w:val="auto"/>
              </w:rPr>
              <w:t>Recipient’s address, fax number and email address</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18.3</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When notice taken as given</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22</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18.4</w:t>
            </w:r>
          </w:p>
        </w:tc>
        <w:tc>
          <w:tcPr>
            <w:tcW w:w="7340" w:type="dxa"/>
            <w:vAlign w:val="bottom"/>
          </w:tcPr>
          <w:p>
            <w:pPr>
              <w:ind w:left="320"/>
              <w:spacing w:after="0"/>
              <w:rPr>
                <w:sz w:val="20"/>
                <w:szCs w:val="20"/>
                <w:color w:val="auto"/>
              </w:rPr>
            </w:pPr>
            <w:r>
              <w:rPr>
                <w:rFonts w:ascii="Arial" w:cs="Arial" w:eastAsia="Arial" w:hAnsi="Arial"/>
                <w:sz w:val="14"/>
                <w:szCs w:val="14"/>
                <w:color w:val="auto"/>
              </w:rPr>
              <w:t>Other legal modes of service</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19.</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MISCELLANEOUS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19.1</w:t>
            </w:r>
          </w:p>
        </w:tc>
        <w:tc>
          <w:tcPr>
            <w:tcW w:w="7340" w:type="dxa"/>
            <w:vAlign w:val="bottom"/>
          </w:tcPr>
          <w:p>
            <w:pPr>
              <w:ind w:left="320"/>
              <w:spacing w:after="0"/>
              <w:rPr>
                <w:sz w:val="20"/>
                <w:szCs w:val="20"/>
                <w:color w:val="auto"/>
              </w:rPr>
            </w:pPr>
            <w:r>
              <w:rPr>
                <w:rFonts w:ascii="Arial" w:cs="Arial" w:eastAsia="Arial" w:hAnsi="Arial"/>
                <w:sz w:val="14"/>
                <w:szCs w:val="14"/>
                <w:color w:val="auto"/>
              </w:rPr>
              <w:t>Governing law</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19.2</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Jurisdiction</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19.3</w:t>
            </w:r>
          </w:p>
        </w:tc>
        <w:tc>
          <w:tcPr>
            <w:tcW w:w="7340" w:type="dxa"/>
            <w:vAlign w:val="bottom"/>
          </w:tcPr>
          <w:p>
            <w:pPr>
              <w:ind w:left="320"/>
              <w:spacing w:after="0"/>
              <w:rPr>
                <w:sz w:val="20"/>
                <w:szCs w:val="20"/>
                <w:color w:val="auto"/>
              </w:rPr>
            </w:pPr>
            <w:r>
              <w:rPr>
                <w:rFonts w:ascii="Arial" w:cs="Arial" w:eastAsia="Arial" w:hAnsi="Arial"/>
                <w:sz w:val="14"/>
                <w:szCs w:val="14"/>
                <w:color w:val="auto"/>
              </w:rPr>
              <w:t>Entire agreement</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19.4</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Taxes and duties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19.5</w:t>
            </w:r>
          </w:p>
        </w:tc>
        <w:tc>
          <w:tcPr>
            <w:tcW w:w="7340" w:type="dxa"/>
            <w:vAlign w:val="bottom"/>
          </w:tcPr>
          <w:p>
            <w:pPr>
              <w:ind w:left="320"/>
              <w:spacing w:after="0"/>
              <w:rPr>
                <w:sz w:val="20"/>
                <w:szCs w:val="20"/>
                <w:color w:val="auto"/>
              </w:rPr>
            </w:pPr>
            <w:r>
              <w:rPr>
                <w:rFonts w:ascii="Arial" w:cs="Arial" w:eastAsia="Arial" w:hAnsi="Arial"/>
                <w:sz w:val="14"/>
                <w:szCs w:val="14"/>
                <w:color w:val="auto"/>
              </w:rPr>
              <w:t>GST</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19.6</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Relationship of parties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19.7</w:t>
            </w:r>
          </w:p>
        </w:tc>
        <w:tc>
          <w:tcPr>
            <w:tcW w:w="7340" w:type="dxa"/>
            <w:vAlign w:val="bottom"/>
          </w:tcPr>
          <w:p>
            <w:pPr>
              <w:ind w:left="320"/>
              <w:spacing w:after="0"/>
              <w:rPr>
                <w:sz w:val="20"/>
                <w:szCs w:val="20"/>
                <w:color w:val="auto"/>
              </w:rPr>
            </w:pPr>
            <w:r>
              <w:rPr>
                <w:rFonts w:ascii="Arial" w:cs="Arial" w:eastAsia="Arial" w:hAnsi="Arial"/>
                <w:sz w:val="14"/>
                <w:szCs w:val="14"/>
                <w:color w:val="auto"/>
              </w:rPr>
              <w:t>Amendment</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19.8</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Successors and Assignees</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19.9</w:t>
            </w:r>
          </w:p>
        </w:tc>
        <w:tc>
          <w:tcPr>
            <w:tcW w:w="7340" w:type="dxa"/>
            <w:vAlign w:val="bottom"/>
          </w:tcPr>
          <w:p>
            <w:pPr>
              <w:ind w:left="320"/>
              <w:spacing w:after="0"/>
              <w:rPr>
                <w:sz w:val="20"/>
                <w:szCs w:val="20"/>
                <w:color w:val="auto"/>
              </w:rPr>
            </w:pPr>
            <w:r>
              <w:rPr>
                <w:rFonts w:ascii="Arial" w:cs="Arial" w:eastAsia="Arial" w:hAnsi="Arial"/>
                <w:sz w:val="14"/>
                <w:szCs w:val="14"/>
                <w:color w:val="auto"/>
              </w:rPr>
              <w:t>Assignment</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23</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19.10</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Service Provider’s cost</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24</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19.11</w:t>
            </w:r>
          </w:p>
        </w:tc>
        <w:tc>
          <w:tcPr>
            <w:tcW w:w="7340" w:type="dxa"/>
            <w:vAlign w:val="bottom"/>
          </w:tcPr>
          <w:p>
            <w:pPr>
              <w:ind w:left="320"/>
              <w:spacing w:after="0"/>
              <w:rPr>
                <w:sz w:val="20"/>
                <w:szCs w:val="20"/>
                <w:color w:val="auto"/>
              </w:rPr>
            </w:pPr>
            <w:r>
              <w:rPr>
                <w:rFonts w:ascii="Arial" w:cs="Arial" w:eastAsia="Arial" w:hAnsi="Arial"/>
                <w:sz w:val="14"/>
                <w:szCs w:val="14"/>
                <w:color w:val="auto"/>
              </w:rPr>
              <w:t>Waivers</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24</w:t>
            </w:r>
          </w:p>
        </w:tc>
      </w:tr>
      <w:tr>
        <w:trPr>
          <w:trHeight w:val="168"/>
        </w:trPr>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19.12</w:t>
            </w:r>
          </w:p>
        </w:tc>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Severability</w:t>
            </w:r>
          </w:p>
        </w:tc>
        <w:tc>
          <w:tcPr>
            <w:tcW w:w="35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24</w:t>
            </w:r>
          </w:p>
        </w:tc>
      </w:tr>
      <w:tr>
        <w:trPr>
          <w:trHeight w:val="168"/>
        </w:trPr>
        <w:tc>
          <w:tcPr>
            <w:tcW w:w="620" w:type="dxa"/>
            <w:vAlign w:val="bottom"/>
          </w:tcPr>
          <w:p>
            <w:pPr>
              <w:spacing w:after="0"/>
              <w:rPr>
                <w:sz w:val="20"/>
                <w:szCs w:val="20"/>
                <w:color w:val="auto"/>
              </w:rPr>
            </w:pPr>
            <w:r>
              <w:rPr>
                <w:rFonts w:ascii="Arial" w:cs="Arial" w:eastAsia="Arial" w:hAnsi="Arial"/>
                <w:sz w:val="14"/>
                <w:szCs w:val="14"/>
                <w:color w:val="auto"/>
              </w:rPr>
              <w:t>19.13</w:t>
            </w:r>
          </w:p>
        </w:tc>
        <w:tc>
          <w:tcPr>
            <w:tcW w:w="7340" w:type="dxa"/>
            <w:vAlign w:val="bottom"/>
          </w:tcPr>
          <w:p>
            <w:pPr>
              <w:ind w:left="320"/>
              <w:spacing w:after="0"/>
              <w:rPr>
                <w:sz w:val="20"/>
                <w:szCs w:val="20"/>
                <w:color w:val="auto"/>
              </w:rPr>
            </w:pPr>
            <w:r>
              <w:rPr>
                <w:rFonts w:ascii="Arial" w:cs="Arial" w:eastAsia="Arial" w:hAnsi="Arial"/>
                <w:sz w:val="14"/>
                <w:szCs w:val="14"/>
                <w:color w:val="auto"/>
              </w:rPr>
              <w:t>Counterparts</w:t>
            </w:r>
          </w:p>
        </w:tc>
        <w:tc>
          <w:tcPr>
            <w:tcW w:w="3500" w:type="dxa"/>
            <w:vAlign w:val="bottom"/>
          </w:tcPr>
          <w:p>
            <w:pPr>
              <w:jc w:val="right"/>
              <w:ind w:right="370"/>
              <w:spacing w:after="0"/>
              <w:rPr>
                <w:sz w:val="20"/>
                <w:szCs w:val="20"/>
                <w:color w:val="auto"/>
              </w:rPr>
            </w:pPr>
            <w:r>
              <w:rPr>
                <w:rFonts w:ascii="Arial" w:cs="Arial" w:eastAsia="Arial" w:hAnsi="Arial"/>
                <w:sz w:val="14"/>
                <w:szCs w:val="14"/>
                <w:color w:val="auto"/>
              </w:rPr>
              <w:t>24</w:t>
            </w:r>
          </w:p>
        </w:tc>
      </w:tr>
      <w:tr>
        <w:trPr>
          <w:trHeight w:val="168"/>
        </w:trPr>
        <w:tc>
          <w:tcPr>
            <w:tcW w:w="7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THE SCHEDULE</w:t>
            </w:r>
          </w:p>
        </w:tc>
        <w:tc>
          <w:tcPr>
            <w:tcW w:w="3500" w:type="dxa"/>
            <w:vAlign w:val="bottom"/>
            <w:shd w:val="clear" w:color="auto" w:fill="CCEEFF"/>
          </w:tcPr>
          <w:p>
            <w:pPr>
              <w:spacing w:after="0"/>
              <w:rPr>
                <w:sz w:val="14"/>
                <w:szCs w:val="14"/>
                <w:color w:val="auto"/>
              </w:rPr>
            </w:pPr>
          </w:p>
        </w:tc>
      </w:tr>
      <w:tr>
        <w:trPr>
          <w:trHeight w:val="168"/>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PART 1 VARIOUS AGREEMENT DETAILS</w:t>
            </w:r>
          </w:p>
        </w:tc>
        <w:tc>
          <w:tcPr>
            <w:tcW w:w="3500" w:type="dxa"/>
            <w:vAlign w:val="bottom"/>
          </w:tcPr>
          <w:p>
            <w:pPr>
              <w:spacing w:after="0"/>
              <w:rPr>
                <w:sz w:val="14"/>
                <w:szCs w:val="14"/>
                <w:color w:val="auto"/>
              </w:rPr>
            </w:pPr>
          </w:p>
        </w:tc>
      </w:tr>
      <w:tr>
        <w:trPr>
          <w:trHeight w:val="168"/>
        </w:trPr>
        <w:tc>
          <w:tcPr>
            <w:tcW w:w="7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PART 2 STATEMENT OF WORK &amp; FEES</w:t>
            </w:r>
          </w:p>
        </w:tc>
        <w:tc>
          <w:tcPr>
            <w:tcW w:w="3500" w:type="dxa"/>
            <w:vAlign w:val="bottom"/>
            <w:shd w:val="clear" w:color="auto" w:fill="CCEEFF"/>
          </w:tcPr>
          <w:p>
            <w:pPr>
              <w:spacing w:after="0"/>
              <w:rPr>
                <w:sz w:val="14"/>
                <w:szCs w:val="14"/>
                <w:color w:val="auto"/>
              </w:rPr>
            </w:pPr>
          </w:p>
        </w:tc>
      </w:tr>
      <w:tr>
        <w:trPr>
          <w:trHeight w:val="168"/>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PART 3 INSURANCE REQUIREMENTS AND CAP ON LIABILITY</w:t>
            </w:r>
          </w:p>
        </w:tc>
        <w:tc>
          <w:tcPr>
            <w:tcW w:w="3500" w:type="dxa"/>
            <w:vAlign w:val="bottom"/>
          </w:tcPr>
          <w:p>
            <w:pPr>
              <w:spacing w:after="0"/>
              <w:rPr>
                <w:sz w:val="14"/>
                <w:szCs w:val="14"/>
                <w:color w:val="auto"/>
              </w:rPr>
            </w:pPr>
          </w:p>
        </w:tc>
      </w:tr>
      <w:tr>
        <w:trPr>
          <w:trHeight w:val="168"/>
        </w:trPr>
        <w:tc>
          <w:tcPr>
            <w:tcW w:w="7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ANNEXURE 1 PERSONAL CONFIDENTIALITY STATEMENT AND CONSENT</w:t>
            </w:r>
          </w:p>
        </w:tc>
        <w:tc>
          <w:tcPr>
            <w:tcW w:w="3500" w:type="dxa"/>
            <w:vAlign w:val="bottom"/>
            <w:shd w:val="clear" w:color="auto" w:fill="CCEEFF"/>
          </w:tcPr>
          <w:p>
            <w:pPr>
              <w:spacing w:after="0"/>
              <w:rPr>
                <w:sz w:val="14"/>
                <w:szCs w:val="14"/>
                <w:color w:val="auto"/>
              </w:rPr>
            </w:pPr>
          </w:p>
        </w:tc>
      </w:tr>
      <w:tr>
        <w:trPr>
          <w:trHeight w:val="183"/>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ANNEXURE 2 TAX</w:t>
            </w:r>
          </w:p>
        </w:tc>
        <w:tc>
          <w:tcPr>
            <w:tcW w:w="3500" w:type="dxa"/>
            <w:vAlign w:val="bottom"/>
          </w:tcPr>
          <w:p>
            <w:pPr>
              <w:spacing w:after="0"/>
              <w:rPr>
                <w:sz w:val="15"/>
                <w:szCs w:val="15"/>
                <w:color w:val="auto"/>
              </w:rPr>
            </w:pPr>
          </w:p>
        </w:tc>
      </w:tr>
      <w:tr>
        <w:trPr>
          <w:trHeight w:val="492"/>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ANZ CONTRACT NUMBER: [ 2014C217  ]</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1114" w:right="219"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476250</wp:posOffset>
            </wp:positionV>
            <wp:extent cx="868680" cy="2940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July 2014</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PARTIES</w:t>
      </w:r>
    </w:p>
    <w:p>
      <w:pPr>
        <w:spacing w:after="0" w:line="176" w:lineRule="exact"/>
        <w:rPr>
          <w:sz w:val="20"/>
          <w:szCs w:val="20"/>
          <w:color w:val="auto"/>
        </w:rPr>
      </w:pPr>
    </w:p>
    <w:p>
      <w:pPr>
        <w:ind w:left="500" w:hanging="496"/>
        <w:spacing w:after="0" w:line="283" w:lineRule="auto"/>
        <w:tabs>
          <w:tab w:leader="none" w:pos="500" w:val="left"/>
        </w:tabs>
        <w:numPr>
          <w:ilvl w:val="0"/>
          <w:numId w:val="264"/>
        </w:numPr>
        <w:rPr>
          <w:rFonts w:ascii="Arial" w:cs="Arial" w:eastAsia="Arial" w:hAnsi="Arial"/>
          <w:sz w:val="14"/>
          <w:szCs w:val="14"/>
          <w:color w:val="auto"/>
        </w:rPr>
      </w:pPr>
      <w:r>
        <w:rPr>
          <w:rFonts w:ascii="Arial" w:cs="Arial" w:eastAsia="Arial" w:hAnsi="Arial"/>
          <w:sz w:val="14"/>
          <w:szCs w:val="14"/>
          <w:b w:val="1"/>
          <w:bCs w:val="1"/>
          <w:color w:val="auto"/>
        </w:rPr>
        <w:t xml:space="preserve">ANZ GLOBAL SERVICES AND OPERATIONS (CHENGDU) COMPANY LIMITED, </w:t>
      </w:r>
      <w:r>
        <w:rPr>
          <w:rFonts w:ascii="Arial" w:cs="Arial" w:eastAsia="Arial" w:hAnsi="Arial"/>
          <w:sz w:val="14"/>
          <w:szCs w:val="14"/>
          <w:color w:val="auto"/>
        </w:rPr>
        <w:t>whose registered office is located at 5th floor of Tower E2 and E3 of No. 1 Building, Phase 3 of</w:t>
      </w:r>
      <w:r>
        <w:rPr>
          <w:rFonts w:ascii="Arial" w:cs="Arial" w:eastAsia="Arial" w:hAnsi="Arial"/>
          <w:sz w:val="14"/>
          <w:szCs w:val="14"/>
          <w:b w:val="1"/>
          <w:bCs w:val="1"/>
          <w:color w:val="auto"/>
        </w:rPr>
        <w:t xml:space="preserve"> </w:t>
      </w:r>
      <w:r>
        <w:rPr>
          <w:rFonts w:ascii="Arial" w:cs="Arial" w:eastAsia="Arial" w:hAnsi="Arial"/>
          <w:sz w:val="14"/>
          <w:szCs w:val="14"/>
          <w:color w:val="auto"/>
        </w:rPr>
        <w:t>Tianfu Software Park, No 1 Building, No. 1268, Middle Section, Tianfu Avenue, Gaoxin District, Chengdu, China 610041. (the “ANZ”).</w:t>
      </w:r>
    </w:p>
    <w:p>
      <w:pPr>
        <w:spacing w:after="0" w:line="125" w:lineRule="exact"/>
        <w:rPr>
          <w:rFonts w:ascii="Arial" w:cs="Arial" w:eastAsia="Arial" w:hAnsi="Arial"/>
          <w:sz w:val="14"/>
          <w:szCs w:val="14"/>
          <w:color w:val="auto"/>
        </w:rPr>
      </w:pPr>
    </w:p>
    <w:p>
      <w:pPr>
        <w:ind w:left="500" w:hanging="496"/>
        <w:spacing w:after="0"/>
        <w:tabs>
          <w:tab w:leader="none" w:pos="500" w:val="left"/>
        </w:tabs>
        <w:numPr>
          <w:ilvl w:val="0"/>
          <w:numId w:val="264"/>
        </w:numPr>
        <w:rPr>
          <w:rFonts w:ascii="Arial" w:cs="Arial" w:eastAsia="Arial" w:hAnsi="Arial"/>
          <w:sz w:val="14"/>
          <w:szCs w:val="14"/>
          <w:color w:val="auto"/>
        </w:rPr>
      </w:pPr>
      <w:r>
        <w:rPr>
          <w:rFonts w:ascii="Arial" w:cs="Arial" w:eastAsia="Arial" w:hAnsi="Arial"/>
          <w:sz w:val="14"/>
          <w:szCs w:val="14"/>
          <w:b w:val="1"/>
          <w:bCs w:val="1"/>
          <w:color w:val="auto"/>
        </w:rPr>
        <w:t xml:space="preserve">The party more particularly described in Part 1 of the Schedule to this Agreement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Service Provider</w:t>
      </w:r>
      <w:r>
        <w:rPr>
          <w:rFonts w:ascii="Arial" w:cs="Arial" w:eastAsia="Arial" w:hAnsi="Arial"/>
          <w:sz w:val="14"/>
          <w:szCs w:val="14"/>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RECITALS</w:t>
      </w:r>
    </w:p>
    <w:p>
      <w:pPr>
        <w:spacing w:after="0" w:line="180" w:lineRule="exact"/>
        <w:rPr>
          <w:sz w:val="20"/>
          <w:szCs w:val="20"/>
          <w:color w:val="auto"/>
        </w:rPr>
      </w:pPr>
    </w:p>
    <w:p>
      <w:pPr>
        <w:ind w:left="500" w:hanging="496"/>
        <w:spacing w:after="0"/>
        <w:tabs>
          <w:tab w:leader="none" w:pos="50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ANZ wishes to appoint the Service Provider to perform the Services on the terms and conditions of this Agreement.</w:t>
      </w:r>
    </w:p>
    <w:p>
      <w:pPr>
        <w:spacing w:after="0" w:line="196" w:lineRule="exact"/>
        <w:rPr>
          <w:rFonts w:ascii="Arial" w:cs="Arial" w:eastAsia="Arial" w:hAnsi="Arial"/>
          <w:sz w:val="14"/>
          <w:szCs w:val="14"/>
          <w:color w:val="auto"/>
        </w:rPr>
      </w:pPr>
    </w:p>
    <w:p>
      <w:pPr>
        <w:ind w:left="500" w:hanging="496"/>
        <w:spacing w:after="0"/>
        <w:tabs>
          <w:tab w:leader="none" w:pos="50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The Service Provider wishes to perform the Services on the terms and conditions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THE PARTIES AGREE </w:t>
      </w:r>
      <w:r>
        <w:rPr>
          <w:rFonts w:ascii="Arial" w:cs="Arial" w:eastAsia="Arial" w:hAnsi="Arial"/>
          <w:sz w:val="14"/>
          <w:szCs w:val="14"/>
          <w:color w:val="auto"/>
        </w:rPr>
        <w:t>as follows:</w:t>
      </w:r>
    </w:p>
    <w:p>
      <w:pPr>
        <w:spacing w:after="0" w:line="197" w:lineRule="exact"/>
        <w:rPr>
          <w:sz w:val="20"/>
          <w:szCs w:val="20"/>
          <w:color w:val="auto"/>
        </w:rPr>
      </w:pPr>
    </w:p>
    <w:p>
      <w:pPr>
        <w:ind w:left="500" w:hanging="496"/>
        <w:spacing w:after="0"/>
        <w:tabs>
          <w:tab w:leader="none" w:pos="500" w:val="left"/>
        </w:tabs>
        <w:numPr>
          <w:ilvl w:val="0"/>
          <w:numId w:val="266"/>
        </w:numPr>
        <w:rPr>
          <w:rFonts w:ascii="Arial" w:cs="Arial" w:eastAsia="Arial" w:hAnsi="Arial"/>
          <w:sz w:val="14"/>
          <w:szCs w:val="14"/>
          <w:b w:val="1"/>
          <w:bCs w:val="1"/>
          <w:color w:val="auto"/>
        </w:rPr>
      </w:pPr>
      <w:r>
        <w:rPr>
          <w:rFonts w:ascii="Arial" w:cs="Arial" w:eastAsia="Arial" w:hAnsi="Arial"/>
          <w:sz w:val="14"/>
          <w:szCs w:val="14"/>
          <w:b w:val="1"/>
          <w:bCs w:val="1"/>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Definitions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definitions will apply in this Agreement.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Agreement </w:t>
      </w:r>
      <w:r>
        <w:rPr>
          <w:rFonts w:ascii="Arial" w:cs="Arial" w:eastAsia="Arial" w:hAnsi="Arial"/>
          <w:sz w:val="14"/>
          <w:szCs w:val="14"/>
          <w:color w:val="auto"/>
        </w:rPr>
        <w:t>means this agreement, as amended, supplemented or replaced from time to time.</w:t>
      </w:r>
    </w:p>
    <w:p>
      <w:pPr>
        <w:spacing w:after="0" w:line="176" w:lineRule="exact"/>
        <w:rPr>
          <w:sz w:val="20"/>
          <w:szCs w:val="20"/>
          <w:color w:val="auto"/>
        </w:rPr>
      </w:pPr>
    </w:p>
    <w:p>
      <w:pPr>
        <w:jc w:val="both"/>
        <w:ind w:left="500"/>
        <w:spacing w:after="0" w:line="259" w:lineRule="auto"/>
        <w:rPr>
          <w:sz w:val="20"/>
          <w:szCs w:val="20"/>
          <w:color w:val="auto"/>
        </w:rPr>
      </w:pPr>
      <w:r>
        <w:rPr>
          <w:rFonts w:ascii="Arial" w:cs="Arial" w:eastAsia="Arial" w:hAnsi="Arial"/>
          <w:sz w:val="14"/>
          <w:szCs w:val="14"/>
          <w:b w:val="1"/>
          <w:bCs w:val="1"/>
          <w:i w:val="1"/>
          <w:iCs w:val="1"/>
          <w:color w:val="auto"/>
        </w:rPr>
        <w:t xml:space="preserve">ANZ Data </w:t>
      </w:r>
      <w:r>
        <w:rPr>
          <w:rFonts w:ascii="Arial" w:cs="Arial" w:eastAsia="Arial" w:hAnsi="Arial"/>
          <w:sz w:val="14"/>
          <w:szCs w:val="14"/>
          <w:color w:val="auto"/>
        </w:rPr>
        <w:t>means all information or data of or relating to the customers of ANZ Group, including Customer Information, all customer financial and account information, data, databases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information relating to payment particulars or other details relating to the transactions entered into by such customers and data of and/or belonging to such customers, furnished or disclosed to Service Provider or its Personnel, or which Service Provider or its Personnel has otherwise collected, processed or obtained access to, pursuant to or in connection with the provision of the Services or the performance of this Agreement.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ANZ Group </w:t>
      </w:r>
      <w:r>
        <w:rPr>
          <w:rFonts w:ascii="Arial" w:cs="Arial" w:eastAsia="Arial" w:hAnsi="Arial"/>
          <w:sz w:val="14"/>
          <w:szCs w:val="14"/>
          <w:color w:val="auto"/>
        </w:rPr>
        <w:t>means ANZ, Australia and New Zealand Banking Group Limited (the “ANZBGL”), their related corporations and:</w:t>
      </w:r>
    </w:p>
    <w:p>
      <w:pPr>
        <w:spacing w:after="0" w:line="197" w:lineRule="exact"/>
        <w:rPr>
          <w:sz w:val="20"/>
          <w:szCs w:val="20"/>
          <w:color w:val="auto"/>
        </w:rPr>
      </w:pPr>
    </w:p>
    <w:p>
      <w:pPr>
        <w:ind w:left="1020" w:hanging="511"/>
        <w:spacing w:after="0" w:line="277" w:lineRule="auto"/>
        <w:tabs>
          <w:tab w:leader="none" w:pos="1020" w:val="left"/>
        </w:tabs>
        <w:numPr>
          <w:ilvl w:val="0"/>
          <w:numId w:val="267"/>
        </w:numPr>
        <w:rPr>
          <w:rFonts w:ascii="Arial" w:cs="Arial" w:eastAsia="Arial" w:hAnsi="Arial"/>
          <w:sz w:val="14"/>
          <w:szCs w:val="14"/>
          <w:color w:val="auto"/>
        </w:rPr>
      </w:pPr>
      <w:r>
        <w:rPr>
          <w:rFonts w:ascii="Arial" w:cs="Arial" w:eastAsia="Arial" w:hAnsi="Arial"/>
          <w:sz w:val="14"/>
          <w:szCs w:val="14"/>
          <w:color w:val="auto"/>
        </w:rPr>
        <w:t>all bodies corporate, trusts, unincorporated joint ventures, and other business associations that control, are controlled by or are under common control with ANZ, ANZBGL or their related corporations. For the purpose of this definition, “control” means:</w:t>
      </w:r>
    </w:p>
    <w:p>
      <w:pPr>
        <w:spacing w:after="0" w:line="154" w:lineRule="exact"/>
        <w:rPr>
          <w:rFonts w:ascii="Arial" w:cs="Arial" w:eastAsia="Arial" w:hAnsi="Arial"/>
          <w:sz w:val="14"/>
          <w:szCs w:val="14"/>
          <w:color w:val="auto"/>
        </w:rPr>
      </w:pPr>
    </w:p>
    <w:p>
      <w:pPr>
        <w:ind w:left="1520" w:hanging="506"/>
        <w:spacing w:after="0"/>
        <w:tabs>
          <w:tab w:leader="none" w:pos="1520" w:val="left"/>
        </w:tabs>
        <w:numPr>
          <w:ilvl w:val="1"/>
          <w:numId w:val="267"/>
        </w:numPr>
        <w:rPr>
          <w:rFonts w:ascii="Arial" w:cs="Arial" w:eastAsia="Arial" w:hAnsi="Arial"/>
          <w:sz w:val="14"/>
          <w:szCs w:val="14"/>
          <w:color w:val="auto"/>
        </w:rPr>
      </w:pPr>
      <w:r>
        <w:rPr>
          <w:rFonts w:ascii="Arial" w:cs="Arial" w:eastAsia="Arial" w:hAnsi="Arial"/>
          <w:sz w:val="14"/>
          <w:szCs w:val="14"/>
          <w:color w:val="auto"/>
        </w:rPr>
        <w:t>the power to directly or indirectly cause the direction of the management, policies or operations of an entity whether through the voting of shares or otherwise; or</w:t>
      </w:r>
    </w:p>
    <w:p>
      <w:pPr>
        <w:spacing w:after="0" w:line="196" w:lineRule="exact"/>
        <w:rPr>
          <w:rFonts w:ascii="Arial" w:cs="Arial" w:eastAsia="Arial" w:hAnsi="Arial"/>
          <w:sz w:val="14"/>
          <w:szCs w:val="14"/>
          <w:color w:val="auto"/>
        </w:rPr>
      </w:pPr>
    </w:p>
    <w:p>
      <w:pPr>
        <w:ind w:left="1520" w:hanging="506"/>
        <w:spacing w:after="0"/>
        <w:tabs>
          <w:tab w:leader="none" w:pos="1520" w:val="left"/>
        </w:tabs>
        <w:numPr>
          <w:ilvl w:val="1"/>
          <w:numId w:val="267"/>
        </w:numPr>
        <w:rPr>
          <w:rFonts w:ascii="Arial" w:cs="Arial" w:eastAsia="Arial" w:hAnsi="Arial"/>
          <w:sz w:val="14"/>
          <w:szCs w:val="14"/>
          <w:color w:val="auto"/>
        </w:rPr>
      </w:pPr>
      <w:r>
        <w:rPr>
          <w:rFonts w:ascii="Arial" w:cs="Arial" w:eastAsia="Arial" w:hAnsi="Arial"/>
          <w:sz w:val="14"/>
          <w:szCs w:val="14"/>
          <w:color w:val="auto"/>
        </w:rPr>
        <w:t>the holding of at least 30% shareholding or 30% participation interest in an entity.</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67"/>
        </w:numPr>
        <w:rPr>
          <w:rFonts w:ascii="Arial" w:cs="Arial" w:eastAsia="Arial" w:hAnsi="Arial"/>
          <w:sz w:val="14"/>
          <w:szCs w:val="14"/>
          <w:color w:val="auto"/>
        </w:rPr>
      </w:pPr>
      <w:r>
        <w:rPr>
          <w:rFonts w:ascii="Arial" w:cs="Arial" w:eastAsia="Arial" w:hAnsi="Arial"/>
          <w:sz w:val="14"/>
          <w:szCs w:val="14"/>
          <w:color w:val="auto"/>
        </w:rPr>
        <w:t>any other entity nominated by ANZ to Service Provider in writing from time to time.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 xml:space="preserve">ANZ’s Intellectual Property </w:t>
      </w:r>
      <w:r>
        <w:rPr>
          <w:rFonts w:ascii="Arial" w:cs="Arial" w:eastAsia="Arial" w:hAnsi="Arial"/>
          <w:sz w:val="13"/>
          <w:szCs w:val="13"/>
          <w:color w:val="auto"/>
        </w:rPr>
        <w:t>means all present and future Intellectual Property owned from time to time by any member of the ANZ Group and includes all Intellectual Property in the Data.</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ASIC </w:t>
      </w:r>
      <w:r>
        <w:rPr>
          <w:rFonts w:ascii="Arial" w:cs="Arial" w:eastAsia="Arial" w:hAnsi="Arial"/>
          <w:sz w:val="14"/>
          <w:szCs w:val="14"/>
          <w:color w:val="auto"/>
        </w:rPr>
        <w:t>means the Australian Securities and Investments Commission.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Authorisation </w:t>
      </w:r>
      <w:r>
        <w:rPr>
          <w:rFonts w:ascii="Arial" w:cs="Arial" w:eastAsia="Arial" w:hAnsi="Arial"/>
          <w:sz w:val="14"/>
          <w:szCs w:val="14"/>
          <w:color w:val="auto"/>
        </w:rPr>
        <w:t>means:</w:t>
      </w:r>
    </w:p>
    <w:p>
      <w:pPr>
        <w:spacing w:after="0" w:line="197" w:lineRule="exact"/>
        <w:rPr>
          <w:sz w:val="20"/>
          <w:szCs w:val="20"/>
          <w:color w:val="auto"/>
        </w:rPr>
      </w:pPr>
    </w:p>
    <w:p>
      <w:pPr>
        <w:ind w:left="1020" w:hanging="511"/>
        <w:spacing w:after="0"/>
        <w:tabs>
          <w:tab w:leader="none" w:pos="102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an authorisation, consent, declaration, exemption, notarisation or waiver, however it is described; and</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in relation to anything that could be prohibited or restricted by Law if a Government Agency acts in any way within a specified period, the expiry of that period without that action being taken, including any renewal or amendment.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1093" w:right="219" w:bottom="1440" w:gutter="0" w:footer="0" w:header="0"/>
        </w:sectPr>
      </w:pPr>
    </w:p>
    <w:bookmarkStart w:id="253" w:name="page254"/>
    <w:bookmarkEnd w:id="25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Authorised Disclosee </w:t>
      </w:r>
      <w:r>
        <w:rPr>
          <w:rFonts w:ascii="Arial" w:cs="Arial" w:eastAsia="Arial" w:hAnsi="Arial"/>
          <w:sz w:val="14"/>
          <w:szCs w:val="14"/>
          <w:color w:val="auto"/>
        </w:rPr>
        <w:t>means a specific third party to whom ANZ has authorised disclosure of specific Confidential Information in accordance with clause 8.4(b).</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Authorised Subcontractor </w:t>
      </w:r>
      <w:r>
        <w:rPr>
          <w:rFonts w:ascii="Arial" w:cs="Arial" w:eastAsia="Arial" w:hAnsi="Arial"/>
          <w:sz w:val="14"/>
          <w:szCs w:val="14"/>
          <w:color w:val="auto"/>
        </w:rPr>
        <w:t>means a subcontractor to the Service Provider authorised by ANZ under clause 6.1, together with its employees and agents.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Business Day </w:t>
      </w:r>
      <w:r>
        <w:rPr>
          <w:rFonts w:ascii="Arial" w:cs="Arial" w:eastAsia="Arial" w:hAnsi="Arial"/>
          <w:sz w:val="14"/>
          <w:szCs w:val="14"/>
          <w:color w:val="auto"/>
        </w:rPr>
        <w:t>is any day that ANZ is open for business in P.R.C. excluding Saturdays and Sundays.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Claim </w:t>
      </w:r>
      <w:r>
        <w:rPr>
          <w:rFonts w:ascii="Arial" w:cs="Arial" w:eastAsia="Arial" w:hAnsi="Arial"/>
          <w:sz w:val="14"/>
          <w:szCs w:val="14"/>
          <w:color w:val="auto"/>
        </w:rPr>
        <w:t>is any action, claim, suit, demand, loss, damage, liability, cost, expense, tax, outgoing or payment of whatever nature (whether foreseeable or not).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Code of Conduct </w:t>
      </w:r>
      <w:r>
        <w:rPr>
          <w:rFonts w:ascii="Arial" w:cs="Arial" w:eastAsia="Arial" w:hAnsi="Arial"/>
          <w:sz w:val="14"/>
          <w:szCs w:val="14"/>
          <w:color w:val="auto"/>
        </w:rPr>
        <w:t>means any industry or other code of conduct applicable to the Services or this Agreement, or to the business of any one or more ANZ Group member.</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Commencement Date </w:t>
      </w:r>
      <w:r>
        <w:rPr>
          <w:rFonts w:ascii="Arial" w:cs="Arial" w:eastAsia="Arial" w:hAnsi="Arial"/>
          <w:sz w:val="14"/>
          <w:szCs w:val="14"/>
          <w:color w:val="auto"/>
        </w:rPr>
        <w:t>means the commencement date specified in Part 1 of the Schedule.</w:t>
      </w:r>
    </w:p>
    <w:p>
      <w:pPr>
        <w:spacing w:after="0" w:line="176" w:lineRule="exact"/>
        <w:rPr>
          <w:sz w:val="20"/>
          <w:szCs w:val="20"/>
          <w:color w:val="auto"/>
        </w:rPr>
      </w:pPr>
    </w:p>
    <w:p>
      <w:pPr>
        <w:jc w:val="both"/>
        <w:ind w:left="500"/>
        <w:spacing w:after="0" w:line="259" w:lineRule="auto"/>
        <w:rPr>
          <w:sz w:val="20"/>
          <w:szCs w:val="20"/>
          <w:color w:val="auto"/>
        </w:rPr>
      </w:pPr>
      <w:r>
        <w:rPr>
          <w:rFonts w:ascii="Arial" w:cs="Arial" w:eastAsia="Arial" w:hAnsi="Arial"/>
          <w:sz w:val="14"/>
          <w:szCs w:val="14"/>
          <w:b w:val="1"/>
          <w:bCs w:val="1"/>
          <w:i w:val="1"/>
          <w:iCs w:val="1"/>
          <w:color w:val="auto"/>
        </w:rPr>
        <w:t xml:space="preserve">Confidential Information </w:t>
      </w:r>
      <w:r>
        <w:rPr>
          <w:rFonts w:ascii="Arial" w:cs="Arial" w:eastAsia="Arial" w:hAnsi="Arial"/>
          <w:sz w:val="14"/>
          <w:szCs w:val="14"/>
          <w:color w:val="auto"/>
        </w:rPr>
        <w:t>means all technical, financial, commercial and other information (in whatever medium, including documentary, verbal, pictorial and electronic forms) of or relating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ANZ Group or its business affairs, which is disclosed to, observed by or otherwise becomes available to, or accessible by the Service Provider or its Personnel, in connection with this Agreement (including by means of any briefing, discussion, negotiation, request, submission, document or other communication or activity, or by provision of access to the locations (electronic or otherwise) where the information is stored) which:</w:t>
      </w:r>
    </w:p>
    <w:p>
      <w:pPr>
        <w:spacing w:after="0" w:line="168" w:lineRule="exact"/>
        <w:rPr>
          <w:sz w:val="20"/>
          <w:szCs w:val="20"/>
          <w:color w:val="auto"/>
        </w:rPr>
      </w:pPr>
    </w:p>
    <w:p>
      <w:pPr>
        <w:ind w:left="1020" w:hanging="511"/>
        <w:spacing w:after="0"/>
        <w:tabs>
          <w:tab w:leader="none" w:pos="102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is marked or otherwise denoted as being ‘confidential’, 'sensitive', 'private' or any other similar description;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a reasonable person would (having regard to the nature of the information) consider confidential, but excluding information that:</w:t>
      </w:r>
    </w:p>
    <w:p>
      <w:pPr>
        <w:spacing w:after="0" w:line="176" w:lineRule="exact"/>
        <w:rPr>
          <w:sz w:val="20"/>
          <w:szCs w:val="20"/>
          <w:color w:val="auto"/>
        </w:rPr>
      </w:pPr>
    </w:p>
    <w:p>
      <w:pPr>
        <w:ind w:left="1020" w:hanging="511"/>
        <w:spacing w:after="0"/>
        <w:tabs>
          <w:tab w:leader="none" w:pos="1020" w:val="left"/>
        </w:tabs>
        <w:numPr>
          <w:ilvl w:val="0"/>
          <w:numId w:val="270"/>
        </w:numPr>
        <w:rPr>
          <w:rFonts w:ascii="Arial" w:cs="Arial" w:eastAsia="Arial" w:hAnsi="Arial"/>
          <w:sz w:val="13"/>
          <w:szCs w:val="13"/>
          <w:color w:val="auto"/>
        </w:rPr>
      </w:pPr>
      <w:r>
        <w:rPr>
          <w:rFonts w:ascii="Arial" w:cs="Arial" w:eastAsia="Arial" w:hAnsi="Arial"/>
          <w:sz w:val="13"/>
          <w:szCs w:val="13"/>
          <w:color w:val="auto"/>
        </w:rPr>
        <w:t>the Service Provider is able to establish by written records is or has been legally known to, developed by, or acquired by, the Service Provider, independently of this Agreement; or</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becomes readily available in the public domain without breach of this Agreement or any obligation of confidence.</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Confidential Information includes any ANZ Intellectual Property that is not readily available in the public domain other than through a breach of this Agreement or any obligation of confidence, as well as ANZ Data, Customer Information, Personal Data and ANZ employee information.</w:t>
      </w:r>
    </w:p>
    <w:p>
      <w:pPr>
        <w:spacing w:after="0" w:line="133"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b w:val="1"/>
          <w:bCs w:val="1"/>
          <w:i w:val="1"/>
          <w:iCs w:val="1"/>
          <w:color w:val="auto"/>
        </w:rPr>
        <w:t xml:space="preserve">Conflict </w:t>
      </w:r>
      <w:r>
        <w:rPr>
          <w:rFonts w:ascii="Arial" w:cs="Arial" w:eastAsia="Arial" w:hAnsi="Arial"/>
          <w:sz w:val="14"/>
          <w:szCs w:val="14"/>
          <w:color w:val="auto"/>
        </w:rPr>
        <w:t>means a conflict of interest of any kind relating to the Services or otherwise in connection with this Agreement, including in the case of the Service Provider any agreement, obligation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interest which may conflict with its obligations under this Agreement or at Law.</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Contractor </w:t>
      </w:r>
      <w:r>
        <w:rPr>
          <w:rFonts w:ascii="Arial" w:cs="Arial" w:eastAsia="Arial" w:hAnsi="Arial"/>
          <w:sz w:val="14"/>
          <w:szCs w:val="14"/>
          <w:color w:val="auto"/>
        </w:rPr>
        <w:t>means the Service Provider Personnel designated as such in Part 2 of the Schedule.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Customer Information </w:t>
      </w:r>
      <w:r>
        <w:rPr>
          <w:rFonts w:ascii="Arial" w:cs="Arial" w:eastAsia="Arial" w:hAnsi="Arial"/>
          <w:sz w:val="14"/>
          <w:szCs w:val="14"/>
          <w:color w:val="auto"/>
        </w:rPr>
        <w:t>means any information related to customers or potential customers of, whether retained by or not, ANZ and any member of ANZ Group.</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Data </w:t>
      </w:r>
      <w:r>
        <w:rPr>
          <w:rFonts w:ascii="Arial" w:cs="Arial" w:eastAsia="Arial" w:hAnsi="Arial"/>
          <w:sz w:val="14"/>
          <w:szCs w:val="14"/>
          <w:color w:val="auto"/>
        </w:rPr>
        <w:t>means all information, in whatever form, which:</w:t>
      </w:r>
    </w:p>
    <w:p>
      <w:pPr>
        <w:spacing w:after="0" w:line="197" w:lineRule="exact"/>
        <w:rPr>
          <w:sz w:val="20"/>
          <w:szCs w:val="20"/>
          <w:color w:val="auto"/>
        </w:rPr>
      </w:pPr>
    </w:p>
    <w:p>
      <w:pPr>
        <w:ind w:left="1020" w:hanging="511"/>
        <w:spacing w:after="0"/>
        <w:tabs>
          <w:tab w:leader="none" w:pos="102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is provided to the Service Provider by ANZ for the purpose of the Service Provider providing the Services;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is transmitted, received or stored, processed, generated, compiled or modified through the use, or in connection with the provision of the Services.</w:t>
      </w:r>
    </w:p>
    <w:p>
      <w:pPr>
        <w:spacing w:after="0" w:line="176" w:lineRule="exact"/>
        <w:rPr>
          <w:sz w:val="20"/>
          <w:szCs w:val="20"/>
          <w:color w:val="auto"/>
        </w:rPr>
      </w:pPr>
    </w:p>
    <w:p>
      <w:pPr>
        <w:jc w:val="both"/>
        <w:ind w:left="500"/>
        <w:spacing w:after="0" w:line="277" w:lineRule="auto"/>
        <w:rPr>
          <w:sz w:val="20"/>
          <w:szCs w:val="20"/>
          <w:color w:val="auto"/>
        </w:rPr>
      </w:pPr>
      <w:r>
        <w:rPr>
          <w:rFonts w:ascii="Arial" w:cs="Arial" w:eastAsia="Arial" w:hAnsi="Arial"/>
          <w:sz w:val="14"/>
          <w:szCs w:val="14"/>
          <w:b w:val="1"/>
          <w:bCs w:val="1"/>
          <w:i w:val="1"/>
          <w:iCs w:val="1"/>
          <w:color w:val="auto"/>
        </w:rPr>
        <w:t xml:space="preserve">Data Protection Legislation </w:t>
      </w:r>
      <w:r>
        <w:rPr>
          <w:rFonts w:ascii="Arial" w:cs="Arial" w:eastAsia="Arial" w:hAnsi="Arial"/>
          <w:sz w:val="14"/>
          <w:szCs w:val="14"/>
          <w:color w:val="auto"/>
        </w:rPr>
        <w:t>mean all Laws and all codes or guidelines issued by a Governmental Agency with relevant jurisdiction pertaining to privacy, confidentiality and/or the protection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Personal Data , when enacted, and all statutory instruments, rules or guidance made thereunder, all as may be amended from time to time.</w:t>
      </w:r>
    </w:p>
    <w:p>
      <w:pPr>
        <w:spacing w:after="0" w:line="133"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b w:val="1"/>
          <w:bCs w:val="1"/>
          <w:i w:val="1"/>
          <w:iCs w:val="1"/>
          <w:color w:val="auto"/>
        </w:rPr>
        <w:t xml:space="preserve">Developed Intellectual Property </w:t>
      </w:r>
      <w:r>
        <w:rPr>
          <w:rFonts w:ascii="Arial" w:cs="Arial" w:eastAsia="Arial" w:hAnsi="Arial"/>
          <w:sz w:val="14"/>
          <w:szCs w:val="14"/>
          <w:color w:val="auto"/>
        </w:rPr>
        <w:t>means all present and future Intellectual Property created, written or otherwise brought into existence by or on behalf of the Service Provider in connection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for the purposes of providing the Services or its other obligations under this Agreement (but excluding the Service Provider's Intellectual Property), including all Intellectual Property in the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1093" w:right="219" w:bottom="1440" w:gutter="0" w:footer="0" w:header="0"/>
        </w:sectPr>
      </w:pPr>
    </w:p>
    <w:bookmarkStart w:id="254" w:name="page255"/>
    <w:bookmarkEnd w:id="25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Dispute </w:t>
      </w:r>
      <w:r>
        <w:rPr>
          <w:rFonts w:ascii="Arial" w:cs="Arial" w:eastAsia="Arial" w:hAnsi="Arial"/>
          <w:sz w:val="14"/>
          <w:szCs w:val="14"/>
          <w:color w:val="auto"/>
        </w:rPr>
        <w:t>has the meaning set out in clause 17.1.</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b w:val="1"/>
          <w:bCs w:val="1"/>
          <w:i w:val="1"/>
          <w:iCs w:val="1"/>
          <w:color w:val="auto"/>
        </w:rPr>
        <w:t xml:space="preserve">Documentation </w:t>
      </w:r>
      <w:r>
        <w:rPr>
          <w:rFonts w:ascii="Arial" w:cs="Arial" w:eastAsia="Arial" w:hAnsi="Arial"/>
          <w:sz w:val="14"/>
          <w:szCs w:val="14"/>
          <w:color w:val="auto"/>
        </w:rPr>
        <w:t>means all documentation, reports, calculations, models, designs, drawings, plans and specifications whether in written, printed, electronic or other form relating to this Agreement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those prepared by the Service Provider for ANZ in connection with this Agreement).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Effective Control </w:t>
      </w:r>
      <w:r>
        <w:rPr>
          <w:rFonts w:ascii="Arial" w:cs="Arial" w:eastAsia="Arial" w:hAnsi="Arial"/>
          <w:sz w:val="14"/>
          <w:szCs w:val="14"/>
          <w:color w:val="auto"/>
        </w:rPr>
        <w:t>in relation to a corporation is:</w:t>
      </w:r>
    </w:p>
    <w:p>
      <w:pPr>
        <w:spacing w:after="0" w:line="197" w:lineRule="exact"/>
        <w:rPr>
          <w:sz w:val="20"/>
          <w:szCs w:val="20"/>
          <w:color w:val="auto"/>
        </w:rPr>
      </w:pPr>
    </w:p>
    <w:p>
      <w:pPr>
        <w:ind w:left="1020" w:hanging="511"/>
        <w:spacing w:after="0"/>
        <w:tabs>
          <w:tab w:leader="none" w:pos="102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control (directly or indirectly) of the composition of the corporation's board of directors or other governing body;</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control (directly or indirectly) of more than half of the voting power of the corporation;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control (directly or indirectly) of more than half of the issued share capital of the corporation.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Fee </w:t>
      </w:r>
      <w:r>
        <w:rPr>
          <w:rFonts w:ascii="Arial" w:cs="Arial" w:eastAsia="Arial" w:hAnsi="Arial"/>
          <w:sz w:val="14"/>
          <w:szCs w:val="14"/>
          <w:color w:val="auto"/>
        </w:rPr>
        <w:t>is any fee or charge payable by ANZ for the Services, calculated and payable in accordance with clause 7 of this Agreement.</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b w:val="1"/>
          <w:bCs w:val="1"/>
          <w:i w:val="1"/>
          <w:iCs w:val="1"/>
          <w:color w:val="auto"/>
        </w:rPr>
        <w:t xml:space="preserve">Government Agency </w:t>
      </w:r>
      <w:r>
        <w:rPr>
          <w:rFonts w:ascii="Arial" w:cs="Arial" w:eastAsia="Arial" w:hAnsi="Arial"/>
          <w:sz w:val="14"/>
          <w:szCs w:val="14"/>
          <w:color w:val="auto"/>
        </w:rPr>
        <w:t>means any government or any public, statutory, governmental, semi-governmental, local governmental or judicial body, entity or authority, including but not limited to Sate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Administration for Industry and Commerce, People’s Bank of China, China Bing Regulatory Commission, the branches thereof and ASIC.</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Invoice Query Statement </w:t>
      </w:r>
      <w:r>
        <w:rPr>
          <w:rFonts w:ascii="Arial" w:cs="Arial" w:eastAsia="Arial" w:hAnsi="Arial"/>
          <w:sz w:val="14"/>
          <w:szCs w:val="14"/>
          <w:color w:val="auto"/>
        </w:rPr>
        <w:t>means a statement querying any aspect of a Valid Tax Invoice, as contemplated in clause 7.3(b).</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b w:val="1"/>
          <w:bCs w:val="1"/>
          <w:i w:val="1"/>
          <w:iCs w:val="1"/>
          <w:color w:val="auto"/>
        </w:rPr>
        <w:t xml:space="preserve">Indirect Loss </w:t>
      </w:r>
      <w:r>
        <w:rPr>
          <w:rFonts w:ascii="Arial" w:cs="Arial" w:eastAsia="Arial" w:hAnsi="Arial"/>
          <w:sz w:val="14"/>
          <w:szCs w:val="14"/>
          <w:color w:val="auto"/>
        </w:rPr>
        <w:t>means any debt, obligation, cost, expense, loss, damage, compensation, charge or liability of any kind which at Law is of an indirect nature [(including any indirect loss of profits,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loss of or damage to goodwill and loss of business opportunities of this nature)].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Initial Term </w:t>
      </w:r>
      <w:r>
        <w:rPr>
          <w:rFonts w:ascii="Arial" w:cs="Arial" w:eastAsia="Arial" w:hAnsi="Arial"/>
          <w:sz w:val="14"/>
          <w:szCs w:val="14"/>
          <w:color w:val="auto"/>
        </w:rPr>
        <w:t>means the initial term specified in Part 1 of the Schedule.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Insolvent </w:t>
      </w:r>
      <w:r>
        <w:rPr>
          <w:rFonts w:ascii="Arial" w:cs="Arial" w:eastAsia="Arial" w:hAnsi="Arial"/>
          <w:sz w:val="14"/>
          <w:szCs w:val="14"/>
          <w:color w:val="auto"/>
        </w:rPr>
        <w:t>means, in relation to the Service Provider, when:</w:t>
      </w:r>
    </w:p>
    <w:p>
      <w:pPr>
        <w:spacing w:after="0" w:line="176" w:lineRule="exact"/>
        <w:rPr>
          <w:sz w:val="20"/>
          <w:szCs w:val="20"/>
          <w:color w:val="auto"/>
        </w:rPr>
      </w:pPr>
    </w:p>
    <w:p>
      <w:pPr>
        <w:ind w:left="1020" w:hanging="511"/>
        <w:spacing w:after="0"/>
        <w:tabs>
          <w:tab w:leader="none" w:pos="102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a receiver, receiver and manager, trustee, administrator, or similar official is appointed over any of the assets or undertaking of the Service Provider;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the Service Provider suspends payment of its debts generally;</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the Service Provider is or becomes unable to pay its debts when they are due or is or becomes unable to pay its debts or is presumed to be insolvent;</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3"/>
        </w:numPr>
        <w:rPr>
          <w:rFonts w:ascii="Arial" w:cs="Arial" w:eastAsia="Arial" w:hAnsi="Arial"/>
          <w:sz w:val="13"/>
          <w:szCs w:val="13"/>
          <w:color w:val="auto"/>
        </w:rPr>
      </w:pPr>
      <w:r>
        <w:rPr>
          <w:rFonts w:ascii="Arial" w:cs="Arial" w:eastAsia="Arial" w:hAnsi="Arial"/>
          <w:sz w:val="13"/>
          <w:szCs w:val="13"/>
          <w:color w:val="auto"/>
        </w:rPr>
        <w:t>the Service Provider enters into or resolves to enter into any arrangement, composition or compromise with, or assignment for the benefit of its creditors or any class of them;</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the Service Provider ceased to carry on business or threatens to cease to carry on business;</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a resolution is passed or any steps are taken to appoint, or to pass resolution to appoint, an administrator to the Service Provider;</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an application or order is made for the winding up or dissolution of the Service Provider or a resolution is passed or any steps are taken to pass a resolution for the winding up or dissolution of the Service Provider, otherwise than for the purpose of an amalgamation or reconstruction that has the prior written consent of ANZ; or</w:t>
      </w:r>
    </w:p>
    <w:p>
      <w:pPr>
        <w:spacing w:after="0" w:line="133"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the occurrence to the Service Provider of anything analogous or having a substantially similar effect to any of these conditions or matters under the Law of any applicable jurisdiction, and to the procedures, circumstances and events that constitute any of those conditions or matters.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1093" w:right="219" w:bottom="1440" w:gutter="0" w:footer="0" w:header="0"/>
        </w:sectPr>
      </w:pPr>
    </w:p>
    <w:bookmarkStart w:id="255" w:name="page256"/>
    <w:bookmarkEnd w:id="25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jc w:val="both"/>
        <w:ind w:left="500"/>
        <w:spacing w:after="0" w:line="293" w:lineRule="auto"/>
        <w:rPr>
          <w:sz w:val="20"/>
          <w:szCs w:val="20"/>
          <w:color w:val="auto"/>
        </w:rPr>
      </w:pPr>
      <w:r>
        <w:rPr>
          <w:rFonts w:ascii="Arial" w:cs="Arial" w:eastAsia="Arial" w:hAnsi="Arial"/>
          <w:sz w:val="13"/>
          <w:szCs w:val="13"/>
          <w:b w:val="1"/>
          <w:bCs w:val="1"/>
          <w:i w:val="1"/>
          <w:iCs w:val="1"/>
          <w:color w:val="auto"/>
        </w:rPr>
        <w:t xml:space="preserve">Intellectual Property </w:t>
      </w:r>
      <w:r>
        <w:rPr>
          <w:rFonts w:ascii="Arial" w:cs="Arial" w:eastAsia="Arial" w:hAnsi="Arial"/>
          <w:sz w:val="13"/>
          <w:szCs w:val="13"/>
          <w:color w:val="auto"/>
        </w:rPr>
        <w:t>means all copyright and future copyright and neighbouring rights (including rights in computer programs, documentation, drawings, writings and art works), all rights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relation to inventions including patents and patent applications, modifications or improvements to the same, registered and unregistered trade marks, registered and unregistered designs, rights in relation to trade secrets, know-how and other confidential information, and all other rights resulting from intellectual activity in the industrial, scientific, literary or artistic fields.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Law </w:t>
      </w:r>
      <w:r>
        <w:rPr>
          <w:rFonts w:ascii="Arial" w:cs="Arial" w:eastAsia="Arial" w:hAnsi="Arial"/>
          <w:sz w:val="14"/>
          <w:szCs w:val="14"/>
          <w:color w:val="auto"/>
        </w:rPr>
        <w:t>mean any law, legislation, statute, rule, order, treaty, regulation or any interpretation thereof (having the force of law) enacted, issued or promulgated.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Monthly Invoice Date </w:t>
      </w:r>
      <w:r>
        <w:rPr>
          <w:rFonts w:ascii="Arial" w:cs="Arial" w:eastAsia="Arial" w:hAnsi="Arial"/>
          <w:sz w:val="14"/>
          <w:szCs w:val="14"/>
          <w:color w:val="auto"/>
        </w:rPr>
        <w:t>means the date specified in Part 1 of the Schedule.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Moral Right </w:t>
      </w:r>
      <w:r>
        <w:rPr>
          <w:rFonts w:ascii="Arial" w:cs="Arial" w:eastAsia="Arial" w:hAnsi="Arial"/>
          <w:sz w:val="14"/>
          <w:szCs w:val="14"/>
          <w:color w:val="auto"/>
        </w:rPr>
        <w:t>means:</w:t>
      </w:r>
    </w:p>
    <w:p>
      <w:pPr>
        <w:spacing w:after="0" w:line="197" w:lineRule="exact"/>
        <w:rPr>
          <w:sz w:val="20"/>
          <w:szCs w:val="20"/>
          <w:color w:val="auto"/>
        </w:rPr>
      </w:pPr>
    </w:p>
    <w:p>
      <w:pPr>
        <w:ind w:left="1020" w:hanging="511"/>
        <w:spacing w:after="0"/>
        <w:tabs>
          <w:tab w:leader="none" w:pos="102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a right of attribution of authorship;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a right not to have authorship falsely attributed;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a right of integrity of authorship;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a right of a similar nature, which is conferred by statute, and which exists or comes to exist anywhere in the world.</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b w:val="1"/>
          <w:bCs w:val="1"/>
          <w:i w:val="1"/>
          <w:iCs w:val="1"/>
          <w:color w:val="auto"/>
        </w:rPr>
        <w:t xml:space="preserve">Personal Data </w:t>
      </w:r>
      <w:r>
        <w:rPr>
          <w:rFonts w:ascii="Arial" w:cs="Arial" w:eastAsia="Arial" w:hAnsi="Arial"/>
          <w:sz w:val="14"/>
          <w:szCs w:val="14"/>
          <w:color w:val="auto"/>
        </w:rPr>
        <w:t>means any data or information that is governed or regulated by the relevant Data Protection Legislation, including any data or information, whether true or not, about an individual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who can be identified:</w:t>
      </w:r>
    </w:p>
    <w:p>
      <w:pPr>
        <w:spacing w:after="0" w:line="133" w:lineRule="exact"/>
        <w:rPr>
          <w:sz w:val="20"/>
          <w:szCs w:val="20"/>
          <w:color w:val="auto"/>
        </w:rPr>
      </w:pPr>
    </w:p>
    <w:p>
      <w:pPr>
        <w:ind w:left="1020" w:hanging="511"/>
        <w:spacing w:after="0"/>
        <w:tabs>
          <w:tab w:leader="none" w:pos="1020" w:val="left"/>
        </w:tabs>
        <w:numPr>
          <w:ilvl w:val="0"/>
          <w:numId w:val="275"/>
        </w:numPr>
        <w:rPr>
          <w:rFonts w:ascii="Arial" w:cs="Arial" w:eastAsia="Arial" w:hAnsi="Arial"/>
          <w:sz w:val="14"/>
          <w:szCs w:val="14"/>
          <w:color w:val="auto"/>
        </w:rPr>
      </w:pPr>
      <w:r>
        <w:rPr>
          <w:rFonts w:ascii="Arial" w:cs="Arial" w:eastAsia="Arial" w:hAnsi="Arial"/>
          <w:sz w:val="14"/>
          <w:szCs w:val="14"/>
          <w:color w:val="auto"/>
        </w:rPr>
        <w:t>from that data or information;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5"/>
        </w:numPr>
        <w:rPr>
          <w:rFonts w:ascii="Arial" w:cs="Arial" w:eastAsia="Arial" w:hAnsi="Arial"/>
          <w:sz w:val="14"/>
          <w:szCs w:val="14"/>
          <w:color w:val="auto"/>
        </w:rPr>
      </w:pPr>
      <w:r>
        <w:rPr>
          <w:rFonts w:ascii="Arial" w:cs="Arial" w:eastAsia="Arial" w:hAnsi="Arial"/>
          <w:sz w:val="14"/>
          <w:szCs w:val="14"/>
          <w:color w:val="auto"/>
        </w:rPr>
        <w:t>from that data and other information to which an organisation has or is likely to have access.</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b w:val="1"/>
          <w:bCs w:val="1"/>
          <w:i w:val="1"/>
          <w:iCs w:val="1"/>
          <w:color w:val="auto"/>
        </w:rPr>
        <w:t xml:space="preserve">Personnel </w:t>
      </w:r>
      <w:r>
        <w:rPr>
          <w:rFonts w:ascii="Arial" w:cs="Arial" w:eastAsia="Arial" w:hAnsi="Arial"/>
          <w:sz w:val="14"/>
          <w:szCs w:val="14"/>
          <w:color w:val="auto"/>
        </w:rPr>
        <w:t>means any directors, officers, employees, professional advisers, agents or Authorised Subcontractors of a party (and in the case of the Service Provider, this term shall include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Contractor) connected in any way with this Agreement. For the avoidance of doubt, the Personnel of ANZ do not include the Service Provider. Where the Service Provider is an individual, then any reference to the </w:t>
      </w:r>
      <w:r>
        <w:rPr>
          <w:rFonts w:ascii="Arial" w:cs="Arial" w:eastAsia="Arial" w:hAnsi="Arial"/>
          <w:sz w:val="14"/>
          <w:szCs w:val="14"/>
          <w:b w:val="1"/>
          <w:bCs w:val="1"/>
          <w:i w:val="1"/>
          <w:iCs w:val="1"/>
          <w:color w:val="auto"/>
        </w:rPr>
        <w:t>Personnel</w:t>
      </w:r>
      <w:r>
        <w:rPr>
          <w:rFonts w:ascii="Arial" w:cs="Arial" w:eastAsia="Arial" w:hAnsi="Arial"/>
          <w:sz w:val="14"/>
          <w:szCs w:val="14"/>
          <w:color w:val="auto"/>
        </w:rPr>
        <w:t xml:space="preserve"> means that individual.</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 xml:space="preserve">P.R.C. </w:t>
      </w:r>
      <w:r>
        <w:rPr>
          <w:rFonts w:ascii="Arial" w:cs="Arial" w:eastAsia="Arial" w:hAnsi="Arial"/>
          <w:sz w:val="13"/>
          <w:szCs w:val="13"/>
          <w:color w:val="auto"/>
        </w:rPr>
        <w:t>means the People’s Republic of China (for the purpose of this Agreement, excluding HongKong Special Administrative Region, Macau Special Administrative Region and Taiwan).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Recipient </w:t>
      </w:r>
      <w:r>
        <w:rPr>
          <w:rFonts w:ascii="Arial" w:cs="Arial" w:eastAsia="Arial" w:hAnsi="Arial"/>
          <w:sz w:val="14"/>
          <w:szCs w:val="14"/>
          <w:color w:val="auto"/>
        </w:rPr>
        <w:t>means a person who is intended to receive a notice.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2"/>
          <w:szCs w:val="12"/>
          <w:b w:val="1"/>
          <w:bCs w:val="1"/>
          <w:i w:val="1"/>
          <w:iCs w:val="1"/>
          <w:color w:val="auto"/>
        </w:rPr>
        <w:t xml:space="preserve">Regulatory Requirement </w:t>
      </w:r>
      <w:r>
        <w:rPr>
          <w:rFonts w:ascii="Arial" w:cs="Arial" w:eastAsia="Arial" w:hAnsi="Arial"/>
          <w:sz w:val="12"/>
          <w:szCs w:val="12"/>
          <w:color w:val="auto"/>
        </w:rPr>
        <w:t>is a requirement (including a Code of Conduct) or, imposed or administered by a Government Agency or industry body having jurisdiction over a party or the Services.</w:t>
      </w:r>
    </w:p>
    <w:p>
      <w:pPr>
        <w:spacing w:after="0" w:line="199"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b w:val="1"/>
          <w:bCs w:val="1"/>
          <w:i w:val="1"/>
          <w:iCs w:val="1"/>
          <w:color w:val="auto"/>
        </w:rPr>
        <w:t xml:space="preserve">Service Provider's Intellectual Property </w:t>
      </w:r>
      <w:r>
        <w:rPr>
          <w:rFonts w:ascii="Arial" w:cs="Arial" w:eastAsia="Arial" w:hAnsi="Arial"/>
          <w:sz w:val="14"/>
          <w:szCs w:val="14"/>
          <w:color w:val="auto"/>
        </w:rPr>
        <w:t>means all present and future Intellectual Property created, written or otherwise brought into existence by or on behalf of the Service Provider completely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independently of the performance of the Service Provider's obligations under this Agreement, and which Service Provider can demonstrate by written records has been developed completely independently of this Agreement and not been paid for directly or indirectly by ANZ.</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Services </w:t>
      </w:r>
      <w:r>
        <w:rPr>
          <w:rFonts w:ascii="Arial" w:cs="Arial" w:eastAsia="Arial" w:hAnsi="Arial"/>
          <w:sz w:val="14"/>
          <w:szCs w:val="14"/>
          <w:color w:val="auto"/>
        </w:rPr>
        <w:t>are the services described in Part 1 of the Schedule, to be performed by the Service Provider under this Agreement.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 xml:space="preserve">Subcontract </w:t>
      </w:r>
      <w:r>
        <w:rPr>
          <w:rFonts w:ascii="Arial" w:cs="Arial" w:eastAsia="Arial" w:hAnsi="Arial"/>
          <w:sz w:val="13"/>
          <w:szCs w:val="13"/>
          <w:color w:val="auto"/>
        </w:rPr>
        <w:t>means a written agreement between the Service Provider and an Authorised Subcontractor, which relates to the provision of certain Services by that Authorised Subcontractor.</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460"/>
          </w:cols>
          <w:pgMar w:left="220" w:top="1093" w:right="219" w:bottom="1440" w:gutter="0" w:footer="0" w:header="0"/>
        </w:sectPr>
      </w:pPr>
    </w:p>
    <w:bookmarkStart w:id="256" w:name="page257"/>
    <w:bookmarkEnd w:id="25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Surviving Clauses </w:t>
      </w:r>
      <w:r>
        <w:rPr>
          <w:rFonts w:ascii="Arial" w:cs="Arial" w:eastAsia="Arial" w:hAnsi="Arial"/>
          <w:sz w:val="14"/>
          <w:szCs w:val="14"/>
          <w:color w:val="auto"/>
        </w:rPr>
        <w:t>means the following clauses:</w:t>
      </w:r>
    </w:p>
    <w:p>
      <w:pPr>
        <w:spacing w:after="0" w:line="176" w:lineRule="exact"/>
        <w:rPr>
          <w:sz w:val="20"/>
          <w:szCs w:val="20"/>
          <w:color w:val="auto"/>
        </w:rPr>
      </w:pPr>
    </w:p>
    <w:p>
      <w:pPr>
        <w:ind w:left="1200" w:hanging="186"/>
        <w:spacing w:after="0"/>
        <w:tabs>
          <w:tab w:leader="none" w:pos="1200" w:val="left"/>
        </w:tabs>
        <w:numPr>
          <w:ilvl w:val="0"/>
          <w:numId w:val="276"/>
        </w:numPr>
        <w:rPr>
          <w:rFonts w:ascii="Arial" w:cs="Arial" w:eastAsia="Arial" w:hAnsi="Arial"/>
          <w:sz w:val="12"/>
          <w:szCs w:val="12"/>
          <w:color w:val="auto"/>
        </w:rPr>
      </w:pPr>
      <w:r>
        <w:rPr>
          <w:rFonts w:ascii="Arial" w:cs="Arial" w:eastAsia="Arial" w:hAnsi="Arial"/>
          <w:sz w:val="12"/>
          <w:szCs w:val="12"/>
          <w:color w:val="auto"/>
        </w:rPr>
        <w:t>clause 1 – (Interpretation); (b) clause 2.4 – (Consequences of termination); (c) clause 5.1(a) – (Reports); (d) clause 5.6(i) - (Obligations of Personnel); (e) clause 8 – (Confidentiality);</w:t>
      </w:r>
    </w:p>
    <w:p>
      <w:pPr>
        <w:spacing w:after="0" w:line="40" w:lineRule="exact"/>
        <w:rPr>
          <w:rFonts w:ascii="Arial" w:cs="Arial" w:eastAsia="Arial" w:hAnsi="Arial"/>
          <w:sz w:val="12"/>
          <w:szCs w:val="12"/>
          <w:color w:val="auto"/>
        </w:rPr>
      </w:pPr>
    </w:p>
    <w:p>
      <w:pPr>
        <w:jc w:val="both"/>
        <w:ind w:left="1020" w:hanging="6"/>
        <w:spacing w:after="0" w:line="256" w:lineRule="auto"/>
        <w:tabs>
          <w:tab w:leader="none" w:pos="1211" w:val="left"/>
        </w:tabs>
        <w:numPr>
          <w:ilvl w:val="0"/>
          <w:numId w:val="277"/>
        </w:numPr>
        <w:rPr>
          <w:rFonts w:ascii="Arial" w:cs="Arial" w:eastAsia="Arial" w:hAnsi="Arial"/>
          <w:sz w:val="14"/>
          <w:szCs w:val="14"/>
          <w:color w:val="auto"/>
        </w:rPr>
      </w:pPr>
      <w:r>
        <w:rPr>
          <w:rFonts w:ascii="Arial" w:cs="Arial" w:eastAsia="Arial" w:hAnsi="Arial"/>
          <w:sz w:val="14"/>
          <w:szCs w:val="14"/>
          <w:color w:val="auto"/>
        </w:rPr>
        <w:t>clause 9 – (Privacy); (g) clause 10 – (Publicity); (h) clause 11 – (Intellectual Property and Moral Rights); (i) clause 12 – (Insurance and workers compensation); (j) clause 15 – (Indemnities and Liability); (k) clause 16 – (Set-off); (l) clause 17 – (Dispute resolution); (m) clause 18 – (Notices);and (n) clause 19 – (Miscellaneous) and those parts of the Schedules which need to survive to give effect to the above provisions.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Term </w:t>
      </w:r>
      <w:r>
        <w:rPr>
          <w:rFonts w:ascii="Arial" w:cs="Arial" w:eastAsia="Arial" w:hAnsi="Arial"/>
          <w:sz w:val="14"/>
          <w:szCs w:val="14"/>
          <w:color w:val="auto"/>
        </w:rPr>
        <w:t>means the term of this Agreement, as determined in accordance with clause 2.1.</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 xml:space="preserve">Valid Tax Invoice </w:t>
      </w:r>
      <w:r>
        <w:rPr>
          <w:rFonts w:ascii="Arial" w:cs="Arial" w:eastAsia="Arial" w:hAnsi="Arial"/>
          <w:sz w:val="14"/>
          <w:szCs w:val="14"/>
          <w:color w:val="auto"/>
        </w:rPr>
        <w:t>has the meaning given to it under clause 1.1 of Annexure 2.</w:t>
      </w:r>
    </w:p>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General</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this Agreement, unless the context otherwise requires:</w:t>
      </w:r>
    </w:p>
    <w:p>
      <w:pPr>
        <w:spacing w:after="0" w:line="197" w:lineRule="exact"/>
        <w:rPr>
          <w:sz w:val="20"/>
          <w:szCs w:val="20"/>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the singular includes the plural and vice versa;</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reference to an individual or person includes a corporation, partnership, joint venture, association, authority, trust, state or government and vice versa;</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a reference to a recital, clause, schedule, annexure or exhibit is to a recital, clause, schedule, annexure or exhibit of or to this Agreement unless the context requires otherwise;</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recital, schedule, annexure or a description of the parties forms part of this Agreement;</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reference to any agreement or document is to that agreement or document (and, where applicable, any of its provisions) as amended, novated, supplemented or replaced from time to time;</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reference to a party is a reference to a party to this Agreement;</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a reference to any party to this Agreement or any other document or arrangement includes that party’s executors, administrators, substitutes, successors and permitted assigns;</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where an expression is defined, another part of speech or grammatical form of that expression has a corresponding meaning;</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a reference to an agreement other than this Agreement includes an undertaking, deed, agreement or legally enforceable arrangement or understanding, whether or not in writing;</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examples are descriptive only and not exhaustive and “including” and similar expressions are not words of limitation;</w:t>
      </w:r>
    </w:p>
    <w:p>
      <w:pPr>
        <w:spacing w:after="0" w:line="175" w:lineRule="exact"/>
        <w:rPr>
          <w:rFonts w:ascii="Arial" w:cs="Arial" w:eastAsia="Arial" w:hAnsi="Arial"/>
          <w:sz w:val="14"/>
          <w:szCs w:val="14"/>
          <w:color w:val="auto"/>
        </w:rPr>
      </w:pPr>
    </w:p>
    <w:p>
      <w:pPr>
        <w:jc w:val="both"/>
        <w:ind w:left="1020" w:hanging="511"/>
        <w:spacing w:after="0" w:line="264" w:lineRule="auto"/>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promise or agreement by two or more persons binds each person individually and all of them jointly (provided that to the extent any legislation requires the liability of a person to be proportionate to that person's responsibility for the acts or omissions resulting in that liability, the effect of which legislation cannot lawfully be excluded or modified, this Agreement does not purport to exclude or modify the effect of such legislation);</w:t>
      </w:r>
    </w:p>
    <w:p>
      <w:pPr>
        <w:spacing w:after="0" w:line="142"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reference to a right includes a remedy, power, authority, discretion or benefit;</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provision must not be construed against a party merely because that party was responsible for preparing this Agreement or that provision;</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reference to any legislation or legislative provision includes any statutory modification or re-enactment of, or legislative provision substituted for, and any subordinate legislation issued under, that legislation or legislative provision; and</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a reference to any professional institute, association or body includes any succeeding institute, association or body serving similar objects.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bl>
    <w:p>
      <w:pPr>
        <w:sectPr>
          <w:pgSz w:w="11900" w:h="16838" w:orient="portrait"/>
          <w:cols w:equalWidth="0" w:num="1">
            <w:col w:w="11460"/>
          </w:cols>
          <w:pgMar w:left="220" w:top="1093" w:right="219" w:bottom="1440" w:gutter="0" w:footer="0" w:header="0"/>
        </w:sectPr>
      </w:pPr>
    </w:p>
    <w:bookmarkStart w:id="257" w:name="page258"/>
    <w:bookmarkEnd w:id="25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490220</wp:posOffset>
            </wp:positionV>
            <wp:extent cx="868680" cy="2940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color w:val="auto"/>
        </w:rPr>
        <w:t>Business Day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Where the day on or by which something must be done is not a Business Day, that thing must be done on or by the next Business Day.</w:t>
      </w:r>
    </w:p>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Consents and approvals</w:t>
      </w:r>
    </w:p>
    <w:p>
      <w:pPr>
        <w:spacing w:after="0" w:line="176" w:lineRule="exact"/>
        <w:rPr>
          <w:sz w:val="20"/>
          <w:szCs w:val="20"/>
          <w:color w:val="auto"/>
        </w:rPr>
      </w:pPr>
    </w:p>
    <w:p>
      <w:pPr>
        <w:ind w:left="500"/>
        <w:spacing w:after="0" w:line="317" w:lineRule="auto"/>
        <w:rPr>
          <w:sz w:val="20"/>
          <w:szCs w:val="20"/>
          <w:color w:val="auto"/>
        </w:rPr>
      </w:pPr>
      <w:r>
        <w:rPr>
          <w:rFonts w:ascii="Arial" w:cs="Arial" w:eastAsia="Arial" w:hAnsi="Arial"/>
          <w:sz w:val="13"/>
          <w:szCs w:val="13"/>
          <w:color w:val="auto"/>
        </w:rPr>
        <w:t>If the doing of any act, matter or thing under this Agreement is dependent on the consent or approval of a party or is within the discretion of a party, the consent or approval may be given or the discretion may be exercised conditionally or unconditionally or withheld by the party in its absolute discretion, unless express provision to the contrary has been made.</w:t>
      </w:r>
    </w:p>
    <w:p>
      <w:pPr>
        <w:spacing w:after="0" w:line="106" w:lineRule="exact"/>
        <w:rPr>
          <w:sz w:val="20"/>
          <w:szCs w:val="20"/>
          <w:color w:val="auto"/>
        </w:rPr>
      </w:pPr>
    </w:p>
    <w:p>
      <w:pPr>
        <w:ind w:left="500" w:hanging="496"/>
        <w:spacing w:after="0"/>
        <w:tabs>
          <w:tab w:leader="none" w:pos="500" w:val="left"/>
        </w:tabs>
        <w:numPr>
          <w:ilvl w:val="0"/>
          <w:numId w:val="279"/>
        </w:numPr>
        <w:rPr>
          <w:rFonts w:ascii="Arial" w:cs="Arial" w:eastAsia="Arial" w:hAnsi="Arial"/>
          <w:sz w:val="14"/>
          <w:szCs w:val="14"/>
          <w:b w:val="1"/>
          <w:bCs w:val="1"/>
          <w:color w:val="auto"/>
        </w:rPr>
      </w:pPr>
      <w:r>
        <w:rPr>
          <w:rFonts w:ascii="Arial" w:cs="Arial" w:eastAsia="Arial" w:hAnsi="Arial"/>
          <w:sz w:val="14"/>
          <w:szCs w:val="14"/>
          <w:b w:val="1"/>
          <w:bCs w:val="1"/>
          <w:color w:val="auto"/>
        </w:rPr>
        <w:t>TERM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color w:val="auto"/>
        </w:rPr>
        <w:t>Term</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This Agreement commences on the Commencement Date and continues until the end of the Initial Term unless ANZ terminates this Agreement by at least such number of days' prior written notice to the Service Provider as is specified in Part 1 of the Schedule.</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color w:val="auto"/>
        </w:rPr>
        <w:t>Termination by ANZ for cause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ANZ may terminate this Agreement with immediate effect by written notice to the Service Provider:</w:t>
      </w:r>
    </w:p>
    <w:p>
      <w:pPr>
        <w:spacing w:after="0" w:line="197" w:lineRule="exact"/>
        <w:rPr>
          <w:sz w:val="20"/>
          <w:szCs w:val="20"/>
          <w:color w:val="auto"/>
        </w:rPr>
      </w:pPr>
    </w:p>
    <w:p>
      <w:pPr>
        <w:ind w:left="1020" w:hanging="511"/>
        <w:spacing w:after="0" w:line="277" w:lineRule="auto"/>
        <w:tabs>
          <w:tab w:leader="none" w:pos="102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if the Service Provider commits a material breach of this Agreement which is not remediable, or (where the breach is capable of remedy) is not remedied within 14 days after being required by notice to do so;</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if the Service Provider materially breaches this Agreement two or more times, regardless of whether such breaches are remedied;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if there is a change in Effective Control of the Service Provider without the prior written consent of ANZ;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if the Service Provider becomes Insolvent.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color w:val="auto"/>
        </w:rPr>
        <w:t>Termination by the Service Provider for cause</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Service Provider may terminate this Agreement with immediate effect by written notice to ANZ if ANZ fails to pay any Fees, which Fees are not the subject of a bona fide dispute, due for payment under this Agreement within 60 days after being required by notice to pay those Fees.</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2"/>
          <w:szCs w:val="12"/>
          <w:color w:val="auto"/>
        </w:rPr>
        <w:t>Consequences of termination</w:t>
      </w:r>
    </w:p>
    <w:p>
      <w:pPr>
        <w:spacing w:after="0" w:line="176" w:lineRule="exact"/>
        <w:rPr>
          <w:sz w:val="20"/>
          <w:szCs w:val="20"/>
          <w:color w:val="auto"/>
        </w:rPr>
      </w:pPr>
    </w:p>
    <w:p>
      <w:pPr>
        <w:ind w:left="1020" w:hanging="511"/>
        <w:spacing w:after="0"/>
        <w:tabs>
          <w:tab w:leader="none" w:pos="1020" w:val="left"/>
        </w:tabs>
        <w:numPr>
          <w:ilvl w:val="0"/>
          <w:numId w:val="281"/>
        </w:numPr>
        <w:rPr>
          <w:rFonts w:ascii="Arial" w:cs="Arial" w:eastAsia="Arial" w:hAnsi="Arial"/>
          <w:sz w:val="14"/>
          <w:szCs w:val="14"/>
          <w:color w:val="auto"/>
        </w:rPr>
      </w:pPr>
      <w:r>
        <w:rPr>
          <w:rFonts w:ascii="Arial" w:cs="Arial" w:eastAsia="Arial" w:hAnsi="Arial"/>
          <w:sz w:val="14"/>
          <w:szCs w:val="14"/>
          <w:color w:val="auto"/>
        </w:rPr>
        <w:t>If this Agreement is terminated:</w:t>
      </w:r>
    </w:p>
    <w:p>
      <w:pPr>
        <w:spacing w:after="0" w:line="175" w:lineRule="exact"/>
        <w:rPr>
          <w:rFonts w:ascii="Arial" w:cs="Arial" w:eastAsia="Arial" w:hAnsi="Arial"/>
          <w:sz w:val="14"/>
          <w:szCs w:val="14"/>
          <w:color w:val="auto"/>
        </w:rPr>
      </w:pPr>
    </w:p>
    <w:p>
      <w:pPr>
        <w:ind w:left="1460" w:hanging="446"/>
        <w:spacing w:after="0"/>
        <w:tabs>
          <w:tab w:leader="none" w:pos="1460" w:val="left"/>
        </w:tabs>
        <w:numPr>
          <w:ilvl w:val="1"/>
          <w:numId w:val="281"/>
        </w:numPr>
        <w:rPr>
          <w:rFonts w:ascii="Arial" w:cs="Arial" w:eastAsia="Arial" w:hAnsi="Arial"/>
          <w:sz w:val="14"/>
          <w:szCs w:val="14"/>
          <w:color w:val="auto"/>
        </w:rPr>
      </w:pPr>
      <w:r>
        <w:rPr>
          <w:rFonts w:ascii="Arial" w:cs="Arial" w:eastAsia="Arial" w:hAnsi="Arial"/>
          <w:sz w:val="14"/>
          <w:szCs w:val="14"/>
          <w:color w:val="auto"/>
        </w:rPr>
        <w:t>termination, however caused, is without prejudice to any rights or liabilities of the parties accruing as at the date of termination; and</w:t>
      </w:r>
    </w:p>
    <w:p>
      <w:pPr>
        <w:spacing w:after="0" w:line="175" w:lineRule="exact"/>
        <w:rPr>
          <w:rFonts w:ascii="Arial" w:cs="Arial" w:eastAsia="Arial" w:hAnsi="Arial"/>
          <w:sz w:val="14"/>
          <w:szCs w:val="14"/>
          <w:color w:val="auto"/>
        </w:rPr>
      </w:pPr>
    </w:p>
    <w:p>
      <w:pPr>
        <w:ind w:left="1460" w:hanging="446"/>
        <w:spacing w:after="0" w:line="277" w:lineRule="auto"/>
        <w:tabs>
          <w:tab w:leader="none" w:pos="1460" w:val="left"/>
        </w:tabs>
        <w:numPr>
          <w:ilvl w:val="1"/>
          <w:numId w:val="281"/>
        </w:numPr>
        <w:rPr>
          <w:rFonts w:ascii="Arial" w:cs="Arial" w:eastAsia="Arial" w:hAnsi="Arial"/>
          <w:sz w:val="14"/>
          <w:szCs w:val="14"/>
          <w:color w:val="auto"/>
        </w:rPr>
      </w:pPr>
      <w:r>
        <w:rPr>
          <w:rFonts w:ascii="Arial" w:cs="Arial" w:eastAsia="Arial" w:hAnsi="Arial"/>
          <w:sz w:val="14"/>
          <w:szCs w:val="14"/>
          <w:color w:val="auto"/>
        </w:rPr>
        <w:t>the Service Provider is not entitled in contract, tort, in equity or otherwise to any payment or compensation for losses incurred as a result of the termination of the Service Provider’s engagement, except as provided under clause 2.4(d).</w:t>
      </w:r>
    </w:p>
    <w:p>
      <w:pPr>
        <w:spacing w:after="0" w:line="133"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81"/>
        </w:numPr>
        <w:rPr>
          <w:rFonts w:ascii="Arial" w:cs="Arial" w:eastAsia="Arial" w:hAnsi="Arial"/>
          <w:sz w:val="14"/>
          <w:szCs w:val="14"/>
          <w:color w:val="auto"/>
        </w:rPr>
      </w:pPr>
      <w:r>
        <w:rPr>
          <w:rFonts w:ascii="Arial" w:cs="Arial" w:eastAsia="Arial" w:hAnsi="Arial"/>
          <w:sz w:val="14"/>
          <w:szCs w:val="14"/>
          <w:color w:val="auto"/>
        </w:rPr>
        <w:t>If ANZ terminates the Agreement in accordance with clause 2.1, ANZ may, at its sole discretion, elect to pay the Service Provider in lieu of the notice period specified in Part 1 of the Schedule.</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81"/>
        </w:numPr>
        <w:rPr>
          <w:rFonts w:ascii="Arial" w:cs="Arial" w:eastAsia="Arial" w:hAnsi="Arial"/>
          <w:sz w:val="14"/>
          <w:szCs w:val="14"/>
          <w:color w:val="auto"/>
        </w:rPr>
      </w:pPr>
      <w:r>
        <w:rPr>
          <w:rFonts w:ascii="Arial" w:cs="Arial" w:eastAsia="Arial" w:hAnsi="Arial"/>
          <w:sz w:val="14"/>
          <w:szCs w:val="14"/>
          <w:color w:val="auto"/>
        </w:rPr>
        <w:t>If ANZ terminates the Agreement in accordance with clause 2.2 :</w:t>
      </w:r>
    </w:p>
    <w:p>
      <w:pPr>
        <w:spacing w:after="0" w:line="175" w:lineRule="exact"/>
        <w:rPr>
          <w:rFonts w:ascii="Arial" w:cs="Arial" w:eastAsia="Arial" w:hAnsi="Arial"/>
          <w:sz w:val="14"/>
          <w:szCs w:val="14"/>
          <w:color w:val="auto"/>
        </w:rPr>
      </w:pPr>
    </w:p>
    <w:p>
      <w:pPr>
        <w:ind w:left="1480" w:hanging="466"/>
        <w:spacing w:after="0" w:line="277" w:lineRule="auto"/>
        <w:tabs>
          <w:tab w:leader="none" w:pos="1480" w:val="left"/>
        </w:tabs>
        <w:numPr>
          <w:ilvl w:val="1"/>
          <w:numId w:val="281"/>
        </w:numPr>
        <w:rPr>
          <w:rFonts w:ascii="Arial" w:cs="Arial" w:eastAsia="Arial" w:hAnsi="Arial"/>
          <w:sz w:val="14"/>
          <w:szCs w:val="14"/>
          <w:color w:val="auto"/>
        </w:rPr>
      </w:pPr>
      <w:r>
        <w:rPr>
          <w:rFonts w:ascii="Arial" w:cs="Arial" w:eastAsia="Arial" w:hAnsi="Arial"/>
          <w:sz w:val="14"/>
          <w:szCs w:val="14"/>
          <w:color w:val="auto"/>
        </w:rPr>
        <w:t>ANZ is not required to make any further payment to the Service Provider and the rights and liabilities of the parties are the same as they would be at common law if the Service Provider had wrongfully repudiated the Agreement and ANZ had elected to treat the Agreement as at an end and recover damages; and</w:t>
      </w:r>
    </w:p>
    <w:p>
      <w:pPr>
        <w:spacing w:after="0" w:line="133" w:lineRule="exact"/>
        <w:rPr>
          <w:rFonts w:ascii="Arial" w:cs="Arial" w:eastAsia="Arial" w:hAnsi="Arial"/>
          <w:sz w:val="14"/>
          <w:szCs w:val="14"/>
          <w:color w:val="auto"/>
        </w:rPr>
      </w:pPr>
    </w:p>
    <w:p>
      <w:pPr>
        <w:jc w:val="both"/>
        <w:ind w:left="1460" w:hanging="446"/>
        <w:spacing w:after="0" w:line="264" w:lineRule="auto"/>
        <w:tabs>
          <w:tab w:leader="none" w:pos="1460" w:val="left"/>
        </w:tabs>
        <w:numPr>
          <w:ilvl w:val="1"/>
          <w:numId w:val="281"/>
        </w:numPr>
        <w:rPr>
          <w:rFonts w:ascii="Arial" w:cs="Arial" w:eastAsia="Arial" w:hAnsi="Arial"/>
          <w:sz w:val="14"/>
          <w:szCs w:val="14"/>
          <w:color w:val="auto"/>
        </w:rPr>
      </w:pPr>
      <w:r>
        <w:rPr>
          <w:rFonts w:ascii="Arial" w:cs="Arial" w:eastAsia="Arial" w:hAnsi="Arial"/>
          <w:sz w:val="14"/>
          <w:szCs w:val="14"/>
          <w:color w:val="auto"/>
        </w:rPr>
        <w:t>the Service Provider is liable for and indemnifies and must keep indemnified ANZ and the ANZ Group members from and against any and all Claims incurred by ANZ in engaging others to complete the provision of the services described in Part 1 of the Schedule (to the extent to which those Claims exceed the sum that would have been payable to the Service Provider to complete the provision of the Services) and any other losses suffered by ANZ as a result of the termination.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bl>
    <w:p>
      <w:pPr>
        <w:sectPr>
          <w:pgSz w:w="11900" w:h="16838" w:orient="portrait"/>
          <w:cols w:equalWidth="0" w:num="1">
            <w:col w:w="11460"/>
          </w:cols>
          <w:pgMar w:left="220" w:top="1114" w:right="219" w:bottom="1440" w:gutter="0" w:footer="0" w:header="0"/>
        </w:sectPr>
      </w:pPr>
    </w:p>
    <w:bookmarkStart w:id="258" w:name="page259"/>
    <w:bookmarkEnd w:id="25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jc w:val="both"/>
        <w:ind w:left="1020" w:hanging="511"/>
        <w:spacing w:after="0" w:line="264" w:lineRule="auto"/>
        <w:tabs>
          <w:tab w:leader="none" w:pos="1020" w:val="left"/>
        </w:tabs>
        <w:numPr>
          <w:ilvl w:val="1"/>
          <w:numId w:val="282"/>
        </w:numPr>
        <w:rPr>
          <w:rFonts w:ascii="Arial" w:cs="Arial" w:eastAsia="Arial" w:hAnsi="Arial"/>
          <w:sz w:val="14"/>
          <w:szCs w:val="14"/>
          <w:color w:val="auto"/>
        </w:rPr>
      </w:pPr>
      <w:r>
        <w:rPr>
          <w:rFonts w:ascii="Arial" w:cs="Arial" w:eastAsia="Arial" w:hAnsi="Arial"/>
          <w:sz w:val="14"/>
          <w:szCs w:val="14"/>
          <w:color w:val="auto"/>
        </w:rPr>
        <w:t>If ANZ terminates this Agreement for any reason other than as specified in clause 2.2, or the Service Provider terminates this Agreement under clause 2.3, ANZ must pay to the Service Provider the Fee for, and only for and in respect of the Services provided up to and including the date of termination, determined by ANZ (acting reasonably), less any amount ANZ is entitled to deduct or withhold under this Agreement, including under any indemnity or set-off.</w:t>
      </w:r>
    </w:p>
    <w:p>
      <w:pPr>
        <w:spacing w:after="0" w:line="142" w:lineRule="exact"/>
        <w:rPr>
          <w:rFonts w:ascii="Arial" w:cs="Arial" w:eastAsia="Arial" w:hAnsi="Arial"/>
          <w:sz w:val="14"/>
          <w:szCs w:val="14"/>
          <w:color w:val="auto"/>
        </w:rPr>
      </w:pPr>
    </w:p>
    <w:p>
      <w:pPr>
        <w:ind w:left="1020" w:hanging="511"/>
        <w:spacing w:after="0" w:line="277" w:lineRule="auto"/>
        <w:tabs>
          <w:tab w:leader="none" w:pos="1020" w:val="left"/>
        </w:tabs>
        <w:numPr>
          <w:ilvl w:val="1"/>
          <w:numId w:val="282"/>
        </w:numPr>
        <w:rPr>
          <w:rFonts w:ascii="Arial" w:cs="Arial" w:eastAsia="Arial" w:hAnsi="Arial"/>
          <w:sz w:val="14"/>
          <w:szCs w:val="14"/>
          <w:color w:val="auto"/>
        </w:rPr>
      </w:pPr>
      <w:r>
        <w:rPr>
          <w:rFonts w:ascii="Arial" w:cs="Arial" w:eastAsia="Arial" w:hAnsi="Arial"/>
          <w:sz w:val="14"/>
          <w:szCs w:val="14"/>
          <w:color w:val="auto"/>
        </w:rPr>
        <w:t>For the purpose of clauses 2.4(d) of this Agreement, in the absence of a method of calculation as to Fees to be refunded to ANZ or due to be paid by ANZ in respect of Services rendered, such Fees shall be determined on a pro rata basis by reference to the proportion of the Services rendered to that date.</w:t>
      </w:r>
    </w:p>
    <w:p>
      <w:pPr>
        <w:spacing w:after="0" w:line="129" w:lineRule="exact"/>
        <w:rPr>
          <w:rFonts w:ascii="Arial" w:cs="Arial" w:eastAsia="Arial" w:hAnsi="Arial"/>
          <w:sz w:val="14"/>
          <w:szCs w:val="14"/>
          <w:color w:val="auto"/>
        </w:rPr>
      </w:pPr>
    </w:p>
    <w:p>
      <w:pPr>
        <w:ind w:left="500" w:hanging="496"/>
        <w:spacing w:after="0"/>
        <w:tabs>
          <w:tab w:leader="none" w:pos="500" w:val="left"/>
        </w:tabs>
        <w:numPr>
          <w:ilvl w:val="0"/>
          <w:numId w:val="283"/>
        </w:numPr>
        <w:rPr>
          <w:rFonts w:ascii="Arial" w:cs="Arial" w:eastAsia="Arial" w:hAnsi="Arial"/>
          <w:sz w:val="14"/>
          <w:szCs w:val="14"/>
          <w:b w:val="1"/>
          <w:bCs w:val="1"/>
          <w:color w:val="auto"/>
        </w:rPr>
      </w:pPr>
      <w:r>
        <w:rPr>
          <w:rFonts w:ascii="Arial" w:cs="Arial" w:eastAsia="Arial" w:hAnsi="Arial"/>
          <w:sz w:val="14"/>
          <w:szCs w:val="14"/>
          <w:b w:val="1"/>
          <w:bCs w:val="1"/>
          <w:color w:val="auto"/>
        </w:rPr>
        <w:t>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2"/>
          <w:szCs w:val="12"/>
          <w:color w:val="auto"/>
        </w:rPr>
        <w:t>Independent Contractor</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ANZ appoints the Service Provider on a non-exclusive basis as an independent contractor, and the Service Provider accepts the appointment, to perform the Services for ANZ on the terms and conditions of this Agreement.</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No employment relationship</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Nothing in this Agreement is to be construed as creating an employment relationship between the Service Provider or Service Provider Personnel (including the Contractor(s)), and ANZ or any ANZ Group member.</w:t>
      </w:r>
    </w:p>
    <w:p>
      <w:pPr>
        <w:spacing w:after="0" w:line="129" w:lineRule="exact"/>
        <w:rPr>
          <w:sz w:val="20"/>
          <w:szCs w:val="20"/>
          <w:color w:val="auto"/>
        </w:rPr>
      </w:pPr>
    </w:p>
    <w:p>
      <w:pPr>
        <w:ind w:left="500" w:hanging="496"/>
        <w:spacing w:after="0"/>
        <w:tabs>
          <w:tab w:leader="none" w:pos="500" w:val="left"/>
        </w:tabs>
        <w:numPr>
          <w:ilvl w:val="0"/>
          <w:numId w:val="284"/>
        </w:numPr>
        <w:rPr>
          <w:rFonts w:ascii="Arial" w:cs="Arial" w:eastAsia="Arial" w:hAnsi="Arial"/>
          <w:sz w:val="14"/>
          <w:szCs w:val="14"/>
          <w:b w:val="1"/>
          <w:bCs w:val="1"/>
          <w:color w:val="auto"/>
        </w:rPr>
      </w:pPr>
      <w:r>
        <w:rPr>
          <w:rFonts w:ascii="Arial" w:cs="Arial" w:eastAsia="Arial" w:hAnsi="Arial"/>
          <w:sz w:val="14"/>
          <w:szCs w:val="14"/>
          <w:b w:val="1"/>
          <w:bCs w:val="1"/>
          <w:color w:val="auto"/>
        </w:rPr>
        <w:t>PROVISION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2"/>
          <w:szCs w:val="12"/>
          <w:color w:val="auto"/>
        </w:rPr>
        <w:t>Commencement of Services</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During the Term, the Service Provider must provide the Services to ANZ in accordance with this Agreement, as and when requested by ANZ by written notice from time to time, and for such time periods as may be requested by ANZ in such notices. To avoid doubt, only Contractor(s) will provide the Services to ANZ.</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color w:val="auto"/>
        </w:rPr>
        <w:t>Performance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Service Provider must:</w:t>
      </w:r>
    </w:p>
    <w:p>
      <w:pPr>
        <w:spacing w:after="0" w:line="197" w:lineRule="exact"/>
        <w:rPr>
          <w:sz w:val="20"/>
          <w:szCs w:val="20"/>
          <w:color w:val="auto"/>
        </w:rPr>
      </w:pPr>
    </w:p>
    <w:p>
      <w:pPr>
        <w:ind w:left="1020" w:hanging="511"/>
        <w:spacing w:after="0"/>
        <w:tabs>
          <w:tab w:leader="none" w:pos="102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provide all of the Services on the terms and conditions of this Agreement and in accordance with the requirements as specified in Part 1 of the Schedule;</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comply with any reasonable and lawful instruction or direction of ANZ relating to the performance of the Services including without limitation comply with all security regulations or procedures;</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85"/>
        </w:numPr>
        <w:rPr>
          <w:rFonts w:ascii="Arial" w:cs="Arial" w:eastAsia="Arial" w:hAnsi="Arial"/>
          <w:sz w:val="12"/>
          <w:szCs w:val="12"/>
          <w:color w:val="auto"/>
        </w:rPr>
      </w:pPr>
      <w:r>
        <w:rPr>
          <w:rFonts w:ascii="Arial" w:cs="Arial" w:eastAsia="Arial" w:hAnsi="Arial"/>
          <w:sz w:val="12"/>
          <w:szCs w:val="12"/>
          <w:color w:val="auto"/>
        </w:rPr>
        <w:t>satisfy any reasonable standard or protocol notified by ANZ at any time. Upon request, a copy of any relevant standard or protocol will be supplied to the Service Provider by ANZ; and</w:t>
      </w:r>
    </w:p>
    <w:p>
      <w:pPr>
        <w:spacing w:after="0" w:line="198" w:lineRule="exact"/>
        <w:rPr>
          <w:rFonts w:ascii="Arial" w:cs="Arial" w:eastAsia="Arial" w:hAnsi="Arial"/>
          <w:sz w:val="12"/>
          <w:szCs w:val="12"/>
          <w:color w:val="auto"/>
        </w:rPr>
      </w:pPr>
    </w:p>
    <w:p>
      <w:pPr>
        <w:ind w:left="1020" w:hanging="511"/>
        <w:spacing w:after="0"/>
        <w:tabs>
          <w:tab w:leader="none" w:pos="102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perform the services:</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85"/>
        </w:numPr>
        <w:rPr>
          <w:rFonts w:ascii="Arial" w:cs="Arial" w:eastAsia="Arial" w:hAnsi="Arial"/>
          <w:sz w:val="14"/>
          <w:szCs w:val="14"/>
          <w:color w:val="auto"/>
        </w:rPr>
      </w:pPr>
      <w:r>
        <w:rPr>
          <w:rFonts w:ascii="Arial" w:cs="Arial" w:eastAsia="Arial" w:hAnsi="Arial"/>
          <w:sz w:val="14"/>
          <w:szCs w:val="14"/>
          <w:color w:val="auto"/>
        </w:rPr>
        <w:t>in accordance with suitable and appropriate methods and practices; and</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85"/>
        </w:numPr>
        <w:rPr>
          <w:rFonts w:ascii="Arial" w:cs="Arial" w:eastAsia="Arial" w:hAnsi="Arial"/>
          <w:sz w:val="14"/>
          <w:szCs w:val="14"/>
          <w:color w:val="auto"/>
        </w:rPr>
      </w:pPr>
      <w:r>
        <w:rPr>
          <w:rFonts w:ascii="Arial" w:cs="Arial" w:eastAsia="Arial" w:hAnsi="Arial"/>
          <w:sz w:val="14"/>
          <w:szCs w:val="14"/>
          <w:color w:val="auto"/>
        </w:rPr>
        <w:t>in a manner that could reasonably be expected to protect the interests of ANZ in discharging its duties under the Law.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1093" w:right="219"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77" w:lineRule="exact"/>
        <w:rPr>
          <w:sz w:val="20"/>
          <w:szCs w:val="20"/>
          <w:color w:val="auto"/>
        </w:rPr>
      </w:pPr>
    </w:p>
    <w:p>
      <w:pPr>
        <w:ind w:left="500" w:hanging="496"/>
        <w:spacing w:after="0"/>
        <w:tabs>
          <w:tab w:leader="none" w:pos="500" w:val="left"/>
        </w:tabs>
        <w:numPr>
          <w:ilvl w:val="0"/>
          <w:numId w:val="286"/>
        </w:numPr>
        <w:rPr>
          <w:rFonts w:ascii="Arial" w:cs="Arial" w:eastAsia="Arial" w:hAnsi="Arial"/>
          <w:sz w:val="14"/>
          <w:szCs w:val="14"/>
          <w:b w:val="1"/>
          <w:bCs w:val="1"/>
          <w:color w:val="auto"/>
        </w:rPr>
      </w:pPr>
      <w:r>
        <w:rPr>
          <w:rFonts w:ascii="Arial" w:cs="Arial" w:eastAsia="Arial" w:hAnsi="Arial"/>
          <w:sz w:val="14"/>
          <w:szCs w:val="14"/>
          <w:b w:val="1"/>
          <w:bCs w:val="1"/>
          <w:color w:val="auto"/>
        </w:rPr>
        <w:t>GENERAL RESPONSIBILITIES AND OBLIGATIONS OF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color w:val="auto"/>
        </w:rPr>
        <w:t>General obligations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Service Provider must:</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provide information and report to ANZ as requested, in writing if required, in relation to any aspect of the Services; and attend and participate as reasonably required by ANZ in meetings with ANZ.</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3"/>
          <w:szCs w:val="13"/>
          <w:color w:val="auto"/>
        </w:rPr>
        <w:t>Compliance with Laws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Service Provider must:</w:t>
      </w:r>
    </w:p>
    <w:p>
      <w:pPr>
        <w:spacing w:after="0" w:line="197" w:lineRule="exact"/>
        <w:rPr>
          <w:sz w:val="20"/>
          <w:szCs w:val="20"/>
          <w:color w:val="auto"/>
        </w:rPr>
      </w:pPr>
    </w:p>
    <w:p>
      <w:pPr>
        <w:ind w:left="1020" w:hanging="511"/>
        <w:spacing w:after="0" w:line="277" w:lineRule="auto"/>
        <w:tabs>
          <w:tab w:leader="none" w:pos="1020" w:val="left"/>
        </w:tabs>
        <w:numPr>
          <w:ilvl w:val="0"/>
          <w:numId w:val="287"/>
        </w:numPr>
        <w:rPr>
          <w:rFonts w:ascii="Arial" w:cs="Arial" w:eastAsia="Arial" w:hAnsi="Arial"/>
          <w:sz w:val="14"/>
          <w:szCs w:val="14"/>
          <w:color w:val="auto"/>
        </w:rPr>
      </w:pPr>
      <w:r>
        <w:rPr>
          <w:rFonts w:ascii="Arial" w:cs="Arial" w:eastAsia="Arial" w:hAnsi="Arial"/>
          <w:sz w:val="14"/>
          <w:szCs w:val="14"/>
          <w:color w:val="auto"/>
        </w:rPr>
        <w:t>comply with applicable Law, any sanction imposed by any country (including any sanction that supports a decision or resolution of the United Nations Security Council), all Regulatory Requirements and all Codes of Conduct applicable to the performance by the Service Provider of its obligations under this Agreement;</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87"/>
        </w:numPr>
        <w:rPr>
          <w:rFonts w:ascii="Arial" w:cs="Arial" w:eastAsia="Arial" w:hAnsi="Arial"/>
          <w:sz w:val="14"/>
          <w:szCs w:val="14"/>
          <w:color w:val="auto"/>
        </w:rPr>
      </w:pPr>
      <w:r>
        <w:rPr>
          <w:rFonts w:ascii="Arial" w:cs="Arial" w:eastAsia="Arial" w:hAnsi="Arial"/>
          <w:sz w:val="14"/>
          <w:szCs w:val="14"/>
          <w:color w:val="auto"/>
        </w:rPr>
        <w:t>not infringe any rights (including Intellectual Property rights) of any person or otherwise be unlawful toward any person in performing the Services; and</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87"/>
        </w:numPr>
        <w:rPr>
          <w:rFonts w:ascii="Arial" w:cs="Arial" w:eastAsia="Arial" w:hAnsi="Arial"/>
          <w:sz w:val="14"/>
          <w:szCs w:val="14"/>
          <w:color w:val="auto"/>
        </w:rPr>
      </w:pPr>
      <w:r>
        <w:rPr>
          <w:rFonts w:ascii="Arial" w:cs="Arial" w:eastAsia="Arial" w:hAnsi="Arial"/>
          <w:sz w:val="14"/>
          <w:szCs w:val="14"/>
          <w:color w:val="auto"/>
        </w:rPr>
        <w:t>promptly notify ANZ of any incident (which is notifiable pursuant to any Law or Regulatory Requirement) that occurs in performing its obligations under this Agreement or while on any premises of ANZ or in contact with any Personnel of ANZ.</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2"/>
          <w:szCs w:val="12"/>
          <w:color w:val="auto"/>
        </w:rPr>
        <w:t>Engagement and Withdrawal of Personnel</w:t>
      </w:r>
    </w:p>
    <w:p>
      <w:pPr>
        <w:spacing w:after="0" w:line="176" w:lineRule="exact"/>
        <w:rPr>
          <w:sz w:val="20"/>
          <w:szCs w:val="20"/>
          <w:color w:val="auto"/>
        </w:rPr>
      </w:pPr>
    </w:p>
    <w:p>
      <w:pPr>
        <w:ind w:left="1020" w:hanging="511"/>
        <w:spacing w:after="0"/>
        <w:tabs>
          <w:tab w:leader="none" w:pos="1020"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The Service Provider must only engage or employ Contractors to perform the Services who:</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are properly qualified and adequately experienced to perform the duties allocated to them or meet the requirements as specified in Part 1 of the Schedule; and</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exhibit a high standard of work and conduct.</w:t>
      </w:r>
    </w:p>
    <w:p>
      <w:pPr>
        <w:spacing w:after="0" w:line="175" w:lineRule="exact"/>
        <w:rPr>
          <w:rFonts w:ascii="Arial" w:cs="Arial" w:eastAsia="Arial" w:hAnsi="Arial"/>
          <w:sz w:val="14"/>
          <w:szCs w:val="14"/>
          <w:color w:val="auto"/>
        </w:rPr>
      </w:pPr>
    </w:p>
    <w:p>
      <w:pPr>
        <w:jc w:val="both"/>
        <w:ind w:left="1020" w:hanging="511"/>
        <w:spacing w:after="0" w:line="264" w:lineRule="auto"/>
        <w:tabs>
          <w:tab w:leader="none" w:pos="1020"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The Service Provider must withdraw (immediately unless otherwise agreed) from the provision of the Services any Contractor, if, in ANZ’s reasonable opinion, that person, agent or organisation is unsatisfactory. If ANZ makes a request in accordance with this clause 5.3(b), the Service Provider must use its best endeavours to provide a replacement person, agent or organisation satisfactory to ANZ as soon as reasonably practicable.</w:t>
      </w:r>
    </w:p>
    <w:p>
      <w:pPr>
        <w:spacing w:after="0" w:line="142" w:lineRule="exact"/>
        <w:rPr>
          <w:rFonts w:ascii="Arial" w:cs="Arial" w:eastAsia="Arial" w:hAnsi="Arial"/>
          <w:sz w:val="14"/>
          <w:szCs w:val="14"/>
          <w:color w:val="auto"/>
        </w:rPr>
      </w:pPr>
    </w:p>
    <w:p>
      <w:pPr>
        <w:ind w:left="1020" w:hanging="511"/>
        <w:spacing w:after="0"/>
        <w:tabs>
          <w:tab w:leader="none" w:pos="1020"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The Service Provider must use its best endeavours to ensure that all Personnel:</w:t>
      </w:r>
    </w:p>
    <w:p>
      <w:pPr>
        <w:spacing w:after="0" w:line="175" w:lineRule="exact"/>
        <w:rPr>
          <w:rFonts w:ascii="Arial" w:cs="Arial" w:eastAsia="Arial" w:hAnsi="Arial"/>
          <w:sz w:val="14"/>
          <w:szCs w:val="14"/>
          <w:color w:val="auto"/>
        </w:rPr>
      </w:pPr>
    </w:p>
    <w:p>
      <w:pPr>
        <w:ind w:left="1520" w:hanging="506"/>
        <w:spacing w:after="0" w:line="277" w:lineRule="auto"/>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comply with all applicable Laws, procedures, rules, regulations, standards of conduct and lawful directions of ANZ in respect of the use of premises, equipment, business ethics or methodologies, or contact with its staff or customers in each case of ANZ or any ANZ Group member;</w:t>
      </w:r>
    </w:p>
    <w:p>
      <w:pPr>
        <w:spacing w:after="0" w:line="133" w:lineRule="exact"/>
        <w:rPr>
          <w:rFonts w:ascii="Arial" w:cs="Arial" w:eastAsia="Arial" w:hAnsi="Arial"/>
          <w:sz w:val="14"/>
          <w:szCs w:val="14"/>
          <w:color w:val="auto"/>
        </w:rPr>
      </w:pPr>
    </w:p>
    <w:p>
      <w:pPr>
        <w:ind w:left="1520" w:hanging="506"/>
        <w:spacing w:after="0" w:line="277" w:lineRule="auto"/>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while on ANZ's premises or any premises of an ANZ Group member, comply with all applicable occupational health or safety policies of ANZ, including those annexed to this Agreement and those relating to a smoke free work environment;</w:t>
      </w:r>
    </w:p>
    <w:p>
      <w:pPr>
        <w:spacing w:after="0" w:line="133" w:lineRule="exact"/>
        <w:rPr>
          <w:rFonts w:ascii="Arial" w:cs="Arial" w:eastAsia="Arial" w:hAnsi="Arial"/>
          <w:sz w:val="14"/>
          <w:szCs w:val="14"/>
          <w:color w:val="auto"/>
        </w:rPr>
      </w:pPr>
    </w:p>
    <w:p>
      <w:pPr>
        <w:ind w:left="1520" w:hanging="506"/>
        <w:spacing w:after="0"/>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act diligently, ethically, soberly and honestly;</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do not represent in any way that they are employees or agents of ANZ or any ANZ Group member;</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carry at all times, while on any premises of ANZ or any ANZ Group member, appropriate company identification; and</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do not otherwise act in any manner that could disrupt or adversely affect ANZ’s business reputation, interests or goodwill.</w:t>
      </w:r>
    </w:p>
    <w:p>
      <w:pPr>
        <w:spacing w:after="0" w:line="175" w:lineRule="exact"/>
        <w:rPr>
          <w:rFonts w:ascii="Arial" w:cs="Arial" w:eastAsia="Arial" w:hAnsi="Arial"/>
          <w:sz w:val="14"/>
          <w:szCs w:val="14"/>
          <w:color w:val="auto"/>
        </w:rPr>
      </w:pPr>
    </w:p>
    <w:p>
      <w:pPr>
        <w:ind w:left="1020" w:hanging="511"/>
        <w:spacing w:after="0" w:line="317" w:lineRule="auto"/>
        <w:tabs>
          <w:tab w:leader="none" w:pos="102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If any legislation requires ANZ to pay any of the Service Provider's employees directly in connection with their role in or in relation to the provision of the Services, the Service Provider must reimburse ANZ for all such payments in advance where practicable, but in any case within 10 Business Days after receipt of a tax invoice from ANZ.</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1093" w:right="219" w:bottom="1440" w:gutter="0" w:footer="0" w:header="0"/>
        </w:sectPr>
      </w:pPr>
    </w:p>
    <w:bookmarkStart w:id="260" w:name="page261"/>
    <w:bookmarkEnd w:id="26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093" w:right="219" w:bottom="1440" w:gutter="0" w:footer="0" w:header="0"/>
        </w:sectPr>
      </w:pP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3"/>
          <w:szCs w:val="13"/>
          <w:color w:val="auto"/>
        </w:rPr>
        <w:t>Conflicts of interest</w:t>
      </w:r>
    </w:p>
    <w:p>
      <w:pPr>
        <w:spacing w:after="0" w:line="176" w:lineRule="exact"/>
        <w:rPr>
          <w:sz w:val="20"/>
          <w:szCs w:val="20"/>
          <w:color w:val="auto"/>
        </w:rPr>
      </w:pPr>
    </w:p>
    <w:p>
      <w:pPr>
        <w:ind w:left="1020" w:hanging="511"/>
        <w:spacing w:after="0" w:line="277" w:lineRule="auto"/>
        <w:tabs>
          <w:tab w:leader="none" w:pos="102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The Service Provider represents and warrants that to the best of its knowledge, no Conflict exists as at the date of this Agreement and no Conflict is likely to arise in the performance of its obligations or exercise of its rights under this Agreement.</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The Service Provider must take all reasonable steps to avoid a Conflict.</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If a Conflict does arise, or if the Service Provider becomes aware that another party perceives a Conflict exists or is likely to arise, the Service Provider must immediately notify ANZ.</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The Service Provider must not permit any Conflict to exist without the express written consent of ANZ.</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2"/>
          <w:szCs w:val="12"/>
          <w:color w:val="auto"/>
        </w:rPr>
        <w:t>Contractors</w:t>
      </w:r>
    </w:p>
    <w:p>
      <w:pPr>
        <w:spacing w:after="0" w:line="176" w:lineRule="exact"/>
        <w:rPr>
          <w:sz w:val="20"/>
          <w:szCs w:val="20"/>
          <w:color w:val="auto"/>
        </w:rPr>
      </w:pPr>
    </w:p>
    <w:p>
      <w:pPr>
        <w:ind w:left="1020" w:hanging="511"/>
        <w:spacing w:after="0" w:line="277" w:lineRule="auto"/>
        <w:tabs>
          <w:tab w:leader="none" w:pos="102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The Service Provider is responsible for validating with the Candidates whether the Candidate has the right to work in the country of location of employment specified by the Principal and must perform this task for each Candidate.</w:t>
      </w:r>
    </w:p>
    <w:p>
      <w:pPr>
        <w:spacing w:after="0" w:line="133" w:lineRule="exact"/>
        <w:rPr>
          <w:rFonts w:ascii="Arial" w:cs="Arial" w:eastAsia="Arial" w:hAnsi="Arial"/>
          <w:sz w:val="14"/>
          <w:szCs w:val="14"/>
          <w:color w:val="auto"/>
        </w:rPr>
      </w:pPr>
    </w:p>
    <w:p>
      <w:pPr>
        <w:jc w:val="both"/>
        <w:ind w:left="1020" w:hanging="511"/>
        <w:spacing w:after="0" w:line="255" w:lineRule="auto"/>
        <w:tabs>
          <w:tab w:leader="none" w:pos="102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Service Provider shall ensure that the Contractor is able to represent ANZ in accordance with its high standards of integrity and professionalism. For that reason, the commencement of a Contractor’s performance of the Services is contingent upon the background screening processes in accordance with this clause. The matters investigated must include whether the individual is in good standing with the regulatory bodies that govern ANZ’s industry, where applicable. Subject to applicable laws and regulations of the relevant jurisdiction, such processes may also include the verification of employment history and education; an identity check; right to work; a search for criminal convictions; anti-money laundering and counter terrorism financing check; economic and trade sanctions check; bankruptcy check; conflicts of interest; a media/local press search and any other screening as required or specified by ANZ. The above checks will be undertaken by a third party provider appointed by ANZ and at ANZ’s own expense. The Service Provider is expected to advise each Contractor of this policy.</w:t>
      </w:r>
    </w:p>
    <w:p>
      <w:pPr>
        <w:spacing w:after="0" w:line="149"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Where ANZ is not satisfied, for any reason and at its sole discretion, with a Contractor proposed by the Service Provider, the Service Provider must nominate an alternative person (or persons) for approval by ANZ.</w:t>
      </w:r>
    </w:p>
    <w:p>
      <w:pPr>
        <w:spacing w:after="0" w:line="133"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To avoid doubt, a Contractor may be a personnel member of an Authorized Subcontractor. The Service Provider must ensure that each Authorized Subcontractor acknowledges and agrees to comply with this clause 5.5 with respect to such personnel.</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2"/>
          <w:szCs w:val="12"/>
          <w:color w:val="auto"/>
        </w:rPr>
        <w:t>Obligations in respect of Personnel</w:t>
      </w:r>
    </w:p>
    <w:p>
      <w:pPr>
        <w:spacing w:after="0" w:line="176" w:lineRule="exact"/>
        <w:rPr>
          <w:sz w:val="20"/>
          <w:szCs w:val="20"/>
          <w:color w:val="auto"/>
        </w:rPr>
      </w:pPr>
    </w:p>
    <w:p>
      <w:pPr>
        <w:ind w:left="1020" w:hanging="511"/>
        <w:spacing w:after="0"/>
        <w:tabs>
          <w:tab w:leader="none" w:pos="102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The Service Provider acknowledges that:</w:t>
      </w:r>
    </w:p>
    <w:p>
      <w:pPr>
        <w:spacing w:after="0" w:line="175" w:lineRule="exact"/>
        <w:rPr>
          <w:rFonts w:ascii="Arial" w:cs="Arial" w:eastAsia="Arial" w:hAnsi="Arial"/>
          <w:sz w:val="14"/>
          <w:szCs w:val="14"/>
          <w:color w:val="auto"/>
        </w:rPr>
      </w:pPr>
    </w:p>
    <w:p>
      <w:pPr>
        <w:ind w:left="1460" w:hanging="446"/>
        <w:spacing w:after="0"/>
        <w:tabs>
          <w:tab w:leader="none" w:pos="1460" w:val="left"/>
        </w:tabs>
        <w:numPr>
          <w:ilvl w:val="1"/>
          <w:numId w:val="291"/>
        </w:numPr>
        <w:rPr>
          <w:rFonts w:ascii="Arial" w:cs="Arial" w:eastAsia="Arial" w:hAnsi="Arial"/>
          <w:sz w:val="14"/>
          <w:szCs w:val="14"/>
          <w:color w:val="auto"/>
        </w:rPr>
      </w:pPr>
      <w:r>
        <w:rPr>
          <w:rFonts w:ascii="Arial" w:cs="Arial" w:eastAsia="Arial" w:hAnsi="Arial"/>
          <w:sz w:val="14"/>
          <w:szCs w:val="14"/>
          <w:color w:val="auto"/>
        </w:rPr>
        <w:t>it will continue to pay directly to the Contractor all salary and other related employment benefits and leave entitlements;</w:t>
      </w:r>
    </w:p>
    <w:p>
      <w:pPr>
        <w:spacing w:after="0" w:line="175" w:lineRule="exact"/>
        <w:rPr>
          <w:rFonts w:ascii="Arial" w:cs="Arial" w:eastAsia="Arial" w:hAnsi="Arial"/>
          <w:sz w:val="14"/>
          <w:szCs w:val="14"/>
          <w:color w:val="auto"/>
        </w:rPr>
      </w:pPr>
    </w:p>
    <w:p>
      <w:pPr>
        <w:ind w:left="1460" w:hanging="446"/>
        <w:spacing w:after="0"/>
        <w:tabs>
          <w:tab w:leader="none" w:pos="1460" w:val="left"/>
        </w:tabs>
        <w:numPr>
          <w:ilvl w:val="1"/>
          <w:numId w:val="291"/>
        </w:numPr>
        <w:rPr>
          <w:rFonts w:ascii="Arial" w:cs="Arial" w:eastAsia="Arial" w:hAnsi="Arial"/>
          <w:sz w:val="14"/>
          <w:szCs w:val="14"/>
          <w:color w:val="auto"/>
        </w:rPr>
      </w:pPr>
      <w:r>
        <w:rPr>
          <w:rFonts w:ascii="Arial" w:cs="Arial" w:eastAsia="Arial" w:hAnsi="Arial"/>
          <w:sz w:val="14"/>
          <w:szCs w:val="14"/>
          <w:color w:val="auto"/>
        </w:rPr>
        <w:t>it will comply with all legislative requirements which arise as a result of the employment of the Contractor by the Service Provider;</w:t>
      </w:r>
    </w:p>
    <w:p>
      <w:pPr>
        <w:spacing w:after="0" w:line="175" w:lineRule="exact"/>
        <w:rPr>
          <w:rFonts w:ascii="Arial" w:cs="Arial" w:eastAsia="Arial" w:hAnsi="Arial"/>
          <w:sz w:val="14"/>
          <w:szCs w:val="14"/>
          <w:color w:val="auto"/>
        </w:rPr>
      </w:pPr>
    </w:p>
    <w:p>
      <w:pPr>
        <w:ind w:left="1460" w:hanging="446"/>
        <w:spacing w:after="0"/>
        <w:tabs>
          <w:tab w:leader="none" w:pos="1460" w:val="left"/>
        </w:tabs>
        <w:numPr>
          <w:ilvl w:val="1"/>
          <w:numId w:val="291"/>
        </w:numPr>
        <w:rPr>
          <w:rFonts w:ascii="Arial" w:cs="Arial" w:eastAsia="Arial" w:hAnsi="Arial"/>
          <w:sz w:val="14"/>
          <w:szCs w:val="14"/>
          <w:color w:val="auto"/>
        </w:rPr>
      </w:pPr>
      <w:r>
        <w:rPr>
          <w:rFonts w:ascii="Arial" w:cs="Arial" w:eastAsia="Arial" w:hAnsi="Arial"/>
          <w:sz w:val="14"/>
          <w:szCs w:val="14"/>
          <w:color w:val="auto"/>
        </w:rPr>
        <w:t>it is responsible for and will comply with all legislative requirements related to Taxes and social security applying to the employees;</w:t>
      </w:r>
    </w:p>
    <w:p>
      <w:pPr>
        <w:spacing w:after="0" w:line="175" w:lineRule="exact"/>
        <w:rPr>
          <w:rFonts w:ascii="Arial" w:cs="Arial" w:eastAsia="Arial" w:hAnsi="Arial"/>
          <w:sz w:val="14"/>
          <w:szCs w:val="14"/>
          <w:color w:val="auto"/>
        </w:rPr>
      </w:pPr>
    </w:p>
    <w:p>
      <w:pPr>
        <w:ind w:left="1460" w:hanging="446"/>
        <w:spacing w:after="0"/>
        <w:tabs>
          <w:tab w:leader="none" w:pos="1460" w:val="left"/>
        </w:tabs>
        <w:numPr>
          <w:ilvl w:val="1"/>
          <w:numId w:val="291"/>
        </w:numPr>
        <w:rPr>
          <w:rFonts w:ascii="Arial" w:cs="Arial" w:eastAsia="Arial" w:hAnsi="Arial"/>
          <w:sz w:val="14"/>
          <w:szCs w:val="14"/>
          <w:color w:val="auto"/>
        </w:rPr>
      </w:pPr>
      <w:r>
        <w:rPr>
          <w:rFonts w:ascii="Arial" w:cs="Arial" w:eastAsia="Arial" w:hAnsi="Arial"/>
          <w:sz w:val="14"/>
          <w:szCs w:val="14"/>
          <w:color w:val="auto"/>
        </w:rPr>
        <w:t>it will be responsible for any and all payments to the Contractor of the Service Provider in relation to the Services or any part of them; and</w:t>
      </w:r>
    </w:p>
    <w:p>
      <w:pPr>
        <w:spacing w:after="0" w:line="175" w:lineRule="exact"/>
        <w:rPr>
          <w:rFonts w:ascii="Arial" w:cs="Arial" w:eastAsia="Arial" w:hAnsi="Arial"/>
          <w:sz w:val="14"/>
          <w:szCs w:val="14"/>
          <w:color w:val="auto"/>
        </w:rPr>
      </w:pPr>
    </w:p>
    <w:p>
      <w:pPr>
        <w:ind w:left="1460" w:hanging="446"/>
        <w:spacing w:after="0"/>
        <w:tabs>
          <w:tab w:leader="none" w:pos="1460" w:val="left"/>
        </w:tabs>
        <w:numPr>
          <w:ilvl w:val="1"/>
          <w:numId w:val="291"/>
        </w:numPr>
        <w:rPr>
          <w:rFonts w:ascii="Arial" w:cs="Arial" w:eastAsia="Arial" w:hAnsi="Arial"/>
          <w:sz w:val="12"/>
          <w:szCs w:val="12"/>
          <w:color w:val="auto"/>
        </w:rPr>
      </w:pPr>
      <w:r>
        <w:rPr>
          <w:rFonts w:ascii="Arial" w:cs="Arial" w:eastAsia="Arial" w:hAnsi="Arial"/>
          <w:sz w:val="12"/>
          <w:szCs w:val="12"/>
          <w:color w:val="auto"/>
        </w:rPr>
        <w:t>neither the Service Provider, nor any agents of the Service Provider or Service Provider Personnel are entitled to any CPF contributions from ANZ or any ANZ Group Member.</w:t>
      </w:r>
    </w:p>
    <w:p>
      <w:pPr>
        <w:spacing w:after="0" w:line="198" w:lineRule="exact"/>
        <w:rPr>
          <w:rFonts w:ascii="Arial" w:cs="Arial" w:eastAsia="Arial" w:hAnsi="Arial"/>
          <w:sz w:val="12"/>
          <w:szCs w:val="12"/>
          <w:color w:val="auto"/>
        </w:rPr>
      </w:pPr>
    </w:p>
    <w:p>
      <w:pPr>
        <w:jc w:val="both"/>
        <w:ind w:left="1020" w:hanging="511"/>
        <w:spacing w:after="0" w:line="264" w:lineRule="auto"/>
        <w:tabs>
          <w:tab w:leader="none" w:pos="102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Without limiting clause 5.6(a), the Service Provider is responsible for and indemnifies and must keep indemnified ANZ and the ANZ Group members from and against any and all income tax and payroll tax payable by either party (or any other ANZ Group member) under any income tax or payroll legislation, or any other statute imposing any liability for taxation in respect of the Service Provider or its Personnel, whether foreseeable or not.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1093" w:right="219"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490220</wp:posOffset>
            </wp:positionV>
            <wp:extent cx="868680" cy="2940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202" w:lineRule="exact"/>
        <w:rPr>
          <w:sz w:val="20"/>
          <w:szCs w:val="20"/>
          <w:color w:val="auto"/>
        </w:rPr>
      </w:pPr>
    </w:p>
    <w:p>
      <w:pPr>
        <w:ind w:left="1020" w:hanging="511"/>
        <w:spacing w:after="0" w:line="277" w:lineRule="auto"/>
        <w:tabs>
          <w:tab w:leader="none" w:pos="102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The Service Provider agrees that the remuneration and the expenses referred to in this Agreement constitute the only remuneration or financial benefits to which the Service Provider is or may become entitled in connection with this Agreement and the Service Provider acknowledges that:</w:t>
      </w:r>
    </w:p>
    <w:p>
      <w:pPr>
        <w:spacing w:after="0" w:line="133" w:lineRule="exact"/>
        <w:rPr>
          <w:rFonts w:ascii="Arial" w:cs="Arial" w:eastAsia="Arial" w:hAnsi="Arial"/>
          <w:sz w:val="14"/>
          <w:szCs w:val="14"/>
          <w:color w:val="auto"/>
        </w:rPr>
      </w:pPr>
    </w:p>
    <w:p>
      <w:pPr>
        <w:ind w:left="1520" w:hanging="506"/>
        <w:spacing w:after="0" w:line="277" w:lineRule="auto"/>
        <w:tabs>
          <w:tab w:leader="none" w:pos="1520" w:val="left"/>
        </w:tabs>
        <w:numPr>
          <w:ilvl w:val="1"/>
          <w:numId w:val="292"/>
        </w:numPr>
        <w:rPr>
          <w:rFonts w:ascii="Arial" w:cs="Arial" w:eastAsia="Arial" w:hAnsi="Arial"/>
          <w:sz w:val="14"/>
          <w:szCs w:val="14"/>
          <w:color w:val="auto"/>
        </w:rPr>
      </w:pPr>
      <w:r>
        <w:rPr>
          <w:rFonts w:ascii="Arial" w:cs="Arial" w:eastAsia="Arial" w:hAnsi="Arial"/>
          <w:sz w:val="14"/>
          <w:szCs w:val="14"/>
          <w:color w:val="auto"/>
        </w:rPr>
        <w:t>ANZ will have no responsibility to the Service Provider, any of Service Provider’s agents or Service Provider Personnel (including any Contractor) in respect of remuneration, other related employment benefits or compliance with legislative requirements in relation to employees; and</w:t>
      </w:r>
    </w:p>
    <w:p>
      <w:pPr>
        <w:spacing w:after="0" w:line="133" w:lineRule="exact"/>
        <w:rPr>
          <w:rFonts w:ascii="Arial" w:cs="Arial" w:eastAsia="Arial" w:hAnsi="Arial"/>
          <w:sz w:val="14"/>
          <w:szCs w:val="14"/>
          <w:color w:val="auto"/>
        </w:rPr>
      </w:pPr>
    </w:p>
    <w:p>
      <w:pPr>
        <w:ind w:left="1520" w:hanging="506"/>
        <w:spacing w:after="0" w:line="277" w:lineRule="auto"/>
        <w:tabs>
          <w:tab w:leader="none" w:pos="1520" w:val="left"/>
        </w:tabs>
        <w:numPr>
          <w:ilvl w:val="1"/>
          <w:numId w:val="292"/>
        </w:numPr>
        <w:rPr>
          <w:rFonts w:ascii="Arial" w:cs="Arial" w:eastAsia="Arial" w:hAnsi="Arial"/>
          <w:sz w:val="14"/>
          <w:szCs w:val="14"/>
          <w:color w:val="auto"/>
        </w:rPr>
      </w:pPr>
      <w:r>
        <w:rPr>
          <w:rFonts w:ascii="Arial" w:cs="Arial" w:eastAsia="Arial" w:hAnsi="Arial"/>
          <w:sz w:val="14"/>
          <w:szCs w:val="14"/>
          <w:color w:val="auto"/>
        </w:rPr>
        <w:t>any Contractor is not, nor will be, entitled to receive any redundancy payments, long service leave, sick leave, parental leave, holiday pay, superannuation benefits or any other benefits from ANZ in connection with this Agreement.</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2"/>
          <w:szCs w:val="12"/>
          <w:color w:val="auto"/>
        </w:rPr>
        <w:t>Management of Personnel</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The Service Provider must ensure that the Contractor(s) are dedicated to the performance of the Services and available to perform the Services at all times and will not remove or redeploy Contractors performing Services without the prior written permission of ANZ. The Service Provider must notify ANZ immediately if for any reason a Contractor becomes unable to perform the Services and suggest a suitable replacement person with equivalent skill and experience.</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2"/>
          <w:szCs w:val="12"/>
          <w:color w:val="auto"/>
        </w:rPr>
        <w:t>Service Provider to Protect ANZ Property</w:t>
      </w:r>
    </w:p>
    <w:p>
      <w:pPr>
        <w:spacing w:after="0" w:line="176" w:lineRule="exact"/>
        <w:rPr>
          <w:sz w:val="20"/>
          <w:szCs w:val="20"/>
          <w:color w:val="auto"/>
        </w:rPr>
      </w:pPr>
    </w:p>
    <w:p>
      <w:pPr>
        <w:jc w:val="both"/>
        <w:ind w:left="500"/>
        <w:spacing w:after="0" w:line="328" w:lineRule="auto"/>
        <w:rPr>
          <w:sz w:val="20"/>
          <w:szCs w:val="20"/>
          <w:color w:val="auto"/>
        </w:rPr>
      </w:pPr>
      <w:r>
        <w:rPr>
          <w:rFonts w:ascii="Arial" w:cs="Arial" w:eastAsia="Arial" w:hAnsi="Arial"/>
          <w:sz w:val="12"/>
          <w:szCs w:val="12"/>
          <w:color w:val="auto"/>
        </w:rPr>
        <w:t>The Service Provider must ensure that all information and materials of ANZ in the custody of the Service Provider for purposes connected with this Agreement are protected at all times from unauthorised access or use by any third party, and from misuse, damage or destruction by any person. The Service Provider should be liable for the cost of reinstating the works or any part thereof damaged or destroyed by any cause of event whatsoever arising from carrying out of the services to the extent of the same is solely and directly due to an act or omission of the Service Provider</w:t>
      </w:r>
    </w:p>
    <w:p>
      <w:pPr>
        <w:spacing w:after="0" w:line="129"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2"/>
          <w:szCs w:val="12"/>
          <w:color w:val="auto"/>
        </w:rPr>
        <w:t>ANZ Electronic Processes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Where applicable, the Service Provider will integrate with ANZ’s current electronic processes in the following areas: invoicing, payments and reporting.</w:t>
      </w:r>
    </w:p>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5.10</w:t>
      </w:r>
      <w:r>
        <w:rPr>
          <w:sz w:val="20"/>
          <w:szCs w:val="20"/>
          <w:color w:val="auto"/>
        </w:rPr>
        <w:tab/>
      </w:r>
      <w:r>
        <w:rPr>
          <w:rFonts w:ascii="Arial" w:cs="Arial" w:eastAsia="Arial" w:hAnsi="Arial"/>
          <w:sz w:val="13"/>
          <w:szCs w:val="13"/>
          <w:color w:val="auto"/>
        </w:rPr>
        <w:t>Sustainability</w:t>
      </w:r>
    </w:p>
    <w:p>
      <w:pPr>
        <w:spacing w:after="0" w:line="176" w:lineRule="exact"/>
        <w:rPr>
          <w:sz w:val="20"/>
          <w:szCs w:val="20"/>
          <w:color w:val="auto"/>
        </w:rPr>
      </w:pPr>
    </w:p>
    <w:p>
      <w:pPr>
        <w:ind w:left="1020" w:hanging="511"/>
        <w:spacing w:after="0"/>
        <w:tabs>
          <w:tab w:leader="none" w:pos="1020" w:val="left"/>
        </w:tabs>
        <w:numPr>
          <w:ilvl w:val="1"/>
          <w:numId w:val="293"/>
        </w:numPr>
        <w:rPr>
          <w:rFonts w:ascii="Arial" w:cs="Arial" w:eastAsia="Arial" w:hAnsi="Arial"/>
          <w:sz w:val="13"/>
          <w:szCs w:val="13"/>
          <w:color w:val="auto"/>
        </w:rPr>
      </w:pPr>
      <w:r>
        <w:rPr>
          <w:rFonts w:ascii="Arial" w:cs="Arial" w:eastAsia="Arial" w:hAnsi="Arial"/>
          <w:sz w:val="13"/>
          <w:szCs w:val="13"/>
          <w:color w:val="auto"/>
        </w:rPr>
        <w:t>The Service Provider acknowledges that ANZ is committed to engaging Service Providers whose environmental, ethical and social performance is of a high standard; and</w:t>
      </w:r>
    </w:p>
    <w:p>
      <w:pPr>
        <w:spacing w:after="0" w:line="187" w:lineRule="exact"/>
        <w:rPr>
          <w:rFonts w:ascii="Arial" w:cs="Arial" w:eastAsia="Arial" w:hAnsi="Arial"/>
          <w:sz w:val="13"/>
          <w:szCs w:val="13"/>
          <w:color w:val="auto"/>
        </w:rPr>
      </w:pPr>
    </w:p>
    <w:p>
      <w:pPr>
        <w:ind w:left="1020" w:hanging="511"/>
        <w:spacing w:after="0" w:line="277" w:lineRule="auto"/>
        <w:tabs>
          <w:tab w:leader="none" w:pos="1020" w:val="left"/>
        </w:tabs>
        <w:numPr>
          <w:ilvl w:val="1"/>
          <w:numId w:val="293"/>
        </w:numPr>
        <w:rPr>
          <w:rFonts w:ascii="Arial" w:cs="Arial" w:eastAsia="Arial" w:hAnsi="Arial"/>
          <w:sz w:val="14"/>
          <w:szCs w:val="14"/>
          <w:color w:val="auto"/>
        </w:rPr>
      </w:pPr>
      <w:r>
        <w:rPr>
          <w:rFonts w:ascii="Arial" w:cs="Arial" w:eastAsia="Arial" w:hAnsi="Arial"/>
          <w:sz w:val="14"/>
          <w:szCs w:val="14"/>
          <w:color w:val="auto"/>
        </w:rPr>
        <w:t>The Service Provider must comply with ANZ’s Supplier Code of Practice published from time to time at www.</w:t>
      </w:r>
      <w:r>
        <w:rPr>
          <w:rFonts w:ascii="Arial" w:cs="Arial" w:eastAsia="Arial" w:hAnsi="Arial"/>
          <w:sz w:val="14"/>
          <w:szCs w:val="14"/>
          <w:i w:val="1"/>
          <w:iCs w:val="1"/>
          <w:color w:val="auto"/>
        </w:rPr>
        <w:t>anz.com</w:t>
      </w:r>
      <w:r>
        <w:rPr>
          <w:rFonts w:ascii="Arial" w:cs="Arial" w:eastAsia="Arial" w:hAnsi="Arial"/>
          <w:sz w:val="14"/>
          <w:szCs w:val="14"/>
          <w:color w:val="auto"/>
        </w:rPr>
        <w:t xml:space="preserve"> and such other document as may be notified to the Service Provider by ANZ from time to time.</w:t>
      </w:r>
    </w:p>
    <w:p>
      <w:pPr>
        <w:spacing w:after="0" w:line="129" w:lineRule="exact"/>
        <w:rPr>
          <w:rFonts w:ascii="Arial" w:cs="Arial" w:eastAsia="Arial" w:hAnsi="Arial"/>
          <w:sz w:val="14"/>
          <w:szCs w:val="14"/>
          <w:color w:val="auto"/>
        </w:rPr>
      </w:pPr>
    </w:p>
    <w:p>
      <w:pPr>
        <w:ind w:left="500" w:hanging="496"/>
        <w:spacing w:after="0"/>
        <w:tabs>
          <w:tab w:leader="none" w:pos="500" w:val="left"/>
        </w:tabs>
        <w:numPr>
          <w:ilvl w:val="0"/>
          <w:numId w:val="294"/>
        </w:numPr>
        <w:rPr>
          <w:rFonts w:ascii="Arial" w:cs="Arial" w:eastAsia="Arial" w:hAnsi="Arial"/>
          <w:sz w:val="14"/>
          <w:szCs w:val="14"/>
          <w:b w:val="1"/>
          <w:bCs w:val="1"/>
          <w:color w:val="auto"/>
        </w:rPr>
      </w:pPr>
      <w:r>
        <w:rPr>
          <w:rFonts w:ascii="Arial" w:cs="Arial" w:eastAsia="Arial" w:hAnsi="Arial"/>
          <w:sz w:val="14"/>
          <w:szCs w:val="14"/>
          <w:b w:val="1"/>
          <w:bCs w:val="1"/>
          <w:color w:val="auto"/>
        </w:rPr>
        <w:t>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2"/>
          <w:szCs w:val="12"/>
          <w:color w:val="auto"/>
        </w:rPr>
        <w:t>No subcontracting without consent</w:t>
      </w:r>
    </w:p>
    <w:p>
      <w:pPr>
        <w:spacing w:after="0" w:line="176" w:lineRule="exact"/>
        <w:rPr>
          <w:sz w:val="20"/>
          <w:szCs w:val="20"/>
          <w:color w:val="auto"/>
        </w:rPr>
      </w:pPr>
    </w:p>
    <w:p>
      <w:pPr>
        <w:jc w:val="both"/>
        <w:ind w:left="500"/>
        <w:spacing w:after="0" w:line="317" w:lineRule="auto"/>
        <w:rPr>
          <w:sz w:val="20"/>
          <w:szCs w:val="20"/>
          <w:color w:val="auto"/>
        </w:rPr>
      </w:pPr>
      <w:r>
        <w:rPr>
          <w:rFonts w:ascii="Arial" w:cs="Arial" w:eastAsia="Arial" w:hAnsi="Arial"/>
          <w:sz w:val="13"/>
          <w:szCs w:val="13"/>
          <w:color w:val="auto"/>
        </w:rPr>
        <w:t>The Service Provider must not subcontract the performance of any of its obligations under this Agreement without the prior written consent of ANZ. For the purposes of this Agreement, ANZ consents to the Service Provider subcontracting the work described in Part 1 of the Schedule to the corresponding entities named in Part 1 of the Schedule (</w:t>
      </w:r>
      <w:r>
        <w:rPr>
          <w:rFonts w:ascii="Arial" w:cs="Arial" w:eastAsia="Arial" w:hAnsi="Arial"/>
          <w:sz w:val="13"/>
          <w:szCs w:val="13"/>
          <w:b w:val="1"/>
          <w:bCs w:val="1"/>
          <w:i w:val="1"/>
          <w:iCs w:val="1"/>
          <w:color w:val="auto"/>
        </w:rPr>
        <w:t>Authorised Subcontractor</w:t>
      </w:r>
      <w:r>
        <w:rPr>
          <w:rFonts w:ascii="Arial" w:cs="Arial" w:eastAsia="Arial" w:hAnsi="Arial"/>
          <w:sz w:val="13"/>
          <w:szCs w:val="13"/>
          <w:color w:val="auto"/>
        </w:rPr>
        <w:t>).</w:t>
      </w:r>
    </w:p>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color w:val="auto"/>
        </w:rPr>
        <w:t>Obligations in relation to subcontractors</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If ANZ does consent under clause 6.1 to the Service Provider subcontracting specific obligations under this Agreement to an Authorised Subcontractor the Service Provider remains principally liable for the performance of its obligations under this Agreement. The Service Provider retains full responsibility for the acts, omissions, defaults and/or negligence of its Authorised Subcontractors.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60"/>
          </w:cols>
          <w:pgMar w:left="220" w:top="1114" w:right="219" w:bottom="1440" w:gutter="0" w:footer="0" w:header="0"/>
        </w:sectPr>
      </w:pPr>
    </w:p>
    <w:bookmarkStart w:id="262" w:name="page263"/>
    <w:bookmarkEnd w:id="26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77" w:lineRule="exact"/>
        <w:rPr>
          <w:sz w:val="20"/>
          <w:szCs w:val="20"/>
          <w:color w:val="auto"/>
        </w:rPr>
      </w:pPr>
    </w:p>
    <w:p>
      <w:pPr>
        <w:ind w:left="500" w:hanging="496"/>
        <w:spacing w:after="0"/>
        <w:tabs>
          <w:tab w:leader="none" w:pos="500" w:val="left"/>
        </w:tabs>
        <w:numPr>
          <w:ilvl w:val="0"/>
          <w:numId w:val="295"/>
        </w:numPr>
        <w:rPr>
          <w:rFonts w:ascii="Arial" w:cs="Arial" w:eastAsia="Arial" w:hAnsi="Arial"/>
          <w:sz w:val="14"/>
          <w:szCs w:val="14"/>
          <w:b w:val="1"/>
          <w:bCs w:val="1"/>
          <w:color w:val="auto"/>
        </w:rPr>
      </w:pPr>
      <w:r>
        <w:rPr>
          <w:rFonts w:ascii="Arial" w:cs="Arial" w:eastAsia="Arial" w:hAnsi="Arial"/>
          <w:sz w:val="14"/>
          <w:szCs w:val="14"/>
          <w:b w:val="1"/>
          <w:bCs w:val="1"/>
          <w:color w:val="auto"/>
        </w:rPr>
        <w:t>FEES, INVOICING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1"/>
          <w:szCs w:val="11"/>
          <w:color w:val="auto"/>
        </w:rPr>
        <w:t>Fees</w:t>
      </w:r>
    </w:p>
    <w:p>
      <w:pPr>
        <w:spacing w:after="0" w:line="176" w:lineRule="exact"/>
        <w:rPr>
          <w:sz w:val="20"/>
          <w:szCs w:val="20"/>
          <w:color w:val="auto"/>
        </w:rPr>
      </w:pPr>
    </w:p>
    <w:p>
      <w:pPr>
        <w:ind w:left="1020" w:hanging="511"/>
        <w:spacing w:after="0"/>
        <w:tabs>
          <w:tab w:leader="none" w:pos="1020" w:val="left"/>
        </w:tabs>
        <w:numPr>
          <w:ilvl w:val="0"/>
          <w:numId w:val="296"/>
        </w:numPr>
        <w:rPr>
          <w:rFonts w:ascii="Arial" w:cs="Arial" w:eastAsia="Arial" w:hAnsi="Arial"/>
          <w:sz w:val="14"/>
          <w:szCs w:val="14"/>
          <w:color w:val="auto"/>
        </w:rPr>
      </w:pPr>
      <w:r>
        <w:rPr>
          <w:rFonts w:ascii="Arial" w:cs="Arial" w:eastAsia="Arial" w:hAnsi="Arial"/>
          <w:sz w:val="14"/>
          <w:szCs w:val="14"/>
          <w:color w:val="auto"/>
        </w:rPr>
        <w:t>The Fees payable by ANZ are:</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96"/>
        </w:numPr>
        <w:rPr>
          <w:rFonts w:ascii="Arial" w:cs="Arial" w:eastAsia="Arial" w:hAnsi="Arial"/>
          <w:sz w:val="14"/>
          <w:szCs w:val="14"/>
          <w:color w:val="auto"/>
        </w:rPr>
      </w:pPr>
      <w:r>
        <w:rPr>
          <w:rFonts w:ascii="Arial" w:cs="Arial" w:eastAsia="Arial" w:hAnsi="Arial"/>
          <w:sz w:val="14"/>
          <w:szCs w:val="14"/>
          <w:color w:val="auto"/>
        </w:rPr>
        <w:t>calculated in accordance with Part 2 of the Schedule, on a time and material basis.</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96"/>
        </w:numPr>
        <w:rPr>
          <w:rFonts w:ascii="Arial" w:cs="Arial" w:eastAsia="Arial" w:hAnsi="Arial"/>
          <w:sz w:val="14"/>
          <w:szCs w:val="14"/>
          <w:color w:val="auto"/>
        </w:rPr>
      </w:pPr>
      <w:r>
        <w:rPr>
          <w:rFonts w:ascii="Arial" w:cs="Arial" w:eastAsia="Arial" w:hAnsi="Arial"/>
          <w:sz w:val="14"/>
          <w:szCs w:val="14"/>
          <w:color w:val="auto"/>
        </w:rPr>
        <w:t>ANZ’s obligation to pay the Fees under paragraph (a) is subject to:</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96"/>
        </w:numPr>
        <w:rPr>
          <w:rFonts w:ascii="Arial" w:cs="Arial" w:eastAsia="Arial" w:hAnsi="Arial"/>
          <w:sz w:val="14"/>
          <w:szCs w:val="14"/>
          <w:color w:val="auto"/>
        </w:rPr>
      </w:pPr>
      <w:r>
        <w:rPr>
          <w:rFonts w:ascii="Arial" w:cs="Arial" w:eastAsia="Arial" w:hAnsi="Arial"/>
          <w:sz w:val="14"/>
          <w:szCs w:val="14"/>
          <w:color w:val="auto"/>
        </w:rPr>
        <w:t>those Fees being properly due and payable;</w:t>
      </w:r>
    </w:p>
    <w:p>
      <w:pPr>
        <w:spacing w:after="0" w:line="196" w:lineRule="exact"/>
        <w:rPr>
          <w:rFonts w:ascii="Arial" w:cs="Arial" w:eastAsia="Arial" w:hAnsi="Arial"/>
          <w:sz w:val="14"/>
          <w:szCs w:val="14"/>
          <w:color w:val="auto"/>
        </w:rPr>
      </w:pPr>
    </w:p>
    <w:p>
      <w:pPr>
        <w:ind w:left="1520" w:hanging="506"/>
        <w:spacing w:after="0"/>
        <w:tabs>
          <w:tab w:leader="none" w:pos="1520" w:val="left"/>
        </w:tabs>
        <w:numPr>
          <w:ilvl w:val="1"/>
          <w:numId w:val="296"/>
        </w:numPr>
        <w:rPr>
          <w:rFonts w:ascii="Arial" w:cs="Arial" w:eastAsia="Arial" w:hAnsi="Arial"/>
          <w:sz w:val="14"/>
          <w:szCs w:val="14"/>
          <w:color w:val="auto"/>
        </w:rPr>
      </w:pPr>
      <w:r>
        <w:rPr>
          <w:rFonts w:ascii="Arial" w:cs="Arial" w:eastAsia="Arial" w:hAnsi="Arial"/>
          <w:sz w:val="14"/>
          <w:szCs w:val="14"/>
          <w:color w:val="auto"/>
        </w:rPr>
        <w:t>the proper performance of the Services;</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96"/>
        </w:numPr>
        <w:rPr>
          <w:rFonts w:ascii="Arial" w:cs="Arial" w:eastAsia="Arial" w:hAnsi="Arial"/>
          <w:sz w:val="14"/>
          <w:szCs w:val="14"/>
          <w:color w:val="auto"/>
        </w:rPr>
      </w:pPr>
      <w:r>
        <w:rPr>
          <w:rFonts w:ascii="Arial" w:cs="Arial" w:eastAsia="Arial" w:hAnsi="Arial"/>
          <w:sz w:val="14"/>
          <w:szCs w:val="14"/>
          <w:color w:val="auto"/>
        </w:rPr>
        <w:t>the proper submission by the Service Provider of a Valid Tax Invoice in accordance with clause 7.2; and</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296"/>
        </w:numPr>
        <w:rPr>
          <w:rFonts w:ascii="Arial" w:cs="Arial" w:eastAsia="Arial" w:hAnsi="Arial"/>
          <w:sz w:val="14"/>
          <w:szCs w:val="14"/>
          <w:color w:val="auto"/>
        </w:rPr>
      </w:pPr>
      <w:r>
        <w:rPr>
          <w:rFonts w:ascii="Arial" w:cs="Arial" w:eastAsia="Arial" w:hAnsi="Arial"/>
          <w:sz w:val="14"/>
          <w:szCs w:val="14"/>
          <w:color w:val="auto"/>
        </w:rPr>
        <w:t>ANZ not disputing the Valid Tax Invoice in accordance with clause 7.3.</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color w:val="auto"/>
        </w:rPr>
        <w:t>Submission of Valid Tax Invoice</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Each Monthly Invoice Date, the Service Provider must submit a Valid Tax Invoice to the ANZ Representative as specified in Part 1 of the Schedule (or the person nominated by the ANZ Representative in writing from time to time) for the Fees accrued for Services provided or used in the previous month.</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2"/>
          <w:szCs w:val="12"/>
          <w:color w:val="auto"/>
        </w:rPr>
        <w:t>Processing of Valid Tax Invoices</w:t>
      </w:r>
    </w:p>
    <w:p>
      <w:pPr>
        <w:spacing w:after="0" w:line="197" w:lineRule="exact"/>
        <w:rPr>
          <w:sz w:val="20"/>
          <w:szCs w:val="20"/>
          <w:color w:val="auto"/>
        </w:rPr>
      </w:pPr>
    </w:p>
    <w:p>
      <w:pPr>
        <w:ind w:left="1020" w:hanging="511"/>
        <w:spacing w:after="0"/>
        <w:tabs>
          <w:tab w:leader="none" w:pos="1020" w:val="left"/>
        </w:tabs>
        <w:numPr>
          <w:ilvl w:val="0"/>
          <w:numId w:val="297"/>
        </w:numPr>
        <w:rPr>
          <w:rFonts w:ascii="Arial" w:cs="Arial" w:eastAsia="Arial" w:hAnsi="Arial"/>
          <w:sz w:val="14"/>
          <w:szCs w:val="14"/>
          <w:color w:val="auto"/>
        </w:rPr>
      </w:pPr>
      <w:r>
        <w:rPr>
          <w:rFonts w:ascii="Arial" w:cs="Arial" w:eastAsia="Arial" w:hAnsi="Arial"/>
          <w:sz w:val="14"/>
          <w:szCs w:val="14"/>
          <w:color w:val="auto"/>
        </w:rPr>
        <w:t>ANZ must assess the accuracy of the Valid Tax Invoice (including its obligation to pay the Valid Tax Invoice under the terms of clause 7.1(b)).</w:t>
      </w:r>
    </w:p>
    <w:p>
      <w:pPr>
        <w:spacing w:after="0" w:line="175" w:lineRule="exact"/>
        <w:rPr>
          <w:rFonts w:ascii="Arial" w:cs="Arial" w:eastAsia="Arial" w:hAnsi="Arial"/>
          <w:sz w:val="14"/>
          <w:szCs w:val="14"/>
          <w:color w:val="auto"/>
        </w:rPr>
      </w:pPr>
    </w:p>
    <w:p>
      <w:pPr>
        <w:ind w:left="1020" w:hanging="511"/>
        <w:spacing w:after="0" w:line="317" w:lineRule="auto"/>
        <w:tabs>
          <w:tab w:leader="none" w:pos="1020" w:val="left"/>
        </w:tabs>
        <w:numPr>
          <w:ilvl w:val="0"/>
          <w:numId w:val="297"/>
        </w:numPr>
        <w:rPr>
          <w:rFonts w:ascii="Arial" w:cs="Arial" w:eastAsia="Arial" w:hAnsi="Arial"/>
          <w:sz w:val="13"/>
          <w:szCs w:val="13"/>
          <w:color w:val="auto"/>
        </w:rPr>
      </w:pPr>
      <w:r>
        <w:rPr>
          <w:rFonts w:ascii="Arial" w:cs="Arial" w:eastAsia="Arial" w:hAnsi="Arial"/>
          <w:sz w:val="13"/>
          <w:szCs w:val="13"/>
          <w:color w:val="auto"/>
        </w:rPr>
        <w:t xml:space="preserve">If ANZ disputes the accuracy of the Valid Tax Invoice or its obligation to pay the invoiced amount, it may issue a statement (an </w:t>
      </w:r>
      <w:r>
        <w:rPr>
          <w:rFonts w:ascii="Arial" w:cs="Arial" w:eastAsia="Arial" w:hAnsi="Arial"/>
          <w:sz w:val="13"/>
          <w:szCs w:val="13"/>
          <w:b w:val="1"/>
          <w:bCs w:val="1"/>
          <w:i w:val="1"/>
          <w:iCs w:val="1"/>
          <w:color w:val="auto"/>
        </w:rPr>
        <w:t>Invoice Query Statement</w:t>
      </w:r>
      <w:r>
        <w:rPr>
          <w:rFonts w:ascii="Arial" w:cs="Arial" w:eastAsia="Arial" w:hAnsi="Arial"/>
          <w:sz w:val="13"/>
          <w:szCs w:val="13"/>
          <w:color w:val="auto"/>
        </w:rPr>
        <w:t>) to the Service Provider within 10 calendar days after the receipt of a Valid Tax Invoice setting out the discrepancy between the invoiced amount and what ANZ believes to be the correct amount.</w:t>
      </w:r>
    </w:p>
    <w:p>
      <w:pPr>
        <w:spacing w:after="0" w:line="110" w:lineRule="exact"/>
        <w:rPr>
          <w:rFonts w:ascii="Arial" w:cs="Arial" w:eastAsia="Arial" w:hAnsi="Arial"/>
          <w:sz w:val="13"/>
          <w:szCs w:val="13"/>
          <w:color w:val="auto"/>
        </w:rPr>
      </w:pPr>
    </w:p>
    <w:p>
      <w:pPr>
        <w:ind w:left="1020" w:hanging="511"/>
        <w:spacing w:after="0" w:line="277" w:lineRule="auto"/>
        <w:tabs>
          <w:tab w:leader="none" w:pos="1020" w:val="left"/>
        </w:tabs>
        <w:numPr>
          <w:ilvl w:val="0"/>
          <w:numId w:val="297"/>
        </w:numPr>
        <w:rPr>
          <w:rFonts w:ascii="Arial" w:cs="Arial" w:eastAsia="Arial" w:hAnsi="Arial"/>
          <w:sz w:val="14"/>
          <w:szCs w:val="14"/>
          <w:color w:val="auto"/>
        </w:rPr>
      </w:pPr>
      <w:r>
        <w:rPr>
          <w:rFonts w:ascii="Arial" w:cs="Arial" w:eastAsia="Arial" w:hAnsi="Arial"/>
          <w:sz w:val="14"/>
          <w:szCs w:val="14"/>
          <w:color w:val="auto"/>
        </w:rPr>
        <w:t>Upon receipt of an Invoice Query Statement, the Service Provider must within 7 calendar days reconsider its Valid Tax Invoice and either confirm the Valid Tax Invoice, re-issue an adjusted Valid Tax Invoice or, if agreed with ANZ, notify ANZ that it will adjust the Valid Tax Invoice of the subsequent month to rectify the discrepancy.</w:t>
      </w:r>
    </w:p>
    <w:p>
      <w:pPr>
        <w:spacing w:after="0" w:line="133"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297"/>
        </w:numPr>
        <w:rPr>
          <w:rFonts w:ascii="Arial" w:cs="Arial" w:eastAsia="Arial" w:hAnsi="Arial"/>
          <w:sz w:val="14"/>
          <w:szCs w:val="14"/>
          <w:color w:val="auto"/>
        </w:rPr>
      </w:pPr>
      <w:r>
        <w:rPr>
          <w:rFonts w:ascii="Arial" w:cs="Arial" w:eastAsia="Arial" w:hAnsi="Arial"/>
          <w:sz w:val="14"/>
          <w:szCs w:val="14"/>
          <w:color w:val="auto"/>
        </w:rPr>
        <w:t>ANZ may, acting reasonably, request the Service Provider (at the Service Provider’s cost) to supply additional information and documentary evidence to substantiate each Valid Tax Invoice.</w:t>
      </w:r>
    </w:p>
    <w:p>
      <w:pPr>
        <w:spacing w:after="0" w:line="133" w:lineRule="exact"/>
        <w:rPr>
          <w:rFonts w:ascii="Arial" w:cs="Arial" w:eastAsia="Arial" w:hAnsi="Arial"/>
          <w:sz w:val="14"/>
          <w:szCs w:val="14"/>
          <w:color w:val="auto"/>
        </w:rPr>
      </w:pPr>
    </w:p>
    <w:p>
      <w:pPr>
        <w:ind w:left="1020" w:hanging="511"/>
        <w:spacing w:after="0" w:line="317" w:lineRule="auto"/>
        <w:tabs>
          <w:tab w:leader="none" w:pos="1020" w:val="left"/>
        </w:tabs>
        <w:numPr>
          <w:ilvl w:val="0"/>
          <w:numId w:val="297"/>
        </w:numPr>
        <w:rPr>
          <w:rFonts w:ascii="Arial" w:cs="Arial" w:eastAsia="Arial" w:hAnsi="Arial"/>
          <w:sz w:val="13"/>
          <w:szCs w:val="13"/>
          <w:color w:val="auto"/>
        </w:rPr>
      </w:pPr>
      <w:r>
        <w:rPr>
          <w:rFonts w:ascii="Arial" w:cs="Arial" w:eastAsia="Arial" w:hAnsi="Arial"/>
          <w:sz w:val="13"/>
          <w:szCs w:val="13"/>
          <w:color w:val="auto"/>
        </w:rPr>
        <w:t>Notwithstanding anything in this clause 7.3, where ANZ has failed to issue an Invoice Query Statement and subsequently disputes a Valid Tax Invoice, the rights and liabilities of the parties are the same as they would be at common law and ANZ’s failure to issue the Invoice Query Statement does not constitute a waiver of any of its common law rights.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bl>
    <w:p>
      <w:pPr>
        <w:sectPr>
          <w:pgSz w:w="11900" w:h="16838" w:orient="portrait"/>
          <w:cols w:equalWidth="0" w:num="1">
            <w:col w:w="11460"/>
          </w:cols>
          <w:pgMar w:left="220" w:top="1093" w:right="219" w:bottom="1440" w:gutter="0" w:footer="0" w:header="0"/>
        </w:sectPr>
      </w:pPr>
    </w:p>
    <w:bookmarkStart w:id="263" w:name="page264"/>
    <w:bookmarkEnd w:id="26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2"/>
          <w:szCs w:val="12"/>
          <w:color w:val="auto"/>
        </w:rPr>
        <w:t>Payment of Valid Tax Invoices</w:t>
      </w:r>
    </w:p>
    <w:p>
      <w:pPr>
        <w:spacing w:after="0" w:line="176" w:lineRule="exact"/>
        <w:rPr>
          <w:sz w:val="20"/>
          <w:szCs w:val="20"/>
          <w:color w:val="auto"/>
        </w:rPr>
      </w:pPr>
    </w:p>
    <w:p>
      <w:pPr>
        <w:ind w:left="1020" w:hanging="511"/>
        <w:spacing w:after="0" w:line="277" w:lineRule="auto"/>
        <w:tabs>
          <w:tab w:leader="none" w:pos="1020" w:val="left"/>
        </w:tabs>
        <w:numPr>
          <w:ilvl w:val="0"/>
          <w:numId w:val="298"/>
        </w:numPr>
        <w:rPr>
          <w:rFonts w:ascii="Arial" w:cs="Arial" w:eastAsia="Arial" w:hAnsi="Arial"/>
          <w:sz w:val="14"/>
          <w:szCs w:val="14"/>
          <w:color w:val="auto"/>
        </w:rPr>
      </w:pPr>
      <w:r>
        <w:rPr>
          <w:rFonts w:ascii="Arial" w:cs="Arial" w:eastAsia="Arial" w:hAnsi="Arial"/>
          <w:sz w:val="14"/>
          <w:szCs w:val="14"/>
          <w:color w:val="auto"/>
        </w:rPr>
        <w:t>Where there is no dispute between the parties in relation to a Valid Tax Invoice, ANZ must pay the invoiced amount to the Service Provider within 30 calendar days of receiving the Valid Tax Invoice.</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298"/>
        </w:numPr>
        <w:rPr>
          <w:rFonts w:ascii="Arial" w:cs="Arial" w:eastAsia="Arial" w:hAnsi="Arial"/>
          <w:sz w:val="14"/>
          <w:szCs w:val="14"/>
          <w:color w:val="auto"/>
        </w:rPr>
      </w:pPr>
      <w:r>
        <w:rPr>
          <w:rFonts w:ascii="Arial" w:cs="Arial" w:eastAsia="Arial" w:hAnsi="Arial"/>
          <w:sz w:val="14"/>
          <w:szCs w:val="14"/>
          <w:color w:val="auto"/>
        </w:rPr>
        <w:t>Where there is a dispute between the parties in relation to a Valid Tax Invoice:</w:t>
      </w:r>
    </w:p>
    <w:p>
      <w:pPr>
        <w:spacing w:after="0" w:line="196" w:lineRule="exact"/>
        <w:rPr>
          <w:rFonts w:ascii="Arial" w:cs="Arial" w:eastAsia="Arial" w:hAnsi="Arial"/>
          <w:sz w:val="14"/>
          <w:szCs w:val="14"/>
          <w:color w:val="auto"/>
        </w:rPr>
      </w:pPr>
    </w:p>
    <w:p>
      <w:pPr>
        <w:ind w:left="1520" w:hanging="506"/>
        <w:spacing w:after="0"/>
        <w:tabs>
          <w:tab w:leader="none" w:pos="1520" w:val="left"/>
        </w:tabs>
        <w:numPr>
          <w:ilvl w:val="1"/>
          <w:numId w:val="298"/>
        </w:numPr>
        <w:rPr>
          <w:rFonts w:ascii="Arial" w:cs="Arial" w:eastAsia="Arial" w:hAnsi="Arial"/>
          <w:sz w:val="14"/>
          <w:szCs w:val="14"/>
          <w:color w:val="auto"/>
        </w:rPr>
      </w:pPr>
      <w:r>
        <w:rPr>
          <w:rFonts w:ascii="Arial" w:cs="Arial" w:eastAsia="Arial" w:hAnsi="Arial"/>
          <w:sz w:val="14"/>
          <w:szCs w:val="14"/>
          <w:color w:val="auto"/>
        </w:rPr>
        <w:t>ANZ may request the Service Provider to reissue the Valid Tax Invoice (</w:t>
      </w:r>
      <w:r>
        <w:rPr>
          <w:rFonts w:ascii="Arial" w:cs="Arial" w:eastAsia="Arial" w:hAnsi="Arial"/>
          <w:sz w:val="14"/>
          <w:szCs w:val="14"/>
          <w:b w:val="1"/>
          <w:bCs w:val="1"/>
          <w:i w:val="1"/>
          <w:iCs w:val="1"/>
          <w:color w:val="auto"/>
        </w:rPr>
        <w:t>Reissued Invoice</w:t>
      </w:r>
      <w:r>
        <w:rPr>
          <w:rFonts w:ascii="Arial" w:cs="Arial" w:eastAsia="Arial" w:hAnsi="Arial"/>
          <w:sz w:val="14"/>
          <w:szCs w:val="14"/>
          <w:color w:val="auto"/>
        </w:rPr>
        <w:t>) for the undisputed component;</w:t>
      </w:r>
    </w:p>
    <w:p>
      <w:pPr>
        <w:spacing w:after="0" w:line="175" w:lineRule="exact"/>
        <w:rPr>
          <w:rFonts w:ascii="Arial" w:cs="Arial" w:eastAsia="Arial" w:hAnsi="Arial"/>
          <w:sz w:val="14"/>
          <w:szCs w:val="14"/>
          <w:color w:val="auto"/>
        </w:rPr>
      </w:pPr>
    </w:p>
    <w:p>
      <w:pPr>
        <w:ind w:left="1520" w:hanging="506"/>
        <w:spacing w:after="0" w:line="277" w:lineRule="auto"/>
        <w:tabs>
          <w:tab w:leader="none" w:pos="1520" w:val="left"/>
        </w:tabs>
        <w:numPr>
          <w:ilvl w:val="1"/>
          <w:numId w:val="298"/>
        </w:numPr>
        <w:rPr>
          <w:rFonts w:ascii="Arial" w:cs="Arial" w:eastAsia="Arial" w:hAnsi="Arial"/>
          <w:sz w:val="14"/>
          <w:szCs w:val="14"/>
          <w:color w:val="auto"/>
        </w:rPr>
      </w:pPr>
      <w:r>
        <w:rPr>
          <w:rFonts w:ascii="Arial" w:cs="Arial" w:eastAsia="Arial" w:hAnsi="Arial"/>
          <w:sz w:val="14"/>
          <w:szCs w:val="14"/>
          <w:color w:val="auto"/>
        </w:rPr>
        <w:t>ANZ must pay the non-disputed component (if any) of the invoiced amount to the Service Provider within 30 calendar days of receiving the Valid Tax Invoice or (where applicable) within 30 calendar days of receiving the Reissued Invoice; and</w:t>
      </w:r>
    </w:p>
    <w:p>
      <w:pPr>
        <w:spacing w:after="0" w:line="133" w:lineRule="exact"/>
        <w:rPr>
          <w:rFonts w:ascii="Arial" w:cs="Arial" w:eastAsia="Arial" w:hAnsi="Arial"/>
          <w:sz w:val="14"/>
          <w:szCs w:val="14"/>
          <w:color w:val="auto"/>
        </w:rPr>
      </w:pPr>
    </w:p>
    <w:p>
      <w:pPr>
        <w:jc w:val="both"/>
        <w:ind w:left="1520" w:hanging="506"/>
        <w:spacing w:after="0" w:line="259" w:lineRule="auto"/>
        <w:tabs>
          <w:tab w:leader="none" w:pos="1520" w:val="left"/>
        </w:tabs>
        <w:numPr>
          <w:ilvl w:val="1"/>
          <w:numId w:val="298"/>
        </w:numPr>
        <w:rPr>
          <w:rFonts w:ascii="Arial" w:cs="Arial" w:eastAsia="Arial" w:hAnsi="Arial"/>
          <w:sz w:val="14"/>
          <w:szCs w:val="14"/>
          <w:color w:val="auto"/>
        </w:rPr>
      </w:pPr>
      <w:r>
        <w:rPr>
          <w:rFonts w:ascii="Arial" w:cs="Arial" w:eastAsia="Arial" w:hAnsi="Arial"/>
          <w:sz w:val="14"/>
          <w:szCs w:val="14"/>
          <w:color w:val="auto"/>
        </w:rPr>
        <w:t>the dispute involving the disputed component of the invoiced amount must be dealt with under clause 17. Where ANZ is found to be (or concedes that it is) incorrect in challenging the correctness of any Valid Tax Invoice, it will pay interest at ANZ’s commercial overdraft rate on the disputed component of the invoiced amount from the date of payment back to the date when the invoiced amount was due for payment. Any other matters in relation to the disputed component of the invoiced amount will be determined as part of the dispute resolution under clause 17.</w:t>
      </w:r>
    </w:p>
    <w:p>
      <w:pPr>
        <w:spacing w:after="0" w:line="146" w:lineRule="exact"/>
        <w:rPr>
          <w:rFonts w:ascii="Arial" w:cs="Arial" w:eastAsia="Arial" w:hAnsi="Arial"/>
          <w:sz w:val="14"/>
          <w:szCs w:val="14"/>
          <w:color w:val="auto"/>
        </w:rPr>
      </w:pPr>
    </w:p>
    <w:p>
      <w:pPr>
        <w:ind w:left="1020" w:hanging="511"/>
        <w:spacing w:after="0"/>
        <w:tabs>
          <w:tab w:leader="none" w:pos="1020" w:val="left"/>
        </w:tabs>
        <w:numPr>
          <w:ilvl w:val="0"/>
          <w:numId w:val="298"/>
        </w:numPr>
        <w:rPr>
          <w:rFonts w:ascii="Arial" w:cs="Arial" w:eastAsia="Arial" w:hAnsi="Arial"/>
          <w:sz w:val="14"/>
          <w:szCs w:val="14"/>
          <w:color w:val="auto"/>
        </w:rPr>
      </w:pPr>
      <w:r>
        <w:rPr>
          <w:rFonts w:ascii="Arial" w:cs="Arial" w:eastAsia="Arial" w:hAnsi="Arial"/>
          <w:sz w:val="14"/>
          <w:szCs w:val="14"/>
          <w:color w:val="auto"/>
        </w:rPr>
        <w:t>All amounts payable under this Agreement are payable in RMB unless specified otherwise. (See also Part 1 of the Schedule)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color w:val="auto"/>
        </w:rPr>
        <w:t>Effect of payment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Payment of any amount by ANZ is to be taken only as a payment on account, and is not:</w:t>
      </w:r>
    </w:p>
    <w:p>
      <w:pPr>
        <w:spacing w:after="0" w:line="197" w:lineRule="exact"/>
        <w:rPr>
          <w:sz w:val="20"/>
          <w:szCs w:val="20"/>
          <w:color w:val="auto"/>
        </w:rPr>
      </w:pPr>
    </w:p>
    <w:p>
      <w:pPr>
        <w:ind w:left="1020" w:hanging="511"/>
        <w:spacing w:after="0"/>
        <w:tabs>
          <w:tab w:leader="none" w:pos="102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evidence or an admission by ANZ that the Services have been provided in accordance with this Agreement;</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evidence of the value of the Services;</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an admission of liability; nor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acceptance or approval by ANZ of the Service Provider’s performance.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2"/>
          <w:szCs w:val="12"/>
          <w:color w:val="auto"/>
        </w:rPr>
        <w:t>Payments made in error</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It is the Service Provider’s responsibility to:</w:t>
      </w:r>
    </w:p>
    <w:p>
      <w:pPr>
        <w:spacing w:after="0" w:line="197" w:lineRule="exact"/>
        <w:rPr>
          <w:sz w:val="20"/>
          <w:szCs w:val="20"/>
          <w:color w:val="auto"/>
        </w:rPr>
      </w:pPr>
    </w:p>
    <w:p>
      <w:pPr>
        <w:ind w:left="1020" w:hanging="511"/>
        <w:spacing w:after="0"/>
        <w:tabs>
          <w:tab w:leader="none" w:pos="1020" w:val="left"/>
        </w:tabs>
        <w:numPr>
          <w:ilvl w:val="1"/>
          <w:numId w:val="300"/>
        </w:numPr>
        <w:rPr>
          <w:rFonts w:ascii="Arial" w:cs="Arial" w:eastAsia="Arial" w:hAnsi="Arial"/>
          <w:sz w:val="14"/>
          <w:szCs w:val="14"/>
          <w:color w:val="auto"/>
        </w:rPr>
      </w:pPr>
      <w:r>
        <w:rPr>
          <w:rFonts w:ascii="Arial" w:cs="Arial" w:eastAsia="Arial" w:hAnsi="Arial"/>
          <w:sz w:val="14"/>
          <w:szCs w:val="14"/>
          <w:color w:val="auto"/>
        </w:rPr>
        <w:t>ensure that ANZ is only requested to pay Fees properly due and owing;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1"/>
          <w:numId w:val="300"/>
        </w:numPr>
        <w:rPr>
          <w:rFonts w:ascii="Arial" w:cs="Arial" w:eastAsia="Arial" w:hAnsi="Arial"/>
          <w:sz w:val="14"/>
          <w:szCs w:val="14"/>
          <w:color w:val="auto"/>
        </w:rPr>
      </w:pPr>
      <w:r>
        <w:rPr>
          <w:rFonts w:ascii="Arial" w:cs="Arial" w:eastAsia="Arial" w:hAnsi="Arial"/>
          <w:sz w:val="14"/>
          <w:szCs w:val="14"/>
          <w:color w:val="auto"/>
        </w:rPr>
        <w:t>provide a refund to ANZ for any amounts in respect of these items paid in error.</w:t>
      </w:r>
    </w:p>
    <w:p>
      <w:pPr>
        <w:spacing w:after="0" w:line="171" w:lineRule="exact"/>
        <w:rPr>
          <w:rFonts w:ascii="Arial" w:cs="Arial" w:eastAsia="Arial" w:hAnsi="Arial"/>
          <w:sz w:val="14"/>
          <w:szCs w:val="14"/>
          <w:color w:val="auto"/>
        </w:rPr>
      </w:pPr>
    </w:p>
    <w:p>
      <w:pPr>
        <w:ind w:left="500" w:hanging="496"/>
        <w:spacing w:after="0"/>
        <w:tabs>
          <w:tab w:leader="none" w:pos="500" w:val="left"/>
        </w:tabs>
        <w:numPr>
          <w:ilvl w:val="0"/>
          <w:numId w:val="301"/>
        </w:numPr>
        <w:rPr>
          <w:rFonts w:ascii="Arial" w:cs="Arial" w:eastAsia="Arial" w:hAnsi="Arial"/>
          <w:sz w:val="14"/>
          <w:szCs w:val="14"/>
          <w:b w:val="1"/>
          <w:bCs w:val="1"/>
          <w:color w:val="auto"/>
        </w:rPr>
      </w:pPr>
      <w:r>
        <w:rPr>
          <w:rFonts w:ascii="Arial" w:cs="Arial" w:eastAsia="Arial" w:hAnsi="Arial"/>
          <w:sz w:val="14"/>
          <w:szCs w:val="14"/>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color w:val="auto"/>
        </w:rPr>
        <w:t>Ownership of Confidential Information</w:t>
      </w:r>
    </w:p>
    <w:p>
      <w:pPr>
        <w:spacing w:after="0" w:line="176" w:lineRule="exact"/>
        <w:rPr>
          <w:sz w:val="20"/>
          <w:szCs w:val="20"/>
          <w:color w:val="auto"/>
        </w:rPr>
      </w:pPr>
    </w:p>
    <w:p>
      <w:pPr>
        <w:jc w:val="both"/>
        <w:ind w:left="500"/>
        <w:spacing w:after="0" w:line="277" w:lineRule="auto"/>
        <w:rPr>
          <w:sz w:val="20"/>
          <w:szCs w:val="20"/>
          <w:color w:val="auto"/>
        </w:rPr>
      </w:pPr>
      <w:r>
        <w:rPr>
          <w:rFonts w:ascii="Arial" w:cs="Arial" w:eastAsia="Arial" w:hAnsi="Arial"/>
          <w:sz w:val="14"/>
          <w:szCs w:val="14"/>
          <w:color w:val="auto"/>
        </w:rPr>
        <w:t>The Service Provider acknowledges that the Confidential Information is, and remains at all times, the property of ANZ. This Agreement does not convey any proprietary or other interest in the Confidential Information to the Service Provider or any other person.</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color w:val="auto"/>
        </w:rPr>
        <w:t>Protection of Confidential Information</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The Service Provider must keep, and procure that each of its Personnel keep, the Confidential Information strictly confidential and not disclose it or allow it to become available directly or indirectly to any third party, except as provided for in this Agreement. This obligation continues after the termination of this Agreement and will continue until the information no longer constitutes Confidential Information.</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3"/>
          <w:szCs w:val="13"/>
          <w:color w:val="auto"/>
        </w:rPr>
        <w:t>Authorised use of Confidential Information</w:t>
      </w:r>
    </w:p>
    <w:p>
      <w:pPr>
        <w:spacing w:after="0" w:line="176" w:lineRule="exact"/>
        <w:rPr>
          <w:sz w:val="20"/>
          <w:szCs w:val="20"/>
          <w:color w:val="auto"/>
        </w:rPr>
      </w:pPr>
    </w:p>
    <w:p>
      <w:pPr>
        <w:jc w:val="both"/>
        <w:ind w:left="500"/>
        <w:spacing w:after="0" w:line="316" w:lineRule="auto"/>
        <w:rPr>
          <w:sz w:val="20"/>
          <w:szCs w:val="20"/>
          <w:color w:val="auto"/>
        </w:rPr>
      </w:pPr>
      <w:r>
        <w:rPr>
          <w:rFonts w:ascii="Arial" w:cs="Arial" w:eastAsia="Arial" w:hAnsi="Arial"/>
          <w:sz w:val="12"/>
          <w:szCs w:val="12"/>
          <w:color w:val="auto"/>
        </w:rPr>
        <w:t>The Service Provider must not access or use the Confidential Information for any reason except as strictly necessary for performing its obligations or exercising its rights under this Agreement, or otherwise with ANZ’s prior written consent and if any specific purpose has been identified by ANZ as the purpose for which the Confidential Information was provided to the Service Provider, the Service Provider may use the Confidential Information for such specified purpose only. The Service Provider must strictly comply with: (i) all Laws and Regulatory Requirements (including guidelines and codes or conducts) application to the Confidential Information) any restraint on the use of the Confidential Information that may be stipulated by ANZ at any time.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460"/>
          </w:cols>
          <w:pgMar w:left="220" w:top="1093" w:right="219" w:bottom="1440" w:gutter="0" w:footer="0" w:header="0"/>
        </w:sectPr>
      </w:pPr>
    </w:p>
    <w:bookmarkStart w:id="264" w:name="page265"/>
    <w:bookmarkEnd w:id="26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476250</wp:posOffset>
            </wp:positionV>
            <wp:extent cx="868680" cy="2940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093" w:right="219" w:bottom="1440" w:gutter="0" w:footer="0" w:header="0"/>
        </w:sectPr>
      </w:pP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3"/>
          <w:szCs w:val="13"/>
          <w:color w:val="auto"/>
        </w:rPr>
        <w:t>Authorised disclosure of Confidential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Service Provider may only disclose the Confidential Information:</w:t>
      </w:r>
    </w:p>
    <w:p>
      <w:pPr>
        <w:spacing w:after="0" w:line="197" w:lineRule="exact"/>
        <w:rPr>
          <w:sz w:val="20"/>
          <w:szCs w:val="20"/>
          <w:color w:val="auto"/>
        </w:rPr>
      </w:pPr>
    </w:p>
    <w:p>
      <w:pPr>
        <w:ind w:left="1020" w:hanging="511"/>
        <w:spacing w:after="0" w:line="277" w:lineRule="auto"/>
        <w:tabs>
          <w:tab w:leader="none" w:pos="1020" w:val="left"/>
        </w:tabs>
        <w:numPr>
          <w:ilvl w:val="0"/>
          <w:numId w:val="302"/>
        </w:numPr>
        <w:rPr>
          <w:rFonts w:ascii="Arial" w:cs="Arial" w:eastAsia="Arial" w:hAnsi="Arial"/>
          <w:sz w:val="14"/>
          <w:szCs w:val="14"/>
          <w:color w:val="auto"/>
        </w:rPr>
      </w:pPr>
      <w:r>
        <w:rPr>
          <w:rFonts w:ascii="Arial" w:cs="Arial" w:eastAsia="Arial" w:hAnsi="Arial"/>
          <w:sz w:val="14"/>
          <w:szCs w:val="14"/>
          <w:color w:val="auto"/>
        </w:rPr>
        <w:t>to its Personnel, provided that it strictly complies with clause 8.6 and each applicable Law or Regulatory requirement (including guidelines and codes of conduct) relating to such disclosure;</w:t>
      </w:r>
    </w:p>
    <w:p>
      <w:pPr>
        <w:spacing w:after="0" w:line="133" w:lineRule="exact"/>
        <w:rPr>
          <w:rFonts w:ascii="Arial" w:cs="Arial" w:eastAsia="Arial" w:hAnsi="Arial"/>
          <w:sz w:val="14"/>
          <w:szCs w:val="14"/>
          <w:color w:val="auto"/>
        </w:rPr>
      </w:pPr>
    </w:p>
    <w:p>
      <w:pPr>
        <w:ind w:left="1020" w:hanging="511"/>
        <w:spacing w:after="0" w:line="317" w:lineRule="auto"/>
        <w:tabs>
          <w:tab w:leader="none" w:pos="1020" w:val="left"/>
        </w:tabs>
        <w:numPr>
          <w:ilvl w:val="0"/>
          <w:numId w:val="302"/>
        </w:numPr>
        <w:rPr>
          <w:rFonts w:ascii="Arial" w:cs="Arial" w:eastAsia="Arial" w:hAnsi="Arial"/>
          <w:sz w:val="13"/>
          <w:szCs w:val="13"/>
          <w:color w:val="auto"/>
        </w:rPr>
      </w:pPr>
      <w:r>
        <w:rPr>
          <w:rFonts w:ascii="Arial" w:cs="Arial" w:eastAsia="Arial" w:hAnsi="Arial"/>
          <w:sz w:val="13"/>
          <w:szCs w:val="13"/>
          <w:color w:val="auto"/>
        </w:rPr>
        <w:t>to a specific third party (other than its Personnel), provided that it has obtained the prior written consent of ANZ to disclose the specific Confidential Information to that specific third party, and provided that the Service Provider and the third party strictly comply with clause 8.6, and with any conditions that may be stipulated by ANZ at any time; and</w:t>
      </w:r>
    </w:p>
    <w:p>
      <w:pPr>
        <w:spacing w:after="0" w:line="110" w:lineRule="exact"/>
        <w:rPr>
          <w:rFonts w:ascii="Arial" w:cs="Arial" w:eastAsia="Arial" w:hAnsi="Arial"/>
          <w:sz w:val="13"/>
          <w:szCs w:val="13"/>
          <w:color w:val="auto"/>
        </w:rPr>
      </w:pPr>
    </w:p>
    <w:p>
      <w:pPr>
        <w:jc w:val="both"/>
        <w:ind w:left="1020" w:hanging="511"/>
        <w:spacing w:after="0" w:line="264" w:lineRule="auto"/>
        <w:tabs>
          <w:tab w:leader="none" w:pos="1020" w:val="left"/>
        </w:tabs>
        <w:numPr>
          <w:ilvl w:val="0"/>
          <w:numId w:val="302"/>
        </w:numPr>
        <w:rPr>
          <w:rFonts w:ascii="Arial" w:cs="Arial" w:eastAsia="Arial" w:hAnsi="Arial"/>
          <w:sz w:val="14"/>
          <w:szCs w:val="14"/>
          <w:color w:val="auto"/>
        </w:rPr>
      </w:pPr>
      <w:r>
        <w:rPr>
          <w:rFonts w:ascii="Arial" w:cs="Arial" w:eastAsia="Arial" w:hAnsi="Arial"/>
          <w:sz w:val="14"/>
          <w:szCs w:val="14"/>
          <w:color w:val="auto"/>
        </w:rPr>
        <w:t>to the extent strictly required to comply with any Law or Regulatory Requirement provided the Service Provider must: (i) minimise the extent of the disclosure and give ANZ prompt notice containing reasonable details of the circumstances of the proposed disclosure and the relevant Confidential Information to be disclosed; and (ii) obtain ANZ’s written consent prior to disclosure.</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3"/>
          <w:szCs w:val="13"/>
          <w:color w:val="auto"/>
        </w:rPr>
        <w:t>Insider trading</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Without limiting clauses 8.3 and 8.4, the Service Provider must not, directly or indirectly:</w:t>
      </w:r>
    </w:p>
    <w:p>
      <w:pPr>
        <w:spacing w:after="0" w:line="197" w:lineRule="exact"/>
        <w:rPr>
          <w:sz w:val="20"/>
          <w:szCs w:val="20"/>
          <w:color w:val="auto"/>
        </w:rPr>
      </w:pPr>
    </w:p>
    <w:p>
      <w:pPr>
        <w:ind w:left="1020" w:hanging="511"/>
        <w:spacing w:after="0" w:line="317" w:lineRule="auto"/>
        <w:tabs>
          <w:tab w:leader="none" w:pos="1020" w:val="left"/>
        </w:tabs>
        <w:numPr>
          <w:ilvl w:val="0"/>
          <w:numId w:val="303"/>
        </w:numPr>
        <w:rPr>
          <w:rFonts w:ascii="Arial" w:cs="Arial" w:eastAsia="Arial" w:hAnsi="Arial"/>
          <w:sz w:val="13"/>
          <w:szCs w:val="13"/>
          <w:color w:val="auto"/>
        </w:rPr>
      </w:pPr>
      <w:r>
        <w:rPr>
          <w:rFonts w:ascii="Arial" w:cs="Arial" w:eastAsia="Arial" w:hAnsi="Arial"/>
          <w:sz w:val="13"/>
          <w:szCs w:val="13"/>
          <w:color w:val="auto"/>
        </w:rPr>
        <w:t>deal in, or cause, procure or authorise another person to deal in, any securities listed on any stock exchange on the basis of the Confidential Information or any other price sensitive non-public information of which the Service Provider becomes aware as a result of the provision of, or in the course of providing, the Services (</w:t>
      </w:r>
      <w:r>
        <w:rPr>
          <w:rFonts w:ascii="Arial" w:cs="Arial" w:eastAsia="Arial" w:hAnsi="Arial"/>
          <w:sz w:val="13"/>
          <w:szCs w:val="13"/>
          <w:b w:val="1"/>
          <w:bCs w:val="1"/>
          <w:i w:val="1"/>
          <w:iCs w:val="1"/>
          <w:color w:val="auto"/>
        </w:rPr>
        <w:t>Inside Information</w:t>
      </w:r>
      <w:r>
        <w:rPr>
          <w:rFonts w:ascii="Arial" w:cs="Arial" w:eastAsia="Arial" w:hAnsi="Arial"/>
          <w:sz w:val="13"/>
          <w:szCs w:val="13"/>
          <w:color w:val="auto"/>
        </w:rPr>
        <w:t>); or</w:t>
      </w:r>
    </w:p>
    <w:p>
      <w:pPr>
        <w:spacing w:after="0" w:line="110" w:lineRule="exact"/>
        <w:rPr>
          <w:rFonts w:ascii="Arial" w:cs="Arial" w:eastAsia="Arial" w:hAnsi="Arial"/>
          <w:sz w:val="13"/>
          <w:szCs w:val="13"/>
          <w:color w:val="auto"/>
        </w:rPr>
      </w:pPr>
    </w:p>
    <w:p>
      <w:pPr>
        <w:ind w:left="1020" w:hanging="511"/>
        <w:spacing w:after="0"/>
        <w:tabs>
          <w:tab w:leader="none" w:pos="1020" w:val="left"/>
        </w:tabs>
        <w:numPr>
          <w:ilvl w:val="0"/>
          <w:numId w:val="303"/>
        </w:numPr>
        <w:rPr>
          <w:rFonts w:ascii="Arial" w:cs="Arial" w:eastAsia="Arial" w:hAnsi="Arial"/>
          <w:sz w:val="13"/>
          <w:szCs w:val="13"/>
          <w:color w:val="auto"/>
        </w:rPr>
      </w:pPr>
      <w:r>
        <w:rPr>
          <w:rFonts w:ascii="Arial" w:cs="Arial" w:eastAsia="Arial" w:hAnsi="Arial"/>
          <w:sz w:val="13"/>
          <w:szCs w:val="13"/>
          <w:color w:val="auto"/>
        </w:rPr>
        <w:t>communicate, or cause to be communicated, the Inside Information to any person, in contravention of any relevant Laws or Regulatory Requirements in relation to insider trading.</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2"/>
          <w:szCs w:val="12"/>
          <w:color w:val="auto"/>
        </w:rPr>
        <w:t>Reasonable precautions to maintain confidentiality</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Without limiting clause 8.2, the Service Provider must use best endeavours to maintain the confidentiality of the Confidential Information and to protect it from unauthorised access, use and disclosure, including:</w:t>
      </w:r>
    </w:p>
    <w:p>
      <w:pPr>
        <w:spacing w:after="0" w:line="155" w:lineRule="exact"/>
        <w:rPr>
          <w:sz w:val="20"/>
          <w:szCs w:val="20"/>
          <w:color w:val="auto"/>
        </w:rPr>
      </w:pPr>
    </w:p>
    <w:p>
      <w:pPr>
        <w:ind w:left="1020" w:hanging="511"/>
        <w:spacing w:after="0" w:line="277" w:lineRule="auto"/>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restricting access to, and use of, the Confidential Information to those of its Personnel on a strictly and genuine need to know basis for the specific purpose for which the Confidential Information was disclosed by ANZ or, in the absence of an express or implied specific purpose, the purpose of performing this Agreement;</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notifying each of its Personnel and Authorised Disclosees that has access to the Confidential Information of the Service Provider’s obligations under this Agreement;</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ensuring that its Personnel, former Personnel and Authorised Disclosees observe the terms of this clause as if they were the Service Provider;</w:t>
      </w:r>
    </w:p>
    <w:p>
      <w:pPr>
        <w:spacing w:after="0" w:line="175" w:lineRule="exact"/>
        <w:rPr>
          <w:rFonts w:ascii="Arial" w:cs="Arial" w:eastAsia="Arial" w:hAnsi="Arial"/>
          <w:sz w:val="14"/>
          <w:szCs w:val="14"/>
          <w:color w:val="auto"/>
        </w:rPr>
      </w:pPr>
    </w:p>
    <w:p>
      <w:pPr>
        <w:jc w:val="both"/>
        <w:ind w:left="1020" w:hanging="511"/>
        <w:spacing w:after="0" w:line="264" w:lineRule="auto"/>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if requested by ANZ, obtaining from each of its Personnel and Authorised Disclosees that has access to the Confidential Information, whether or not prior to disclosure of any Confidential Information to that person, an executed confidentiality statement in favour of ANZ in a form as set out in Annexure 1, and ensuring that such Personnel and Authorised Disclosees are aware of and comply with the requirements posed in relevant applicable laws;</w:t>
      </w:r>
    </w:p>
    <w:p>
      <w:pPr>
        <w:spacing w:after="0" w:line="142"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copying, modifying, summarising, producing derivations of, or incorporating within other material or otherwise reproducing the Confidential Information only as strictly required for performing this Agreement;</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complying with any reasonable security and safety procedures notified in writing to the Service Provider by ANZ;</w:t>
      </w:r>
    </w:p>
    <w:p>
      <w:pPr>
        <w:spacing w:after="0" w:line="175"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immediately notifying ANZ of any circumstance that comes to its attention regarding any actual or potential breach of confidentiality or any unauthorised access, disclosure or use of Confidential Information (including any such breach by any of the Service Provider’s Personnel or Authorised Subcontractor);</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04"/>
        </w:numPr>
        <w:rPr>
          <w:rFonts w:ascii="Arial" w:cs="Arial" w:eastAsia="Arial" w:hAnsi="Arial"/>
          <w:sz w:val="13"/>
          <w:szCs w:val="13"/>
          <w:color w:val="auto"/>
        </w:rPr>
      </w:pPr>
      <w:r>
        <w:rPr>
          <w:rFonts w:ascii="Arial" w:cs="Arial" w:eastAsia="Arial" w:hAnsi="Arial"/>
          <w:sz w:val="13"/>
          <w:szCs w:val="13"/>
          <w:color w:val="auto"/>
        </w:rPr>
        <w:t>making every effort to cooperate with ANZ in any investigation, prosecution or remedial action taken by ANZ in relation to the protection of the Confidential Information; and</w:t>
      </w:r>
    </w:p>
    <w:p>
      <w:pPr>
        <w:spacing w:after="0" w:line="187" w:lineRule="exact"/>
        <w:rPr>
          <w:rFonts w:ascii="Arial" w:cs="Arial" w:eastAsia="Arial" w:hAnsi="Arial"/>
          <w:sz w:val="13"/>
          <w:szCs w:val="13"/>
          <w:color w:val="auto"/>
        </w:rPr>
      </w:pPr>
    </w:p>
    <w:p>
      <w:pPr>
        <w:ind w:left="1020" w:hanging="511"/>
        <w:spacing w:after="0" w:line="277" w:lineRule="auto"/>
        <w:tabs>
          <w:tab w:leader="none" w:pos="102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ensuring that it uses all practical and legal options available to it to ensure that the conduct of its Personnel, former Personnel and Authorised Disclosees does not result in a breach of this clause, and if such a breach does arise, that it is immediately ceased and remedied to the reasonable satisfaction of ANZ.</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bl>
    <w:p>
      <w:pPr>
        <w:sectPr>
          <w:pgSz w:w="11900" w:h="16838" w:orient="portrait"/>
          <w:cols w:equalWidth="0" w:num="1">
            <w:col w:w="11460"/>
          </w:cols>
          <w:pgMar w:left="220" w:top="1093" w:right="219"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476250</wp:posOffset>
            </wp:positionV>
            <wp:extent cx="868680" cy="2940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3"/>
          <w:szCs w:val="13"/>
          <w:color w:val="auto"/>
        </w:rPr>
        <w:t>Return of Confidential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Upon the termination or expiry of this Agreement, or at any time upon the written request of ANZ (at its absolute discretion), the Service Provider must, subject to clause 8.8:</w:t>
      </w:r>
    </w:p>
    <w:p>
      <w:pPr>
        <w:spacing w:after="0" w:line="197" w:lineRule="exact"/>
        <w:rPr>
          <w:sz w:val="20"/>
          <w:szCs w:val="20"/>
          <w:color w:val="auto"/>
        </w:rPr>
      </w:pPr>
    </w:p>
    <w:p>
      <w:pPr>
        <w:ind w:left="1020" w:hanging="511"/>
        <w:spacing w:after="0"/>
        <w:tabs>
          <w:tab w:leader="none" w:pos="1020" w:val="left"/>
        </w:tabs>
        <w:numPr>
          <w:ilvl w:val="0"/>
          <w:numId w:val="305"/>
        </w:numPr>
        <w:rPr>
          <w:rFonts w:ascii="Arial" w:cs="Arial" w:eastAsia="Arial" w:hAnsi="Arial"/>
          <w:sz w:val="14"/>
          <w:szCs w:val="14"/>
          <w:color w:val="auto"/>
        </w:rPr>
      </w:pPr>
      <w:r>
        <w:rPr>
          <w:rFonts w:ascii="Arial" w:cs="Arial" w:eastAsia="Arial" w:hAnsi="Arial"/>
          <w:sz w:val="14"/>
          <w:szCs w:val="14"/>
          <w:color w:val="auto"/>
        </w:rPr>
        <w:t>deliver to ANZ any Confidential Information in the Service Provider’s (including its Personnel’s) possession or control that is reasonably capable of being delivered; and</w:t>
      </w:r>
    </w:p>
    <w:p>
      <w:pPr>
        <w:spacing w:after="0" w:line="175" w:lineRule="exact"/>
        <w:rPr>
          <w:rFonts w:ascii="Arial" w:cs="Arial" w:eastAsia="Arial" w:hAnsi="Arial"/>
          <w:sz w:val="14"/>
          <w:szCs w:val="14"/>
          <w:color w:val="auto"/>
        </w:rPr>
      </w:pPr>
    </w:p>
    <w:p>
      <w:pPr>
        <w:jc w:val="both"/>
        <w:ind w:left="1020" w:hanging="511"/>
        <w:spacing w:after="0" w:line="264" w:lineRule="auto"/>
        <w:tabs>
          <w:tab w:leader="none" w:pos="1020" w:val="left"/>
        </w:tabs>
        <w:numPr>
          <w:ilvl w:val="0"/>
          <w:numId w:val="305"/>
        </w:numPr>
        <w:rPr>
          <w:rFonts w:ascii="Arial" w:cs="Arial" w:eastAsia="Arial" w:hAnsi="Arial"/>
          <w:sz w:val="14"/>
          <w:szCs w:val="14"/>
          <w:color w:val="auto"/>
        </w:rPr>
      </w:pPr>
      <w:r>
        <w:rPr>
          <w:rFonts w:ascii="Arial" w:cs="Arial" w:eastAsia="Arial" w:hAnsi="Arial"/>
          <w:sz w:val="14"/>
          <w:szCs w:val="14"/>
          <w:color w:val="auto"/>
        </w:rPr>
        <w:t>irretrievably delete, erase or otherwise destroy all Confidential Information in the Service Provider’s (including its Personnel’s) possession or control that is not capable of delivery to ANZ, including that contained in computer memory, magnetic, optical, laser, electronic or other media, and confirm in writing to ANZ that it has done so including the method, time and place of destruction.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3"/>
          <w:szCs w:val="13"/>
          <w:color w:val="auto"/>
        </w:rPr>
        <w:t>Retention of Confidential Information</w:t>
      </w:r>
    </w:p>
    <w:p>
      <w:pPr>
        <w:spacing w:after="0" w:line="176" w:lineRule="exact"/>
        <w:rPr>
          <w:sz w:val="20"/>
          <w:szCs w:val="20"/>
          <w:color w:val="auto"/>
        </w:rPr>
      </w:pPr>
    </w:p>
    <w:p>
      <w:pPr>
        <w:jc w:val="both"/>
        <w:ind w:left="500"/>
        <w:spacing w:after="0" w:line="277" w:lineRule="auto"/>
        <w:rPr>
          <w:sz w:val="20"/>
          <w:szCs w:val="20"/>
          <w:color w:val="auto"/>
        </w:rPr>
      </w:pPr>
      <w:r>
        <w:rPr>
          <w:rFonts w:ascii="Arial" w:cs="Arial" w:eastAsia="Arial" w:hAnsi="Arial"/>
          <w:sz w:val="14"/>
          <w:szCs w:val="14"/>
          <w:color w:val="auto"/>
        </w:rPr>
        <w:t>Provided that the Service Provider continues to comply with its obligations under this clause 8, the Service Provider may retain any Confidential Information that the Service Provider is required by Law to retain.</w:t>
      </w:r>
    </w:p>
    <w:p>
      <w:pPr>
        <w:spacing w:after="0" w:line="133"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For the purposes of this clause 8.8: (i) the Service Provider must minimise the extent of retention and give ANZ notice and documentary evidence of the circumstances of the proposed retention and the relevant Confidential Information to be retained; (ii) the Service Provider must obtain ANZ’s written consent prior to retention; and (iii) under no circumstances shall the Service Provider be permitted to retain any ANZ Data, Customer Information, Personal Data or ANZ employee information.</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3"/>
          <w:szCs w:val="13"/>
          <w:color w:val="auto"/>
        </w:rPr>
        <w:t>Unauthorised Disclosure or Use of Confidential Information</w:t>
      </w:r>
    </w:p>
    <w:p>
      <w:pPr>
        <w:spacing w:after="0" w:line="176" w:lineRule="exact"/>
        <w:rPr>
          <w:sz w:val="20"/>
          <w:szCs w:val="20"/>
          <w:color w:val="auto"/>
        </w:rPr>
      </w:pPr>
    </w:p>
    <w:p>
      <w:pPr>
        <w:jc w:val="both"/>
        <w:ind w:left="500"/>
        <w:spacing w:after="0" w:line="328" w:lineRule="auto"/>
        <w:rPr>
          <w:sz w:val="20"/>
          <w:szCs w:val="20"/>
          <w:color w:val="auto"/>
        </w:rPr>
      </w:pPr>
      <w:r>
        <w:rPr>
          <w:rFonts w:ascii="Arial" w:cs="Arial" w:eastAsia="Arial" w:hAnsi="Arial"/>
          <w:sz w:val="12"/>
          <w:szCs w:val="12"/>
          <w:color w:val="auto"/>
        </w:rPr>
        <w:t>The Service Provider acknowledges that damages alone are unlikely to be an adequate remedy in respect of any breach of the Service Provider’s obligations under this Agreement. Accordingly, in addition to other remedies that may be available, ANZ may seek the immediate granting of injunctive or other equitable and/or interlocutory relief to protect ANZ’s rights and interest in the Confidential Information against any actual or potential breach of this Agreement, without proof of actual damages, in addition to any other remedy to which ANZ would be entitled.</w:t>
      </w:r>
    </w:p>
    <w:p>
      <w:pPr>
        <w:spacing w:after="0" w:line="104" w:lineRule="exact"/>
        <w:rPr>
          <w:sz w:val="20"/>
          <w:szCs w:val="20"/>
          <w:color w:val="auto"/>
        </w:rPr>
      </w:pPr>
    </w:p>
    <w:p>
      <w:pPr>
        <w:ind w:left="500" w:hanging="496"/>
        <w:spacing w:after="0"/>
        <w:tabs>
          <w:tab w:leader="none" w:pos="500" w:val="left"/>
        </w:tabs>
        <w:numPr>
          <w:ilvl w:val="0"/>
          <w:numId w:val="306"/>
        </w:numPr>
        <w:rPr>
          <w:rFonts w:ascii="Arial" w:cs="Arial" w:eastAsia="Arial" w:hAnsi="Arial"/>
          <w:sz w:val="14"/>
          <w:szCs w:val="14"/>
          <w:b w:val="1"/>
          <w:bCs w:val="1"/>
          <w:color w:val="auto"/>
        </w:rPr>
      </w:pPr>
      <w:r>
        <w:rPr>
          <w:rFonts w:ascii="Arial" w:cs="Arial" w:eastAsia="Arial" w:hAnsi="Arial"/>
          <w:sz w:val="14"/>
          <w:szCs w:val="14"/>
          <w:b w:val="1"/>
          <w:bCs w:val="1"/>
          <w:color w:val="auto"/>
        </w:rPr>
        <w:t>DATA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2"/>
          <w:szCs w:val="12"/>
          <w:color w:val="auto"/>
        </w:rPr>
        <w:t>Compliance with Data Protection Legislation and Laws</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Service Provider shall, and procure that its Personnel shall, at all times comply with any applicable Data Protection Legislation and any other applicable Laws governing the use and disclosure of Personal Data, and treat Personal Data as Confidential Information in accordance with clause 8.</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2"/>
          <w:szCs w:val="12"/>
          <w:color w:val="auto"/>
        </w:rPr>
        <w:t>Service Provider’s Warranties and Undertakings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the event that the Service Provider or any of its Personnel process, hold, store, copy, use transmit, transfer, receive or carry out any operation on the Personal Data for the purposes of this</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Agreement, the Service Provider hereby warrants and undertakes that it shall, and will procure in a contract made in writing that each of its Personnel shall:</w:t>
      </w:r>
    </w:p>
    <w:p>
      <w:pPr>
        <w:spacing w:after="0" w:line="186" w:lineRule="exact"/>
        <w:rPr>
          <w:sz w:val="20"/>
          <w:szCs w:val="20"/>
          <w:color w:val="auto"/>
        </w:rPr>
      </w:pPr>
    </w:p>
    <w:p>
      <w:pPr>
        <w:ind w:left="1020" w:hanging="511"/>
        <w:spacing w:after="0" w:line="277" w:lineRule="auto"/>
        <w:tabs>
          <w:tab w:leader="none" w:pos="1020" w:val="left"/>
        </w:tabs>
        <w:numPr>
          <w:ilvl w:val="0"/>
          <w:numId w:val="307"/>
        </w:numPr>
        <w:rPr>
          <w:rFonts w:ascii="Arial" w:cs="Arial" w:eastAsia="Arial" w:hAnsi="Arial"/>
          <w:sz w:val="14"/>
          <w:szCs w:val="14"/>
          <w:color w:val="auto"/>
        </w:rPr>
      </w:pPr>
      <w:r>
        <w:rPr>
          <w:rFonts w:ascii="Arial" w:cs="Arial" w:eastAsia="Arial" w:hAnsi="Arial"/>
          <w:sz w:val="14"/>
          <w:szCs w:val="14"/>
          <w:color w:val="auto"/>
        </w:rPr>
        <w:t>only use the Personal Data for the purposes in which it was disclosed or provided to it and within the parameters of the consent given by the individual to which the Personal Data relates and do not wrongfully disclose or misuse any Personal Data;</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07"/>
        </w:numPr>
        <w:rPr>
          <w:rFonts w:ascii="Arial" w:cs="Arial" w:eastAsia="Arial" w:hAnsi="Arial"/>
          <w:sz w:val="14"/>
          <w:szCs w:val="14"/>
          <w:color w:val="auto"/>
        </w:rPr>
      </w:pPr>
      <w:r>
        <w:rPr>
          <w:rFonts w:ascii="Arial" w:cs="Arial" w:eastAsia="Arial" w:hAnsi="Arial"/>
          <w:sz w:val="14"/>
          <w:szCs w:val="14"/>
          <w:color w:val="auto"/>
        </w:rPr>
        <w:t>comply with any request made or direction given by ANZ in connection with the obligation of ANZ under any Data Protection Legislation;</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307"/>
        </w:numPr>
        <w:rPr>
          <w:rFonts w:ascii="Arial" w:cs="Arial" w:eastAsia="Arial" w:hAnsi="Arial"/>
          <w:sz w:val="14"/>
          <w:szCs w:val="14"/>
          <w:color w:val="auto"/>
        </w:rPr>
      </w:pPr>
      <w:r>
        <w:rPr>
          <w:rFonts w:ascii="Arial" w:cs="Arial" w:eastAsia="Arial" w:hAnsi="Arial"/>
          <w:sz w:val="14"/>
          <w:szCs w:val="14"/>
          <w:color w:val="auto"/>
        </w:rPr>
        <w:t>keep all Personal Data provided by ANZ segregated from any other Personal Data;</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307"/>
        </w:numPr>
        <w:rPr>
          <w:rFonts w:ascii="Arial" w:cs="Arial" w:eastAsia="Arial" w:hAnsi="Arial"/>
          <w:sz w:val="14"/>
          <w:szCs w:val="14"/>
          <w:color w:val="auto"/>
        </w:rPr>
      </w:pPr>
      <w:r>
        <w:rPr>
          <w:rFonts w:ascii="Arial" w:cs="Arial" w:eastAsia="Arial" w:hAnsi="Arial"/>
          <w:sz w:val="14"/>
          <w:szCs w:val="14"/>
          <w:color w:val="auto"/>
        </w:rPr>
        <w:t>act only on instructions from ANZ regarding the processing of the Personal Data provided by ANZ;</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bl>
    <w:p>
      <w:pPr>
        <w:sectPr>
          <w:pgSz w:w="11900" w:h="16838" w:orient="portrait"/>
          <w:cols w:equalWidth="0" w:num="1">
            <w:col w:w="11460"/>
          </w:cols>
          <w:pgMar w:left="220" w:top="1093" w:right="219" w:bottom="1440" w:gutter="0" w:footer="0" w:header="0"/>
        </w:sectPr>
      </w:pPr>
    </w:p>
    <w:bookmarkStart w:id="266" w:name="page267"/>
    <w:bookmarkEnd w:id="26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ind w:left="1020" w:hanging="511"/>
        <w:spacing w:after="0" w:line="277" w:lineRule="auto"/>
        <w:tabs>
          <w:tab w:leader="none" w:pos="1020" w:val="left"/>
        </w:tabs>
        <w:numPr>
          <w:ilvl w:val="0"/>
          <w:numId w:val="308"/>
        </w:numPr>
        <w:rPr>
          <w:rFonts w:ascii="Arial" w:cs="Arial" w:eastAsia="Arial" w:hAnsi="Arial"/>
          <w:sz w:val="14"/>
          <w:szCs w:val="14"/>
          <w:color w:val="auto"/>
        </w:rPr>
      </w:pPr>
      <w:r>
        <w:rPr>
          <w:rFonts w:ascii="Arial" w:cs="Arial" w:eastAsia="Arial" w:hAnsi="Arial"/>
          <w:sz w:val="14"/>
          <w:szCs w:val="14"/>
          <w:color w:val="auto"/>
        </w:rPr>
        <w:t>not transfer or process any Personal Data provided by ANZ without ANZ’s prior written consent or the prior written consent of the relevant individual that the Personal Data in question relates to;</w:t>
      </w:r>
    </w:p>
    <w:p>
      <w:pPr>
        <w:spacing w:after="0" w:line="133"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308"/>
        </w:numPr>
        <w:rPr>
          <w:rFonts w:ascii="Arial" w:cs="Arial" w:eastAsia="Arial" w:hAnsi="Arial"/>
          <w:sz w:val="14"/>
          <w:szCs w:val="14"/>
          <w:color w:val="auto"/>
        </w:rPr>
      </w:pPr>
      <w:r>
        <w:rPr>
          <w:rFonts w:ascii="Arial" w:cs="Arial" w:eastAsia="Arial" w:hAnsi="Arial"/>
          <w:sz w:val="14"/>
          <w:szCs w:val="14"/>
          <w:color w:val="auto"/>
        </w:rPr>
        <w:t>promptly notify ANZ in the event that the Service Provider becomes aware that it has breached the provisions of this clause 9 and/or a complaint is made by an individual to which the Personal Data relates; and</w:t>
      </w:r>
    </w:p>
    <w:p>
      <w:pPr>
        <w:spacing w:after="0" w:line="133" w:lineRule="exact"/>
        <w:rPr>
          <w:rFonts w:ascii="Arial" w:cs="Arial" w:eastAsia="Arial" w:hAnsi="Arial"/>
          <w:sz w:val="14"/>
          <w:szCs w:val="14"/>
          <w:color w:val="auto"/>
        </w:rPr>
      </w:pPr>
    </w:p>
    <w:p>
      <w:pPr>
        <w:jc w:val="both"/>
        <w:ind w:left="1020" w:hanging="511"/>
        <w:spacing w:after="0" w:line="264" w:lineRule="auto"/>
        <w:tabs>
          <w:tab w:leader="none" w:pos="1020" w:val="left"/>
        </w:tabs>
        <w:numPr>
          <w:ilvl w:val="0"/>
          <w:numId w:val="308"/>
        </w:numPr>
        <w:rPr>
          <w:rFonts w:ascii="Arial" w:cs="Arial" w:eastAsia="Arial" w:hAnsi="Arial"/>
          <w:sz w:val="14"/>
          <w:szCs w:val="14"/>
          <w:color w:val="auto"/>
        </w:rPr>
      </w:pPr>
      <w:r>
        <w:rPr>
          <w:rFonts w:ascii="Arial" w:cs="Arial" w:eastAsia="Arial" w:hAnsi="Arial"/>
          <w:sz w:val="14"/>
          <w:szCs w:val="14"/>
          <w:color w:val="auto"/>
        </w:rPr>
        <w:t>provide full co-operation to ANZ in the event that ANZ is subject to any investigations by a Government Agency in relation to the Data Protection Legislation, provided that, the reasonable and proper costs incurred by Service Provider in providing such co-operation shall be reimbursed promptly to Service Provider by ANZ, save where the investigation is to do with a breach by Service Provider of its obligation under this Agreement, in which case Service Provider shall bear such costs itself.</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color w:val="auto"/>
        </w:rPr>
        <w:t>Indemnity</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The Service Provider shall indemnify ANZ against any and all losses, damages, reasonably and properly incurred costs and reasonably and properly incurred expenses (including, without limitation, reasonably and properly incurred legal expenses) suffered or incurred by ANZ as a result of the acts or omissions of the Service Provider or its Personnel in connection with a breach of this clause 9.</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2"/>
          <w:szCs w:val="12"/>
          <w:color w:val="auto"/>
        </w:rPr>
        <w:t>Service Provider’s obligation to protect Personal Data</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Service Provider must:</w:t>
      </w:r>
    </w:p>
    <w:p>
      <w:pPr>
        <w:spacing w:after="0" w:line="197" w:lineRule="exact"/>
        <w:rPr>
          <w:sz w:val="20"/>
          <w:szCs w:val="20"/>
          <w:color w:val="auto"/>
        </w:rPr>
      </w:pPr>
    </w:p>
    <w:p>
      <w:pPr>
        <w:ind w:left="1020" w:hanging="511"/>
        <w:spacing w:after="0"/>
        <w:tabs>
          <w:tab w:leader="none" w:pos="1020" w:val="left"/>
        </w:tabs>
        <w:numPr>
          <w:ilvl w:val="0"/>
          <w:numId w:val="309"/>
        </w:numPr>
        <w:rPr>
          <w:rFonts w:ascii="Arial" w:cs="Arial" w:eastAsia="Arial" w:hAnsi="Arial"/>
          <w:sz w:val="14"/>
          <w:szCs w:val="14"/>
          <w:color w:val="auto"/>
        </w:rPr>
      </w:pPr>
      <w:r>
        <w:rPr>
          <w:rFonts w:ascii="Arial" w:cs="Arial" w:eastAsia="Arial" w:hAnsi="Arial"/>
          <w:sz w:val="14"/>
          <w:szCs w:val="14"/>
          <w:color w:val="auto"/>
        </w:rPr>
        <w:t>take all reasonable steps to protect all Personal Data in its possession or control against misuse and loss and from unauthorised access, modification or disclosure;</w:t>
      </w:r>
    </w:p>
    <w:p>
      <w:pPr>
        <w:spacing w:after="0" w:line="175" w:lineRule="exact"/>
        <w:rPr>
          <w:rFonts w:ascii="Arial" w:cs="Arial" w:eastAsia="Arial" w:hAnsi="Arial"/>
          <w:sz w:val="14"/>
          <w:szCs w:val="14"/>
          <w:color w:val="auto"/>
        </w:rPr>
      </w:pPr>
    </w:p>
    <w:p>
      <w:pPr>
        <w:jc w:val="both"/>
        <w:ind w:left="1020" w:hanging="511"/>
        <w:spacing w:after="0" w:line="259" w:lineRule="auto"/>
        <w:tabs>
          <w:tab w:leader="none" w:pos="1020" w:val="left"/>
        </w:tabs>
        <w:numPr>
          <w:ilvl w:val="0"/>
          <w:numId w:val="309"/>
        </w:numPr>
        <w:rPr>
          <w:rFonts w:ascii="Arial" w:cs="Arial" w:eastAsia="Arial" w:hAnsi="Arial"/>
          <w:sz w:val="14"/>
          <w:szCs w:val="14"/>
          <w:color w:val="auto"/>
        </w:rPr>
      </w:pPr>
      <w:r>
        <w:rPr>
          <w:rFonts w:ascii="Arial" w:cs="Arial" w:eastAsia="Arial" w:hAnsi="Arial"/>
          <w:sz w:val="14"/>
          <w:szCs w:val="14"/>
          <w:color w:val="auto"/>
        </w:rPr>
        <w:t>take all appropriate technical and organisational measures in accordance with the Data Protection Legislation and otherwise in accordance with industry best practice against unauthorised or unlawful processing of, and against accidental loss or destruction of, Personal Data, and in order to maintain the integrity of Personal Data, including by isolating, segregating and clearly identifying Personal Data provided by ANZ and ensuring a level of security appropriate to the harm that might result from such unauthorised or unlawful processing or accidental loss, destruction or damage and appropriate to the nature of Personal Data;</w:t>
      </w:r>
    </w:p>
    <w:p>
      <w:pPr>
        <w:spacing w:after="0" w:line="146"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309"/>
        </w:numPr>
        <w:rPr>
          <w:rFonts w:ascii="Arial" w:cs="Arial" w:eastAsia="Arial" w:hAnsi="Arial"/>
          <w:sz w:val="14"/>
          <w:szCs w:val="14"/>
          <w:color w:val="auto"/>
        </w:rPr>
      </w:pPr>
      <w:r>
        <w:rPr>
          <w:rFonts w:ascii="Arial" w:cs="Arial" w:eastAsia="Arial" w:hAnsi="Arial"/>
          <w:sz w:val="14"/>
          <w:szCs w:val="14"/>
          <w:color w:val="auto"/>
        </w:rPr>
        <w:t>take reasonable steps to ensure the reliability of all Personnel who have access to the Personal Data and ensure that such Personnel are aware of Service Provider’s obligation under this clause;</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09"/>
        </w:numPr>
        <w:rPr>
          <w:rFonts w:ascii="Arial" w:cs="Arial" w:eastAsia="Arial" w:hAnsi="Arial"/>
          <w:sz w:val="14"/>
          <w:szCs w:val="14"/>
          <w:color w:val="auto"/>
        </w:rPr>
      </w:pPr>
      <w:r>
        <w:rPr>
          <w:rFonts w:ascii="Arial" w:cs="Arial" w:eastAsia="Arial" w:hAnsi="Arial"/>
          <w:sz w:val="14"/>
          <w:szCs w:val="14"/>
          <w:color w:val="auto"/>
        </w:rPr>
        <w:t>only allow its Personnel to access any Personal Data where necessary for the purposes of this Agreement;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309"/>
        </w:numPr>
        <w:rPr>
          <w:rFonts w:ascii="Arial" w:cs="Arial" w:eastAsia="Arial" w:hAnsi="Arial"/>
          <w:sz w:val="14"/>
          <w:szCs w:val="14"/>
          <w:color w:val="auto"/>
        </w:rPr>
      </w:pPr>
      <w:r>
        <w:rPr>
          <w:rFonts w:ascii="Arial" w:cs="Arial" w:eastAsia="Arial" w:hAnsi="Arial"/>
          <w:sz w:val="14"/>
          <w:szCs w:val="14"/>
          <w:color w:val="auto"/>
        </w:rPr>
        <w:t>on the earlier of the expiry or termination of the Agreement or when requested by ANZ, and at the option of ANZ either;</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309"/>
        </w:numPr>
        <w:rPr>
          <w:rFonts w:ascii="Arial" w:cs="Arial" w:eastAsia="Arial" w:hAnsi="Arial"/>
          <w:sz w:val="14"/>
          <w:szCs w:val="14"/>
          <w:color w:val="auto"/>
        </w:rPr>
      </w:pPr>
      <w:r>
        <w:rPr>
          <w:rFonts w:ascii="Arial" w:cs="Arial" w:eastAsia="Arial" w:hAnsi="Arial"/>
          <w:sz w:val="14"/>
          <w:szCs w:val="14"/>
          <w:color w:val="auto"/>
        </w:rPr>
        <w:t>return to ANZ copies of all Personal Data in the possession or control of the Service Provider;</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309"/>
        </w:numPr>
        <w:rPr>
          <w:rFonts w:ascii="Arial" w:cs="Arial" w:eastAsia="Arial" w:hAnsi="Arial"/>
          <w:sz w:val="14"/>
          <w:szCs w:val="14"/>
          <w:color w:val="auto"/>
        </w:rPr>
      </w:pPr>
      <w:r>
        <w:rPr>
          <w:rFonts w:ascii="Arial" w:cs="Arial" w:eastAsia="Arial" w:hAnsi="Arial"/>
          <w:sz w:val="14"/>
          <w:szCs w:val="14"/>
          <w:color w:val="auto"/>
        </w:rPr>
        <w:t>destroy all Personal Data in the possession or control of the Service Provider; or</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309"/>
        </w:numPr>
        <w:rPr>
          <w:rFonts w:ascii="Arial" w:cs="Arial" w:eastAsia="Arial" w:hAnsi="Arial"/>
          <w:sz w:val="14"/>
          <w:szCs w:val="14"/>
          <w:color w:val="auto"/>
        </w:rPr>
      </w:pPr>
      <w:r>
        <w:rPr>
          <w:rFonts w:ascii="Arial" w:cs="Arial" w:eastAsia="Arial" w:hAnsi="Arial"/>
          <w:sz w:val="14"/>
          <w:szCs w:val="14"/>
          <w:color w:val="auto"/>
        </w:rPr>
        <w:t>de identify all Personal Data in the possession or control of the Service Provider.</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3"/>
          <w:szCs w:val="13"/>
          <w:color w:val="auto"/>
        </w:rPr>
        <w:t>Incident notification</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Service Provider must immediately notify ANZ if the Service Provider becomes aware of a breach or possible breach of its obligations in relation to the collection, use, disclosure, storage or handling of Personal Data under or in connection with this Agreement.</w:t>
      </w:r>
    </w:p>
    <w:p>
      <w:pPr>
        <w:spacing w:after="0" w:line="129" w:lineRule="exact"/>
        <w:rPr>
          <w:sz w:val="20"/>
          <w:szCs w:val="20"/>
          <w:color w:val="auto"/>
        </w:rPr>
      </w:pPr>
    </w:p>
    <w:p>
      <w:pPr>
        <w:ind w:left="500" w:hanging="496"/>
        <w:spacing w:after="0"/>
        <w:tabs>
          <w:tab w:leader="none" w:pos="500" w:val="left"/>
        </w:tabs>
        <w:numPr>
          <w:ilvl w:val="0"/>
          <w:numId w:val="310"/>
        </w:numPr>
        <w:rPr>
          <w:rFonts w:ascii="Arial" w:cs="Arial" w:eastAsia="Arial" w:hAnsi="Arial"/>
          <w:sz w:val="14"/>
          <w:szCs w:val="14"/>
          <w:b w:val="1"/>
          <w:bCs w:val="1"/>
          <w:color w:val="auto"/>
        </w:rPr>
      </w:pPr>
      <w:r>
        <w:rPr>
          <w:rFonts w:ascii="Arial" w:cs="Arial" w:eastAsia="Arial" w:hAnsi="Arial"/>
          <w:sz w:val="14"/>
          <w:szCs w:val="14"/>
          <w:b w:val="1"/>
          <w:bCs w:val="1"/>
          <w:color w:val="auto"/>
        </w:rPr>
        <w:t>PUBLICITY</w:t>
      </w:r>
    </w:p>
    <w:p>
      <w:pPr>
        <w:spacing w:after="0" w:line="200" w:lineRule="exact"/>
        <w:rPr>
          <w:rFonts w:ascii="Arial" w:cs="Arial" w:eastAsia="Arial" w:hAnsi="Arial"/>
          <w:sz w:val="14"/>
          <w:szCs w:val="14"/>
          <w:b w:val="1"/>
          <w:bCs w:val="1"/>
          <w:color w:val="auto"/>
        </w:rPr>
      </w:pPr>
    </w:p>
    <w:p>
      <w:pPr>
        <w:ind w:left="500"/>
        <w:spacing w:after="0" w:line="277" w:lineRule="auto"/>
        <w:rPr>
          <w:rFonts w:ascii="Arial" w:cs="Arial" w:eastAsia="Arial" w:hAnsi="Arial"/>
          <w:sz w:val="14"/>
          <w:szCs w:val="14"/>
          <w:b w:val="1"/>
          <w:bCs w:val="1"/>
          <w:color w:val="auto"/>
        </w:rPr>
      </w:pPr>
      <w:r>
        <w:rPr>
          <w:rFonts w:ascii="Arial" w:cs="Arial" w:eastAsia="Arial" w:hAnsi="Arial"/>
          <w:sz w:val="14"/>
          <w:szCs w:val="14"/>
          <w:color w:val="auto"/>
        </w:rPr>
        <w:t>The Service Provider must not publicise the existence of this Agreement or any of its terms nor any other matter related to it (including the business relationship between the parties) without first obtaining the written approval of ANZ.</w:t>
      </w:r>
    </w:p>
    <w:p>
      <w:pPr>
        <w:spacing w:after="0" w:line="129" w:lineRule="exact"/>
        <w:rPr>
          <w:rFonts w:ascii="Arial" w:cs="Arial" w:eastAsia="Arial" w:hAnsi="Arial"/>
          <w:sz w:val="14"/>
          <w:szCs w:val="14"/>
          <w:b w:val="1"/>
          <w:bCs w:val="1"/>
          <w:color w:val="auto"/>
        </w:rPr>
      </w:pPr>
    </w:p>
    <w:p>
      <w:pPr>
        <w:ind w:left="500" w:hanging="496"/>
        <w:spacing w:after="0"/>
        <w:tabs>
          <w:tab w:leader="none" w:pos="500" w:val="left"/>
        </w:tabs>
        <w:numPr>
          <w:ilvl w:val="0"/>
          <w:numId w:val="310"/>
        </w:numPr>
        <w:rPr>
          <w:rFonts w:ascii="Arial" w:cs="Arial" w:eastAsia="Arial" w:hAnsi="Arial"/>
          <w:sz w:val="14"/>
          <w:szCs w:val="14"/>
          <w:b w:val="1"/>
          <w:bCs w:val="1"/>
          <w:color w:val="auto"/>
        </w:rPr>
      </w:pPr>
      <w:r>
        <w:rPr>
          <w:rFonts w:ascii="Arial" w:cs="Arial" w:eastAsia="Arial" w:hAnsi="Arial"/>
          <w:sz w:val="14"/>
          <w:szCs w:val="14"/>
          <w:b w:val="1"/>
          <w:bCs w:val="1"/>
          <w:color w:val="auto"/>
        </w:rPr>
        <w:t>INTELLECTUAL PROPERTY AND MORAL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-533400</wp:posOffset>
            </wp:positionV>
            <wp:extent cx="7277100" cy="13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71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color w:val="auto"/>
        </w:rPr>
        <w:t>Service Provider’s Intellectual Property</w:t>
      </w:r>
    </w:p>
    <w:p>
      <w:pPr>
        <w:spacing w:after="0" w:line="176" w:lineRule="exact"/>
        <w:rPr>
          <w:sz w:val="20"/>
          <w:szCs w:val="20"/>
          <w:color w:val="auto"/>
        </w:rPr>
      </w:pPr>
    </w:p>
    <w:p>
      <w:pPr>
        <w:jc w:val="both"/>
        <w:ind w:left="1020" w:hanging="511"/>
        <w:spacing w:after="0" w:line="264" w:lineRule="auto"/>
        <w:tabs>
          <w:tab w:leader="none" w:pos="1020" w:val="left"/>
        </w:tabs>
        <w:numPr>
          <w:ilvl w:val="0"/>
          <w:numId w:val="311"/>
        </w:numPr>
        <w:rPr>
          <w:rFonts w:ascii="Arial" w:cs="Arial" w:eastAsia="Arial" w:hAnsi="Arial"/>
          <w:sz w:val="14"/>
          <w:szCs w:val="14"/>
          <w:color w:val="auto"/>
        </w:rPr>
      </w:pPr>
      <w:r>
        <w:rPr>
          <w:rFonts w:ascii="Arial" w:cs="Arial" w:eastAsia="Arial" w:hAnsi="Arial"/>
          <w:sz w:val="14"/>
          <w:szCs w:val="14"/>
          <w:color w:val="auto"/>
        </w:rPr>
        <w:t>The Service Provider represents and warrants that it is the absolute and unencumbered legal and beneficial owner of, or that it holds a valid licence to use, the Service Provider’s Intellectual Property and all other intellectual property rights necessary for it to be able to fulfil its obligations under this Agreement and to permit ANZ to exploit the benefits of the Services.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bl>
    <w:p>
      <w:pPr>
        <w:sectPr>
          <w:pgSz w:w="11900" w:h="16838" w:orient="portrait"/>
          <w:cols w:equalWidth="0" w:num="1">
            <w:col w:w="11460"/>
          </w:cols>
          <w:pgMar w:left="220" w:top="1093" w:right="219" w:bottom="1440" w:gutter="0" w:footer="0" w:header="0"/>
        </w:sectPr>
      </w:pPr>
    </w:p>
    <w:bookmarkStart w:id="267" w:name="page268"/>
    <w:bookmarkEnd w:id="26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093" w:right="219" w:bottom="1440" w:gutter="0" w:footer="0" w:header="0"/>
        </w:sectPr>
      </w:pPr>
    </w:p>
    <w:p>
      <w:pPr>
        <w:spacing w:after="0" w:line="201" w:lineRule="exact"/>
        <w:rPr>
          <w:sz w:val="20"/>
          <w:szCs w:val="20"/>
          <w:color w:val="auto"/>
        </w:rPr>
      </w:pPr>
    </w:p>
    <w:p>
      <w:pPr>
        <w:ind w:left="1020" w:hanging="511"/>
        <w:spacing w:after="0"/>
        <w:tabs>
          <w:tab w:leader="none" w:pos="1020" w:val="left"/>
        </w:tabs>
        <w:numPr>
          <w:ilvl w:val="0"/>
          <w:numId w:val="312"/>
        </w:numPr>
        <w:rPr>
          <w:rFonts w:ascii="Arial" w:cs="Arial" w:eastAsia="Arial" w:hAnsi="Arial"/>
          <w:sz w:val="14"/>
          <w:szCs w:val="14"/>
          <w:color w:val="auto"/>
        </w:rPr>
      </w:pPr>
      <w:r>
        <w:rPr>
          <w:rFonts w:ascii="Arial" w:cs="Arial" w:eastAsia="Arial" w:hAnsi="Arial"/>
          <w:sz w:val="14"/>
          <w:szCs w:val="14"/>
          <w:color w:val="auto"/>
        </w:rPr>
        <w:t>ANZ acknowledges and agrees that the Service Provider’s Intellectual Property remains the property of and vests in the Service Provider.</w:t>
      </w:r>
    </w:p>
    <w:p>
      <w:pPr>
        <w:spacing w:after="0" w:line="175" w:lineRule="exact"/>
        <w:rPr>
          <w:rFonts w:ascii="Arial" w:cs="Arial" w:eastAsia="Arial" w:hAnsi="Arial"/>
          <w:sz w:val="14"/>
          <w:szCs w:val="14"/>
          <w:color w:val="auto"/>
        </w:rPr>
      </w:pPr>
    </w:p>
    <w:p>
      <w:pPr>
        <w:jc w:val="both"/>
        <w:ind w:left="1020" w:hanging="511"/>
        <w:spacing w:after="0" w:line="264" w:lineRule="auto"/>
        <w:tabs>
          <w:tab w:leader="none" w:pos="1020" w:val="left"/>
        </w:tabs>
        <w:numPr>
          <w:ilvl w:val="0"/>
          <w:numId w:val="312"/>
        </w:numPr>
        <w:rPr>
          <w:rFonts w:ascii="Arial" w:cs="Arial" w:eastAsia="Arial" w:hAnsi="Arial"/>
          <w:sz w:val="14"/>
          <w:szCs w:val="14"/>
          <w:color w:val="auto"/>
        </w:rPr>
      </w:pPr>
      <w:r>
        <w:rPr>
          <w:rFonts w:ascii="Arial" w:cs="Arial" w:eastAsia="Arial" w:hAnsi="Arial"/>
          <w:sz w:val="14"/>
          <w:szCs w:val="14"/>
          <w:color w:val="auto"/>
        </w:rPr>
        <w:t>The Service Provider grants to ANZ a perpetual, irrevocable, non-exclusive, worldwide, transferable, royalty-free licence to exercise all rights in the Service Provider’s Intellectual Property as is necessary for ANZ to enjoy the benefit of the Services for the purposes of its business and the business of ANZ Group members. This licence includes the right to sublicense any of the Service Provider’s Intellectual Property to:</w:t>
      </w:r>
    </w:p>
    <w:p>
      <w:pPr>
        <w:spacing w:after="0" w:line="142" w:lineRule="exact"/>
        <w:rPr>
          <w:rFonts w:ascii="Arial" w:cs="Arial" w:eastAsia="Arial" w:hAnsi="Arial"/>
          <w:sz w:val="14"/>
          <w:szCs w:val="14"/>
          <w:color w:val="auto"/>
        </w:rPr>
      </w:pPr>
    </w:p>
    <w:p>
      <w:pPr>
        <w:ind w:left="1520" w:hanging="506"/>
        <w:spacing w:after="0"/>
        <w:tabs>
          <w:tab w:leader="none" w:pos="1520" w:val="left"/>
        </w:tabs>
        <w:numPr>
          <w:ilvl w:val="1"/>
          <w:numId w:val="312"/>
        </w:numPr>
        <w:rPr>
          <w:rFonts w:ascii="Arial" w:cs="Arial" w:eastAsia="Arial" w:hAnsi="Arial"/>
          <w:sz w:val="14"/>
          <w:szCs w:val="14"/>
          <w:color w:val="auto"/>
        </w:rPr>
      </w:pPr>
      <w:r>
        <w:rPr>
          <w:rFonts w:ascii="Arial" w:cs="Arial" w:eastAsia="Arial" w:hAnsi="Arial"/>
          <w:sz w:val="14"/>
          <w:szCs w:val="14"/>
          <w:color w:val="auto"/>
        </w:rPr>
        <w:t>any ANZ Group member; or</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312"/>
        </w:numPr>
        <w:rPr>
          <w:rFonts w:ascii="Arial" w:cs="Arial" w:eastAsia="Arial" w:hAnsi="Arial"/>
          <w:sz w:val="14"/>
          <w:szCs w:val="14"/>
          <w:color w:val="auto"/>
        </w:rPr>
      </w:pPr>
      <w:r>
        <w:rPr>
          <w:rFonts w:ascii="Arial" w:cs="Arial" w:eastAsia="Arial" w:hAnsi="Arial"/>
          <w:sz w:val="14"/>
          <w:szCs w:val="14"/>
          <w:color w:val="auto"/>
        </w:rPr>
        <w:t>any third party engaged by ANZ or any ANZ Group member, for the purpose of providing services to ANZ or any ANZ Group member.</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3"/>
          <w:szCs w:val="13"/>
          <w:color w:val="auto"/>
        </w:rPr>
        <w:t>Assignment of Intellectual Property to ANZ</w:t>
      </w:r>
    </w:p>
    <w:p>
      <w:pPr>
        <w:spacing w:after="0" w:line="176" w:lineRule="exact"/>
        <w:rPr>
          <w:sz w:val="20"/>
          <w:szCs w:val="20"/>
          <w:color w:val="auto"/>
        </w:rPr>
      </w:pPr>
    </w:p>
    <w:p>
      <w:pPr>
        <w:ind w:left="1020" w:hanging="511"/>
        <w:spacing w:after="0" w:line="277" w:lineRule="auto"/>
        <w:tabs>
          <w:tab w:leader="none" w:pos="1020" w:val="left"/>
        </w:tabs>
        <w:numPr>
          <w:ilvl w:val="0"/>
          <w:numId w:val="313"/>
        </w:numPr>
        <w:rPr>
          <w:rFonts w:ascii="Arial" w:cs="Arial" w:eastAsia="Arial" w:hAnsi="Arial"/>
          <w:sz w:val="14"/>
          <w:szCs w:val="14"/>
          <w:color w:val="auto"/>
        </w:rPr>
      </w:pPr>
      <w:r>
        <w:rPr>
          <w:rFonts w:ascii="Arial" w:cs="Arial" w:eastAsia="Arial" w:hAnsi="Arial"/>
          <w:sz w:val="14"/>
          <w:szCs w:val="14"/>
          <w:color w:val="auto"/>
        </w:rPr>
        <w:t>The Service Provider hereby assigns to ANZ all rights, title and interest in any copyright subsisting in the Developed Intellectual Property with effect from the date of this Agreement and all remaining Developed Intellectual Property with effect from the date of creation of that Developed Intellectual Property.</w:t>
      </w:r>
    </w:p>
    <w:p>
      <w:pPr>
        <w:spacing w:after="0" w:line="133" w:lineRule="exact"/>
        <w:rPr>
          <w:rFonts w:ascii="Arial" w:cs="Arial" w:eastAsia="Arial" w:hAnsi="Arial"/>
          <w:sz w:val="14"/>
          <w:szCs w:val="14"/>
          <w:color w:val="auto"/>
        </w:rPr>
      </w:pPr>
    </w:p>
    <w:p>
      <w:pPr>
        <w:jc w:val="both"/>
        <w:ind w:left="1020" w:hanging="511"/>
        <w:spacing w:after="0" w:line="257" w:lineRule="auto"/>
        <w:tabs>
          <w:tab w:leader="none" w:pos="1020" w:val="left"/>
        </w:tabs>
        <w:numPr>
          <w:ilvl w:val="0"/>
          <w:numId w:val="313"/>
        </w:numPr>
        <w:rPr>
          <w:rFonts w:ascii="Arial" w:cs="Arial" w:eastAsia="Arial" w:hAnsi="Arial"/>
          <w:sz w:val="14"/>
          <w:szCs w:val="14"/>
          <w:color w:val="auto"/>
        </w:rPr>
      </w:pPr>
      <w:r>
        <w:rPr>
          <w:rFonts w:ascii="Arial" w:cs="Arial" w:eastAsia="Arial" w:hAnsi="Arial"/>
          <w:sz w:val="14"/>
          <w:szCs w:val="14"/>
          <w:color w:val="auto"/>
        </w:rPr>
        <w:t>The Service Provider must at the request of ANZ execute all further documents and assurances and take such further action, including assisting in relation to any litigation commenced by or brought against ANZ, as ANZ may deem necessary or desirable to allow or assist ANZ to obtain, perfect, enforce, assert or defend its interests in or rights to use, disclose, reproduce, publish, exhibit, transmit, communicate or adapt the Developed Intellectual Property or any materials in which Developed Intellectual Property subsists or generally to give effect to this clause 11.2, or to prevent, or to obtain other remedies from, others infringing any of those interests or rights, provided that ANZ meets the Service Provider’s reasonable costs of complying with this clause 11.2(b).</w:t>
      </w:r>
    </w:p>
    <w:p>
      <w:pPr>
        <w:spacing w:after="0" w:line="14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ANZ’s Intellectual Property</w:t>
      </w:r>
    </w:p>
    <w:p>
      <w:pPr>
        <w:spacing w:after="0" w:line="176" w:lineRule="exact"/>
        <w:rPr>
          <w:sz w:val="20"/>
          <w:szCs w:val="20"/>
          <w:color w:val="auto"/>
        </w:rPr>
      </w:pPr>
    </w:p>
    <w:p>
      <w:pPr>
        <w:ind w:left="1020" w:hanging="511"/>
        <w:spacing w:after="0"/>
        <w:tabs>
          <w:tab w:leader="none" w:pos="1020" w:val="left"/>
        </w:tabs>
        <w:numPr>
          <w:ilvl w:val="0"/>
          <w:numId w:val="314"/>
        </w:numPr>
        <w:rPr>
          <w:rFonts w:ascii="Arial" w:cs="Arial" w:eastAsia="Arial" w:hAnsi="Arial"/>
          <w:sz w:val="14"/>
          <w:szCs w:val="14"/>
          <w:color w:val="auto"/>
        </w:rPr>
      </w:pPr>
      <w:r>
        <w:rPr>
          <w:rFonts w:ascii="Arial" w:cs="Arial" w:eastAsia="Arial" w:hAnsi="Arial"/>
          <w:sz w:val="14"/>
          <w:szCs w:val="14"/>
          <w:color w:val="auto"/>
        </w:rPr>
        <w:t>The Service Provider acknowledges and agrees that:</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314"/>
        </w:numPr>
        <w:rPr>
          <w:rFonts w:ascii="Arial" w:cs="Arial" w:eastAsia="Arial" w:hAnsi="Arial"/>
          <w:sz w:val="14"/>
          <w:szCs w:val="14"/>
          <w:color w:val="auto"/>
        </w:rPr>
      </w:pPr>
      <w:r>
        <w:rPr>
          <w:rFonts w:ascii="Arial" w:cs="Arial" w:eastAsia="Arial" w:hAnsi="Arial"/>
          <w:sz w:val="14"/>
          <w:szCs w:val="14"/>
          <w:color w:val="auto"/>
        </w:rPr>
        <w:t>ANZ’s Intellectual Property remains the property of the relevant member of the ANZ Group;</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314"/>
        </w:numPr>
        <w:rPr>
          <w:rFonts w:ascii="Arial" w:cs="Arial" w:eastAsia="Arial" w:hAnsi="Arial"/>
          <w:sz w:val="14"/>
          <w:szCs w:val="14"/>
          <w:color w:val="auto"/>
        </w:rPr>
      </w:pPr>
      <w:r>
        <w:rPr>
          <w:rFonts w:ascii="Arial" w:cs="Arial" w:eastAsia="Arial" w:hAnsi="Arial"/>
          <w:sz w:val="14"/>
          <w:szCs w:val="14"/>
          <w:color w:val="auto"/>
        </w:rPr>
        <w:t>this Agreement does not confer on the Service Provider any proprietary right or title to any of ANZ’s Intellectual Property; and</w:t>
      </w:r>
    </w:p>
    <w:p>
      <w:pPr>
        <w:spacing w:after="0" w:line="175" w:lineRule="exact"/>
        <w:rPr>
          <w:rFonts w:ascii="Arial" w:cs="Arial" w:eastAsia="Arial" w:hAnsi="Arial"/>
          <w:sz w:val="14"/>
          <w:szCs w:val="14"/>
          <w:color w:val="auto"/>
        </w:rPr>
      </w:pPr>
    </w:p>
    <w:p>
      <w:pPr>
        <w:ind w:left="1520" w:hanging="506"/>
        <w:spacing w:after="0" w:line="277" w:lineRule="auto"/>
        <w:tabs>
          <w:tab w:leader="none" w:pos="1520" w:val="left"/>
        </w:tabs>
        <w:numPr>
          <w:ilvl w:val="1"/>
          <w:numId w:val="314"/>
        </w:numPr>
        <w:rPr>
          <w:rFonts w:ascii="Arial" w:cs="Arial" w:eastAsia="Arial" w:hAnsi="Arial"/>
          <w:sz w:val="14"/>
          <w:szCs w:val="14"/>
          <w:color w:val="auto"/>
        </w:rPr>
      </w:pPr>
      <w:r>
        <w:rPr>
          <w:rFonts w:ascii="Arial" w:cs="Arial" w:eastAsia="Arial" w:hAnsi="Arial"/>
          <w:sz w:val="14"/>
          <w:szCs w:val="14"/>
          <w:color w:val="auto"/>
        </w:rPr>
        <w:t>the rights granted under this clause 11.3 are personal to the Service Provider and that it has no right to sub-license, sub-contract, assign or transfer any of its rights under this clause 3 without the prior written consent of ANZ.</w:t>
      </w:r>
    </w:p>
    <w:p>
      <w:pPr>
        <w:spacing w:after="0" w:line="133"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314"/>
        </w:numPr>
        <w:rPr>
          <w:rFonts w:ascii="Arial" w:cs="Arial" w:eastAsia="Arial" w:hAnsi="Arial"/>
          <w:sz w:val="14"/>
          <w:szCs w:val="14"/>
          <w:color w:val="auto"/>
        </w:rPr>
      </w:pPr>
      <w:r>
        <w:rPr>
          <w:rFonts w:ascii="Arial" w:cs="Arial" w:eastAsia="Arial" w:hAnsi="Arial"/>
          <w:sz w:val="14"/>
          <w:szCs w:val="14"/>
          <w:color w:val="auto"/>
        </w:rPr>
        <w:t>ANZ grants, subject to the restrictions in clauses 11.3(c) and 11.3(d), a non-exclusive, royalty-free licence to the Service Provider during the Term to use and reproduce ANZ's Intellectual Property for the sole purpose of performing its obligations under this Agreement.</w:t>
      </w:r>
    </w:p>
    <w:p>
      <w:pPr>
        <w:spacing w:after="0" w:line="133" w:lineRule="exact"/>
        <w:rPr>
          <w:rFonts w:ascii="Arial" w:cs="Arial" w:eastAsia="Arial" w:hAnsi="Arial"/>
          <w:sz w:val="14"/>
          <w:szCs w:val="14"/>
          <w:color w:val="auto"/>
        </w:rPr>
      </w:pPr>
    </w:p>
    <w:p>
      <w:pPr>
        <w:ind w:left="1020" w:hanging="511"/>
        <w:spacing w:after="0" w:line="277" w:lineRule="auto"/>
        <w:tabs>
          <w:tab w:leader="none" w:pos="1020" w:val="left"/>
        </w:tabs>
        <w:numPr>
          <w:ilvl w:val="0"/>
          <w:numId w:val="314"/>
        </w:numPr>
        <w:rPr>
          <w:rFonts w:ascii="Arial" w:cs="Arial" w:eastAsia="Arial" w:hAnsi="Arial"/>
          <w:sz w:val="14"/>
          <w:szCs w:val="14"/>
          <w:color w:val="auto"/>
        </w:rPr>
      </w:pPr>
      <w:r>
        <w:rPr>
          <w:rFonts w:ascii="Arial" w:cs="Arial" w:eastAsia="Arial" w:hAnsi="Arial"/>
          <w:sz w:val="14"/>
          <w:szCs w:val="14"/>
          <w:color w:val="auto"/>
        </w:rPr>
        <w:t>In using or reproducing any items of ANZ’s Intellectual Property licensed under clause 11.3(b), the Service Provider must ensure that the use or reproduction is strictly for the purposes of performing its obligations under this Agreement and that it has the prior written approval of ANZ for each proposed type of use or reproduction.</w:t>
      </w:r>
    </w:p>
    <w:p>
      <w:pPr>
        <w:spacing w:after="0" w:line="133" w:lineRule="exact"/>
        <w:rPr>
          <w:rFonts w:ascii="Arial" w:cs="Arial" w:eastAsia="Arial" w:hAnsi="Arial"/>
          <w:sz w:val="14"/>
          <w:szCs w:val="14"/>
          <w:color w:val="auto"/>
        </w:rPr>
      </w:pPr>
    </w:p>
    <w:p>
      <w:pPr>
        <w:ind w:left="1020" w:hanging="511"/>
        <w:spacing w:after="0" w:line="317" w:lineRule="auto"/>
        <w:tabs>
          <w:tab w:leader="none" w:pos="10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Upon termination or expiry of this Agreement, the Service Provider must deliver or render faithful account to ANZ for all ANZ’s Intellectual Property including all Documentation and other things containing ANZ’s Intellectual Property that came into the Service Provider’s possession or under its control in the course of providing the Services.</w:t>
      </w:r>
    </w:p>
    <w:p>
      <w:pPr>
        <w:spacing w:after="0" w:line="11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3"/>
          <w:szCs w:val="13"/>
          <w:color w:val="auto"/>
        </w:rPr>
        <w:t>Notification of infringement by third parties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Service Provider must notify ANZ as soon as practicable of any infringement or suspected infringement of the Developed Intellectual Property by a third party.</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3"/>
          <w:szCs w:val="13"/>
          <w:color w:val="auto"/>
        </w:rPr>
        <w:t>Moral Rights</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To the extent permitted by applicable Law, the Service Provider irrevocably and unconditionally consents, and will obtain all other necessary consents from its Personnel so that ANZ’s use of the Developed Intellectual Property does not infringe any Moral Rights in any Developed Intellectual Property, anywhere in the world.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11460"/>
          </w:cols>
          <w:pgMar w:left="220" w:top="1093" w:right="219" w:bottom="1440" w:gutter="0" w:footer="0" w:header="0"/>
          <w:type w:val="continuous"/>
        </w:sectPr>
      </w:pPr>
    </w:p>
    <w:bookmarkStart w:id="268" w:name="page269"/>
    <w:bookmarkEnd w:id="26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24" w:lineRule="exact"/>
        <w:rPr>
          <w:sz w:val="20"/>
          <w:szCs w:val="20"/>
          <w:color w:val="auto"/>
        </w:rPr>
      </w:pPr>
    </w:p>
    <w:p>
      <w:pPr>
        <w:ind w:left="500" w:hanging="496"/>
        <w:spacing w:after="0"/>
        <w:tabs>
          <w:tab w:leader="none" w:pos="500" w:val="left"/>
        </w:tabs>
        <w:numPr>
          <w:ilvl w:val="0"/>
          <w:numId w:val="315"/>
        </w:numPr>
        <w:rPr>
          <w:rFonts w:ascii="Arial" w:cs="Arial" w:eastAsia="Arial" w:hAnsi="Arial"/>
          <w:sz w:val="14"/>
          <w:szCs w:val="14"/>
          <w:b w:val="1"/>
          <w:bCs w:val="1"/>
          <w:color w:val="auto"/>
        </w:rPr>
      </w:pPr>
      <w:r>
        <w:rPr>
          <w:rFonts w:ascii="Arial" w:cs="Arial" w:eastAsia="Arial" w:hAnsi="Arial"/>
          <w:sz w:val="14"/>
          <w:szCs w:val="14"/>
          <w:b w:val="1"/>
          <w:bCs w:val="1"/>
          <w:color w:val="auto"/>
        </w:rPr>
        <w:t>INSURANCE AND WORKERS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2"/>
          <w:szCs w:val="12"/>
          <w:color w:val="auto"/>
        </w:rPr>
        <w:t>Types of insurance</w:t>
      </w:r>
    </w:p>
    <w:p>
      <w:pPr>
        <w:spacing w:after="0" w:line="176" w:lineRule="exact"/>
        <w:rPr>
          <w:sz w:val="20"/>
          <w:szCs w:val="20"/>
          <w:color w:val="auto"/>
        </w:rPr>
      </w:pPr>
    </w:p>
    <w:p>
      <w:pPr>
        <w:jc w:val="both"/>
        <w:ind w:left="1020" w:hanging="511"/>
        <w:spacing w:after="0" w:line="293" w:lineRule="auto"/>
        <w:tabs>
          <w:tab w:leader="none" w:pos="102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Service Provider must effect on or prior to the Commencement Date and continuously maintain for the Term of this Agreement public liability insurance with a minimum indemnity limit of at least that stated in Part 3 of the Schedule, and the additional requirements stated in Part 3 of the Schedule, which covers liability to the public in respect of any loss or damage to real or personal property (including property belonging to ANZ) and any person who is injured or killed during the performance of the Services.</w:t>
      </w:r>
    </w:p>
    <w:p>
      <w:pPr>
        <w:spacing w:after="0" w:line="73" w:lineRule="exact"/>
        <w:rPr>
          <w:rFonts w:ascii="Arial" w:cs="Arial" w:eastAsia="Arial" w:hAnsi="Arial"/>
          <w:sz w:val="13"/>
          <w:szCs w:val="13"/>
          <w:color w:val="auto"/>
        </w:rPr>
      </w:pPr>
    </w:p>
    <w:p>
      <w:pPr>
        <w:jc w:val="both"/>
        <w:ind w:left="1020" w:hanging="511"/>
        <w:spacing w:after="0" w:line="310" w:lineRule="auto"/>
        <w:tabs>
          <w:tab w:leader="none" w:pos="1020" w:val="left"/>
        </w:tabs>
        <w:numPr>
          <w:ilvl w:val="0"/>
          <w:numId w:val="316"/>
        </w:numPr>
        <w:rPr>
          <w:rFonts w:ascii="Arial" w:cs="Arial" w:eastAsia="Arial" w:hAnsi="Arial"/>
          <w:sz w:val="12"/>
          <w:szCs w:val="12"/>
          <w:color w:val="auto"/>
        </w:rPr>
      </w:pPr>
      <w:r>
        <w:rPr>
          <w:rFonts w:ascii="Arial" w:cs="Arial" w:eastAsia="Arial" w:hAnsi="Arial"/>
          <w:sz w:val="12"/>
          <w:szCs w:val="12"/>
          <w:color w:val="auto"/>
        </w:rPr>
        <w:t>If required by ANZ. the Service Provider must effect on or prior to the Commencement Date and continuously maintain for a period of seven (7) years after the termination or expiry of this Agreement professional indemnity and fidelity insurance with a minimum indemnity limit of at least that stated in Part 3 of the Schedule, and the additional requirements stated in Part 3 of the Schedule, which covers liability to ANZ arising from a breach of professional duty, whether owed in contract or otherwise, caused by any negligent or other act or omission of the Service Provider, or any of its Personnel, (such policies to apply during that further period in respect of liabilities of the Service Provider accrued as at the date of termination or expiration of this Agreement, and liabilities of the Service Provider arising under or in connection with this Agreement following the date of such termination or expiration)</w:t>
      </w:r>
    </w:p>
    <w:p>
      <w:pPr>
        <w:spacing w:after="0" w:line="66" w:lineRule="exact"/>
        <w:rPr>
          <w:rFonts w:ascii="Arial" w:cs="Arial" w:eastAsia="Arial" w:hAnsi="Arial"/>
          <w:sz w:val="12"/>
          <w:szCs w:val="12"/>
          <w:color w:val="auto"/>
        </w:rPr>
      </w:pPr>
    </w:p>
    <w:p>
      <w:pPr>
        <w:ind w:left="1020" w:hanging="511"/>
        <w:spacing w:after="0" w:line="277" w:lineRule="auto"/>
        <w:tabs>
          <w:tab w:leader="none" w:pos="1020" w:val="left"/>
        </w:tabs>
        <w:numPr>
          <w:ilvl w:val="0"/>
          <w:numId w:val="316"/>
        </w:numPr>
        <w:rPr>
          <w:rFonts w:ascii="Arial" w:cs="Arial" w:eastAsia="Arial" w:hAnsi="Arial"/>
          <w:sz w:val="14"/>
          <w:szCs w:val="14"/>
          <w:color w:val="auto"/>
        </w:rPr>
      </w:pPr>
      <w:r>
        <w:rPr>
          <w:rFonts w:ascii="Arial" w:cs="Arial" w:eastAsia="Arial" w:hAnsi="Arial"/>
          <w:sz w:val="14"/>
          <w:szCs w:val="14"/>
          <w:color w:val="auto"/>
        </w:rPr>
        <w:t>The Service Provider must effect and maintain insurance against all liability (including work injury compensation) in relation to all Personnel employed by the Service Provider (particularly the Contractor) who are directly or indirectly involved in the provision of the Services.</w:t>
      </w:r>
    </w:p>
    <w:p>
      <w:pPr>
        <w:spacing w:after="0" w:line="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2"/>
          <w:szCs w:val="12"/>
          <w:color w:val="auto"/>
        </w:rPr>
        <w:t>Evidence of Insurance</w:t>
      </w:r>
    </w:p>
    <w:p>
      <w:pPr>
        <w:spacing w:after="0" w:line="123"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On request by ANZ, the Service Provider must produce to ANZ satisfactory evidence that the Service Provider has complied with and continues to comply with its obligations under this clause and will give ANZ copies of all receipts for the premiums paid.</w:t>
      </w:r>
    </w:p>
    <w:p>
      <w:pPr>
        <w:spacing w:after="0" w:line="77" w:lineRule="exact"/>
        <w:rPr>
          <w:sz w:val="20"/>
          <w:szCs w:val="20"/>
          <w:color w:val="auto"/>
        </w:rPr>
      </w:pPr>
    </w:p>
    <w:p>
      <w:pPr>
        <w:ind w:left="500" w:hanging="496"/>
        <w:spacing w:after="0"/>
        <w:tabs>
          <w:tab w:leader="none" w:pos="500" w:val="left"/>
        </w:tabs>
        <w:numPr>
          <w:ilvl w:val="0"/>
          <w:numId w:val="317"/>
        </w:numPr>
        <w:rPr>
          <w:rFonts w:ascii="Arial" w:cs="Arial" w:eastAsia="Arial" w:hAnsi="Arial"/>
          <w:sz w:val="14"/>
          <w:szCs w:val="14"/>
          <w:b w:val="1"/>
          <w:bCs w:val="1"/>
          <w:color w:val="auto"/>
        </w:rPr>
      </w:pPr>
      <w:r>
        <w:rPr>
          <w:rFonts w:ascii="Arial" w:cs="Arial" w:eastAsia="Arial" w:hAnsi="Arial"/>
          <w:sz w:val="14"/>
          <w:szCs w:val="14"/>
          <w:b w:val="1"/>
          <w:bCs w:val="1"/>
          <w:color w:val="auto"/>
        </w:rPr>
        <w:t>POWER AND AUTHORITY</w:t>
      </w:r>
    </w:p>
    <w:p>
      <w:pPr>
        <w:spacing w:after="0" w:line="14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Each party represents and warrants that it has full power and authority to enter into and perform its obligations under this Agreement.</w:t>
      </w:r>
    </w:p>
    <w:p>
      <w:pPr>
        <w:spacing w:after="0" w:line="119" w:lineRule="exact"/>
        <w:rPr>
          <w:rFonts w:ascii="Arial" w:cs="Arial" w:eastAsia="Arial" w:hAnsi="Arial"/>
          <w:sz w:val="14"/>
          <w:szCs w:val="14"/>
          <w:b w:val="1"/>
          <w:bCs w:val="1"/>
          <w:color w:val="auto"/>
        </w:rPr>
      </w:pPr>
    </w:p>
    <w:p>
      <w:pPr>
        <w:ind w:left="500" w:right="8440" w:hanging="496"/>
        <w:spacing w:after="0" w:line="442" w:lineRule="auto"/>
        <w:tabs>
          <w:tab w:leader="none" w:pos="500" w:val="left"/>
        </w:tabs>
        <w:numPr>
          <w:ilvl w:val="0"/>
          <w:numId w:val="3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SERVICE PROVIDER'S WARRANTIES </w:t>
      </w:r>
      <w:r>
        <w:rPr>
          <w:rFonts w:ascii="Arial" w:cs="Arial" w:eastAsia="Arial" w:hAnsi="Arial"/>
          <w:sz w:val="14"/>
          <w:szCs w:val="14"/>
          <w:color w:val="auto"/>
        </w:rPr>
        <w:t>The Service Provider warrants that:</w:t>
      </w:r>
    </w:p>
    <w:p>
      <w:pPr>
        <w:ind w:left="1020" w:hanging="511"/>
        <w:spacing w:after="0" w:line="277" w:lineRule="auto"/>
        <w:tabs>
          <w:tab w:leader="none" w:pos="1020" w:val="left"/>
        </w:tabs>
        <w:numPr>
          <w:ilvl w:val="1"/>
          <w:numId w:val="317"/>
        </w:numPr>
        <w:rPr>
          <w:rFonts w:ascii="Arial" w:cs="Arial" w:eastAsia="Arial" w:hAnsi="Arial"/>
          <w:sz w:val="14"/>
          <w:szCs w:val="14"/>
          <w:color w:val="auto"/>
        </w:rPr>
      </w:pPr>
      <w:r>
        <w:rPr>
          <w:rFonts w:ascii="Arial" w:cs="Arial" w:eastAsia="Arial" w:hAnsi="Arial"/>
          <w:sz w:val="14"/>
          <w:szCs w:val="14"/>
          <w:color w:val="auto"/>
        </w:rPr>
        <w:t>all Contractors of the Service Provider engaged in the performance of the Services or any of them have the qualifications, skills and experience reasonably necessary to perform those Services;</w:t>
      </w:r>
    </w:p>
    <w:p>
      <w:pPr>
        <w:spacing w:after="0" w:line="80" w:lineRule="exact"/>
        <w:rPr>
          <w:rFonts w:ascii="Arial" w:cs="Arial" w:eastAsia="Arial" w:hAnsi="Arial"/>
          <w:sz w:val="14"/>
          <w:szCs w:val="14"/>
          <w:color w:val="auto"/>
        </w:rPr>
      </w:pPr>
    </w:p>
    <w:p>
      <w:pPr>
        <w:ind w:left="1020" w:hanging="511"/>
        <w:spacing w:after="0"/>
        <w:tabs>
          <w:tab w:leader="none" w:pos="1020" w:val="left"/>
        </w:tabs>
        <w:numPr>
          <w:ilvl w:val="1"/>
          <w:numId w:val="317"/>
        </w:numPr>
        <w:rPr>
          <w:rFonts w:ascii="Arial" w:cs="Arial" w:eastAsia="Arial" w:hAnsi="Arial"/>
          <w:sz w:val="14"/>
          <w:szCs w:val="14"/>
          <w:color w:val="auto"/>
        </w:rPr>
      </w:pPr>
      <w:r>
        <w:rPr>
          <w:rFonts w:ascii="Arial" w:cs="Arial" w:eastAsia="Arial" w:hAnsi="Arial"/>
          <w:sz w:val="14"/>
          <w:szCs w:val="14"/>
          <w:color w:val="auto"/>
        </w:rPr>
        <w:t>all Services will:</w:t>
      </w:r>
    </w:p>
    <w:p>
      <w:pPr>
        <w:spacing w:after="0" w:line="123" w:lineRule="exact"/>
        <w:rPr>
          <w:rFonts w:ascii="Arial" w:cs="Arial" w:eastAsia="Arial" w:hAnsi="Arial"/>
          <w:sz w:val="14"/>
          <w:szCs w:val="14"/>
          <w:color w:val="auto"/>
        </w:rPr>
      </w:pPr>
    </w:p>
    <w:p>
      <w:pPr>
        <w:ind w:left="1520" w:hanging="506"/>
        <w:spacing w:after="0"/>
        <w:tabs>
          <w:tab w:leader="none" w:pos="1520" w:val="left"/>
        </w:tabs>
        <w:numPr>
          <w:ilvl w:val="2"/>
          <w:numId w:val="317"/>
        </w:numPr>
        <w:rPr>
          <w:rFonts w:ascii="Arial" w:cs="Arial" w:eastAsia="Arial" w:hAnsi="Arial"/>
          <w:sz w:val="14"/>
          <w:szCs w:val="14"/>
          <w:color w:val="auto"/>
        </w:rPr>
      </w:pPr>
      <w:r>
        <w:rPr>
          <w:rFonts w:ascii="Arial" w:cs="Arial" w:eastAsia="Arial" w:hAnsi="Arial"/>
          <w:sz w:val="14"/>
          <w:szCs w:val="14"/>
          <w:color w:val="auto"/>
        </w:rPr>
        <w:t>comply with any requirements or specifications agreed in writing by the parties;</w:t>
      </w:r>
    </w:p>
    <w:p>
      <w:pPr>
        <w:spacing w:after="0" w:line="123" w:lineRule="exact"/>
        <w:rPr>
          <w:rFonts w:ascii="Arial" w:cs="Arial" w:eastAsia="Arial" w:hAnsi="Arial"/>
          <w:sz w:val="14"/>
          <w:szCs w:val="14"/>
          <w:color w:val="auto"/>
        </w:rPr>
      </w:pPr>
    </w:p>
    <w:p>
      <w:pPr>
        <w:ind w:left="1520" w:hanging="506"/>
        <w:spacing w:after="0"/>
        <w:tabs>
          <w:tab w:leader="none" w:pos="1520" w:val="left"/>
        </w:tabs>
        <w:numPr>
          <w:ilvl w:val="2"/>
          <w:numId w:val="317"/>
        </w:numPr>
        <w:rPr>
          <w:rFonts w:ascii="Arial" w:cs="Arial" w:eastAsia="Arial" w:hAnsi="Arial"/>
          <w:sz w:val="14"/>
          <w:szCs w:val="14"/>
          <w:color w:val="auto"/>
        </w:rPr>
      </w:pPr>
      <w:r>
        <w:rPr>
          <w:rFonts w:ascii="Arial" w:cs="Arial" w:eastAsia="Arial" w:hAnsi="Arial"/>
          <w:sz w:val="14"/>
          <w:szCs w:val="14"/>
          <w:color w:val="auto"/>
        </w:rPr>
        <w:t>be fit for the purposes for which they are provided;</w:t>
      </w:r>
    </w:p>
    <w:p>
      <w:pPr>
        <w:spacing w:after="0" w:line="123" w:lineRule="exact"/>
        <w:rPr>
          <w:rFonts w:ascii="Arial" w:cs="Arial" w:eastAsia="Arial" w:hAnsi="Arial"/>
          <w:sz w:val="14"/>
          <w:szCs w:val="14"/>
          <w:color w:val="auto"/>
        </w:rPr>
      </w:pPr>
    </w:p>
    <w:p>
      <w:pPr>
        <w:ind w:left="1520" w:hanging="506"/>
        <w:spacing w:after="0"/>
        <w:tabs>
          <w:tab w:leader="none" w:pos="1520" w:val="left"/>
        </w:tabs>
        <w:numPr>
          <w:ilvl w:val="2"/>
          <w:numId w:val="317"/>
        </w:numPr>
        <w:rPr>
          <w:rFonts w:ascii="Arial" w:cs="Arial" w:eastAsia="Arial" w:hAnsi="Arial"/>
          <w:sz w:val="14"/>
          <w:szCs w:val="14"/>
          <w:color w:val="auto"/>
        </w:rPr>
      </w:pPr>
      <w:r>
        <w:rPr>
          <w:rFonts w:ascii="Arial" w:cs="Arial" w:eastAsia="Arial" w:hAnsi="Arial"/>
          <w:sz w:val="14"/>
          <w:szCs w:val="14"/>
          <w:color w:val="auto"/>
        </w:rPr>
        <w:t>comply with all applicable Laws; and</w:t>
      </w:r>
    </w:p>
    <w:p>
      <w:pPr>
        <w:spacing w:after="0" w:line="123" w:lineRule="exact"/>
        <w:rPr>
          <w:rFonts w:ascii="Arial" w:cs="Arial" w:eastAsia="Arial" w:hAnsi="Arial"/>
          <w:sz w:val="14"/>
          <w:szCs w:val="14"/>
          <w:color w:val="auto"/>
        </w:rPr>
      </w:pPr>
    </w:p>
    <w:p>
      <w:pPr>
        <w:ind w:left="1020" w:hanging="511"/>
        <w:spacing w:after="0" w:line="277" w:lineRule="auto"/>
        <w:tabs>
          <w:tab w:leader="none" w:pos="1020" w:val="left"/>
        </w:tabs>
        <w:numPr>
          <w:ilvl w:val="1"/>
          <w:numId w:val="317"/>
        </w:numPr>
        <w:rPr>
          <w:rFonts w:ascii="Arial" w:cs="Arial" w:eastAsia="Arial" w:hAnsi="Arial"/>
          <w:sz w:val="14"/>
          <w:szCs w:val="14"/>
          <w:color w:val="auto"/>
        </w:rPr>
      </w:pPr>
      <w:r>
        <w:rPr>
          <w:rFonts w:ascii="Arial" w:cs="Arial" w:eastAsia="Arial" w:hAnsi="Arial"/>
          <w:sz w:val="14"/>
          <w:szCs w:val="14"/>
          <w:color w:val="auto"/>
        </w:rPr>
        <w:t>the provision or receipt of the Services, will not infringe any rights (including rights to Intellectual Property) of any person or give rise to any obligation on behalf of ANZ or any of its licensees or assignees to pay compensation or royalty to any person.</w:t>
      </w:r>
    </w:p>
    <w:p>
      <w:pPr>
        <w:spacing w:after="0" w:line="76" w:lineRule="exact"/>
        <w:rPr>
          <w:rFonts w:ascii="Arial" w:cs="Arial" w:eastAsia="Arial" w:hAnsi="Arial"/>
          <w:sz w:val="14"/>
          <w:szCs w:val="14"/>
          <w:color w:val="auto"/>
        </w:rPr>
      </w:pPr>
    </w:p>
    <w:p>
      <w:pPr>
        <w:ind w:left="500" w:hanging="496"/>
        <w:spacing w:after="0"/>
        <w:tabs>
          <w:tab w:leader="none" w:pos="500" w:val="left"/>
        </w:tabs>
        <w:numPr>
          <w:ilvl w:val="0"/>
          <w:numId w:val="317"/>
        </w:numPr>
        <w:rPr>
          <w:rFonts w:ascii="Arial" w:cs="Arial" w:eastAsia="Arial" w:hAnsi="Arial"/>
          <w:sz w:val="14"/>
          <w:szCs w:val="14"/>
          <w:b w:val="1"/>
          <w:bCs w:val="1"/>
          <w:color w:val="auto"/>
        </w:rPr>
      </w:pPr>
      <w:r>
        <w:rPr>
          <w:rFonts w:ascii="Arial" w:cs="Arial" w:eastAsia="Arial" w:hAnsi="Arial"/>
          <w:sz w:val="14"/>
          <w:szCs w:val="14"/>
          <w:b w:val="1"/>
          <w:bCs w:val="1"/>
          <w:color w:val="auto"/>
        </w:rPr>
        <w:t>INDEMNITIES AND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-2030095</wp:posOffset>
            </wp:positionV>
            <wp:extent cx="7277100" cy="133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71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-1656080</wp:posOffset>
            </wp:positionV>
            <wp:extent cx="7277100" cy="13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71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3"/>
          <w:szCs w:val="13"/>
          <w:color w:val="auto"/>
        </w:rPr>
        <w:t>Indemnities from Service Provider</w:t>
      </w:r>
    </w:p>
    <w:p>
      <w:pPr>
        <w:spacing w:after="0" w:line="123"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Service Provider indemnifies and must keep indemnified ANZ and the relevant ANZ Group members from and against any and all Claims suffered or incurred by ANZ or the relevant ANZ Group member directly or indirectly in connection with any of the following:</w:t>
      </w:r>
    </w:p>
    <w:p>
      <w:pPr>
        <w:spacing w:after="0" w:line="133" w:lineRule="exact"/>
        <w:rPr>
          <w:sz w:val="20"/>
          <w:szCs w:val="20"/>
          <w:color w:val="auto"/>
        </w:rPr>
      </w:pPr>
    </w:p>
    <w:p>
      <w:pPr>
        <w:ind w:left="1020" w:hanging="511"/>
        <w:spacing w:after="0"/>
        <w:tabs>
          <w:tab w:leader="none" w:pos="10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any breach by the Service Provider or its Personnel of the Service Provider’s obligations under this Agreement;</w:t>
      </w:r>
    </w:p>
    <w:p>
      <w:pPr>
        <w:spacing w:after="0" w:line="123" w:lineRule="exact"/>
        <w:rPr>
          <w:rFonts w:ascii="Arial" w:cs="Arial" w:eastAsia="Arial" w:hAnsi="Arial"/>
          <w:sz w:val="14"/>
          <w:szCs w:val="14"/>
          <w:color w:val="auto"/>
        </w:rPr>
      </w:pPr>
    </w:p>
    <w:p>
      <w:pPr>
        <w:ind w:left="1020" w:hanging="511"/>
        <w:spacing w:after="0"/>
        <w:tabs>
          <w:tab w:leader="none" w:pos="10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any negligence by the Service Provider or its Personnel in relation to this Agreement or the provision of the Services;</w:t>
      </w:r>
    </w:p>
    <w:p>
      <w:pPr>
        <w:spacing w:after="0" w:line="123" w:lineRule="exact"/>
        <w:rPr>
          <w:rFonts w:ascii="Arial" w:cs="Arial" w:eastAsia="Arial" w:hAnsi="Arial"/>
          <w:sz w:val="14"/>
          <w:szCs w:val="14"/>
          <w:color w:val="auto"/>
        </w:rPr>
      </w:pPr>
    </w:p>
    <w:p>
      <w:pPr>
        <w:ind w:left="1020" w:hanging="511"/>
        <w:spacing w:after="0"/>
        <w:tabs>
          <w:tab w:leader="none" w:pos="10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the provision or receipt of any Services infringing the rights (including rights to Intellectual Property) of any person and any allegations of such infringements;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bl>
    <w:p>
      <w:pPr>
        <w:sectPr>
          <w:pgSz w:w="11900" w:h="16838" w:orient="portrait"/>
          <w:cols w:equalWidth="0" w:num="1">
            <w:col w:w="11460"/>
          </w:cols>
          <w:pgMar w:left="220" w:top="1093" w:right="219" w:bottom="1440" w:gutter="0" w:footer="0" w:header="0"/>
        </w:sectPr>
      </w:pPr>
    </w:p>
    <w:bookmarkStart w:id="269" w:name="page270"/>
    <w:bookmarkEnd w:id="26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490220</wp:posOffset>
            </wp:positionV>
            <wp:extent cx="868680" cy="2940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114" w:right="219" w:bottom="1440" w:gutter="0" w:footer="0" w:header="0"/>
        </w:sectPr>
      </w:pPr>
    </w:p>
    <w:p>
      <w:pPr>
        <w:spacing w:after="0" w:line="222" w:lineRule="exact"/>
        <w:rPr>
          <w:sz w:val="20"/>
          <w:szCs w:val="20"/>
          <w:color w:val="auto"/>
        </w:rPr>
      </w:pPr>
    </w:p>
    <w:p>
      <w:pPr>
        <w:ind w:left="1020" w:hanging="511"/>
        <w:spacing w:after="0" w:line="277" w:lineRule="auto"/>
        <w:tabs>
          <w:tab w:leader="none" w:pos="1020" w:val="left"/>
        </w:tabs>
        <w:numPr>
          <w:ilvl w:val="0"/>
          <w:numId w:val="319"/>
        </w:numPr>
        <w:rPr>
          <w:rFonts w:ascii="Arial" w:cs="Arial" w:eastAsia="Arial" w:hAnsi="Arial"/>
          <w:sz w:val="14"/>
          <w:szCs w:val="14"/>
          <w:color w:val="auto"/>
        </w:rPr>
      </w:pPr>
      <w:r>
        <w:rPr>
          <w:rFonts w:ascii="Arial" w:cs="Arial" w:eastAsia="Arial" w:hAnsi="Arial"/>
          <w:sz w:val="14"/>
          <w:szCs w:val="14"/>
          <w:color w:val="auto"/>
        </w:rPr>
        <w:t>fraud, or fraudulent misrepresentation, wilful misconduct or repudiation of this Agreement by the Service Provider or its Personnel in relation to this Agreement or the provision of the Services;</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19"/>
        </w:numPr>
        <w:rPr>
          <w:rFonts w:ascii="Arial" w:cs="Arial" w:eastAsia="Arial" w:hAnsi="Arial"/>
          <w:sz w:val="14"/>
          <w:szCs w:val="14"/>
          <w:color w:val="auto"/>
        </w:rPr>
      </w:pPr>
      <w:r>
        <w:rPr>
          <w:rFonts w:ascii="Arial" w:cs="Arial" w:eastAsia="Arial" w:hAnsi="Arial"/>
          <w:sz w:val="14"/>
          <w:szCs w:val="14"/>
          <w:color w:val="auto"/>
        </w:rPr>
        <w:t>any breach of any obligation of confidentiality or privacy (including a breach of clauses 8); or</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319"/>
        </w:numPr>
        <w:rPr>
          <w:rFonts w:ascii="Arial" w:cs="Arial" w:eastAsia="Arial" w:hAnsi="Arial"/>
          <w:sz w:val="13"/>
          <w:szCs w:val="13"/>
          <w:color w:val="auto"/>
        </w:rPr>
      </w:pPr>
      <w:r>
        <w:rPr>
          <w:rFonts w:ascii="Arial" w:cs="Arial" w:eastAsia="Arial" w:hAnsi="Arial"/>
          <w:sz w:val="13"/>
          <w:szCs w:val="13"/>
          <w:color w:val="auto"/>
        </w:rPr>
        <w:t>any failure by any of the Personnel to have any necessary visas, consents or other Authorisations required at Law to permit them to work in P.R.C. or to perform the Services.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2"/>
          <w:szCs w:val="12"/>
          <w:color w:val="auto"/>
        </w:rPr>
        <w:t>Operation and nature of indemnities</w:t>
      </w:r>
    </w:p>
    <w:p>
      <w:pPr>
        <w:spacing w:after="0" w:line="176" w:lineRule="exact"/>
        <w:rPr>
          <w:sz w:val="20"/>
          <w:szCs w:val="20"/>
          <w:color w:val="auto"/>
        </w:rPr>
      </w:pPr>
    </w:p>
    <w:p>
      <w:pPr>
        <w:ind w:left="1020" w:hanging="511"/>
        <w:spacing w:after="0" w:line="277" w:lineRule="auto"/>
        <w:tabs>
          <w:tab w:leader="none" w:pos="102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Each indemnity in this Agreement is a continuing obligation of the indemnifying party, whether or not legal proceedings are instituted, and despite any settlement of account or the occurrence of any other thing, and survives the termination or expiry of this Agreement.</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20"/>
        </w:numPr>
        <w:rPr>
          <w:rFonts w:ascii="Arial" w:cs="Arial" w:eastAsia="Arial" w:hAnsi="Arial"/>
          <w:sz w:val="13"/>
          <w:szCs w:val="13"/>
          <w:color w:val="auto"/>
        </w:rPr>
      </w:pPr>
      <w:r>
        <w:rPr>
          <w:rFonts w:ascii="Arial" w:cs="Arial" w:eastAsia="Arial" w:hAnsi="Arial"/>
          <w:sz w:val="13"/>
          <w:szCs w:val="13"/>
          <w:color w:val="auto"/>
        </w:rPr>
        <w:t>Each indemnity in this Agreement is an additional, separate and independent obligation of the indemnifying party and no one indemnity limits the generality of any other indemnity.</w:t>
      </w:r>
    </w:p>
    <w:p>
      <w:pPr>
        <w:spacing w:after="0" w:line="187" w:lineRule="exact"/>
        <w:rPr>
          <w:rFonts w:ascii="Arial" w:cs="Arial" w:eastAsia="Arial" w:hAnsi="Arial"/>
          <w:sz w:val="13"/>
          <w:szCs w:val="13"/>
          <w:color w:val="auto"/>
        </w:rPr>
      </w:pPr>
    </w:p>
    <w:p>
      <w:pPr>
        <w:ind w:left="1020" w:hanging="511"/>
        <w:spacing w:after="0"/>
        <w:tabs>
          <w:tab w:leader="none" w:pos="102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A party may recover a payment under an indemnity in this Agreement before it makes the payment in respect of which the indemnity is given.</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The indemnities in this Agreement:</w:t>
      </w:r>
    </w:p>
    <w:p>
      <w:pPr>
        <w:spacing w:after="0" w:line="175" w:lineRule="exact"/>
        <w:rPr>
          <w:rFonts w:ascii="Arial" w:cs="Arial" w:eastAsia="Arial" w:hAnsi="Arial"/>
          <w:sz w:val="14"/>
          <w:szCs w:val="14"/>
          <w:color w:val="auto"/>
        </w:rPr>
      </w:pPr>
    </w:p>
    <w:p>
      <w:pPr>
        <w:ind w:left="1520" w:hanging="506"/>
        <w:spacing w:after="0"/>
        <w:tabs>
          <w:tab w:leader="none" w:pos="1520" w:val="left"/>
        </w:tabs>
        <w:numPr>
          <w:ilvl w:val="1"/>
          <w:numId w:val="320"/>
        </w:numPr>
        <w:rPr>
          <w:rFonts w:ascii="Arial" w:cs="Arial" w:eastAsia="Arial" w:hAnsi="Arial"/>
          <w:sz w:val="14"/>
          <w:szCs w:val="14"/>
          <w:color w:val="auto"/>
        </w:rPr>
      </w:pPr>
      <w:r>
        <w:rPr>
          <w:rFonts w:ascii="Arial" w:cs="Arial" w:eastAsia="Arial" w:hAnsi="Arial"/>
          <w:sz w:val="14"/>
          <w:szCs w:val="14"/>
          <w:color w:val="auto"/>
        </w:rPr>
        <w:t>apply whether the Claim arises in connection with negligence, misrepresentation, or other cause and whether or not the Claim is foreseeable; and</w:t>
      </w:r>
    </w:p>
    <w:p>
      <w:pPr>
        <w:spacing w:after="0" w:line="175" w:lineRule="exact"/>
        <w:rPr>
          <w:rFonts w:ascii="Arial" w:cs="Arial" w:eastAsia="Arial" w:hAnsi="Arial"/>
          <w:sz w:val="14"/>
          <w:szCs w:val="14"/>
          <w:color w:val="auto"/>
        </w:rPr>
      </w:pPr>
    </w:p>
    <w:p>
      <w:pPr>
        <w:ind w:left="1520" w:hanging="506"/>
        <w:spacing w:after="0" w:line="277" w:lineRule="auto"/>
        <w:tabs>
          <w:tab w:leader="none" w:pos="1520" w:val="left"/>
        </w:tabs>
        <w:numPr>
          <w:ilvl w:val="1"/>
          <w:numId w:val="320"/>
        </w:numPr>
        <w:rPr>
          <w:rFonts w:ascii="Arial" w:cs="Arial" w:eastAsia="Arial" w:hAnsi="Arial"/>
          <w:sz w:val="14"/>
          <w:szCs w:val="14"/>
          <w:color w:val="auto"/>
        </w:rPr>
      </w:pPr>
      <w:r>
        <w:rPr>
          <w:rFonts w:ascii="Arial" w:cs="Arial" w:eastAsia="Arial" w:hAnsi="Arial"/>
          <w:sz w:val="14"/>
          <w:szCs w:val="14"/>
          <w:color w:val="auto"/>
        </w:rPr>
        <w:t>include legal expenses on a full indemnity basis and damages and other compensation paid on the advice of legal advisers to compromise or settle any claim, whether of the parties or another person.</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15.3</w:t>
      </w:r>
      <w:r>
        <w:rPr>
          <w:sz w:val="20"/>
          <w:szCs w:val="20"/>
          <w:color w:val="auto"/>
        </w:rPr>
        <w:tab/>
      </w:r>
      <w:r>
        <w:rPr>
          <w:rFonts w:ascii="Arial" w:cs="Arial" w:eastAsia="Arial" w:hAnsi="Arial"/>
          <w:sz w:val="14"/>
          <w:szCs w:val="14"/>
          <w:color w:val="auto"/>
        </w:rPr>
        <w:t>Limitation of liability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Neither Party shall be liable to the other party for damages in connection with this Agreement in respect of any Indirect Loss.</w:t>
      </w:r>
    </w:p>
    <w:p>
      <w:pPr>
        <w:spacing w:after="0" w:line="176" w:lineRule="exact"/>
        <w:rPr>
          <w:sz w:val="20"/>
          <w:szCs w:val="20"/>
          <w:color w:val="auto"/>
        </w:rPr>
      </w:pPr>
    </w:p>
    <w:p>
      <w:pPr>
        <w:ind w:left="1020" w:hanging="511"/>
        <w:spacing w:after="0" w:line="277" w:lineRule="auto"/>
        <w:tabs>
          <w:tab w:leader="none" w:pos="1020" w:val="left"/>
        </w:tabs>
        <w:numPr>
          <w:ilvl w:val="0"/>
          <w:numId w:val="321"/>
        </w:numPr>
        <w:rPr>
          <w:rFonts w:ascii="Arial" w:cs="Arial" w:eastAsia="Arial" w:hAnsi="Arial"/>
          <w:sz w:val="14"/>
          <w:szCs w:val="14"/>
          <w:color w:val="auto"/>
        </w:rPr>
      </w:pPr>
      <w:r>
        <w:rPr>
          <w:rFonts w:ascii="Arial" w:cs="Arial" w:eastAsia="Arial" w:hAnsi="Arial"/>
          <w:sz w:val="14"/>
          <w:szCs w:val="14"/>
          <w:color w:val="auto"/>
        </w:rPr>
        <w:t>To the extent permitted by applicable Law, if either party is liable for damages to the Service Provider in connection with this Agreement, then the aggregate amount of damages recoverable against the other party will not exceed an amount equal to the amount stated in Part 3 of the Schedule.</w:t>
      </w:r>
    </w:p>
    <w:p>
      <w:pPr>
        <w:spacing w:after="0" w:line="133" w:lineRule="exact"/>
        <w:rPr>
          <w:rFonts w:ascii="Arial" w:cs="Arial" w:eastAsia="Arial" w:hAnsi="Arial"/>
          <w:sz w:val="14"/>
          <w:szCs w:val="14"/>
          <w:color w:val="auto"/>
        </w:rPr>
      </w:pPr>
    </w:p>
    <w:p>
      <w:pPr>
        <w:ind w:left="1020" w:hanging="511"/>
        <w:spacing w:after="0"/>
        <w:tabs>
          <w:tab w:leader="none" w:pos="1020" w:val="left"/>
        </w:tabs>
        <w:numPr>
          <w:ilvl w:val="0"/>
          <w:numId w:val="321"/>
        </w:numPr>
        <w:rPr>
          <w:rFonts w:ascii="Arial" w:cs="Arial" w:eastAsia="Arial" w:hAnsi="Arial"/>
          <w:sz w:val="14"/>
          <w:szCs w:val="14"/>
          <w:color w:val="auto"/>
        </w:rPr>
      </w:pPr>
      <w:r>
        <w:rPr>
          <w:rFonts w:ascii="Arial" w:cs="Arial" w:eastAsia="Arial" w:hAnsi="Arial"/>
          <w:sz w:val="14"/>
          <w:szCs w:val="14"/>
          <w:color w:val="auto"/>
        </w:rPr>
        <w:t>Neither Party shall be liable to the other party for damages in connection with this Agreement in respect of any Indirect Loss.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3"/>
          <w:szCs w:val="13"/>
          <w:color w:val="auto"/>
        </w:rPr>
        <w:t>Application of Indemnification Rights</w:t>
      </w:r>
    </w:p>
    <w:p>
      <w:pPr>
        <w:spacing w:after="0" w:line="176" w:lineRule="exact"/>
        <w:rPr>
          <w:sz w:val="20"/>
          <w:szCs w:val="20"/>
          <w:color w:val="auto"/>
        </w:rPr>
      </w:pPr>
    </w:p>
    <w:p>
      <w:pPr>
        <w:jc w:val="both"/>
        <w:ind w:left="1020" w:hanging="511"/>
        <w:spacing w:after="0" w:line="264" w:lineRule="auto"/>
        <w:tabs>
          <w:tab w:leader="none" w:pos="1020" w:val="left"/>
        </w:tabs>
        <w:numPr>
          <w:ilvl w:val="0"/>
          <w:numId w:val="322"/>
        </w:numPr>
        <w:rPr>
          <w:rFonts w:ascii="Arial" w:cs="Arial" w:eastAsia="Arial" w:hAnsi="Arial"/>
          <w:sz w:val="14"/>
          <w:szCs w:val="14"/>
          <w:color w:val="auto"/>
        </w:rPr>
      </w:pPr>
      <w:r>
        <w:rPr>
          <w:rFonts w:ascii="Arial" w:cs="Arial" w:eastAsia="Arial" w:hAnsi="Arial"/>
          <w:sz w:val="14"/>
          <w:szCs w:val="14"/>
          <w:color w:val="auto"/>
        </w:rPr>
        <w:t>When a third party brings a Claim which is within the scope of clause 15.1, ANZ must give the Service Provider prompt written notice of the Claim. If the Service Provider provides ANZ with prompt acknowledgement that the Claim would be covered by clause 15.1 if successful, and also provides (if reasonably requested by ANZ) security to cover the amount of the Claim if successful then the following provisions apply:</w:t>
      </w:r>
    </w:p>
    <w:p>
      <w:pPr>
        <w:spacing w:after="0" w:line="142" w:lineRule="exact"/>
        <w:rPr>
          <w:rFonts w:ascii="Arial" w:cs="Arial" w:eastAsia="Arial" w:hAnsi="Arial"/>
          <w:sz w:val="14"/>
          <w:szCs w:val="14"/>
          <w:color w:val="auto"/>
        </w:rPr>
      </w:pPr>
    </w:p>
    <w:p>
      <w:pPr>
        <w:ind w:left="1520" w:hanging="506"/>
        <w:spacing w:after="0" w:line="185" w:lineRule="auto"/>
        <w:tabs>
          <w:tab w:leader="none" w:pos="1520" w:val="left"/>
        </w:tabs>
        <w:numPr>
          <w:ilvl w:val="1"/>
          <w:numId w:val="322"/>
        </w:numPr>
        <w:rPr>
          <w:rFonts w:ascii="Arial" w:cs="Arial" w:eastAsia="Arial" w:hAnsi="Arial"/>
          <w:sz w:val="26"/>
          <w:szCs w:val="26"/>
          <w:color w:val="auto"/>
          <w:vertAlign w:val="subscript"/>
        </w:rPr>
      </w:pPr>
      <w:r>
        <w:rPr>
          <w:rFonts w:ascii="Arial" w:cs="Arial" w:eastAsia="Arial" w:hAnsi="Arial"/>
          <w:sz w:val="13"/>
          <w:szCs w:val="13"/>
          <w:color w:val="auto"/>
        </w:rPr>
        <w:t>the Service Provider shall have control over the defence, compromise, or settlement at the Service Provider’s expense of the Claim, provided that ANZ or the relevant ANZ Group member may observe the proceeding and reasonably participate in such proceeding;</w:t>
      </w:r>
    </w:p>
    <w:p>
      <w:pPr>
        <w:spacing w:after="0" w:line="159" w:lineRule="exact"/>
        <w:rPr>
          <w:rFonts w:ascii="Arial" w:cs="Arial" w:eastAsia="Arial" w:hAnsi="Arial"/>
          <w:sz w:val="26"/>
          <w:szCs w:val="26"/>
          <w:color w:val="auto"/>
          <w:vertAlign w:val="subscript"/>
        </w:rPr>
      </w:pPr>
    </w:p>
    <w:p>
      <w:pPr>
        <w:ind w:left="1520" w:hanging="506"/>
        <w:spacing w:after="0" w:line="185" w:lineRule="auto"/>
        <w:tabs>
          <w:tab w:leader="none" w:pos="1520" w:val="left"/>
        </w:tabs>
        <w:numPr>
          <w:ilvl w:val="1"/>
          <w:numId w:val="322"/>
        </w:numPr>
        <w:rPr>
          <w:rFonts w:ascii="Arial" w:cs="Arial" w:eastAsia="Arial" w:hAnsi="Arial"/>
          <w:sz w:val="26"/>
          <w:szCs w:val="26"/>
          <w:color w:val="auto"/>
          <w:vertAlign w:val="subscript"/>
        </w:rPr>
      </w:pPr>
      <w:r>
        <w:rPr>
          <w:rFonts w:ascii="Arial" w:cs="Arial" w:eastAsia="Arial" w:hAnsi="Arial"/>
          <w:sz w:val="13"/>
          <w:szCs w:val="13"/>
          <w:color w:val="auto"/>
        </w:rPr>
        <w:t>ANZ or the relevant ANZ Group member shall give the Service Provider all reasonable information, assistance, and authority to enable the Service Provider to defend the Claim; and</w:t>
      </w:r>
    </w:p>
    <w:p>
      <w:pPr>
        <w:spacing w:after="0" w:line="159" w:lineRule="exact"/>
        <w:rPr>
          <w:rFonts w:ascii="Arial" w:cs="Arial" w:eastAsia="Arial" w:hAnsi="Arial"/>
          <w:sz w:val="26"/>
          <w:szCs w:val="26"/>
          <w:color w:val="auto"/>
          <w:vertAlign w:val="subscript"/>
        </w:rPr>
      </w:pPr>
    </w:p>
    <w:p>
      <w:pPr>
        <w:ind w:left="1520" w:hanging="506"/>
        <w:spacing w:after="0" w:line="185" w:lineRule="auto"/>
        <w:tabs>
          <w:tab w:leader="none" w:pos="1520" w:val="left"/>
        </w:tabs>
        <w:numPr>
          <w:ilvl w:val="1"/>
          <w:numId w:val="322"/>
        </w:numPr>
        <w:rPr>
          <w:rFonts w:ascii="Arial" w:cs="Arial" w:eastAsia="Arial" w:hAnsi="Arial"/>
          <w:sz w:val="26"/>
          <w:szCs w:val="26"/>
          <w:color w:val="auto"/>
          <w:vertAlign w:val="subscript"/>
        </w:rPr>
      </w:pPr>
      <w:r>
        <w:rPr>
          <w:rFonts w:ascii="Arial" w:cs="Arial" w:eastAsia="Arial" w:hAnsi="Arial"/>
          <w:sz w:val="13"/>
          <w:szCs w:val="13"/>
          <w:color w:val="auto"/>
        </w:rPr>
        <w:t>the Service Provider will not settle or compromise any Claim without first obtaining the prior written consent of ANZ or the relevant ANZ Group member, such consent not to be unreasonably withheld.</w:t>
      </w:r>
    </w:p>
    <w:p>
      <w:pPr>
        <w:spacing w:after="0" w:line="159" w:lineRule="exact"/>
        <w:rPr>
          <w:rFonts w:ascii="Arial" w:cs="Arial" w:eastAsia="Arial" w:hAnsi="Arial"/>
          <w:sz w:val="26"/>
          <w:szCs w:val="26"/>
          <w:color w:val="auto"/>
          <w:vertAlign w:val="subscript"/>
        </w:rPr>
      </w:pPr>
    </w:p>
    <w:p>
      <w:pPr>
        <w:jc w:val="both"/>
        <w:ind w:left="1020" w:hanging="511"/>
        <w:spacing w:after="0" w:line="256" w:lineRule="auto"/>
        <w:tabs>
          <w:tab w:leader="none" w:pos="1020" w:val="left"/>
        </w:tabs>
        <w:numPr>
          <w:ilvl w:val="0"/>
          <w:numId w:val="322"/>
        </w:numPr>
        <w:rPr>
          <w:rFonts w:ascii="Arial" w:cs="Arial" w:eastAsia="Arial" w:hAnsi="Arial"/>
          <w:sz w:val="14"/>
          <w:szCs w:val="14"/>
          <w:color w:val="auto"/>
        </w:rPr>
      </w:pPr>
      <w:r>
        <w:rPr>
          <w:rFonts w:ascii="Arial" w:cs="Arial" w:eastAsia="Arial" w:hAnsi="Arial"/>
          <w:sz w:val="14"/>
          <w:szCs w:val="14"/>
          <w:color w:val="auto"/>
        </w:rPr>
        <w:t>Without limiting the Service Provider’s obligations under this Agreement, if the Service Provider fails to provide the acknowledgement described in paragraph (a) above promptly or does not take action promptly to defend a Claim as required by this Agreement, and does not remedy such failure within 10 days after receipt of written notice from ANZ or the relevant ANZ Group member requiring the Service Provider to do so, ANZ or the relevant ANZ Group member may, but shall not be obligated to, take such action as it sees fit in respect of the Claim (including defending or settling the Claim) without the consent of the Service Provider, and may recover from the Service Provider all losses, damages, costs, expenses (including legal fees on a solicitor own client basis) and other liabilities incurred in connection with such action. ANZ or the relevant ANZ Group member must act reasonably and in good faith in taking such action.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460"/>
          </w:cols>
          <w:pgMar w:left="220" w:top="1114" w:right="219" w:bottom="1440" w:gutter="0" w:footer="0" w:header="0"/>
          <w:type w:val="continuous"/>
        </w:sectPr>
      </w:pPr>
    </w:p>
    <w:bookmarkStart w:id="270" w:name="page271"/>
    <w:bookmarkEnd w:id="27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443230</wp:posOffset>
            </wp:positionV>
            <wp:extent cx="868680" cy="2940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77" w:lineRule="exact"/>
        <w:rPr>
          <w:sz w:val="20"/>
          <w:szCs w:val="20"/>
          <w:color w:val="auto"/>
        </w:rPr>
      </w:pPr>
    </w:p>
    <w:p>
      <w:pPr>
        <w:ind w:left="500" w:hanging="496"/>
        <w:spacing w:after="0"/>
        <w:tabs>
          <w:tab w:leader="none" w:pos="500" w:val="left"/>
        </w:tabs>
        <w:numPr>
          <w:ilvl w:val="0"/>
          <w:numId w:val="323"/>
        </w:numPr>
        <w:rPr>
          <w:rFonts w:ascii="Arial" w:cs="Arial" w:eastAsia="Arial" w:hAnsi="Arial"/>
          <w:sz w:val="14"/>
          <w:szCs w:val="14"/>
          <w:b w:val="1"/>
          <w:bCs w:val="1"/>
          <w:color w:val="auto"/>
        </w:rPr>
      </w:pPr>
      <w:r>
        <w:rPr>
          <w:rFonts w:ascii="Arial" w:cs="Arial" w:eastAsia="Arial" w:hAnsi="Arial"/>
          <w:sz w:val="14"/>
          <w:szCs w:val="14"/>
          <w:b w:val="1"/>
          <w:bCs w:val="1"/>
          <w:color w:val="auto"/>
        </w:rPr>
        <w:t>SET-OFF AND DEDUCTIONS</w:t>
      </w:r>
    </w:p>
    <w:p>
      <w:pPr>
        <w:spacing w:after="0" w:line="148" w:lineRule="exact"/>
        <w:rPr>
          <w:rFonts w:ascii="Arial" w:cs="Arial" w:eastAsia="Arial" w:hAnsi="Arial"/>
          <w:sz w:val="14"/>
          <w:szCs w:val="14"/>
          <w:b w:val="1"/>
          <w:bCs w:val="1"/>
          <w:color w:val="auto"/>
        </w:rPr>
      </w:pPr>
    </w:p>
    <w:p>
      <w:pPr>
        <w:jc w:val="both"/>
        <w:ind w:left="500"/>
        <w:spacing w:after="0" w:line="317" w:lineRule="auto"/>
        <w:rPr>
          <w:rFonts w:ascii="Arial" w:cs="Arial" w:eastAsia="Arial" w:hAnsi="Arial"/>
          <w:sz w:val="14"/>
          <w:szCs w:val="14"/>
          <w:b w:val="1"/>
          <w:bCs w:val="1"/>
          <w:color w:val="auto"/>
        </w:rPr>
      </w:pPr>
      <w:r>
        <w:rPr>
          <w:rFonts w:ascii="Arial" w:cs="Arial" w:eastAsia="Arial" w:hAnsi="Arial"/>
          <w:sz w:val="13"/>
          <w:szCs w:val="13"/>
          <w:color w:val="auto"/>
        </w:rPr>
        <w:t>ANZ may deduct and set-off from any moneys otherwise due to the Service Provider from ANZ, any money due from the Service Provider to ANZ or paid by ANZ on behalf of the Service Provider, including any Claims incurred by ANZ as result of the termination of this Agreement. This right of set-off is without prejudice to, and is not in limitation of, any other remedies of ANZ.</w:t>
      </w:r>
    </w:p>
    <w:p>
      <w:pPr>
        <w:spacing w:after="0" w:line="53" w:lineRule="exact"/>
        <w:rPr>
          <w:rFonts w:ascii="Arial" w:cs="Arial" w:eastAsia="Arial" w:hAnsi="Arial"/>
          <w:sz w:val="14"/>
          <w:szCs w:val="14"/>
          <w:b w:val="1"/>
          <w:bCs w:val="1"/>
          <w:color w:val="auto"/>
        </w:rPr>
      </w:pPr>
    </w:p>
    <w:p>
      <w:pPr>
        <w:ind w:left="500" w:hanging="496"/>
        <w:spacing w:after="0"/>
        <w:tabs>
          <w:tab w:leader="none" w:pos="500" w:val="left"/>
        </w:tabs>
        <w:numPr>
          <w:ilvl w:val="0"/>
          <w:numId w:val="323"/>
        </w:numPr>
        <w:rPr>
          <w:rFonts w:ascii="Arial" w:cs="Arial" w:eastAsia="Arial" w:hAnsi="Arial"/>
          <w:sz w:val="14"/>
          <w:szCs w:val="14"/>
          <w:b w:val="1"/>
          <w:bCs w:val="1"/>
          <w:color w:val="auto"/>
        </w:rPr>
      </w:pPr>
      <w:r>
        <w:rPr>
          <w:rFonts w:ascii="Arial" w:cs="Arial" w:eastAsia="Arial" w:hAnsi="Arial"/>
          <w:sz w:val="14"/>
          <w:szCs w:val="14"/>
          <w:b w:val="1"/>
          <w:bCs w:val="1"/>
          <w:color w:val="auto"/>
        </w:rPr>
        <w:t>DISPUTE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-466725</wp:posOffset>
            </wp:positionV>
            <wp:extent cx="7277100" cy="13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71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17.1</w:t>
      </w:r>
      <w:r>
        <w:rPr>
          <w:sz w:val="20"/>
          <w:szCs w:val="20"/>
          <w:color w:val="auto"/>
        </w:rPr>
        <w:tab/>
      </w:r>
      <w:r>
        <w:rPr>
          <w:rFonts w:ascii="Arial" w:cs="Arial" w:eastAsia="Arial" w:hAnsi="Arial"/>
          <w:sz w:val="13"/>
          <w:szCs w:val="13"/>
          <w:color w:val="auto"/>
        </w:rPr>
        <w:t>Application of clause</w:t>
      </w:r>
    </w:p>
    <w:p>
      <w:pPr>
        <w:spacing w:after="0" w:line="123"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Except as stated expressly to the contrary in this Agreement, all disputes, differences or disagreements in relation to this Agreement (</w:t>
      </w:r>
      <w:r>
        <w:rPr>
          <w:rFonts w:ascii="Arial" w:cs="Arial" w:eastAsia="Arial" w:hAnsi="Arial"/>
          <w:sz w:val="14"/>
          <w:szCs w:val="14"/>
          <w:b w:val="1"/>
          <w:bCs w:val="1"/>
          <w:i w:val="1"/>
          <w:iCs w:val="1"/>
          <w:color w:val="auto"/>
        </w:rPr>
        <w:t>Disputes</w:t>
      </w:r>
      <w:r>
        <w:rPr>
          <w:rFonts w:ascii="Arial" w:cs="Arial" w:eastAsia="Arial" w:hAnsi="Arial"/>
          <w:sz w:val="14"/>
          <w:szCs w:val="14"/>
          <w:color w:val="auto"/>
        </w:rPr>
        <w:t>) must first be dealt with in accordance with this clause 17.</w:t>
      </w:r>
    </w:p>
    <w:p>
      <w:pPr>
        <w:spacing w:after="0" w:line="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17.2</w:t>
      </w:r>
      <w:r>
        <w:rPr>
          <w:sz w:val="20"/>
          <w:szCs w:val="20"/>
          <w:color w:val="auto"/>
        </w:rPr>
        <w:tab/>
      </w:r>
      <w:r>
        <w:rPr>
          <w:rFonts w:ascii="Arial" w:cs="Arial" w:eastAsia="Arial" w:hAnsi="Arial"/>
          <w:sz w:val="12"/>
          <w:szCs w:val="12"/>
          <w:color w:val="auto"/>
        </w:rPr>
        <w:t>Continued performance of Agreement during dispute</w:t>
      </w:r>
    </w:p>
    <w:p>
      <w:pPr>
        <w:spacing w:after="0" w:line="123"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Both parties must continue to perform the Agreement despite the existence of any Dispute provided that nothing in this clause prevents or restricts either party from lawfully exercising any of its rights under clause 2 of this Agreement at any time.</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17.3</w:t>
      </w:r>
      <w:r>
        <w:rPr>
          <w:sz w:val="20"/>
          <w:szCs w:val="20"/>
          <w:color w:val="auto"/>
        </w:rPr>
        <w:tab/>
      </w:r>
      <w:r>
        <w:rPr>
          <w:rFonts w:ascii="Arial" w:cs="Arial" w:eastAsia="Arial" w:hAnsi="Arial"/>
          <w:sz w:val="12"/>
          <w:szCs w:val="12"/>
          <w:color w:val="auto"/>
        </w:rPr>
        <w:t>Further Proceedings</w:t>
      </w:r>
    </w:p>
    <w:p>
      <w:pPr>
        <w:spacing w:after="0" w:line="123"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All Disputes should be in the first place settled via negotiation by parties hereunder. If, following negotiation of a Dispute the Dispute has not been resolved, the parties hereunder agree to resolve the Dispute according to clause 19.2.</w:t>
      </w:r>
    </w:p>
    <w:p>
      <w:pPr>
        <w:spacing w:after="0" w:line="77" w:lineRule="exact"/>
        <w:rPr>
          <w:sz w:val="20"/>
          <w:szCs w:val="20"/>
          <w:color w:val="auto"/>
        </w:rPr>
      </w:pPr>
    </w:p>
    <w:p>
      <w:pPr>
        <w:ind w:left="500" w:hanging="496"/>
        <w:spacing w:after="0"/>
        <w:tabs>
          <w:tab w:leader="none" w:pos="500" w:val="left"/>
        </w:tabs>
        <w:numPr>
          <w:ilvl w:val="0"/>
          <w:numId w:val="324"/>
        </w:numPr>
        <w:rPr>
          <w:rFonts w:ascii="Arial" w:cs="Arial" w:eastAsia="Arial" w:hAnsi="Arial"/>
          <w:sz w:val="14"/>
          <w:szCs w:val="14"/>
          <w:b w:val="1"/>
          <w:bCs w:val="1"/>
          <w:color w:val="auto"/>
        </w:rPr>
      </w:pPr>
      <w:r>
        <w:rPr>
          <w:rFonts w:ascii="Arial" w:cs="Arial" w:eastAsia="Arial" w:hAnsi="Arial"/>
          <w:sz w:val="14"/>
          <w:szCs w:val="14"/>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18.1</w:t>
      </w:r>
      <w:r>
        <w:rPr>
          <w:sz w:val="20"/>
          <w:szCs w:val="20"/>
          <w:color w:val="auto"/>
        </w:rPr>
        <w:tab/>
      </w:r>
      <w:r>
        <w:rPr>
          <w:rFonts w:ascii="Arial" w:cs="Arial" w:eastAsia="Arial" w:hAnsi="Arial"/>
          <w:sz w:val="12"/>
          <w:szCs w:val="12"/>
          <w:color w:val="auto"/>
        </w:rPr>
        <w:t>How notices must be given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 notice, request, demand, consent or approval (each a </w:t>
      </w:r>
      <w:r>
        <w:rPr>
          <w:rFonts w:ascii="Arial" w:cs="Arial" w:eastAsia="Arial" w:hAnsi="Arial"/>
          <w:sz w:val="14"/>
          <w:szCs w:val="14"/>
          <w:b w:val="1"/>
          <w:bCs w:val="1"/>
          <w:i w:val="1"/>
          <w:iCs w:val="1"/>
          <w:color w:val="auto"/>
        </w:rPr>
        <w:t>notice</w:t>
      </w:r>
      <w:r>
        <w:rPr>
          <w:rFonts w:ascii="Arial" w:cs="Arial" w:eastAsia="Arial" w:hAnsi="Arial"/>
          <w:sz w:val="14"/>
          <w:szCs w:val="14"/>
          <w:color w:val="auto"/>
        </w:rPr>
        <w:t xml:space="preserve">) from one party to another party (in this clause, the </w:t>
      </w:r>
      <w:r>
        <w:rPr>
          <w:rFonts w:ascii="Arial" w:cs="Arial" w:eastAsia="Arial" w:hAnsi="Arial"/>
          <w:sz w:val="14"/>
          <w:szCs w:val="14"/>
          <w:b w:val="1"/>
          <w:bCs w:val="1"/>
          <w:i w:val="1"/>
          <w:iCs w:val="1"/>
          <w:color w:val="auto"/>
        </w:rPr>
        <w:t>Recipient</w:t>
      </w:r>
      <w:r>
        <w:rPr>
          <w:rFonts w:ascii="Arial" w:cs="Arial" w:eastAsia="Arial" w:hAnsi="Arial"/>
          <w:sz w:val="14"/>
          <w:szCs w:val="14"/>
          <w:color w:val="auto"/>
        </w:rPr>
        <w:t>) under this Agreement:</w:t>
      </w:r>
    </w:p>
    <w:p>
      <w:pPr>
        <w:spacing w:after="0" w:line="176" w:lineRule="exact"/>
        <w:rPr>
          <w:sz w:val="20"/>
          <w:szCs w:val="20"/>
          <w:color w:val="auto"/>
        </w:rPr>
      </w:pPr>
    </w:p>
    <w:p>
      <w:pPr>
        <w:ind w:left="1020" w:hanging="511"/>
        <w:spacing w:after="0"/>
        <w:tabs>
          <w:tab w:leader="none" w:pos="102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must be in writing;</w:t>
      </w:r>
    </w:p>
    <w:p>
      <w:pPr>
        <w:spacing w:after="0" w:line="123" w:lineRule="exact"/>
        <w:rPr>
          <w:rFonts w:ascii="Arial" w:cs="Arial" w:eastAsia="Arial" w:hAnsi="Arial"/>
          <w:sz w:val="14"/>
          <w:szCs w:val="14"/>
          <w:color w:val="auto"/>
        </w:rPr>
      </w:pPr>
    </w:p>
    <w:p>
      <w:pPr>
        <w:ind w:left="1020" w:hanging="511"/>
        <w:spacing w:after="0"/>
        <w:tabs>
          <w:tab w:leader="none" w:pos="102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addressed to the Recipient; and</w:t>
      </w:r>
    </w:p>
    <w:p>
      <w:pPr>
        <w:spacing w:after="0" w:line="175" w:lineRule="exact"/>
        <w:rPr>
          <w:rFonts w:ascii="Arial" w:cs="Arial" w:eastAsia="Arial" w:hAnsi="Arial"/>
          <w:sz w:val="14"/>
          <w:szCs w:val="14"/>
          <w:color w:val="auto"/>
        </w:rPr>
      </w:pPr>
    </w:p>
    <w:p>
      <w:pPr>
        <w:ind w:left="1020" w:hanging="511"/>
        <w:spacing w:after="0"/>
        <w:tabs>
          <w:tab w:leader="none" w:pos="102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delivered to the Recipient’s address in person; or</w:t>
      </w:r>
    </w:p>
    <w:p>
      <w:pPr>
        <w:spacing w:after="0" w:line="123" w:lineRule="exact"/>
        <w:rPr>
          <w:rFonts w:ascii="Arial" w:cs="Arial" w:eastAsia="Arial" w:hAnsi="Arial"/>
          <w:sz w:val="14"/>
          <w:szCs w:val="14"/>
          <w:color w:val="auto"/>
        </w:rPr>
      </w:pPr>
    </w:p>
    <w:p>
      <w:pPr>
        <w:ind w:left="1020" w:hanging="511"/>
        <w:spacing w:after="0"/>
        <w:tabs>
          <w:tab w:leader="none" w:pos="102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sent by registered mail to the Recipient’s address; or</w:t>
      </w:r>
    </w:p>
    <w:p>
      <w:pPr>
        <w:spacing w:after="0" w:line="123" w:lineRule="exact"/>
        <w:rPr>
          <w:rFonts w:ascii="Arial" w:cs="Arial" w:eastAsia="Arial" w:hAnsi="Arial"/>
          <w:sz w:val="14"/>
          <w:szCs w:val="14"/>
          <w:color w:val="auto"/>
        </w:rPr>
      </w:pPr>
    </w:p>
    <w:p>
      <w:pPr>
        <w:ind w:left="1020" w:hanging="511"/>
        <w:spacing w:after="0"/>
        <w:tabs>
          <w:tab w:leader="none" w:pos="102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transmitted by facsimile to the Recipient’s fax number subject to a correct and complete transmission report being received by the sender; or</w:t>
      </w:r>
    </w:p>
    <w:p>
      <w:pPr>
        <w:spacing w:after="0" w:line="123" w:lineRule="exact"/>
        <w:rPr>
          <w:rFonts w:ascii="Arial" w:cs="Arial" w:eastAsia="Arial" w:hAnsi="Arial"/>
          <w:sz w:val="14"/>
          <w:szCs w:val="14"/>
          <w:color w:val="auto"/>
        </w:rPr>
      </w:pPr>
    </w:p>
    <w:p>
      <w:pPr>
        <w:ind w:left="1020" w:hanging="511"/>
        <w:spacing w:after="0" w:line="185" w:lineRule="auto"/>
        <w:tabs>
          <w:tab w:leader="none" w:pos="1020" w:val="left"/>
        </w:tabs>
        <w:numPr>
          <w:ilvl w:val="0"/>
          <w:numId w:val="325"/>
        </w:numPr>
        <w:rPr>
          <w:rFonts w:ascii="Arial" w:cs="Arial" w:eastAsia="Arial" w:hAnsi="Arial"/>
          <w:sz w:val="26"/>
          <w:szCs w:val="26"/>
          <w:color w:val="auto"/>
          <w:vertAlign w:val="subscript"/>
        </w:rPr>
      </w:pPr>
      <w:r>
        <w:rPr>
          <w:rFonts w:ascii="Arial" w:cs="Arial" w:eastAsia="Arial" w:hAnsi="Arial"/>
          <w:sz w:val="13"/>
          <w:szCs w:val="13"/>
          <w:color w:val="auto"/>
        </w:rPr>
        <w:t>transmitted by email to the Recipient’s email address subject to a correct and complete receipt acknowledgement being received by the sender and a follow up method of delivery (as described in clauses 18.1(c), 18.1(d) or 18.1(e) being undertaken.</w:t>
      </w:r>
    </w:p>
    <w:p>
      <w:pPr>
        <w:spacing w:after="0" w:line="10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18.2</w:t>
      </w:r>
      <w:r>
        <w:rPr>
          <w:sz w:val="20"/>
          <w:szCs w:val="20"/>
          <w:color w:val="auto"/>
        </w:rPr>
        <w:tab/>
      </w:r>
      <w:r>
        <w:rPr>
          <w:rFonts w:ascii="Arial" w:cs="Arial" w:eastAsia="Arial" w:hAnsi="Arial"/>
          <w:sz w:val="12"/>
          <w:szCs w:val="12"/>
          <w:color w:val="auto"/>
        </w:rPr>
        <w:t>Recipient’s address, fax number and email address</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For the purpose of this clause the address, fax number and email address of the Recipient is initially as set out in Part 1 of the Schedule or (if any) the latest notified address, fax number or email address that the Recipient has notified to the other party.</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18.3</w:t>
      </w:r>
      <w:r>
        <w:rPr>
          <w:sz w:val="20"/>
          <w:szCs w:val="20"/>
          <w:color w:val="auto"/>
        </w:rPr>
        <w:tab/>
      </w:r>
      <w:r>
        <w:rPr>
          <w:rFonts w:ascii="Arial" w:cs="Arial" w:eastAsia="Arial" w:hAnsi="Arial"/>
          <w:sz w:val="12"/>
          <w:szCs w:val="12"/>
          <w:color w:val="auto"/>
        </w:rPr>
        <w:t>When notice taken as given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notice given to the Recipient in accordance with clause 18.1 will be treated as having been received by the Recipient:</w:t>
      </w:r>
    </w:p>
    <w:p>
      <w:pPr>
        <w:spacing w:after="0" w:line="176" w:lineRule="exact"/>
        <w:rPr>
          <w:sz w:val="20"/>
          <w:szCs w:val="20"/>
          <w:color w:val="auto"/>
        </w:rPr>
      </w:pPr>
    </w:p>
    <w:p>
      <w:pPr>
        <w:ind w:left="1020" w:hanging="511"/>
        <w:spacing w:after="0"/>
        <w:tabs>
          <w:tab w:leader="none" w:pos="1020" w:val="left"/>
        </w:tabs>
        <w:numPr>
          <w:ilvl w:val="0"/>
          <w:numId w:val="326"/>
        </w:numPr>
        <w:rPr>
          <w:rFonts w:ascii="Arial" w:cs="Arial" w:eastAsia="Arial" w:hAnsi="Arial"/>
          <w:sz w:val="14"/>
          <w:szCs w:val="14"/>
          <w:color w:val="auto"/>
        </w:rPr>
      </w:pPr>
      <w:r>
        <w:rPr>
          <w:rFonts w:ascii="Arial" w:cs="Arial" w:eastAsia="Arial" w:hAnsi="Arial"/>
          <w:sz w:val="14"/>
          <w:szCs w:val="14"/>
          <w:color w:val="auto"/>
        </w:rPr>
        <w:t>if delivered to the Recipient’s address in person, on the day and at the time of delivery;</w:t>
      </w:r>
    </w:p>
    <w:p>
      <w:pPr>
        <w:spacing w:after="0" w:line="123" w:lineRule="exact"/>
        <w:rPr>
          <w:rFonts w:ascii="Arial" w:cs="Arial" w:eastAsia="Arial" w:hAnsi="Arial"/>
          <w:sz w:val="14"/>
          <w:szCs w:val="14"/>
          <w:color w:val="auto"/>
        </w:rPr>
      </w:pPr>
    </w:p>
    <w:p>
      <w:pPr>
        <w:ind w:left="1020" w:hanging="511"/>
        <w:spacing w:after="0" w:line="185" w:lineRule="auto"/>
        <w:tabs>
          <w:tab w:leader="none" w:pos="1020" w:val="left"/>
        </w:tabs>
        <w:numPr>
          <w:ilvl w:val="0"/>
          <w:numId w:val="326"/>
        </w:numPr>
        <w:rPr>
          <w:rFonts w:ascii="Arial" w:cs="Arial" w:eastAsia="Arial" w:hAnsi="Arial"/>
          <w:sz w:val="26"/>
          <w:szCs w:val="26"/>
          <w:color w:val="auto"/>
          <w:vertAlign w:val="subscript"/>
        </w:rPr>
      </w:pPr>
      <w:r>
        <w:rPr>
          <w:rFonts w:ascii="Arial" w:cs="Arial" w:eastAsia="Arial" w:hAnsi="Arial"/>
          <w:sz w:val="13"/>
          <w:szCs w:val="13"/>
          <w:color w:val="auto"/>
        </w:rPr>
        <w:t>if sent by registered mail to the Recipient’s address, on the third Business Day after posting (where posted within P.R.C. or) on the tenth Business Day after posting (where posted outside P.R.C.);</w:t>
      </w:r>
    </w:p>
    <w:p>
      <w:pPr>
        <w:spacing w:after="0" w:line="106" w:lineRule="exact"/>
        <w:rPr>
          <w:rFonts w:ascii="Arial" w:cs="Arial" w:eastAsia="Arial" w:hAnsi="Arial"/>
          <w:sz w:val="26"/>
          <w:szCs w:val="26"/>
          <w:color w:val="auto"/>
          <w:vertAlign w:val="subscript"/>
        </w:rPr>
      </w:pPr>
    </w:p>
    <w:p>
      <w:pPr>
        <w:ind w:left="1020" w:hanging="511"/>
        <w:spacing w:after="0" w:line="185" w:lineRule="auto"/>
        <w:tabs>
          <w:tab w:leader="none" w:pos="1020" w:val="left"/>
        </w:tabs>
        <w:numPr>
          <w:ilvl w:val="0"/>
          <w:numId w:val="326"/>
        </w:numPr>
        <w:rPr>
          <w:rFonts w:ascii="Arial" w:cs="Arial" w:eastAsia="Arial" w:hAnsi="Arial"/>
          <w:sz w:val="26"/>
          <w:szCs w:val="26"/>
          <w:color w:val="auto"/>
          <w:vertAlign w:val="subscript"/>
        </w:rPr>
      </w:pPr>
      <w:r>
        <w:rPr>
          <w:rFonts w:ascii="Arial" w:cs="Arial" w:eastAsia="Arial" w:hAnsi="Arial"/>
          <w:sz w:val="13"/>
          <w:szCs w:val="13"/>
          <w:color w:val="auto"/>
        </w:rPr>
        <w:t>if transmitted by facsimile to the Recipient’s fax number on receipt by the sender of a transmission control report from the despatching machine showing the relevant number of pages and the correct destination fax number and indicating that the transmission has been received without error; and</w:t>
      </w:r>
    </w:p>
    <w:p>
      <w:pPr>
        <w:spacing w:after="0" w:line="106" w:lineRule="exact"/>
        <w:rPr>
          <w:rFonts w:ascii="Arial" w:cs="Arial" w:eastAsia="Arial" w:hAnsi="Arial"/>
          <w:sz w:val="26"/>
          <w:szCs w:val="26"/>
          <w:color w:val="auto"/>
          <w:vertAlign w:val="subscript"/>
        </w:rPr>
      </w:pPr>
    </w:p>
    <w:p>
      <w:pPr>
        <w:ind w:left="1020" w:hanging="511"/>
        <w:spacing w:after="0" w:line="207" w:lineRule="auto"/>
        <w:tabs>
          <w:tab w:leader="none" w:pos="1020" w:val="left"/>
        </w:tabs>
        <w:numPr>
          <w:ilvl w:val="0"/>
          <w:numId w:val="326"/>
        </w:numPr>
        <w:rPr>
          <w:rFonts w:ascii="Arial" w:cs="Arial" w:eastAsia="Arial" w:hAnsi="Arial"/>
          <w:sz w:val="23"/>
          <w:szCs w:val="23"/>
          <w:color w:val="auto"/>
          <w:vertAlign w:val="subscript"/>
        </w:rPr>
      </w:pPr>
      <w:r>
        <w:rPr>
          <w:rFonts w:ascii="Arial" w:cs="Arial" w:eastAsia="Arial" w:hAnsi="Arial"/>
          <w:sz w:val="12"/>
          <w:szCs w:val="12"/>
          <w:color w:val="auto"/>
        </w:rPr>
        <w:t>if transmitted by email to the Recipient’s email address on receipt by the sender of a confirmation message from the recipient’s mail server indicating that the message has been received by the person to whom it was addressed without error, provided that the sender must follow up such email notice with one of the other methods of notice delivery referred to above.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bl>
    <w:p>
      <w:pPr>
        <w:sectPr>
          <w:pgSz w:w="11900" w:h="16838" w:orient="portrait"/>
          <w:cols w:equalWidth="0" w:num="1">
            <w:col w:w="11460"/>
          </w:cols>
          <w:pgMar w:left="220" w:top="1041" w:right="219" w:bottom="1440" w:gutter="0" w:footer="0" w:header="0"/>
        </w:sectPr>
      </w:pPr>
    </w:p>
    <w:bookmarkStart w:id="271" w:name="page272"/>
    <w:bookmarkEnd w:id="27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Provided that if the result of the above provisions would be to deem the notice to have been received on a day which is not a Business Day or after 4pm on a Business Day then the notice will be deemed to have been received on the next Business Day.</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18.4</w:t>
      </w:r>
      <w:r>
        <w:rPr>
          <w:sz w:val="20"/>
          <w:szCs w:val="20"/>
          <w:color w:val="auto"/>
        </w:rPr>
        <w:tab/>
      </w:r>
      <w:r>
        <w:rPr>
          <w:rFonts w:ascii="Arial" w:cs="Arial" w:eastAsia="Arial" w:hAnsi="Arial"/>
          <w:sz w:val="12"/>
          <w:szCs w:val="12"/>
          <w:color w:val="auto"/>
        </w:rPr>
        <w:t>Other legal modes of service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provisions of this clause are in addition to any other mode of service permitted by Law.</w:t>
      </w:r>
    </w:p>
    <w:p>
      <w:pPr>
        <w:spacing w:after="0" w:line="172" w:lineRule="exact"/>
        <w:rPr>
          <w:sz w:val="20"/>
          <w:szCs w:val="20"/>
          <w:color w:val="auto"/>
        </w:rPr>
      </w:pPr>
    </w:p>
    <w:p>
      <w:pPr>
        <w:ind w:left="500" w:hanging="496"/>
        <w:spacing w:after="0"/>
        <w:tabs>
          <w:tab w:leader="none" w:pos="500" w:val="left"/>
        </w:tabs>
        <w:numPr>
          <w:ilvl w:val="0"/>
          <w:numId w:val="327"/>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w:t>
      </w:r>
      <w:r>
        <w:rPr>
          <w:sz w:val="20"/>
          <w:szCs w:val="20"/>
          <w:color w:val="auto"/>
        </w:rPr>
        <w:tab/>
      </w:r>
      <w:r>
        <w:rPr>
          <w:rFonts w:ascii="Arial" w:cs="Arial" w:eastAsia="Arial" w:hAnsi="Arial"/>
          <w:sz w:val="13"/>
          <w:szCs w:val="13"/>
          <w:color w:val="auto"/>
        </w:rPr>
        <w:t>Governing law</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Agreement is governed by the Laws in P.R.C.</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19.2</w:t>
      </w:r>
      <w:r>
        <w:rPr>
          <w:sz w:val="20"/>
          <w:szCs w:val="20"/>
          <w:color w:val="auto"/>
        </w:rPr>
        <w:tab/>
      </w:r>
      <w:r>
        <w:rPr>
          <w:rFonts w:ascii="Arial" w:cs="Arial" w:eastAsia="Arial" w:hAnsi="Arial"/>
          <w:sz w:val="13"/>
          <w:szCs w:val="13"/>
          <w:color w:val="auto"/>
        </w:rPr>
        <w:t>Jurisdiction</w:t>
      </w:r>
    </w:p>
    <w:p>
      <w:pPr>
        <w:spacing w:after="0" w:line="176" w:lineRule="exact"/>
        <w:rPr>
          <w:sz w:val="20"/>
          <w:szCs w:val="20"/>
          <w:color w:val="auto"/>
        </w:rPr>
      </w:pPr>
    </w:p>
    <w:p>
      <w:pPr>
        <w:jc w:val="both"/>
        <w:ind w:left="500"/>
        <w:spacing w:after="0" w:line="317" w:lineRule="auto"/>
        <w:rPr>
          <w:sz w:val="20"/>
          <w:szCs w:val="20"/>
          <w:color w:val="auto"/>
        </w:rPr>
      </w:pPr>
      <w:r>
        <w:rPr>
          <w:rFonts w:ascii="Arial" w:cs="Arial" w:eastAsia="Arial" w:hAnsi="Arial"/>
          <w:sz w:val="13"/>
          <w:szCs w:val="13"/>
          <w:color w:val="auto"/>
        </w:rPr>
        <w:t>In relation to any legal action or proceedings arising out of or in connection with this Agreement each party irrevocably submits to the non-exclusive jurisdiction of the courts of P.R.C. of ANZ’s domicile and waives any objection to proceedings in any such court on the grounds of venue or on the grounds that the proceedings have been brought in an inconvenient forum.</w:t>
      </w:r>
    </w:p>
    <w:p>
      <w:pPr>
        <w:spacing w:after="0" w:line="11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19.3</w:t>
      </w:r>
      <w:r>
        <w:rPr>
          <w:sz w:val="20"/>
          <w:szCs w:val="20"/>
          <w:color w:val="auto"/>
        </w:rPr>
        <w:tab/>
      </w:r>
      <w:r>
        <w:rPr>
          <w:rFonts w:ascii="Arial" w:cs="Arial" w:eastAsia="Arial" w:hAnsi="Arial"/>
          <w:sz w:val="12"/>
          <w:szCs w:val="12"/>
          <w:color w:val="auto"/>
        </w:rPr>
        <w:t>Entire agreement</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This Agreement supersedes all previous agreements in respect of its subject matter and embodies the entire agreement between the parties with respect to the matters dealt with in this Agreement and there are no oral or written understandings, representations, warranties or commitments of any kind, express or implied, in relation to the matters dealt with in this Agreement that are not expressly set out in this Agreement.</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19.4</w:t>
      </w:r>
      <w:r>
        <w:rPr>
          <w:sz w:val="20"/>
          <w:szCs w:val="20"/>
          <w:color w:val="auto"/>
        </w:rPr>
        <w:tab/>
      </w:r>
      <w:r>
        <w:rPr>
          <w:rFonts w:ascii="Arial" w:cs="Arial" w:eastAsia="Arial" w:hAnsi="Arial"/>
          <w:sz w:val="12"/>
          <w:szCs w:val="12"/>
          <w:color w:val="auto"/>
        </w:rPr>
        <w:t>Taxes and duties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provisions of Annexure 2 apply.</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19.5</w:t>
      </w:r>
      <w:r>
        <w:rPr>
          <w:sz w:val="20"/>
          <w:szCs w:val="20"/>
          <w:color w:val="auto"/>
        </w:rPr>
        <w:tab/>
      </w:r>
      <w:r>
        <w:rPr>
          <w:rFonts w:ascii="Arial" w:cs="Arial" w:eastAsia="Arial" w:hAnsi="Arial"/>
          <w:sz w:val="13"/>
          <w:szCs w:val="13"/>
          <w:color w:val="auto"/>
        </w:rPr>
        <w:t>GST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provisions of Annexure 2 apply.</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19.6</w:t>
      </w:r>
      <w:r>
        <w:rPr>
          <w:sz w:val="20"/>
          <w:szCs w:val="20"/>
          <w:color w:val="auto"/>
        </w:rPr>
        <w:tab/>
      </w:r>
      <w:r>
        <w:rPr>
          <w:rFonts w:ascii="Arial" w:cs="Arial" w:eastAsia="Arial" w:hAnsi="Arial"/>
          <w:sz w:val="12"/>
          <w:szCs w:val="12"/>
          <w:color w:val="auto"/>
        </w:rPr>
        <w:t>Relationship of parties</w:t>
      </w:r>
    </w:p>
    <w:p>
      <w:pPr>
        <w:spacing w:after="0" w:line="176" w:lineRule="exact"/>
        <w:rPr>
          <w:sz w:val="20"/>
          <w:szCs w:val="20"/>
          <w:color w:val="auto"/>
        </w:rPr>
      </w:pPr>
    </w:p>
    <w:p>
      <w:pPr>
        <w:jc w:val="both"/>
        <w:ind w:left="500"/>
        <w:spacing w:after="0" w:line="277" w:lineRule="auto"/>
        <w:rPr>
          <w:sz w:val="20"/>
          <w:szCs w:val="20"/>
          <w:color w:val="auto"/>
        </w:rPr>
      </w:pPr>
      <w:r>
        <w:rPr>
          <w:rFonts w:ascii="Arial" w:cs="Arial" w:eastAsia="Arial" w:hAnsi="Arial"/>
          <w:sz w:val="14"/>
          <w:szCs w:val="14"/>
          <w:color w:val="auto"/>
        </w:rPr>
        <w:t>Nothing in this Agreement is to be construed as constituting one party as agent or employee or partner of the other party or in joint venture with the other party. No party has authority to bind or purport to bind the other party.</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19.7</w:t>
      </w:r>
      <w:r>
        <w:rPr>
          <w:sz w:val="20"/>
          <w:szCs w:val="20"/>
          <w:color w:val="auto"/>
        </w:rPr>
        <w:tab/>
      </w:r>
      <w:r>
        <w:rPr>
          <w:rFonts w:ascii="Arial" w:cs="Arial" w:eastAsia="Arial" w:hAnsi="Arial"/>
          <w:sz w:val="12"/>
          <w:szCs w:val="12"/>
          <w:color w:val="auto"/>
        </w:rPr>
        <w:t>Amendment</w:t>
      </w:r>
    </w:p>
    <w:p>
      <w:pPr>
        <w:spacing w:after="0" w:line="176" w:lineRule="exact"/>
        <w:rPr>
          <w:sz w:val="20"/>
          <w:szCs w:val="20"/>
          <w:color w:val="auto"/>
        </w:rPr>
      </w:pPr>
    </w:p>
    <w:p>
      <w:pPr>
        <w:jc w:val="both"/>
        <w:ind w:left="500"/>
        <w:spacing w:after="0" w:line="277" w:lineRule="auto"/>
        <w:rPr>
          <w:sz w:val="20"/>
          <w:szCs w:val="20"/>
          <w:color w:val="auto"/>
        </w:rPr>
      </w:pPr>
      <w:r>
        <w:rPr>
          <w:rFonts w:ascii="Arial" w:cs="Arial" w:eastAsia="Arial" w:hAnsi="Arial"/>
          <w:sz w:val="14"/>
          <w:szCs w:val="14"/>
          <w:color w:val="auto"/>
        </w:rPr>
        <w:t>Any amendment, variation, consent to modification, supplement, replacement, novation, or assignment of any provision of this Agreement must be in writing, and if by ANZ, is effective only if signed by an authorised representative of ANZ.</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19.8</w:t>
      </w:r>
      <w:r>
        <w:rPr>
          <w:sz w:val="20"/>
          <w:szCs w:val="20"/>
          <w:color w:val="auto"/>
        </w:rPr>
        <w:tab/>
      </w:r>
      <w:r>
        <w:rPr>
          <w:rFonts w:ascii="Arial" w:cs="Arial" w:eastAsia="Arial" w:hAnsi="Arial"/>
          <w:sz w:val="12"/>
          <w:szCs w:val="12"/>
          <w:color w:val="auto"/>
        </w:rPr>
        <w:t>Successors and Assignees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References to a party in this Agreement include references to that party’s successors and permitted assignees or transferees.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19.9</w:t>
      </w:r>
      <w:r>
        <w:rPr>
          <w:sz w:val="20"/>
          <w:szCs w:val="20"/>
          <w:color w:val="auto"/>
        </w:rPr>
        <w:tab/>
      </w:r>
      <w:r>
        <w:rPr>
          <w:rFonts w:ascii="Arial" w:cs="Arial" w:eastAsia="Arial" w:hAnsi="Arial"/>
          <w:sz w:val="13"/>
          <w:szCs w:val="13"/>
          <w:color w:val="auto"/>
        </w:rPr>
        <w:t>Assignment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party may assign, novate, dispose of, or otherwise create an interest in its rights under this Agreement unless it has the prior written consent of the other party.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460"/>
          </w:cols>
          <w:pgMar w:left="220" w:top="1093" w:right="219" w:bottom="1440" w:gutter="0" w:footer="0" w:header="0"/>
        </w:sectPr>
      </w:pPr>
    </w:p>
    <w:bookmarkStart w:id="272" w:name="page273"/>
    <w:bookmarkEnd w:id="27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133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093" w:right="219" w:bottom="1440" w:gutter="0" w:footer="0" w:header="0"/>
        </w:sectPr>
      </w:pP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19.10</w:t>
      </w:r>
      <w:r>
        <w:rPr>
          <w:sz w:val="20"/>
          <w:szCs w:val="20"/>
          <w:color w:val="auto"/>
        </w:rPr>
        <w:tab/>
      </w:r>
      <w:r>
        <w:rPr>
          <w:rFonts w:ascii="Arial" w:cs="Arial" w:eastAsia="Arial" w:hAnsi="Arial"/>
          <w:sz w:val="12"/>
          <w:szCs w:val="12"/>
          <w:color w:val="auto"/>
        </w:rPr>
        <w:t>Service Provider’s cost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Anything the Service Provider is required to perform in respect of the Services or otherwise to do under this Agreement must be done at the Service Provider’s cost, unless stated otherwise.</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19.11</w:t>
      </w:r>
      <w:r>
        <w:rPr>
          <w:sz w:val="20"/>
          <w:szCs w:val="20"/>
          <w:color w:val="auto"/>
        </w:rPr>
        <w:tab/>
      </w:r>
      <w:r>
        <w:rPr>
          <w:rFonts w:ascii="Arial" w:cs="Arial" w:eastAsia="Arial" w:hAnsi="Arial"/>
          <w:sz w:val="12"/>
          <w:szCs w:val="12"/>
          <w:color w:val="auto"/>
        </w:rPr>
        <w:t>Waivers</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A waiver of any right, power, authority, discretion or remedy arising on default under this Agreement must be in writing and signed by the party granting the waiver. A failure or delay in exercise, or partial exercise, of a right, power, authority, discretion or remedy created or arising on default under this Agreement does not result in a waiver of that right, power, authority, discretion or remedy.</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19.12</w:t>
      </w:r>
      <w:r>
        <w:rPr>
          <w:sz w:val="20"/>
          <w:szCs w:val="20"/>
          <w:color w:val="auto"/>
        </w:rPr>
        <w:tab/>
      </w:r>
      <w:r>
        <w:rPr>
          <w:rFonts w:ascii="Arial" w:cs="Arial" w:eastAsia="Arial" w:hAnsi="Arial"/>
          <w:sz w:val="13"/>
          <w:szCs w:val="13"/>
          <w:color w:val="auto"/>
        </w:rPr>
        <w:t>Severability</w:t>
      </w:r>
    </w:p>
    <w:p>
      <w:pPr>
        <w:spacing w:after="0" w:line="176" w:lineRule="exact"/>
        <w:rPr>
          <w:sz w:val="20"/>
          <w:szCs w:val="20"/>
          <w:color w:val="auto"/>
        </w:rPr>
      </w:pPr>
    </w:p>
    <w:p>
      <w:pPr>
        <w:jc w:val="both"/>
        <w:ind w:left="500"/>
        <w:spacing w:after="0" w:line="277" w:lineRule="auto"/>
        <w:rPr>
          <w:sz w:val="20"/>
          <w:szCs w:val="20"/>
          <w:color w:val="auto"/>
        </w:rPr>
      </w:pPr>
      <w:r>
        <w:rPr>
          <w:rFonts w:ascii="Arial" w:cs="Arial" w:eastAsia="Arial" w:hAnsi="Arial"/>
          <w:sz w:val="14"/>
          <w:szCs w:val="14"/>
          <w:color w:val="auto"/>
        </w:rPr>
        <w:t>All or part of any provision of this Agreement that is illegal, invalid or unenforceable will be severed from this Agreement and the remaining provisions (and parts of provisions) will continue in force.</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19.13</w:t>
      </w:r>
      <w:r>
        <w:rPr>
          <w:sz w:val="20"/>
          <w:szCs w:val="20"/>
          <w:color w:val="auto"/>
        </w:rPr>
        <w:tab/>
      </w:r>
      <w:r>
        <w:rPr>
          <w:rFonts w:ascii="Arial" w:cs="Arial" w:eastAsia="Arial" w:hAnsi="Arial"/>
          <w:sz w:val="12"/>
          <w:szCs w:val="12"/>
          <w:color w:val="auto"/>
        </w:rPr>
        <w:t>Counterparts</w:t>
      </w:r>
    </w:p>
    <w:p>
      <w:pPr>
        <w:spacing w:after="0" w:line="176" w:lineRule="exact"/>
        <w:rPr>
          <w:sz w:val="20"/>
          <w:szCs w:val="20"/>
          <w:color w:val="auto"/>
        </w:rPr>
      </w:pPr>
    </w:p>
    <w:p>
      <w:pPr>
        <w:jc w:val="both"/>
        <w:ind w:left="500"/>
        <w:spacing w:after="0" w:line="277" w:lineRule="auto"/>
        <w:rPr>
          <w:sz w:val="20"/>
          <w:szCs w:val="20"/>
          <w:color w:val="auto"/>
        </w:rPr>
      </w:pPr>
      <w:r>
        <w:rPr>
          <w:rFonts w:ascii="Arial" w:cs="Arial" w:eastAsia="Arial" w:hAnsi="Arial"/>
          <w:sz w:val="14"/>
          <w:szCs w:val="14"/>
          <w:color w:val="auto"/>
        </w:rPr>
        <w:t>This Agreement and any documents to executed under it may be executed in any number of counterparts. All counterparts of this Agreement or any such document together will be taken to constitute one instrument.</w:t>
      </w:r>
    </w:p>
    <w:p>
      <w:pPr>
        <w:spacing w:after="0" w:line="133"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19.14</w:t>
        <w:tab/>
        <w:t>Parties hereunder have negotiated thoroughly with regard to all the terms and conditions herein and each party further confirms that it has been asked to pay particular attention to, fully understood and accepted all the terms and conditions relating to its rights and obligations hereunder.</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19.15</w:t>
        <w:tab/>
        <w:t>Audit</w:t>
      </w:r>
    </w:p>
    <w:p>
      <w:pPr>
        <w:spacing w:after="0" w:line="176"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You must on reasonable notice (not required to exceed 5 Business days) provide ANZ (and, subject to this clause, its designated representatives) with facilities and records sufficient to allow ANZ to perform an audit to the extent reasonably necessary to confirm the Service Provider’s compliance with this Agreement, or otherwise to the extent required to comply with all applicable laws.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ANZ CONTRACT NUMBER: [ 2014C217  ]</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bl>
    <w:p>
      <w:pPr>
        <w:sectPr>
          <w:pgSz w:w="11900" w:h="16838" w:orient="portrait"/>
          <w:cols w:equalWidth="0" w:num="1">
            <w:col w:w="11460"/>
          </w:cols>
          <w:pgMar w:left="220" w:top="1093" w:right="219" w:bottom="1440" w:gutter="0" w:footer="0" w:header="0"/>
          <w:type w:val="continuous"/>
        </w:sectPr>
      </w:pPr>
    </w:p>
    <w:bookmarkStart w:id="273" w:name="page274"/>
    <w:bookmarkEnd w:id="2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6550660</wp:posOffset>
            </wp:positionH>
            <wp:positionV relativeFrom="page">
              <wp:posOffset>476885</wp:posOffset>
            </wp:positionV>
            <wp:extent cx="868680" cy="2940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868680" cy="294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84"/>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CONTRACTOR AGREEMENT</w:t>
            </w:r>
          </w:p>
        </w:tc>
        <w:tc>
          <w:tcPr>
            <w:tcW w:w="5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EXECUTED </w:t>
            </w:r>
            <w:r>
              <w:rPr>
                <w:rFonts w:ascii="Arial" w:cs="Arial" w:eastAsia="Arial" w:hAnsi="Arial"/>
                <w:sz w:val="14"/>
                <w:szCs w:val="14"/>
                <w:color w:val="auto"/>
              </w:rPr>
              <w:t>as an agreement.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rPr>
              <w:t xml:space="preserve">SIGNED </w:t>
            </w:r>
            <w:r>
              <w:rPr>
                <w:rFonts w:ascii="Arial" w:cs="Arial" w:eastAsia="Arial" w:hAnsi="Arial"/>
                <w:sz w:val="14"/>
                <w:szCs w:val="14"/>
                <w:color w:val="auto"/>
              </w:rPr>
              <w:t>for and on behalf of</w:t>
            </w:r>
            <w:r>
              <w:rPr>
                <w:rFonts w:ascii="Arial" w:cs="Arial" w:eastAsia="Arial" w:hAnsi="Arial"/>
                <w:sz w:val="14"/>
                <w:szCs w:val="14"/>
                <w:b w:val="1"/>
                <w:bCs w:val="1"/>
                <w:color w:val="auto"/>
              </w:rPr>
              <w:t xml:space="preserve"> ANZ GLOBAL SERVICES</w:t>
            </w:r>
          </w:p>
        </w:tc>
        <w:tc>
          <w:tcPr>
            <w:tcW w:w="220" w:type="dxa"/>
            <w:vAlign w:val="bottom"/>
            <w:tcBorders>
              <w:right w:val="single" w:sz="8" w:color="auto"/>
            </w:tcBorders>
          </w:tcPr>
          <w:p>
            <w:pPr>
              <w:spacing w:after="0"/>
              <w:rPr>
                <w:sz w:val="12"/>
                <w:szCs w:val="12"/>
                <w:color w:val="auto"/>
              </w:rPr>
            </w:pP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AND OPERATIONS (CHENGDU) COMPANY LIMITED</w:t>
            </w:r>
          </w:p>
        </w:tc>
        <w:tc>
          <w:tcPr>
            <w:tcW w:w="22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Signature of authorized representative</w:t>
            </w:r>
          </w:p>
        </w:tc>
        <w:tc>
          <w:tcPr>
            <w:tcW w:w="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Name and title of authorized representative</w:t>
            </w:r>
          </w:p>
        </w:tc>
        <w:tc>
          <w:tcPr>
            <w:tcW w:w="0" w:type="dxa"/>
            <w:vAlign w:val="bottom"/>
          </w:tcPr>
          <w:p>
            <w:pPr>
              <w:spacing w:after="0"/>
              <w:rPr>
                <w:sz w:val="1"/>
                <w:szCs w:val="1"/>
                <w:color w:val="auto"/>
              </w:rPr>
            </w:pPr>
          </w:p>
        </w:tc>
      </w:tr>
      <w:tr>
        <w:trPr>
          <w:trHeight w:val="73"/>
        </w:trPr>
        <w:tc>
          <w:tcPr>
            <w:tcW w:w="5640" w:type="dxa"/>
            <w:vAlign w:val="bottom"/>
            <w:tcBorders>
              <w:left w:val="single" w:sz="8" w:color="auto"/>
              <w:right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640" w:type="dxa"/>
            <w:vAlign w:val="bottom"/>
            <w:tcBorders>
              <w:left w:val="single" w:sz="8" w:color="auto"/>
              <w:bottom w:val="single" w:sz="8" w:color="auto"/>
              <w:right w:val="single" w:sz="8" w:color="auto"/>
            </w:tcBorders>
          </w:tcPr>
          <w:p>
            <w:pPr>
              <w:ind w:left="20"/>
              <w:spacing w:after="0" w:line="159" w:lineRule="exact"/>
              <w:rPr>
                <w:sz w:val="20"/>
                <w:szCs w:val="20"/>
                <w:color w:val="auto"/>
              </w:rPr>
            </w:pPr>
            <w:r>
              <w:rPr>
                <w:rFonts w:ascii="Arial" w:cs="Arial" w:eastAsia="Arial" w:hAnsi="Arial"/>
                <w:sz w:val="14"/>
                <w:szCs w:val="14"/>
                <w:color w:val="auto"/>
              </w:rPr>
              <w:t>Date of Execution</w:t>
            </w:r>
          </w:p>
        </w:tc>
        <w:tc>
          <w:tcPr>
            <w:tcW w:w="220" w:type="dxa"/>
            <w:vAlign w:val="bottom"/>
            <w:tcBorders>
              <w:bottom w:val="single" w:sz="8" w:color="auto"/>
              <w:right w:val="single" w:sz="8" w:color="auto"/>
            </w:tcBorders>
          </w:tcPr>
          <w:p>
            <w:pPr>
              <w:spacing w:after="0"/>
              <w:rPr>
                <w:sz w:val="13"/>
                <w:szCs w:val="13"/>
                <w:color w:val="auto"/>
              </w:rPr>
            </w:pPr>
          </w:p>
        </w:tc>
        <w:tc>
          <w:tcPr>
            <w:tcW w:w="5620" w:type="dxa"/>
            <w:vAlign w:val="bottom"/>
            <w:tcBorders>
              <w:right w:val="single" w:sz="8" w:color="auto"/>
            </w:tcBorders>
          </w:tcPr>
          <w:p>
            <w:pPr>
              <w:spacing w:after="0" w:line="159" w:lineRule="exact"/>
              <w:rPr>
                <w:sz w:val="20"/>
                <w:szCs w:val="20"/>
                <w:color w:val="auto"/>
              </w:rPr>
            </w:pPr>
            <w:r>
              <w:rPr>
                <w:rFonts w:ascii="Arial" w:cs="Arial" w:eastAsia="Arial" w:hAnsi="Arial"/>
                <w:sz w:val="14"/>
                <w:szCs w:val="14"/>
                <w:color w:val="auto"/>
              </w:rPr>
              <w:t>Company seal</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Place of Execution</w:t>
            </w:r>
          </w:p>
        </w:tc>
        <w:tc>
          <w:tcPr>
            <w:tcW w:w="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4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60" w:type="dxa"/>
            <w:vAlign w:val="bottom"/>
            <w:tcBorders>
              <w:bottom w:val="single" w:sz="8" w:color="auto"/>
            </w:tcBorders>
            <w:gridSpan w:val="2"/>
          </w:tcPr>
          <w:p>
            <w:pPr>
              <w:spacing w:after="0"/>
              <w:rPr>
                <w:sz w:val="13"/>
                <w:szCs w:val="13"/>
                <w:color w:val="auto"/>
              </w:rPr>
            </w:pPr>
          </w:p>
        </w:tc>
        <w:tc>
          <w:tcPr>
            <w:tcW w:w="5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SIGNED </w:t>
            </w:r>
            <w:r>
              <w:rPr>
                <w:rFonts w:ascii="Arial" w:cs="Arial" w:eastAsia="Arial" w:hAnsi="Arial"/>
                <w:sz w:val="14"/>
                <w:szCs w:val="14"/>
                <w:color w:val="auto"/>
              </w:rPr>
              <w:t>for and on behalf of</w:t>
            </w:r>
            <w:r>
              <w:rPr>
                <w:rFonts w:ascii="Arial" w:cs="Arial" w:eastAsia="Arial" w:hAnsi="Arial"/>
                <w:sz w:val="14"/>
                <w:szCs w:val="14"/>
                <w:b w:val="1"/>
                <w:bCs w:val="1"/>
                <w:color w:val="auto"/>
              </w:rPr>
              <w:t xml:space="preserve"> ChinaLink Professional Services Co., Ltd</w:t>
            </w:r>
          </w:p>
        </w:tc>
        <w:tc>
          <w:tcPr>
            <w:tcW w:w="22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64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Signature of authorised representative</w:t>
            </w:r>
          </w:p>
        </w:tc>
        <w:tc>
          <w:tcPr>
            <w:tcW w:w="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Name and title of authorised representative</w:t>
            </w:r>
          </w:p>
        </w:tc>
        <w:tc>
          <w:tcPr>
            <w:tcW w:w="0" w:type="dxa"/>
            <w:vAlign w:val="bottom"/>
          </w:tcPr>
          <w:p>
            <w:pPr>
              <w:spacing w:after="0"/>
              <w:rPr>
                <w:sz w:val="1"/>
                <w:szCs w:val="1"/>
                <w:color w:val="auto"/>
              </w:rPr>
            </w:pPr>
          </w:p>
        </w:tc>
      </w:tr>
      <w:tr>
        <w:trPr>
          <w:trHeight w:val="73"/>
        </w:trPr>
        <w:tc>
          <w:tcPr>
            <w:tcW w:w="5640" w:type="dxa"/>
            <w:vAlign w:val="bottom"/>
            <w:tcBorders>
              <w:left w:val="single" w:sz="8" w:color="auto"/>
              <w:right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564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620" w:type="dxa"/>
            <w:vAlign w:val="bottom"/>
            <w:tcBorders>
              <w:right w:val="single" w:sz="8" w:color="auto"/>
            </w:tcBorders>
          </w:tcPr>
          <w:p>
            <w:pPr>
              <w:spacing w:after="0" w:line="159" w:lineRule="exact"/>
              <w:rPr>
                <w:sz w:val="20"/>
                <w:szCs w:val="20"/>
                <w:color w:val="auto"/>
              </w:rPr>
            </w:pPr>
            <w:r>
              <w:rPr>
                <w:rFonts w:ascii="Arial" w:cs="Arial" w:eastAsia="Arial" w:hAnsi="Arial"/>
                <w:sz w:val="14"/>
                <w:szCs w:val="14"/>
                <w:color w:val="auto"/>
              </w:rPr>
              <w:t>Company seal</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Date of Execution</w:t>
            </w:r>
          </w:p>
        </w:tc>
        <w:tc>
          <w:tcPr>
            <w:tcW w:w="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4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right w:val="single" w:sz="8" w:color="auto"/>
            </w:tcBorders>
            <w:vMerge w:val="restart"/>
          </w:tcPr>
          <w:p>
            <w:pPr>
              <w:spacing w:after="0"/>
              <w:rPr>
                <w:sz w:val="13"/>
                <w:szCs w:val="13"/>
                <w:color w:val="auto"/>
              </w:rPr>
            </w:pPr>
          </w:p>
        </w:tc>
        <w:tc>
          <w:tcPr>
            <w:tcW w:w="5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Place of Execution</w:t>
            </w:r>
          </w:p>
        </w:tc>
        <w:tc>
          <w:tcPr>
            <w:tcW w:w="220" w:type="dxa"/>
            <w:vAlign w:val="bottom"/>
            <w:tcBorders>
              <w:right w:val="single" w:sz="8" w:color="auto"/>
            </w:tcBorders>
            <w:vMerge w:val="continue"/>
          </w:tcPr>
          <w:p>
            <w:pPr>
              <w:spacing w:after="0"/>
              <w:rPr>
                <w:sz w:val="14"/>
                <w:szCs w:val="14"/>
                <w:color w:val="auto"/>
              </w:rPr>
            </w:pPr>
          </w:p>
        </w:tc>
        <w:tc>
          <w:tcPr>
            <w:tcW w:w="5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4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7"/>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ANZ CONTRACT NUMBER: [ 2014C217  ]</w:t>
            </w:r>
          </w:p>
        </w:tc>
        <w:tc>
          <w:tcPr>
            <w:tcW w:w="5620" w:type="dxa"/>
            <w:vAlign w:val="bottom"/>
            <w:tcBorders>
              <w:bottom w:val="single" w:sz="8" w:color="auto"/>
            </w:tcBorders>
          </w:tcPr>
          <w:p>
            <w:pPr>
              <w:ind w:left="5460"/>
              <w:spacing w:after="0"/>
              <w:rPr>
                <w:sz w:val="20"/>
                <w:szCs w:val="20"/>
                <w:color w:val="auto"/>
              </w:rPr>
            </w:pPr>
            <w:r>
              <w:rPr>
                <w:rFonts w:ascii="Arial" w:cs="Arial" w:eastAsia="Arial" w:hAnsi="Arial"/>
                <w:sz w:val="14"/>
                <w:szCs w:val="14"/>
                <w:color w:val="auto"/>
                <w:w w:val="76"/>
              </w:rPr>
              <w:t>25</w:t>
            </w:r>
          </w:p>
        </w:tc>
        <w:tc>
          <w:tcPr>
            <w:tcW w:w="0" w:type="dxa"/>
            <w:vAlign w:val="bottom"/>
          </w:tcPr>
          <w:p>
            <w:pPr>
              <w:spacing w:after="0"/>
              <w:rPr>
                <w:sz w:val="1"/>
                <w:szCs w:val="1"/>
                <w:color w:val="auto"/>
              </w:rPr>
            </w:pPr>
          </w:p>
        </w:tc>
      </w:tr>
    </w:tbl>
    <w:p>
      <w:pPr>
        <w:sectPr>
          <w:pgSz w:w="11900" w:h="16838" w:orient="portrait"/>
          <w:cols w:equalWidth="0" w:num="1">
            <w:col w:w="11460"/>
          </w:cols>
          <w:pgMar w:left="220" w:top="1093" w:right="2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7"/>
          <w:szCs w:val="17"/>
          <w:b w:val="1"/>
          <w:bCs w:val="1"/>
          <w:color w:val="auto"/>
        </w:rPr>
        <w:t>Exhibit 10.7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Rental Contract for Shanghai Pudong Software Park Guo Shoujing Park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Both parties to this contract: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Party A (Lessor): Shanghai Pudong Software Park Co., Ltd.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Party B (Lessee): ChinaLink Professional Services Co., Ltd.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 xml:space="preserve">According to </w:t>
      </w:r>
      <w:r>
        <w:rPr>
          <w:rFonts w:ascii="Arial" w:cs="Arial" w:eastAsia="Arial" w:hAnsi="Arial"/>
          <w:sz w:val="14"/>
          <w:szCs w:val="14"/>
          <w:b w:val="1"/>
          <w:bCs w:val="1"/>
          <w:i w:val="1"/>
          <w:iCs w:val="1"/>
          <w:color w:val="auto"/>
        </w:rPr>
        <w:t>Contract Law of the People's Republic of China</w:t>
      </w:r>
      <w:r>
        <w:rPr>
          <w:rFonts w:ascii="Arial" w:cs="Arial" w:eastAsia="Arial" w:hAnsi="Arial"/>
          <w:sz w:val="14"/>
          <w:szCs w:val="14"/>
          <w:color w:val="auto"/>
        </w:rPr>
        <w:t xml:space="preserve"> and </w:t>
      </w:r>
      <w:r>
        <w:rPr>
          <w:rFonts w:ascii="Arial" w:cs="Arial" w:eastAsia="Arial" w:hAnsi="Arial"/>
          <w:sz w:val="14"/>
          <w:szCs w:val="14"/>
          <w:b w:val="1"/>
          <w:bCs w:val="1"/>
          <w:i w:val="1"/>
          <w:iCs w:val="1"/>
          <w:color w:val="auto"/>
        </w:rPr>
        <w:t>Regulations of Shanghai Municipality on House Leasing</w:t>
      </w:r>
      <w:r>
        <w:rPr>
          <w:rFonts w:ascii="Arial" w:cs="Arial" w:eastAsia="Arial" w:hAnsi="Arial"/>
          <w:sz w:val="14"/>
          <w:szCs w:val="14"/>
          <w:color w:val="auto"/>
        </w:rPr>
        <w:t>, both parties conclude the contract on the basis of equality, voluntariness, fairness, honesty and credibility, for consenting that Party B should lease the house that Party A can lease according to law.</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Section 1.</w:t>
      </w:r>
    </w:p>
    <w:p>
      <w:pPr>
        <w:spacing w:after="0" w:line="197" w:lineRule="exact"/>
        <w:rPr>
          <w:sz w:val="20"/>
          <w:szCs w:val="20"/>
          <w:color w:val="auto"/>
        </w:rPr>
      </w:pPr>
    </w:p>
    <w:p>
      <w:pPr>
        <w:jc w:val="both"/>
        <w:ind w:left="380" w:hanging="325"/>
        <w:spacing w:after="0" w:line="264" w:lineRule="auto"/>
        <w:tabs>
          <w:tab w:leader="none" w:pos="360" w:val="left"/>
        </w:tabs>
        <w:rPr>
          <w:sz w:val="20"/>
          <w:szCs w:val="20"/>
          <w:color w:val="auto"/>
        </w:rPr>
      </w:pPr>
      <w:r>
        <w:rPr>
          <w:rFonts w:ascii="Arial" w:cs="Arial" w:eastAsia="Arial" w:hAnsi="Arial"/>
          <w:sz w:val="14"/>
          <w:szCs w:val="14"/>
          <w:color w:val="auto"/>
        </w:rPr>
        <w:t>1-1</w:t>
        <w:tab/>
        <w:t>The house which is rented to Party B by Party A is located in Room 18201/18202/18203/18204/18205/18206/18207/18208, Building 17,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p>
      <w:pPr>
        <w:spacing w:after="0" w:line="142" w:lineRule="exact"/>
        <w:rPr>
          <w:sz w:val="20"/>
          <w:szCs w:val="20"/>
          <w:color w:val="auto"/>
        </w:rPr>
      </w:pPr>
    </w:p>
    <w:p>
      <w:pPr>
        <w:jc w:val="both"/>
        <w:ind w:left="380" w:hanging="325"/>
        <w:spacing w:after="0" w:line="277" w:lineRule="auto"/>
        <w:tabs>
          <w:tab w:leader="none" w:pos="360" w:val="left"/>
        </w:tabs>
        <w:rPr>
          <w:sz w:val="20"/>
          <w:szCs w:val="20"/>
          <w:color w:val="auto"/>
        </w:rPr>
      </w:pPr>
      <w:r>
        <w:rPr>
          <w:rFonts w:ascii="Arial" w:cs="Arial" w:eastAsia="Arial" w:hAnsi="Arial"/>
          <w:sz w:val="14"/>
          <w:szCs w:val="14"/>
          <w:color w:val="auto"/>
        </w:rPr>
        <w:t>1-2</w:t>
        <w:tab/>
        <w:t>Party A establishes a leasing relationship with Party B as the real estate owner of the House. Party A has told Party B and Party B has fully known that the House has been mortgaged before the contract is signed.</w:t>
      </w:r>
    </w:p>
    <w:p>
      <w:pPr>
        <w:spacing w:after="0" w:line="133" w:lineRule="exact"/>
        <w:rPr>
          <w:sz w:val="20"/>
          <w:szCs w:val="20"/>
          <w:color w:val="auto"/>
        </w:rPr>
      </w:pPr>
    </w:p>
    <w:p>
      <w:pPr>
        <w:jc w:val="both"/>
        <w:ind w:left="380" w:hanging="325"/>
        <w:spacing w:after="0" w:line="293" w:lineRule="auto"/>
        <w:tabs>
          <w:tab w:leader="none" w:pos="36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26" w:lineRule="exact"/>
        <w:rPr>
          <w:sz w:val="20"/>
          <w:szCs w:val="20"/>
          <w:color w:val="auto"/>
        </w:rPr>
      </w:pPr>
    </w:p>
    <w:p>
      <w:pPr>
        <w:jc w:val="both"/>
        <w:ind w:left="380" w:hanging="325"/>
        <w:spacing w:after="0" w:line="277" w:lineRule="auto"/>
        <w:tabs>
          <w:tab w:leader="none" w:pos="360" w:val="left"/>
        </w:tabs>
        <w:rPr>
          <w:sz w:val="20"/>
          <w:szCs w:val="20"/>
          <w:color w:val="auto"/>
        </w:rPr>
      </w:pPr>
      <w:r>
        <w:rPr>
          <w:rFonts w:ascii="Arial" w:cs="Arial" w:eastAsia="Arial" w:hAnsi="Arial"/>
          <w:sz w:val="14"/>
          <w:szCs w:val="14"/>
          <w:color w:val="auto"/>
        </w:rPr>
        <w:t>1-4</w:t>
        <w:tab/>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7277100" cy="133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color w:val="auto"/>
        </w:rPr>
        <w:t>2. Rental Purposes</w:t>
      </w:r>
    </w:p>
    <w:p>
      <w:pPr>
        <w:spacing w:after="0" w:line="197" w:lineRule="exact"/>
        <w:rPr>
          <w:sz w:val="20"/>
          <w:szCs w:val="20"/>
          <w:color w:val="auto"/>
        </w:rPr>
      </w:pPr>
    </w:p>
    <w:p>
      <w:pPr>
        <w:ind w:left="340" w:hanging="325"/>
        <w:spacing w:after="0" w:line="277" w:lineRule="auto"/>
        <w:tabs>
          <w:tab w:leader="none" w:pos="320" w:val="left"/>
        </w:tabs>
        <w:rPr>
          <w:sz w:val="20"/>
          <w:szCs w:val="20"/>
          <w:color w:val="auto"/>
        </w:rPr>
      </w:pPr>
      <w:r>
        <w:rPr>
          <w:rFonts w:ascii="Arial" w:cs="Arial" w:eastAsia="Arial" w:hAnsi="Arial"/>
          <w:sz w:val="14"/>
          <w:szCs w:val="14"/>
          <w:color w:val="auto"/>
        </w:rPr>
        <w:t>2-1</w:t>
        <w:tab/>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55" w:lineRule="exact"/>
        <w:rPr>
          <w:sz w:val="20"/>
          <w:szCs w:val="20"/>
          <w:color w:val="auto"/>
        </w:rPr>
      </w:pPr>
    </w:p>
    <w:p>
      <w:pPr>
        <w:ind w:left="340" w:hanging="325"/>
        <w:spacing w:after="0" w:line="277" w:lineRule="auto"/>
        <w:tabs>
          <w:tab w:leader="none" w:pos="320" w:val="left"/>
        </w:tabs>
        <w:rPr>
          <w:sz w:val="20"/>
          <w:szCs w:val="20"/>
          <w:color w:val="auto"/>
        </w:rPr>
      </w:pPr>
      <w:r>
        <w:rPr>
          <w:rFonts w:ascii="Arial" w:cs="Arial" w:eastAsia="Arial" w:hAnsi="Arial"/>
          <w:sz w:val="14"/>
          <w:szCs w:val="14"/>
          <w:color w:val="auto"/>
        </w:rPr>
        <w:t>2-2</w:t>
        <w:tab/>
        <w:t>Party B promises that the above-mentioned purpose of the use will not be changed during the rental term unless such change gets Party A's written consent and is approved by the relevant departments according to relative regulations.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3. Renewal Term</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2"/>
          <w:szCs w:val="12"/>
          <w:color w:val="auto"/>
        </w:rPr>
        <w:t>The Contract is a renewal contract based on the original contract (No. ZL20150059) which was signed for renting the House.</w:t>
      </w:r>
    </w:p>
    <w:p>
      <w:pPr>
        <w:spacing w:after="0" w:line="18" w:lineRule="exact"/>
        <w:rPr>
          <w:sz w:val="20"/>
          <w:szCs w:val="20"/>
          <w:color w:val="auto"/>
        </w:rPr>
      </w:pPr>
    </w:p>
    <w:p>
      <w:pPr>
        <w:ind w:left="340" w:hanging="325"/>
        <w:spacing w:after="0" w:line="207" w:lineRule="auto"/>
        <w:tabs>
          <w:tab w:leader="none" w:pos="320" w:val="left"/>
        </w:tabs>
        <w:rPr>
          <w:sz w:val="20"/>
          <w:szCs w:val="20"/>
          <w:color w:val="auto"/>
        </w:rPr>
      </w:pPr>
      <w:r>
        <w:rPr>
          <w:rFonts w:ascii="Arial" w:cs="Arial" w:eastAsia="Arial" w:hAnsi="Arial"/>
          <w:sz w:val="28"/>
          <w:szCs w:val="28"/>
          <w:color w:val="auto"/>
          <w:vertAlign w:val="superscript"/>
        </w:rPr>
        <w:t>3-2</w:t>
      </w:r>
      <w:r>
        <w:rPr>
          <w:rFonts w:ascii="Arial" w:cs="Arial" w:eastAsia="Arial" w:hAnsi="Arial"/>
          <w:sz w:val="14"/>
          <w:szCs w:val="14"/>
          <w:color w:val="auto"/>
        </w:rPr>
        <w:tab/>
        <w:t>The renewal term is from July 1</w:t>
      </w:r>
      <w:r>
        <w:rPr>
          <w:rFonts w:ascii="Arial" w:cs="Arial" w:eastAsia="Arial" w:hAnsi="Arial"/>
          <w:sz w:val="23"/>
          <w:szCs w:val="23"/>
          <w:color w:val="auto"/>
          <w:vertAlign w:val="superscript"/>
        </w:rPr>
        <w:t>st</w:t>
      </w:r>
      <w:r>
        <w:rPr>
          <w:rFonts w:ascii="Arial" w:cs="Arial" w:eastAsia="Arial" w:hAnsi="Arial"/>
          <w:sz w:val="14"/>
          <w:szCs w:val="14"/>
          <w:color w:val="auto"/>
        </w:rPr>
        <w:t>, 2017 (hereinafter referred to as “lease date”) to June 30</w:t>
      </w:r>
      <w:r>
        <w:rPr>
          <w:rFonts w:ascii="Arial" w:cs="Arial" w:eastAsia="Arial" w:hAnsi="Arial"/>
          <w:sz w:val="23"/>
          <w:szCs w:val="23"/>
          <w:color w:val="auto"/>
          <w:vertAlign w:val="superscript"/>
        </w:rPr>
        <w:t>th</w:t>
      </w:r>
      <w:r>
        <w:rPr>
          <w:rFonts w:ascii="Arial" w:cs="Arial" w:eastAsia="Arial" w:hAnsi="Arial"/>
          <w:sz w:val="14"/>
          <w:szCs w:val="14"/>
          <w:color w:val="auto"/>
        </w:rPr>
        <w:t>, 2019 (hereinafter referred to as “terminal date”). The rent will be counted from July 1st, 2017 (hereinafter referred to as “rent date”) to terminal date.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4. Rent and Payment Methods</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2"/>
          <w:szCs w:val="12"/>
          <w:color w:val="auto"/>
        </w:rPr>
        <w:t>Both Parties agree that the unit rental price is counted according to the daily construction area per square meter.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From July 1st, 2017 to June 30</w:t>
      </w:r>
      <w:r>
        <w:rPr>
          <w:rFonts w:ascii="Arial" w:cs="Arial" w:eastAsia="Arial" w:hAnsi="Arial"/>
          <w:sz w:val="23"/>
          <w:szCs w:val="23"/>
          <w:color w:val="auto"/>
          <w:vertAlign w:val="superscript"/>
        </w:rPr>
        <w:t>th</w:t>
      </w:r>
      <w:r>
        <w:rPr>
          <w:rFonts w:ascii="Arial" w:cs="Arial" w:eastAsia="Arial" w:hAnsi="Arial"/>
          <w:sz w:val="14"/>
          <w:szCs w:val="14"/>
          <w:color w:val="auto"/>
        </w:rPr>
        <w:t>, 2018, the unit rental price is RMB 3.43 yuan (US$0.51).</w:t>
      </w:r>
    </w:p>
    <w:p>
      <w:pPr>
        <w:ind w:left="340"/>
        <w:spacing w:after="0"/>
        <w:rPr>
          <w:sz w:val="20"/>
          <w:szCs w:val="20"/>
          <w:color w:val="auto"/>
        </w:rPr>
      </w:pPr>
      <w:r>
        <w:rPr>
          <w:rFonts w:ascii="Arial" w:cs="Arial" w:eastAsia="Arial" w:hAnsi="Arial"/>
          <w:sz w:val="14"/>
          <w:szCs w:val="14"/>
          <w:color w:val="auto"/>
        </w:rPr>
        <w:t>From July 1st, 2018 to June 30</w:t>
      </w:r>
      <w:r>
        <w:rPr>
          <w:rFonts w:ascii="Arial" w:cs="Arial" w:eastAsia="Arial" w:hAnsi="Arial"/>
          <w:sz w:val="23"/>
          <w:szCs w:val="23"/>
          <w:color w:val="auto"/>
          <w:vertAlign w:val="superscript"/>
        </w:rPr>
        <w:t>th</w:t>
      </w:r>
      <w:r>
        <w:rPr>
          <w:rFonts w:ascii="Arial" w:cs="Arial" w:eastAsia="Arial" w:hAnsi="Arial"/>
          <w:sz w:val="14"/>
          <w:szCs w:val="14"/>
          <w:color w:val="auto"/>
        </w:rPr>
        <w:t>, 2019, the unit rental price is RMB 3.57 yuan (US$0.53).</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above unit rental prices are tax-inclusive prices)</w:t>
      </w:r>
    </w:p>
    <w:p>
      <w:pPr>
        <w:spacing w:after="0" w:line="197" w:lineRule="exact"/>
        <w:rPr>
          <w:sz w:val="20"/>
          <w:szCs w:val="20"/>
          <w:color w:val="auto"/>
        </w:rPr>
      </w:pPr>
    </w:p>
    <w:p>
      <w:pPr>
        <w:jc w:val="right"/>
        <w:spacing w:after="0" w:line="174" w:lineRule="exact"/>
        <w:rPr>
          <w:sz w:val="20"/>
          <w:szCs w:val="20"/>
          <w:color w:val="auto"/>
        </w:rPr>
      </w:pPr>
      <w:r>
        <w:rPr>
          <w:rFonts w:ascii="Arial" w:cs="Arial" w:eastAsia="Arial" w:hAnsi="Arial"/>
          <w:sz w:val="13"/>
          <w:szCs w:val="13"/>
          <w:color w:val="auto"/>
        </w:rPr>
        <w:t xml:space="preserve">4-2  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3"/>
          <w:szCs w:val="13"/>
          <w:color w:val="auto"/>
        </w:rPr>
        <w:t>╳</w:t>
      </w:r>
      <w:r>
        <w:rPr>
          <w:rFonts w:ascii="Arial" w:cs="Arial" w:eastAsia="Arial" w:hAnsi="Arial"/>
          <w:sz w:val="13"/>
          <w:szCs w:val="13"/>
          <w:color w:val="auto"/>
        </w:rPr>
        <w:t xml:space="preserve"> unit rental price </w:t>
      </w:r>
      <w:r>
        <w:rPr>
          <w:rFonts w:ascii="MS PGothic" w:cs="MS PGothic" w:eastAsia="MS PGothic" w:hAnsi="MS PGothic"/>
          <w:sz w:val="13"/>
          <w:szCs w:val="13"/>
          <w:color w:val="auto"/>
        </w:rPr>
        <w:t>╳</w:t>
      </w:r>
      <w:r>
        <w:rPr>
          <w:rFonts w:ascii="Arial" w:cs="Arial" w:eastAsia="Arial" w:hAnsi="Arial"/>
          <w:sz w:val="13"/>
          <w:szCs w:val="13"/>
          <w:color w:val="auto"/>
        </w:rPr>
        <w:t xml:space="preserve"> the calendar days of the month.</w:t>
      </w:r>
    </w:p>
    <w:p>
      <w:pPr>
        <w:spacing w:after="0" w:line="1" w:lineRule="exact"/>
        <w:rPr>
          <w:sz w:val="20"/>
          <w:szCs w:val="20"/>
          <w:color w:val="auto"/>
        </w:rPr>
      </w:pPr>
    </w:p>
    <w:p>
      <w:pPr>
        <w:ind w:left="340"/>
        <w:spacing w:after="0" w:line="247" w:lineRule="auto"/>
        <w:rPr>
          <w:sz w:val="20"/>
          <w:szCs w:val="20"/>
          <w:color w:val="auto"/>
        </w:rPr>
      </w:pPr>
      <w:r>
        <w:rPr>
          <w:rFonts w:ascii="Arial" w:cs="Arial" w:eastAsia="Arial" w:hAnsi="Arial"/>
          <w:sz w:val="12"/>
          <w:szCs w:val="12"/>
          <w:color w:val="auto"/>
        </w:rPr>
        <w:t>The monthly rental amount is rounded to one decimal place). Party B should pay the rent to Party A before the 10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w:t>
      </w:r>
    </w:p>
    <w:p>
      <w:pPr>
        <w:ind w:left="340"/>
        <w:spacing w:after="0" w:line="207" w:lineRule="auto"/>
        <w:rPr>
          <w:sz w:val="20"/>
          <w:szCs w:val="20"/>
          <w:color w:val="auto"/>
        </w:rPr>
      </w:pPr>
      <w:r>
        <w:rPr>
          <w:rFonts w:ascii="Arial" w:cs="Arial" w:eastAsia="Arial" w:hAnsi="Arial"/>
          <w:sz w:val="14"/>
          <w:szCs w:val="14"/>
          <w:color w:val="auto"/>
        </w:rPr>
        <w:t>terminal date. If the days of the last month are not less than 10, the last month’s rent should be paid before the10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76" w:name="page277"/>
    <w:bookmarkEnd w:id="276"/>
    <w:p>
      <w:pPr>
        <w:jc w:val="both"/>
        <w:ind w:left="340" w:hanging="325"/>
        <w:spacing w:after="0" w:line="264" w:lineRule="auto"/>
        <w:tabs>
          <w:tab w:leader="none" w:pos="320" w:val="left"/>
        </w:tabs>
        <w:rPr>
          <w:sz w:val="20"/>
          <w:szCs w:val="20"/>
          <w:color w:val="auto"/>
        </w:rPr>
      </w:pPr>
      <w:r>
        <w:rPr>
          <w:rFonts w:ascii="Arial" w:cs="Arial" w:eastAsia="Arial" w:hAnsi="Arial"/>
          <w:sz w:val="14"/>
          <w:szCs w:val="14"/>
          <w:color w:val="auto"/>
        </w:rPr>
        <w:t>4-3</w:t>
        <w:tab/>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2"/>
          <w:szCs w:val="12"/>
          <w:color w:val="auto"/>
        </w:rPr>
        <w:t>Party B pays the rent to Party A’s following account by check or transfer: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Shanghai Pudong Software Park Co., Ltd.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[_]</w:t>
      </w:r>
    </w:p>
    <w:p>
      <w:pPr>
        <w:spacing w:after="0" w:line="180" w:lineRule="exact"/>
        <w:rPr>
          <w:sz w:val="20"/>
          <w:szCs w:val="20"/>
          <w:color w:val="auto"/>
        </w:rPr>
      </w:pPr>
    </w:p>
    <w:p>
      <w:pPr>
        <w:jc w:val="both"/>
        <w:ind w:left="340" w:hanging="325"/>
        <w:spacing w:after="0" w:line="364" w:lineRule="auto"/>
        <w:tabs>
          <w:tab w:leader="none" w:pos="3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2"/>
          <w:szCs w:val="12"/>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0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2"/>
          <w:szCs w:val="12"/>
          <w:color w:val="auto"/>
        </w:rPr>
        <w:t>Party A may entrust a property management company to assist in collecting the rent.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5. Rental Deposit and Other Fees</w:t>
      </w:r>
    </w:p>
    <w:p>
      <w:pPr>
        <w:spacing w:after="0" w:line="197" w:lineRule="exact"/>
        <w:rPr>
          <w:sz w:val="20"/>
          <w:szCs w:val="20"/>
          <w:color w:val="auto"/>
        </w:rPr>
      </w:pPr>
    </w:p>
    <w:p>
      <w:pPr>
        <w:jc w:val="both"/>
        <w:ind w:left="340" w:hanging="325"/>
        <w:spacing w:after="0" w:line="256" w:lineRule="auto"/>
        <w:tabs>
          <w:tab w:leader="none" w:pos="320" w:val="left"/>
        </w:tabs>
        <w:rPr>
          <w:sz w:val="20"/>
          <w:szCs w:val="20"/>
          <w:color w:val="auto"/>
        </w:rPr>
      </w:pPr>
      <w:r>
        <w:rPr>
          <w:rFonts w:ascii="Arial" w:cs="Arial" w:eastAsia="Arial" w:hAnsi="Arial"/>
          <w:sz w:val="14"/>
          <w:szCs w:val="14"/>
          <w:color w:val="auto"/>
        </w:rPr>
        <w:t>5-1</w:t>
        <w:tab/>
        <w:t>Both Parties agree that Party B shall pay rental deposit to Party A within 5 working days after signing the Contract. The amount of the deposit is equivalent to the rent for the three months (90 days) of the highest unit price within the lease term, which is RMB 404,819.00 (US$59,714) yuan. Party B has paid RMB 374,202.00 (US$55,198) yuan for rental deposit under the original contract, and it will be automatically converted to the deposit under the Contract after the Contract becomes effective. The margin of the deposit is RMB 30,617.00 (US$4,516) yuan,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0.3% of the outstanding amount pre day, until the full payment is completed. If Party B delays or fails to pay more than 15 working days, Party A has the right to rescind the contract.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0" w:right="219" w:bottom="1440" w:gutter="0" w:footer="0" w:header="0"/>
        </w:sectPr>
      </w:pPr>
    </w:p>
    <w:bookmarkStart w:id="277" w:name="page278"/>
    <w:bookmarkEnd w:id="277"/>
    <w:p>
      <w:pPr>
        <w:jc w:val="both"/>
        <w:ind w:left="320"/>
        <w:spacing w:after="0" w:line="259" w:lineRule="auto"/>
        <w:rPr>
          <w:sz w:val="20"/>
          <w:szCs w:val="20"/>
          <w:color w:val="auto"/>
        </w:rPr>
      </w:pPr>
      <w:r>
        <w:rPr>
          <w:rFonts w:ascii="Arial" w:cs="Arial" w:eastAsia="Arial" w:hAnsi="Arial"/>
          <w:sz w:val="14"/>
          <w:szCs w:val="14"/>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47" w:lineRule="exact"/>
        <w:rPr>
          <w:sz w:val="20"/>
          <w:szCs w:val="20"/>
          <w:color w:val="auto"/>
        </w:rPr>
      </w:pPr>
    </w:p>
    <w:p>
      <w:pPr>
        <w:jc w:val="both"/>
        <w:ind w:left="320"/>
        <w:spacing w:after="0" w:line="286" w:lineRule="auto"/>
        <w:rPr>
          <w:sz w:val="20"/>
          <w:szCs w:val="20"/>
          <w:color w:val="auto"/>
        </w:rPr>
      </w:pPr>
      <w:r>
        <w:rPr>
          <w:rFonts w:ascii="Arial" w:cs="Arial" w:eastAsia="Arial" w:hAnsi="Arial"/>
          <w:sz w:val="13"/>
          <w:szCs w:val="13"/>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50" w:lineRule="exact"/>
        <w:rPr>
          <w:sz w:val="20"/>
          <w:szCs w:val="20"/>
          <w:color w:val="auto"/>
        </w:rPr>
      </w:pPr>
    </w:p>
    <w:p>
      <w:pPr>
        <w:jc w:val="both"/>
        <w:ind w:left="320" w:hanging="325"/>
        <w:spacing w:after="0" w:line="264" w:lineRule="auto"/>
        <w:tabs>
          <w:tab w:leader="none" w:pos="300" w:val="left"/>
        </w:tabs>
        <w:rPr>
          <w:sz w:val="20"/>
          <w:szCs w:val="20"/>
          <w:color w:val="auto"/>
        </w:rPr>
      </w:pPr>
      <w:r>
        <w:rPr>
          <w:rFonts w:ascii="Arial" w:cs="Arial" w:eastAsia="Arial" w:hAnsi="Arial"/>
          <w:sz w:val="14"/>
          <w:szCs w:val="14"/>
          <w:color w:val="auto"/>
        </w:rPr>
        <w:t>5-2</w:t>
        <w:tab/>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63" w:lineRule="exact"/>
        <w:rPr>
          <w:sz w:val="20"/>
          <w:szCs w:val="20"/>
          <w:color w:val="auto"/>
        </w:rPr>
      </w:pPr>
    </w:p>
    <w:p>
      <w:pPr>
        <w:jc w:val="both"/>
        <w:ind w:left="320" w:hanging="325"/>
        <w:spacing w:after="0" w:line="257" w:lineRule="auto"/>
        <w:tabs>
          <w:tab w:leader="none" w:pos="300" w:val="left"/>
        </w:tabs>
        <w:rPr>
          <w:sz w:val="20"/>
          <w:szCs w:val="20"/>
          <w:color w:val="auto"/>
        </w:rPr>
      </w:pPr>
      <w:r>
        <w:rPr>
          <w:rFonts w:ascii="Arial" w:cs="Arial" w:eastAsia="Arial" w:hAnsi="Arial"/>
          <w:sz w:val="14"/>
          <w:szCs w:val="14"/>
          <w:color w:val="auto"/>
        </w:rPr>
        <w:t>5-3</w:t>
        <w:tab/>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278" w:name="page279"/>
    <w:bookmarkEnd w:id="278"/>
    <w:p>
      <w:pPr>
        <w:spacing w:after="0"/>
        <w:rPr>
          <w:sz w:val="20"/>
          <w:szCs w:val="20"/>
          <w:color w:val="auto"/>
        </w:rPr>
      </w:pPr>
      <w:r>
        <w:rPr>
          <w:rFonts w:ascii="Arial" w:cs="Arial" w:eastAsia="Arial" w:hAnsi="Arial"/>
          <w:sz w:val="14"/>
          <w:szCs w:val="14"/>
          <w:color w:val="auto"/>
        </w:rPr>
        <w:t>6. Housing Requirements and Maintenance Responsibilities</w:t>
      </w:r>
    </w:p>
    <w:p>
      <w:pPr>
        <w:spacing w:after="0" w:line="197" w:lineRule="exact"/>
        <w:rPr>
          <w:sz w:val="20"/>
          <w:szCs w:val="20"/>
          <w:color w:val="auto"/>
        </w:rPr>
      </w:pPr>
    </w:p>
    <w:p>
      <w:pPr>
        <w:jc w:val="both"/>
        <w:ind w:left="340" w:hanging="325"/>
        <w:spacing w:after="0" w:line="316" w:lineRule="auto"/>
        <w:tabs>
          <w:tab w:leader="none" w:pos="32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2"/>
          <w:szCs w:val="12"/>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36" w:lineRule="exact"/>
        <w:rPr>
          <w:sz w:val="20"/>
          <w:szCs w:val="20"/>
          <w:color w:val="auto"/>
        </w:rPr>
      </w:pPr>
    </w:p>
    <w:p>
      <w:pPr>
        <w:jc w:val="both"/>
        <w:ind w:left="340" w:hanging="325"/>
        <w:spacing w:after="0" w:line="286" w:lineRule="auto"/>
        <w:tabs>
          <w:tab w:leader="none" w:pos="32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3"/>
          <w:szCs w:val="13"/>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50" w:lineRule="exact"/>
        <w:rPr>
          <w:sz w:val="20"/>
          <w:szCs w:val="20"/>
          <w:color w:val="auto"/>
        </w:rPr>
      </w:pPr>
    </w:p>
    <w:p>
      <w:pPr>
        <w:jc w:val="both"/>
        <w:ind w:left="340" w:hanging="325"/>
        <w:spacing w:after="0" w:line="259" w:lineRule="auto"/>
        <w:tabs>
          <w:tab w:leader="none" w:pos="320" w:val="left"/>
        </w:tabs>
        <w:rPr>
          <w:sz w:val="20"/>
          <w:szCs w:val="20"/>
          <w:color w:val="auto"/>
        </w:rPr>
      </w:pPr>
      <w:r>
        <w:rPr>
          <w:rFonts w:ascii="Arial" w:cs="Arial" w:eastAsia="Arial" w:hAnsi="Arial"/>
          <w:sz w:val="14"/>
          <w:szCs w:val="14"/>
          <w:color w:val="auto"/>
        </w:rPr>
        <w:t>6-3</w:t>
        <w:tab/>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68" w:lineRule="exact"/>
        <w:rPr>
          <w:sz w:val="20"/>
          <w:szCs w:val="20"/>
          <w:color w:val="auto"/>
        </w:rPr>
      </w:pPr>
    </w:p>
    <w:p>
      <w:pPr>
        <w:jc w:val="both"/>
        <w:ind w:left="340" w:hanging="325"/>
        <w:spacing w:after="0" w:line="277" w:lineRule="auto"/>
        <w:tabs>
          <w:tab w:leader="none" w:pos="320" w:val="left"/>
        </w:tabs>
        <w:rPr>
          <w:sz w:val="20"/>
          <w:szCs w:val="20"/>
          <w:color w:val="auto"/>
        </w:rPr>
      </w:pPr>
      <w:r>
        <w:rPr>
          <w:rFonts w:ascii="Arial" w:cs="Arial" w:eastAsia="Arial" w:hAnsi="Arial"/>
          <w:sz w:val="14"/>
          <w:szCs w:val="14"/>
          <w:color w:val="auto"/>
        </w:rPr>
        <w:t>6-4</w:t>
        <w:tab/>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79" w:name="page280"/>
    <w:bookmarkEnd w:id="279"/>
    <w:p>
      <w:pPr>
        <w:jc w:val="both"/>
        <w:ind w:left="340" w:hanging="325"/>
        <w:spacing w:after="0" w:line="277" w:lineRule="auto"/>
        <w:tabs>
          <w:tab w:leader="none" w:pos="320" w:val="left"/>
        </w:tabs>
        <w:rPr>
          <w:sz w:val="20"/>
          <w:szCs w:val="20"/>
          <w:color w:val="auto"/>
        </w:rPr>
      </w:pPr>
      <w:r>
        <w:rPr>
          <w:rFonts w:ascii="Arial" w:cs="Arial" w:eastAsia="Arial" w:hAnsi="Arial"/>
          <w:sz w:val="14"/>
          <w:szCs w:val="14"/>
          <w:color w:val="auto"/>
        </w:rPr>
        <w:t>6-5</w:t>
        <w:tab/>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7. Decoration and Accretion</w:t>
      </w:r>
    </w:p>
    <w:p>
      <w:pPr>
        <w:spacing w:after="0" w:line="197" w:lineRule="exact"/>
        <w:rPr>
          <w:sz w:val="20"/>
          <w:szCs w:val="20"/>
          <w:color w:val="auto"/>
        </w:rPr>
      </w:pPr>
    </w:p>
    <w:p>
      <w:pPr>
        <w:jc w:val="both"/>
        <w:ind w:left="340" w:hanging="325"/>
        <w:spacing w:after="0" w:line="286" w:lineRule="auto"/>
        <w:tabs>
          <w:tab w:leader="none" w:pos="32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3"/>
          <w:szCs w:val="13"/>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50" w:lineRule="exact"/>
        <w:rPr>
          <w:sz w:val="20"/>
          <w:szCs w:val="20"/>
          <w:color w:val="auto"/>
        </w:rPr>
      </w:pPr>
    </w:p>
    <w:p>
      <w:pPr>
        <w:jc w:val="both"/>
        <w:ind w:left="340" w:hanging="325"/>
        <w:spacing w:after="0" w:line="259" w:lineRule="auto"/>
        <w:tabs>
          <w:tab w:leader="none" w:pos="320" w:val="left"/>
        </w:tabs>
        <w:rPr>
          <w:sz w:val="20"/>
          <w:szCs w:val="20"/>
          <w:color w:val="auto"/>
        </w:rPr>
      </w:pPr>
      <w:r>
        <w:rPr>
          <w:rFonts w:ascii="Arial" w:cs="Arial" w:eastAsia="Arial" w:hAnsi="Arial"/>
          <w:sz w:val="14"/>
          <w:szCs w:val="14"/>
          <w:color w:val="auto"/>
        </w:rPr>
        <w:t>7-2</w:t>
        <w:tab/>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68" w:lineRule="exact"/>
        <w:rPr>
          <w:sz w:val="20"/>
          <w:szCs w:val="20"/>
          <w:color w:val="auto"/>
        </w:rPr>
      </w:pPr>
    </w:p>
    <w:p>
      <w:pPr>
        <w:jc w:val="both"/>
        <w:ind w:left="340" w:hanging="325"/>
        <w:spacing w:after="0" w:line="259" w:lineRule="auto"/>
        <w:tabs>
          <w:tab w:leader="none" w:pos="320" w:val="left"/>
        </w:tabs>
        <w:rPr>
          <w:sz w:val="20"/>
          <w:szCs w:val="20"/>
          <w:color w:val="auto"/>
        </w:rPr>
      </w:pPr>
      <w:r>
        <w:rPr>
          <w:rFonts w:ascii="Arial" w:cs="Arial" w:eastAsia="Arial" w:hAnsi="Arial"/>
          <w:sz w:val="14"/>
          <w:szCs w:val="14"/>
          <w:color w:val="auto"/>
        </w:rPr>
        <w:t>7-3</w:t>
        <w:tab/>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0" w:right="219" w:bottom="1440" w:gutter="0" w:footer="0" w:header="0"/>
        </w:sectPr>
      </w:pPr>
    </w:p>
    <w:bookmarkStart w:id="280" w:name="page281"/>
    <w:bookmarkEnd w:id="280"/>
    <w:p>
      <w:pPr>
        <w:jc w:val="both"/>
        <w:ind w:left="340" w:hanging="325"/>
        <w:spacing w:after="0" w:line="264" w:lineRule="auto"/>
        <w:tabs>
          <w:tab w:leader="none" w:pos="320" w:val="left"/>
        </w:tabs>
        <w:rPr>
          <w:sz w:val="20"/>
          <w:szCs w:val="20"/>
          <w:color w:val="auto"/>
        </w:rPr>
      </w:pPr>
      <w:r>
        <w:rPr>
          <w:rFonts w:ascii="Arial" w:cs="Arial" w:eastAsia="Arial" w:hAnsi="Arial"/>
          <w:sz w:val="14"/>
          <w:szCs w:val="14"/>
          <w:color w:val="auto"/>
        </w:rPr>
        <w:t>7-4</w:t>
        <w:tab/>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63" w:lineRule="exact"/>
        <w:rPr>
          <w:sz w:val="20"/>
          <w:szCs w:val="20"/>
          <w:color w:val="auto"/>
        </w:rPr>
      </w:pPr>
    </w:p>
    <w:p>
      <w:pPr>
        <w:jc w:val="both"/>
        <w:ind w:left="340" w:hanging="325"/>
        <w:spacing w:after="0" w:line="259" w:lineRule="auto"/>
        <w:tabs>
          <w:tab w:leader="none" w:pos="320" w:val="left"/>
        </w:tabs>
        <w:rPr>
          <w:sz w:val="20"/>
          <w:szCs w:val="20"/>
          <w:color w:val="auto"/>
        </w:rPr>
      </w:pPr>
      <w:r>
        <w:rPr>
          <w:rFonts w:ascii="Arial" w:cs="Arial" w:eastAsia="Arial" w:hAnsi="Arial"/>
          <w:sz w:val="14"/>
          <w:szCs w:val="14"/>
          <w:color w:val="auto"/>
        </w:rPr>
        <w:t>7-5</w:t>
        <w:tab/>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8. Enter and Check</w:t>
      </w:r>
    </w:p>
    <w:p>
      <w:pPr>
        <w:spacing w:after="0" w:line="197" w:lineRule="exact"/>
        <w:rPr>
          <w:sz w:val="20"/>
          <w:szCs w:val="20"/>
          <w:color w:val="auto"/>
        </w:rPr>
      </w:pPr>
    </w:p>
    <w:p>
      <w:pPr>
        <w:jc w:val="both"/>
        <w:ind w:left="340" w:hanging="325"/>
        <w:spacing w:after="0" w:line="259" w:lineRule="auto"/>
        <w:tabs>
          <w:tab w:leader="none" w:pos="320" w:val="left"/>
        </w:tabs>
        <w:rPr>
          <w:sz w:val="20"/>
          <w:szCs w:val="20"/>
          <w:color w:val="auto"/>
        </w:rPr>
      </w:pPr>
      <w:r>
        <w:rPr>
          <w:rFonts w:ascii="Arial" w:cs="Arial" w:eastAsia="Arial" w:hAnsi="Arial"/>
          <w:sz w:val="14"/>
          <w:szCs w:val="14"/>
          <w:color w:val="auto"/>
        </w:rPr>
        <w:t>8-1</w:t>
        <w:tab/>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68" w:lineRule="exact"/>
        <w:rPr>
          <w:sz w:val="20"/>
          <w:szCs w:val="20"/>
          <w:color w:val="auto"/>
        </w:rPr>
      </w:pPr>
    </w:p>
    <w:p>
      <w:pPr>
        <w:jc w:val="both"/>
        <w:ind w:left="340" w:hanging="325"/>
        <w:spacing w:after="0" w:line="264" w:lineRule="auto"/>
        <w:tabs>
          <w:tab w:leader="none" w:pos="320" w:val="left"/>
        </w:tabs>
        <w:rPr>
          <w:sz w:val="20"/>
          <w:szCs w:val="20"/>
          <w:color w:val="auto"/>
        </w:rPr>
      </w:pPr>
      <w:r>
        <w:rPr>
          <w:rFonts w:ascii="Arial" w:cs="Arial" w:eastAsia="Arial" w:hAnsi="Arial"/>
          <w:sz w:val="14"/>
          <w:szCs w:val="14"/>
          <w:color w:val="auto"/>
        </w:rPr>
        <w:t>8-2</w:t>
        <w:tab/>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281" w:name="page282"/>
    <w:bookmarkEnd w:id="281"/>
    <w:p>
      <w:pPr>
        <w:spacing w:after="0"/>
        <w:rPr>
          <w:sz w:val="20"/>
          <w:szCs w:val="20"/>
          <w:color w:val="auto"/>
        </w:rPr>
      </w:pPr>
      <w:r>
        <w:rPr>
          <w:rFonts w:ascii="Arial" w:cs="Arial" w:eastAsia="Arial" w:hAnsi="Arial"/>
          <w:sz w:val="14"/>
          <w:szCs w:val="14"/>
          <w:color w:val="auto"/>
        </w:rPr>
        <w:t>9. Sublet, Mix, Transfer and Exchange</w:t>
      </w:r>
    </w:p>
    <w:p>
      <w:pPr>
        <w:spacing w:after="0" w:line="197" w:lineRule="exact"/>
        <w:rPr>
          <w:sz w:val="20"/>
          <w:szCs w:val="20"/>
          <w:color w:val="auto"/>
        </w:rPr>
      </w:pPr>
    </w:p>
    <w:p>
      <w:pPr>
        <w:jc w:val="both"/>
        <w:ind w:left="340" w:hanging="325"/>
        <w:spacing w:after="0" w:line="277" w:lineRule="auto"/>
        <w:tabs>
          <w:tab w:leader="none" w:pos="320" w:val="left"/>
        </w:tabs>
        <w:rPr>
          <w:sz w:val="20"/>
          <w:szCs w:val="20"/>
          <w:color w:val="auto"/>
        </w:rPr>
      </w:pPr>
      <w:r>
        <w:rPr>
          <w:rFonts w:ascii="Arial" w:cs="Arial" w:eastAsia="Arial" w:hAnsi="Arial"/>
          <w:sz w:val="14"/>
          <w:szCs w:val="14"/>
          <w:color w:val="auto"/>
        </w:rPr>
        <w:t>9-1</w:t>
        <w:tab/>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55" w:lineRule="exact"/>
        <w:rPr>
          <w:sz w:val="20"/>
          <w:szCs w:val="20"/>
          <w:color w:val="auto"/>
        </w:rPr>
      </w:pPr>
    </w:p>
    <w:p>
      <w:pPr>
        <w:jc w:val="both"/>
        <w:ind w:left="340" w:hanging="325"/>
        <w:spacing w:after="0" w:line="264" w:lineRule="auto"/>
        <w:tabs>
          <w:tab w:leader="none" w:pos="320" w:val="left"/>
        </w:tabs>
        <w:rPr>
          <w:sz w:val="20"/>
          <w:szCs w:val="20"/>
          <w:color w:val="auto"/>
        </w:rPr>
      </w:pPr>
      <w:r>
        <w:rPr>
          <w:rFonts w:ascii="Arial" w:cs="Arial" w:eastAsia="Arial" w:hAnsi="Arial"/>
          <w:sz w:val="14"/>
          <w:szCs w:val="14"/>
          <w:color w:val="auto"/>
        </w:rPr>
        <w:t>9-2</w:t>
        <w:tab/>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10. Priority Renewal Rights</w:t>
      </w:r>
    </w:p>
    <w:p>
      <w:pPr>
        <w:spacing w:after="0" w:line="197" w:lineRule="exact"/>
        <w:rPr>
          <w:sz w:val="20"/>
          <w:szCs w:val="20"/>
          <w:color w:val="auto"/>
        </w:rPr>
      </w:pPr>
    </w:p>
    <w:p>
      <w:pPr>
        <w:jc w:val="both"/>
        <w:ind w:left="340" w:hanging="325"/>
        <w:spacing w:after="0" w:line="259" w:lineRule="auto"/>
        <w:rPr>
          <w:sz w:val="20"/>
          <w:szCs w:val="20"/>
          <w:color w:val="auto"/>
        </w:rPr>
      </w:pPr>
      <w:r>
        <w:rPr>
          <w:rFonts w:ascii="Arial" w:cs="Arial" w:eastAsia="Arial" w:hAnsi="Arial"/>
          <w:sz w:val="14"/>
          <w:szCs w:val="14"/>
          <w:color w:val="auto"/>
        </w:rPr>
        <w:t>10-1 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68" w:lineRule="exact"/>
        <w:rPr>
          <w:sz w:val="20"/>
          <w:szCs w:val="20"/>
          <w:color w:val="auto"/>
        </w:rPr>
      </w:pPr>
    </w:p>
    <w:p>
      <w:pPr>
        <w:jc w:val="both"/>
        <w:ind w:left="340" w:hanging="325"/>
        <w:spacing w:after="0" w:line="364" w:lineRule="auto"/>
        <w:rPr>
          <w:sz w:val="20"/>
          <w:szCs w:val="20"/>
          <w:color w:val="auto"/>
        </w:rPr>
      </w:pPr>
      <w:r>
        <w:rPr>
          <w:rFonts w:ascii="Arial" w:cs="Arial" w:eastAsia="Arial" w:hAnsi="Arial"/>
          <w:sz w:val="12"/>
          <w:szCs w:val="12"/>
          <w:color w:val="auto"/>
        </w:rPr>
        <w:t>10-2 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11. Return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11-1 Party B shall return the House to Party A no later than the expiry date of the lease or the date on which the Contract is terminated prematurely.</w:t>
      </w:r>
    </w:p>
    <w:p>
      <w:pPr>
        <w:spacing w:after="0" w:line="197" w:lineRule="exact"/>
        <w:rPr>
          <w:sz w:val="20"/>
          <w:szCs w:val="20"/>
          <w:color w:val="auto"/>
        </w:rPr>
      </w:pPr>
    </w:p>
    <w:p>
      <w:pPr>
        <w:jc w:val="both"/>
        <w:ind w:left="340" w:hanging="325"/>
        <w:spacing w:after="0" w:line="264" w:lineRule="auto"/>
        <w:rPr>
          <w:sz w:val="20"/>
          <w:szCs w:val="20"/>
          <w:color w:val="auto"/>
        </w:rPr>
      </w:pPr>
      <w:r>
        <w:rPr>
          <w:rFonts w:ascii="Arial" w:cs="Arial" w:eastAsia="Arial" w:hAnsi="Arial"/>
          <w:sz w:val="14"/>
          <w:szCs w:val="14"/>
          <w:color w:val="auto"/>
        </w:rPr>
        <w:t>11-2 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82" w:name="page283"/>
    <w:bookmarkEnd w:id="282"/>
    <w:p>
      <w:pPr>
        <w:jc w:val="both"/>
        <w:ind w:left="340" w:hanging="325"/>
        <w:spacing w:after="0" w:line="316" w:lineRule="auto"/>
        <w:rPr>
          <w:sz w:val="20"/>
          <w:szCs w:val="20"/>
          <w:color w:val="auto"/>
        </w:rPr>
      </w:pPr>
      <w:r>
        <w:rPr>
          <w:rFonts w:ascii="Arial" w:cs="Arial" w:eastAsia="Arial" w:hAnsi="Arial"/>
          <w:sz w:val="12"/>
          <w:szCs w:val="12"/>
          <w:color w:val="auto"/>
        </w:rPr>
        <w:t>11-3 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36" w:lineRule="exact"/>
        <w:rPr>
          <w:sz w:val="20"/>
          <w:szCs w:val="20"/>
          <w:color w:val="auto"/>
        </w:rPr>
      </w:pPr>
    </w:p>
    <w:p>
      <w:pPr>
        <w:jc w:val="both"/>
        <w:ind w:left="340" w:hanging="325"/>
        <w:spacing w:after="0" w:line="279" w:lineRule="auto"/>
        <w:rPr>
          <w:sz w:val="20"/>
          <w:szCs w:val="20"/>
          <w:color w:val="auto"/>
        </w:rPr>
      </w:pPr>
      <w:r>
        <w:rPr>
          <w:rFonts w:ascii="Arial" w:cs="Arial" w:eastAsia="Arial" w:hAnsi="Arial"/>
          <w:sz w:val="13"/>
          <w:szCs w:val="13"/>
          <w:color w:val="auto"/>
        </w:rPr>
        <w:t>11-4 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12. Exemption for Party A</w:t>
      </w:r>
    </w:p>
    <w:p>
      <w:pPr>
        <w:spacing w:after="0" w:line="197" w:lineRule="exact"/>
        <w:rPr>
          <w:sz w:val="20"/>
          <w:szCs w:val="20"/>
          <w:color w:val="auto"/>
        </w:rPr>
      </w:pPr>
    </w:p>
    <w:p>
      <w:pPr>
        <w:jc w:val="both"/>
        <w:ind w:left="340" w:hanging="325"/>
        <w:spacing w:after="0" w:line="277" w:lineRule="auto"/>
        <w:rPr>
          <w:sz w:val="20"/>
          <w:szCs w:val="20"/>
          <w:color w:val="auto"/>
        </w:rPr>
      </w:pPr>
      <w:r>
        <w:rPr>
          <w:rFonts w:ascii="Arial" w:cs="Arial" w:eastAsia="Arial" w:hAnsi="Arial"/>
          <w:sz w:val="14"/>
          <w:szCs w:val="14"/>
          <w:color w:val="auto"/>
        </w:rPr>
        <w:t>12-1 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55" w:lineRule="exact"/>
        <w:rPr>
          <w:sz w:val="20"/>
          <w:szCs w:val="20"/>
          <w:color w:val="auto"/>
        </w:rPr>
      </w:pPr>
    </w:p>
    <w:p>
      <w:pPr>
        <w:ind w:left="5700" w:right="2620" w:hanging="5296"/>
        <w:spacing w:after="0" w:line="811" w:lineRule="auto"/>
        <w:tabs>
          <w:tab w:leader="none" w:pos="695" w:val="left"/>
        </w:tabs>
        <w:numPr>
          <w:ilvl w:val="0"/>
          <w:numId w:val="328"/>
        </w:numPr>
        <w:rPr>
          <w:rFonts w:ascii="Arial" w:cs="Arial" w:eastAsia="Arial" w:hAnsi="Arial"/>
          <w:sz w:val="14"/>
          <w:szCs w:val="14"/>
          <w:color w:val="auto"/>
        </w:rPr>
      </w:pPr>
      <w:r>
        <w:rPr>
          <w:rFonts w:ascii="Arial" w:cs="Arial" w:eastAsia="Arial" w:hAnsi="Arial"/>
          <w:sz w:val="14"/>
          <w:szCs w:val="14"/>
          <w:color w:val="auto"/>
        </w:rPr>
        <w:t>Any loss or damage due to expropriation, acquisition, confiscation, nationalization or any force majeure caused by state or government agencies;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7277100" cy="133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0" w:right="219" w:bottom="1440" w:gutter="0" w:footer="0" w:header="0"/>
        </w:sectPr>
      </w:pPr>
    </w:p>
    <w:bookmarkStart w:id="283" w:name="page284"/>
    <w:bookmarkEnd w:id="283"/>
    <w:p>
      <w:pPr>
        <w:ind w:left="700" w:hanging="296"/>
        <w:spacing w:after="0"/>
        <w:tabs>
          <w:tab w:leader="none" w:pos="700" w:val="left"/>
        </w:tabs>
        <w:numPr>
          <w:ilvl w:val="1"/>
          <w:numId w:val="329"/>
        </w:numPr>
        <w:rPr>
          <w:rFonts w:ascii="Arial" w:cs="Arial" w:eastAsia="Arial" w:hAnsi="Arial"/>
          <w:sz w:val="14"/>
          <w:szCs w:val="14"/>
          <w:color w:val="auto"/>
        </w:rPr>
      </w:pPr>
      <w:r>
        <w:rPr>
          <w:rFonts w:ascii="Arial" w:cs="Arial" w:eastAsia="Arial" w:hAnsi="Arial"/>
          <w:sz w:val="14"/>
          <w:szCs w:val="14"/>
          <w:color w:val="auto"/>
        </w:rPr>
        <w:t>Any loss or damage caused by theft, robbery and other criminal cases;</w:t>
      </w:r>
    </w:p>
    <w:p>
      <w:pPr>
        <w:spacing w:after="0" w:line="196" w:lineRule="exact"/>
        <w:rPr>
          <w:rFonts w:ascii="Arial" w:cs="Arial" w:eastAsia="Arial" w:hAnsi="Arial"/>
          <w:sz w:val="14"/>
          <w:szCs w:val="14"/>
          <w:color w:val="auto"/>
        </w:rPr>
      </w:pPr>
    </w:p>
    <w:p>
      <w:pPr>
        <w:ind w:left="700" w:hanging="296"/>
        <w:spacing w:after="0" w:line="277" w:lineRule="auto"/>
        <w:tabs>
          <w:tab w:leader="none" w:pos="700" w:val="left"/>
        </w:tabs>
        <w:numPr>
          <w:ilvl w:val="1"/>
          <w:numId w:val="329"/>
        </w:numPr>
        <w:rPr>
          <w:rFonts w:ascii="Arial" w:cs="Arial" w:eastAsia="Arial" w:hAnsi="Arial"/>
          <w:sz w:val="14"/>
          <w:szCs w:val="14"/>
          <w:color w:val="auto"/>
        </w:rPr>
      </w:pPr>
      <w:r>
        <w:rPr>
          <w:rFonts w:ascii="Arial" w:cs="Arial" w:eastAsia="Arial" w:hAnsi="Arial"/>
          <w:sz w:val="14"/>
          <w:szCs w:val="14"/>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54" w:lineRule="exact"/>
        <w:rPr>
          <w:rFonts w:ascii="Arial" w:cs="Arial" w:eastAsia="Arial" w:hAnsi="Arial"/>
          <w:sz w:val="14"/>
          <w:szCs w:val="14"/>
          <w:color w:val="auto"/>
        </w:rPr>
      </w:pPr>
    </w:p>
    <w:p>
      <w:pPr>
        <w:ind w:left="700" w:hanging="296"/>
        <w:spacing w:after="0"/>
        <w:tabs>
          <w:tab w:leader="none" w:pos="700" w:val="left"/>
        </w:tabs>
        <w:numPr>
          <w:ilvl w:val="1"/>
          <w:numId w:val="329"/>
        </w:numPr>
        <w:rPr>
          <w:rFonts w:ascii="Arial" w:cs="Arial" w:eastAsia="Arial" w:hAnsi="Arial"/>
          <w:sz w:val="14"/>
          <w:szCs w:val="14"/>
          <w:color w:val="auto"/>
        </w:rPr>
      </w:pPr>
      <w:r>
        <w:rPr>
          <w:rFonts w:ascii="Arial" w:cs="Arial" w:eastAsia="Arial" w:hAnsi="Arial"/>
          <w:sz w:val="14"/>
          <w:szCs w:val="14"/>
          <w:color w:val="auto"/>
        </w:rPr>
        <w:t>Party B’s losses and damages caused by other lessees or third parties;</w:t>
      </w:r>
    </w:p>
    <w:p>
      <w:pPr>
        <w:spacing w:after="0" w:line="196" w:lineRule="exact"/>
        <w:rPr>
          <w:rFonts w:ascii="Arial" w:cs="Arial" w:eastAsia="Arial" w:hAnsi="Arial"/>
          <w:sz w:val="14"/>
          <w:szCs w:val="14"/>
          <w:color w:val="auto"/>
        </w:rPr>
      </w:pPr>
    </w:p>
    <w:p>
      <w:pPr>
        <w:ind w:left="700" w:hanging="296"/>
        <w:spacing w:after="0" w:line="277" w:lineRule="auto"/>
        <w:tabs>
          <w:tab w:leader="none" w:pos="700" w:val="left"/>
        </w:tabs>
        <w:numPr>
          <w:ilvl w:val="1"/>
          <w:numId w:val="329"/>
        </w:numPr>
        <w:rPr>
          <w:rFonts w:ascii="Arial" w:cs="Arial" w:eastAsia="Arial" w:hAnsi="Arial"/>
          <w:sz w:val="14"/>
          <w:szCs w:val="14"/>
          <w:color w:val="auto"/>
        </w:rPr>
      </w:pPr>
      <w:r>
        <w:rPr>
          <w:rFonts w:ascii="Arial" w:cs="Arial" w:eastAsia="Arial" w:hAnsi="Arial"/>
          <w:sz w:val="14"/>
          <w:szCs w:val="14"/>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33" w:lineRule="exact"/>
        <w:rPr>
          <w:rFonts w:ascii="Arial" w:cs="Arial" w:eastAsia="Arial" w:hAnsi="Arial"/>
          <w:sz w:val="14"/>
          <w:szCs w:val="14"/>
          <w:color w:val="auto"/>
        </w:rPr>
      </w:pPr>
    </w:p>
    <w:p>
      <w:pPr>
        <w:ind w:left="220" w:hanging="216"/>
        <w:spacing w:after="0"/>
        <w:tabs>
          <w:tab w:leader="none" w:pos="220" w:val="left"/>
        </w:tabs>
        <w:numPr>
          <w:ilvl w:val="0"/>
          <w:numId w:val="330"/>
        </w:numPr>
        <w:rPr>
          <w:rFonts w:ascii="Arial" w:cs="Arial" w:eastAsia="Arial" w:hAnsi="Arial"/>
          <w:sz w:val="14"/>
          <w:szCs w:val="14"/>
          <w:color w:val="auto"/>
        </w:rPr>
      </w:pPr>
      <w:r>
        <w:rPr>
          <w:rFonts w:ascii="Arial" w:cs="Arial" w:eastAsia="Arial" w:hAnsi="Arial"/>
          <w:sz w:val="14"/>
          <w:szCs w:val="14"/>
          <w:color w:val="auto"/>
        </w:rPr>
        <w:t>Breach of the Contract and Liability for Breach of Contract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13-1 Party A’s default</w:t>
      </w:r>
    </w:p>
    <w:p>
      <w:pPr>
        <w:spacing w:after="0" w:line="197" w:lineRule="exact"/>
        <w:rPr>
          <w:sz w:val="20"/>
          <w:szCs w:val="20"/>
          <w:color w:val="auto"/>
        </w:rPr>
      </w:pPr>
    </w:p>
    <w:p>
      <w:pPr>
        <w:ind w:left="700" w:hanging="296"/>
        <w:spacing w:after="0" w:line="277" w:lineRule="auto"/>
        <w:tabs>
          <w:tab w:leader="none" w:pos="700" w:val="left"/>
        </w:tabs>
        <w:numPr>
          <w:ilvl w:val="0"/>
          <w:numId w:val="331"/>
        </w:numPr>
        <w:rPr>
          <w:rFonts w:ascii="Arial" w:cs="Arial" w:eastAsia="Arial" w:hAnsi="Arial"/>
          <w:sz w:val="14"/>
          <w:szCs w:val="14"/>
          <w:color w:val="auto"/>
        </w:rPr>
      </w:pPr>
      <w:r>
        <w:rPr>
          <w:rFonts w:ascii="Arial" w:cs="Arial" w:eastAsia="Arial" w:hAnsi="Arial"/>
          <w:sz w:val="14"/>
          <w:szCs w:val="14"/>
          <w:color w:val="auto"/>
        </w:rPr>
        <w:t>Party A shall compensate for the loss of Party B due to Party A's transfer of property right caused by Party A's setting up a new mortgage to the House during the rental term as stipulated in this contract.</w:t>
      </w:r>
    </w:p>
    <w:p>
      <w:pPr>
        <w:spacing w:after="0" w:line="154" w:lineRule="exact"/>
        <w:rPr>
          <w:rFonts w:ascii="Arial" w:cs="Arial" w:eastAsia="Arial" w:hAnsi="Arial"/>
          <w:sz w:val="14"/>
          <w:szCs w:val="14"/>
          <w:color w:val="auto"/>
        </w:rPr>
      </w:pPr>
    </w:p>
    <w:p>
      <w:pPr>
        <w:ind w:left="700" w:hanging="296"/>
        <w:spacing w:after="0" w:line="317" w:lineRule="auto"/>
        <w:tabs>
          <w:tab w:leader="none" w:pos="700" w:val="left"/>
        </w:tabs>
        <w:numPr>
          <w:ilvl w:val="0"/>
          <w:numId w:val="331"/>
        </w:numPr>
        <w:rPr>
          <w:rFonts w:ascii="Arial" w:cs="Arial" w:eastAsia="Arial" w:hAnsi="Arial"/>
          <w:sz w:val="13"/>
          <w:szCs w:val="13"/>
          <w:color w:val="auto"/>
        </w:rPr>
      </w:pPr>
      <w:r>
        <w:rPr>
          <w:rFonts w:ascii="Arial" w:cs="Arial" w:eastAsia="Arial" w:hAnsi="Arial"/>
          <w:sz w:val="13"/>
          <w:szCs w:val="13"/>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31" w:lineRule="exact"/>
        <w:rPr>
          <w:rFonts w:ascii="Arial" w:cs="Arial" w:eastAsia="Arial" w:hAnsi="Arial"/>
          <w:sz w:val="13"/>
          <w:szCs w:val="13"/>
          <w:color w:val="auto"/>
        </w:rPr>
      </w:pPr>
    </w:p>
    <w:p>
      <w:pPr>
        <w:jc w:val="both"/>
        <w:ind w:left="700" w:hanging="296"/>
        <w:spacing w:after="0" w:line="286" w:lineRule="auto"/>
        <w:tabs>
          <w:tab w:leader="none" w:pos="700" w:val="left"/>
        </w:tabs>
        <w:numPr>
          <w:ilvl w:val="0"/>
          <w:numId w:val="331"/>
        </w:numPr>
        <w:rPr>
          <w:rFonts w:ascii="Arial" w:cs="Arial" w:eastAsia="Arial" w:hAnsi="Arial"/>
          <w:sz w:val="13"/>
          <w:szCs w:val="13"/>
          <w:color w:val="auto"/>
        </w:rPr>
      </w:pPr>
      <w:r>
        <w:rPr>
          <w:rFonts w:ascii="Arial" w:cs="Arial" w:eastAsia="Arial" w:hAnsi="Arial"/>
          <w:sz w:val="13"/>
          <w:szCs w:val="13"/>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0" w:right="219" w:bottom="1440" w:gutter="0" w:footer="0" w:header="0"/>
        </w:sectPr>
      </w:pPr>
    </w:p>
    <w:bookmarkStart w:id="284" w:name="page285"/>
    <w:bookmarkEnd w:id="284"/>
    <w:p>
      <w:pPr>
        <w:spacing w:after="0"/>
        <w:rPr>
          <w:sz w:val="20"/>
          <w:szCs w:val="20"/>
          <w:color w:val="auto"/>
        </w:rPr>
      </w:pPr>
      <w:r>
        <w:rPr>
          <w:rFonts w:ascii="Arial" w:cs="Arial" w:eastAsia="Arial" w:hAnsi="Arial"/>
          <w:sz w:val="14"/>
          <w:szCs w:val="14"/>
          <w:color w:val="auto"/>
        </w:rPr>
        <w:t>13-2 Party B’s default</w:t>
      </w:r>
    </w:p>
    <w:p>
      <w:pPr>
        <w:spacing w:after="0" w:line="197" w:lineRule="exact"/>
        <w:rPr>
          <w:sz w:val="20"/>
          <w:szCs w:val="20"/>
          <w:color w:val="auto"/>
        </w:rPr>
      </w:pPr>
    </w:p>
    <w:p>
      <w:pPr>
        <w:jc w:val="both"/>
        <w:ind w:left="620" w:hanging="290"/>
        <w:spacing w:after="0" w:line="264" w:lineRule="auto"/>
        <w:tabs>
          <w:tab w:leader="none" w:pos="6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63" w:lineRule="exact"/>
        <w:rPr>
          <w:rFonts w:ascii="Arial" w:cs="Arial" w:eastAsia="Arial" w:hAnsi="Arial"/>
          <w:sz w:val="14"/>
          <w:szCs w:val="14"/>
          <w:color w:val="auto"/>
        </w:rPr>
      </w:pPr>
    </w:p>
    <w:p>
      <w:pPr>
        <w:jc w:val="both"/>
        <w:ind w:left="620" w:hanging="290"/>
        <w:spacing w:after="0" w:line="264" w:lineRule="auto"/>
        <w:tabs>
          <w:tab w:leader="none" w:pos="6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63" w:lineRule="exact"/>
        <w:rPr>
          <w:rFonts w:ascii="Arial" w:cs="Arial" w:eastAsia="Arial" w:hAnsi="Arial"/>
          <w:sz w:val="14"/>
          <w:szCs w:val="14"/>
          <w:color w:val="auto"/>
        </w:rPr>
      </w:pPr>
    </w:p>
    <w:p>
      <w:pPr>
        <w:ind w:left="620" w:hanging="290"/>
        <w:spacing w:after="0" w:line="277" w:lineRule="auto"/>
        <w:tabs>
          <w:tab w:leader="none" w:pos="6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54" w:lineRule="exact"/>
        <w:rPr>
          <w:rFonts w:ascii="Arial" w:cs="Arial" w:eastAsia="Arial" w:hAnsi="Arial"/>
          <w:sz w:val="14"/>
          <w:szCs w:val="14"/>
          <w:color w:val="auto"/>
        </w:rPr>
      </w:pPr>
    </w:p>
    <w:p>
      <w:pPr>
        <w:jc w:val="both"/>
        <w:ind w:left="620" w:hanging="290"/>
        <w:spacing w:after="0" w:line="259" w:lineRule="auto"/>
        <w:tabs>
          <w:tab w:leader="none" w:pos="6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46"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Retirement refers to the behavior that Party B decides to terminate the lease relationship early for its own reasons, limited to a written statement.</w:t>
      </w:r>
    </w:p>
    <w:p>
      <w:pPr>
        <w:spacing w:after="0" w:line="196" w:lineRule="exact"/>
        <w:rPr>
          <w:rFonts w:ascii="Arial" w:cs="Arial" w:eastAsia="Arial" w:hAnsi="Arial"/>
          <w:sz w:val="14"/>
          <w:szCs w:val="14"/>
          <w:color w:val="auto"/>
        </w:rPr>
      </w:pPr>
    </w:p>
    <w:p>
      <w:pPr>
        <w:ind w:left="620" w:hanging="290"/>
        <w:spacing w:after="0" w:line="277" w:lineRule="auto"/>
        <w:tabs>
          <w:tab w:leader="none" w:pos="6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54" w:lineRule="exact"/>
        <w:rPr>
          <w:rFonts w:ascii="Arial" w:cs="Arial" w:eastAsia="Arial" w:hAnsi="Arial"/>
          <w:sz w:val="14"/>
          <w:szCs w:val="14"/>
          <w:color w:val="auto"/>
        </w:rPr>
      </w:pPr>
    </w:p>
    <w:p>
      <w:pPr>
        <w:ind w:left="620" w:hanging="290"/>
        <w:spacing w:after="0"/>
        <w:tabs>
          <w:tab w:leader="none" w:pos="6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Party A has right to request Party B to compensate Party A for the losses suffered thereby, if Party B takes the following actions:</w:t>
      </w:r>
    </w:p>
    <w:p>
      <w:pPr>
        <w:spacing w:after="0" w:line="196" w:lineRule="exact"/>
        <w:rPr>
          <w:rFonts w:ascii="Arial" w:cs="Arial" w:eastAsia="Arial" w:hAnsi="Arial"/>
          <w:sz w:val="14"/>
          <w:szCs w:val="14"/>
          <w:color w:val="auto"/>
        </w:rPr>
      </w:pPr>
    </w:p>
    <w:p>
      <w:pPr>
        <w:ind w:left="920" w:hanging="295"/>
        <w:spacing w:after="0"/>
        <w:tabs>
          <w:tab w:leader="none" w:pos="920" w:val="left"/>
        </w:tabs>
        <w:numPr>
          <w:ilvl w:val="1"/>
          <w:numId w:val="332"/>
        </w:numPr>
        <w:rPr>
          <w:rFonts w:ascii="Arial" w:cs="Arial" w:eastAsia="Arial" w:hAnsi="Arial"/>
          <w:sz w:val="14"/>
          <w:szCs w:val="14"/>
          <w:color w:val="auto"/>
        </w:rPr>
      </w:pPr>
      <w:r>
        <w:rPr>
          <w:rFonts w:ascii="Arial" w:cs="Arial" w:eastAsia="Arial" w:hAnsi="Arial"/>
          <w:sz w:val="14"/>
          <w:szCs w:val="14"/>
          <w:color w:val="auto"/>
        </w:rPr>
        <w:t>Intentional or negligent act of Party B and its employees and contractors on any part of the building or the House;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285" w:name="page286"/>
    <w:bookmarkEnd w:id="285"/>
    <w:p>
      <w:pPr>
        <w:ind w:left="920" w:hanging="295"/>
        <w:spacing w:after="0"/>
        <w:tabs>
          <w:tab w:leader="none" w:pos="92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Party B violates or fails to comply with any applicable provisions of the Contract;</w:t>
      </w:r>
    </w:p>
    <w:p>
      <w:pPr>
        <w:spacing w:after="0" w:line="196" w:lineRule="exact"/>
        <w:rPr>
          <w:rFonts w:ascii="Arial" w:cs="Arial" w:eastAsia="Arial" w:hAnsi="Arial"/>
          <w:sz w:val="14"/>
          <w:szCs w:val="14"/>
          <w:color w:val="auto"/>
        </w:rPr>
      </w:pPr>
    </w:p>
    <w:p>
      <w:pPr>
        <w:ind w:left="920" w:hanging="295"/>
        <w:spacing w:after="0" w:line="277" w:lineRule="auto"/>
        <w:tabs>
          <w:tab w:leader="none" w:pos="92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33" w:lineRule="exact"/>
        <w:rPr>
          <w:rFonts w:ascii="Arial" w:cs="Arial" w:eastAsia="Arial" w:hAnsi="Arial"/>
          <w:sz w:val="14"/>
          <w:szCs w:val="14"/>
          <w:color w:val="auto"/>
        </w:rPr>
      </w:pPr>
    </w:p>
    <w:p>
      <w:pPr>
        <w:ind w:left="220" w:hanging="216"/>
        <w:spacing w:after="0"/>
        <w:tabs>
          <w:tab w:leader="none" w:pos="220" w:val="left"/>
        </w:tabs>
        <w:numPr>
          <w:ilvl w:val="0"/>
          <w:numId w:val="334"/>
        </w:numPr>
        <w:rPr>
          <w:rFonts w:ascii="Arial" w:cs="Arial" w:eastAsia="Arial" w:hAnsi="Arial"/>
          <w:sz w:val="14"/>
          <w:szCs w:val="14"/>
          <w:color w:val="auto"/>
        </w:rPr>
      </w:pPr>
      <w:r>
        <w:rPr>
          <w:rFonts w:ascii="Arial" w:cs="Arial" w:eastAsia="Arial" w:hAnsi="Arial"/>
          <w:sz w:val="14"/>
          <w:szCs w:val="14"/>
          <w:color w:val="auto"/>
        </w:rPr>
        <w:t>The Force Majeure</w:t>
      </w:r>
    </w:p>
    <w:p>
      <w:pPr>
        <w:spacing w:after="0" w:line="197" w:lineRule="exact"/>
        <w:rPr>
          <w:sz w:val="20"/>
          <w:szCs w:val="20"/>
          <w:color w:val="auto"/>
        </w:rPr>
      </w:pPr>
    </w:p>
    <w:p>
      <w:pPr>
        <w:jc w:val="both"/>
        <w:ind w:left="340" w:hanging="325"/>
        <w:spacing w:after="0" w:line="257" w:lineRule="auto"/>
        <w:rPr>
          <w:sz w:val="20"/>
          <w:szCs w:val="20"/>
          <w:color w:val="auto"/>
        </w:rPr>
      </w:pPr>
      <w:r>
        <w:rPr>
          <w:rFonts w:ascii="Arial" w:cs="Arial" w:eastAsia="Arial" w:hAnsi="Arial"/>
          <w:sz w:val="14"/>
          <w:szCs w:val="14"/>
          <w:color w:val="auto"/>
        </w:rPr>
        <w:t>14-1 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69" w:lineRule="exact"/>
        <w:rPr>
          <w:sz w:val="20"/>
          <w:szCs w:val="20"/>
          <w:color w:val="auto"/>
        </w:rPr>
      </w:pPr>
    </w:p>
    <w:p>
      <w:pPr>
        <w:jc w:val="both"/>
        <w:ind w:left="340" w:hanging="325"/>
        <w:spacing w:after="0" w:line="277" w:lineRule="auto"/>
        <w:rPr>
          <w:sz w:val="20"/>
          <w:szCs w:val="20"/>
          <w:color w:val="auto"/>
        </w:rPr>
      </w:pPr>
      <w:r>
        <w:rPr>
          <w:rFonts w:ascii="Arial" w:cs="Arial" w:eastAsia="Arial" w:hAnsi="Arial"/>
          <w:sz w:val="14"/>
          <w:szCs w:val="14"/>
          <w:color w:val="auto"/>
        </w:rPr>
        <w:t>14-2 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15. Terminate the Contract</w:t>
      </w:r>
    </w:p>
    <w:p>
      <w:pPr>
        <w:spacing w:after="0" w:line="197" w:lineRule="exact"/>
        <w:rPr>
          <w:sz w:val="20"/>
          <w:szCs w:val="20"/>
          <w:color w:val="auto"/>
        </w:rPr>
      </w:pPr>
    </w:p>
    <w:p>
      <w:pPr>
        <w:jc w:val="both"/>
        <w:ind w:left="340" w:hanging="325"/>
        <w:spacing w:after="0" w:line="264" w:lineRule="auto"/>
        <w:rPr>
          <w:sz w:val="20"/>
          <w:szCs w:val="20"/>
          <w:color w:val="auto"/>
        </w:rPr>
      </w:pPr>
      <w:r>
        <w:rPr>
          <w:rFonts w:ascii="Arial" w:cs="Arial" w:eastAsia="Arial" w:hAnsi="Arial"/>
          <w:sz w:val="14"/>
          <w:szCs w:val="14"/>
          <w:color w:val="auto"/>
        </w:rPr>
        <w:t>15-1 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0" w:right="219" w:bottom="1440" w:gutter="0" w:footer="0" w:header="0"/>
        </w:sectPr>
      </w:pPr>
    </w:p>
    <w:bookmarkStart w:id="286" w:name="page287"/>
    <w:bookmarkEnd w:id="286"/>
    <w:p>
      <w:pPr>
        <w:ind w:left="620" w:hanging="290"/>
        <w:spacing w:after="0"/>
        <w:tabs>
          <w:tab w:leader="none" w:pos="62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Party A fails to deliver the House on time and still cannot deliver the House 30 days after the written notice from Party B;</w:t>
      </w:r>
    </w:p>
    <w:p>
      <w:pPr>
        <w:spacing w:after="0" w:line="171" w:lineRule="exact"/>
        <w:rPr>
          <w:rFonts w:ascii="Arial" w:cs="Arial" w:eastAsia="Arial" w:hAnsi="Arial"/>
          <w:sz w:val="14"/>
          <w:szCs w:val="14"/>
          <w:color w:val="auto"/>
        </w:rPr>
      </w:pPr>
    </w:p>
    <w:p>
      <w:pPr>
        <w:ind w:left="620" w:hanging="290"/>
        <w:spacing w:after="0" w:line="186" w:lineRule="exact"/>
        <w:tabs>
          <w:tab w:leader="none" w:pos="62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 xml:space="preserve">The house delivered by Party A does not meet the contract stipulated in Annex </w:t>
      </w:r>
      <w:r>
        <w:rPr>
          <w:rFonts w:ascii="MS PGothic" w:cs="MS PGothic" w:eastAsia="MS PGothic" w:hAnsi="MS PGothic"/>
          <w:sz w:val="14"/>
          <w:szCs w:val="14"/>
          <w:color w:val="auto"/>
        </w:rPr>
        <w:t>Ⅱ</w:t>
      </w:r>
      <w:r>
        <w:rPr>
          <w:rFonts w:ascii="Arial" w:cs="Arial" w:eastAsia="Arial" w:hAnsi="Arial"/>
          <w:sz w:val="14"/>
          <w:szCs w:val="14"/>
          <w:color w:val="auto"/>
        </w:rPr>
        <w:t xml:space="preserve"> of the Contract, resulting in the failure to realize the purpose of the lease; or the House delivered by Party A is defective and endangers the safety of Party B;</w:t>
      </w:r>
    </w:p>
    <w:p>
      <w:pPr>
        <w:spacing w:after="0" w:line="179" w:lineRule="exact"/>
        <w:rPr>
          <w:rFonts w:ascii="Arial" w:cs="Arial" w:eastAsia="Arial" w:hAnsi="Arial"/>
          <w:sz w:val="14"/>
          <w:szCs w:val="14"/>
          <w:color w:val="auto"/>
        </w:rPr>
      </w:pPr>
    </w:p>
    <w:p>
      <w:pPr>
        <w:ind w:left="620" w:hanging="290"/>
        <w:spacing w:after="0"/>
        <w:tabs>
          <w:tab w:leader="none" w:pos="62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Party B fails to obtain the written consent of Party A to change the use of the House;</w:t>
      </w:r>
    </w:p>
    <w:p>
      <w:pPr>
        <w:spacing w:after="0" w:line="196" w:lineRule="exact"/>
        <w:rPr>
          <w:rFonts w:ascii="Arial" w:cs="Arial" w:eastAsia="Arial" w:hAnsi="Arial"/>
          <w:sz w:val="14"/>
          <w:szCs w:val="14"/>
          <w:color w:val="auto"/>
        </w:rPr>
      </w:pPr>
    </w:p>
    <w:p>
      <w:pPr>
        <w:ind w:left="620" w:hanging="290"/>
        <w:spacing w:after="0"/>
        <w:tabs>
          <w:tab w:leader="none" w:pos="62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Party B causes damage to the main structure of the House or other irreparable damage;</w:t>
      </w:r>
    </w:p>
    <w:p>
      <w:pPr>
        <w:spacing w:after="0" w:line="196" w:lineRule="exact"/>
        <w:rPr>
          <w:rFonts w:ascii="Arial" w:cs="Arial" w:eastAsia="Arial" w:hAnsi="Arial"/>
          <w:sz w:val="14"/>
          <w:szCs w:val="14"/>
          <w:color w:val="auto"/>
        </w:rPr>
      </w:pPr>
    </w:p>
    <w:p>
      <w:pPr>
        <w:ind w:left="620" w:hanging="290"/>
        <w:spacing w:after="0"/>
        <w:tabs>
          <w:tab w:leader="none" w:pos="620" w:val="left"/>
        </w:tabs>
        <w:numPr>
          <w:ilvl w:val="0"/>
          <w:numId w:val="335"/>
        </w:numPr>
        <w:rPr>
          <w:rFonts w:ascii="Arial" w:cs="Arial" w:eastAsia="Arial" w:hAnsi="Arial"/>
          <w:sz w:val="13"/>
          <w:szCs w:val="13"/>
          <w:color w:val="auto"/>
        </w:rPr>
      </w:pPr>
      <w:r>
        <w:rPr>
          <w:rFonts w:ascii="Arial" w:cs="Arial" w:eastAsia="Arial" w:hAnsi="Arial"/>
          <w:sz w:val="13"/>
          <w:szCs w:val="13"/>
          <w:color w:val="auto"/>
        </w:rPr>
        <w:t>Party B, without the written consent of Party A and the approval of the relevant department, arbitrarily changed the nature of the production and use involved in the property planning;</w:t>
      </w:r>
    </w:p>
    <w:p>
      <w:pPr>
        <w:spacing w:after="0" w:line="208" w:lineRule="exact"/>
        <w:rPr>
          <w:rFonts w:ascii="Arial" w:cs="Arial" w:eastAsia="Arial" w:hAnsi="Arial"/>
          <w:sz w:val="13"/>
          <w:szCs w:val="13"/>
          <w:color w:val="auto"/>
        </w:rPr>
      </w:pPr>
    </w:p>
    <w:p>
      <w:pPr>
        <w:ind w:left="620" w:hanging="290"/>
        <w:spacing w:after="0" w:line="277" w:lineRule="auto"/>
        <w:tabs>
          <w:tab w:leader="none" w:pos="62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54" w:lineRule="exact"/>
        <w:rPr>
          <w:rFonts w:ascii="Arial" w:cs="Arial" w:eastAsia="Arial" w:hAnsi="Arial"/>
          <w:sz w:val="14"/>
          <w:szCs w:val="14"/>
          <w:color w:val="auto"/>
        </w:rPr>
      </w:pPr>
    </w:p>
    <w:p>
      <w:pPr>
        <w:ind w:left="620" w:hanging="290"/>
        <w:spacing w:after="0" w:line="277" w:lineRule="auto"/>
        <w:tabs>
          <w:tab w:leader="none" w:pos="62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Party B renders part or all of the House to any third party without authorization, or uses it in combination with any third party, or transfers the House to others for rent or exchanges with other people's houses;</w:t>
      </w:r>
    </w:p>
    <w:p>
      <w:pPr>
        <w:spacing w:after="0" w:line="154" w:lineRule="exact"/>
        <w:rPr>
          <w:rFonts w:ascii="Arial" w:cs="Arial" w:eastAsia="Arial" w:hAnsi="Arial"/>
          <w:sz w:val="14"/>
          <w:szCs w:val="14"/>
          <w:color w:val="auto"/>
        </w:rPr>
      </w:pPr>
    </w:p>
    <w:p>
      <w:pPr>
        <w:ind w:left="620" w:hanging="290"/>
        <w:spacing w:after="0"/>
        <w:tabs>
          <w:tab w:leader="none" w:pos="62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Party B has not paid the rent over 30 days, and still cannot pay the rent 30 days after the written notice from Party A.</w:t>
      </w:r>
    </w:p>
    <w:p>
      <w:pPr>
        <w:spacing w:after="0" w:line="197" w:lineRule="exact"/>
        <w:rPr>
          <w:sz w:val="20"/>
          <w:szCs w:val="20"/>
          <w:color w:val="auto"/>
        </w:rPr>
      </w:pPr>
    </w:p>
    <w:p>
      <w:pPr>
        <w:ind w:left="340" w:hanging="325"/>
        <w:spacing w:after="0" w:line="277" w:lineRule="auto"/>
        <w:rPr>
          <w:sz w:val="20"/>
          <w:szCs w:val="20"/>
          <w:color w:val="auto"/>
        </w:rPr>
      </w:pPr>
      <w:r>
        <w:rPr>
          <w:rFonts w:ascii="Arial" w:cs="Arial" w:eastAsia="Arial" w:hAnsi="Arial"/>
          <w:sz w:val="14"/>
          <w:szCs w:val="14"/>
          <w:color w:val="auto"/>
        </w:rPr>
        <w:t>15-2 Due to the breach of item (8) of the preceding paragraph, the Party A has the right to retain all the articles in the House until Party B pays all the money (including the liquidated damages) to Party A.</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15-3 Both Parties agree that the Contract is terminated under the following situations, and neither of them should be responsible for the termination.</w:t>
      </w:r>
    </w:p>
    <w:p>
      <w:pPr>
        <w:spacing w:after="0" w:line="197" w:lineRule="exact"/>
        <w:rPr>
          <w:sz w:val="20"/>
          <w:szCs w:val="20"/>
          <w:color w:val="auto"/>
        </w:rPr>
      </w:pPr>
    </w:p>
    <w:p>
      <w:pPr>
        <w:ind w:left="620" w:hanging="290"/>
        <w:spacing w:after="0"/>
        <w:tabs>
          <w:tab w:leader="none" w:pos="620" w:val="left"/>
        </w:tabs>
        <w:numPr>
          <w:ilvl w:val="0"/>
          <w:numId w:val="336"/>
        </w:numPr>
        <w:rPr>
          <w:rFonts w:ascii="Arial" w:cs="Arial" w:eastAsia="Arial" w:hAnsi="Arial"/>
          <w:sz w:val="14"/>
          <w:szCs w:val="14"/>
          <w:color w:val="auto"/>
        </w:rPr>
      </w:pPr>
      <w:r>
        <w:rPr>
          <w:rFonts w:ascii="Arial" w:cs="Arial" w:eastAsia="Arial" w:hAnsi="Arial"/>
          <w:sz w:val="14"/>
          <w:szCs w:val="14"/>
          <w:color w:val="auto"/>
        </w:rPr>
        <w:t>The land use rights within the occupied area of the House are recovered early according to law;</w:t>
      </w:r>
    </w:p>
    <w:p>
      <w:pPr>
        <w:spacing w:after="0" w:line="196" w:lineRule="exact"/>
        <w:rPr>
          <w:rFonts w:ascii="Arial" w:cs="Arial" w:eastAsia="Arial" w:hAnsi="Arial"/>
          <w:sz w:val="14"/>
          <w:szCs w:val="14"/>
          <w:color w:val="auto"/>
        </w:rPr>
      </w:pPr>
    </w:p>
    <w:p>
      <w:pPr>
        <w:ind w:left="620" w:hanging="290"/>
        <w:spacing w:after="0"/>
        <w:tabs>
          <w:tab w:leader="none" w:pos="620" w:val="left"/>
        </w:tabs>
        <w:numPr>
          <w:ilvl w:val="0"/>
          <w:numId w:val="336"/>
        </w:numPr>
        <w:rPr>
          <w:rFonts w:ascii="Arial" w:cs="Arial" w:eastAsia="Arial" w:hAnsi="Arial"/>
          <w:sz w:val="14"/>
          <w:szCs w:val="14"/>
          <w:color w:val="auto"/>
        </w:rPr>
      </w:pPr>
      <w:r>
        <w:rPr>
          <w:rFonts w:ascii="Arial" w:cs="Arial" w:eastAsia="Arial" w:hAnsi="Arial"/>
          <w:sz w:val="14"/>
          <w:szCs w:val="14"/>
          <w:color w:val="auto"/>
        </w:rPr>
        <w:t>The House is requisitioned according to law because of public interests;</w:t>
      </w:r>
    </w:p>
    <w:p>
      <w:pPr>
        <w:spacing w:after="0" w:line="196" w:lineRule="exact"/>
        <w:rPr>
          <w:rFonts w:ascii="Arial" w:cs="Arial" w:eastAsia="Arial" w:hAnsi="Arial"/>
          <w:sz w:val="14"/>
          <w:szCs w:val="14"/>
          <w:color w:val="auto"/>
        </w:rPr>
      </w:pPr>
    </w:p>
    <w:p>
      <w:pPr>
        <w:ind w:left="620" w:hanging="290"/>
        <w:spacing w:after="0"/>
        <w:tabs>
          <w:tab w:leader="none" w:pos="620" w:val="left"/>
        </w:tabs>
        <w:numPr>
          <w:ilvl w:val="0"/>
          <w:numId w:val="336"/>
        </w:numPr>
        <w:rPr>
          <w:rFonts w:ascii="Arial" w:cs="Arial" w:eastAsia="Arial" w:hAnsi="Arial"/>
          <w:sz w:val="14"/>
          <w:szCs w:val="14"/>
          <w:color w:val="auto"/>
        </w:rPr>
      </w:pPr>
      <w:r>
        <w:rPr>
          <w:rFonts w:ascii="Arial" w:cs="Arial" w:eastAsia="Arial" w:hAnsi="Arial"/>
          <w:sz w:val="14"/>
          <w:szCs w:val="14"/>
          <w:color w:val="auto"/>
        </w:rPr>
        <w:t>The House is included in the scope of the permit for house demolition due to urban construction;</w:t>
      </w:r>
    </w:p>
    <w:p>
      <w:pPr>
        <w:spacing w:after="0" w:line="196" w:lineRule="exact"/>
        <w:rPr>
          <w:rFonts w:ascii="Arial" w:cs="Arial" w:eastAsia="Arial" w:hAnsi="Arial"/>
          <w:sz w:val="14"/>
          <w:szCs w:val="14"/>
          <w:color w:val="auto"/>
        </w:rPr>
      </w:pPr>
    </w:p>
    <w:p>
      <w:pPr>
        <w:ind w:left="620" w:hanging="290"/>
        <w:spacing w:after="0"/>
        <w:tabs>
          <w:tab w:leader="none" w:pos="620" w:val="left"/>
        </w:tabs>
        <w:numPr>
          <w:ilvl w:val="0"/>
          <w:numId w:val="336"/>
        </w:numPr>
        <w:rPr>
          <w:rFonts w:ascii="Arial" w:cs="Arial" w:eastAsia="Arial" w:hAnsi="Arial"/>
          <w:sz w:val="14"/>
          <w:szCs w:val="14"/>
          <w:color w:val="auto"/>
        </w:rPr>
      </w:pPr>
      <w:r>
        <w:rPr>
          <w:rFonts w:ascii="Arial" w:cs="Arial" w:eastAsia="Arial" w:hAnsi="Arial"/>
          <w:sz w:val="14"/>
          <w:szCs w:val="14"/>
          <w:color w:val="auto"/>
        </w:rPr>
        <w:t>The House is damaged, lost or has been identified as a dangerous house;</w:t>
      </w:r>
    </w:p>
    <w:p>
      <w:pPr>
        <w:spacing w:after="0" w:line="196" w:lineRule="exact"/>
        <w:rPr>
          <w:rFonts w:ascii="Arial" w:cs="Arial" w:eastAsia="Arial" w:hAnsi="Arial"/>
          <w:sz w:val="14"/>
          <w:szCs w:val="14"/>
          <w:color w:val="auto"/>
        </w:rPr>
      </w:pPr>
    </w:p>
    <w:p>
      <w:pPr>
        <w:ind w:left="620" w:hanging="290"/>
        <w:spacing w:after="0"/>
        <w:tabs>
          <w:tab w:leader="none" w:pos="620" w:val="left"/>
        </w:tabs>
        <w:numPr>
          <w:ilvl w:val="0"/>
          <w:numId w:val="336"/>
        </w:numPr>
        <w:rPr>
          <w:rFonts w:ascii="Arial" w:cs="Arial" w:eastAsia="Arial" w:hAnsi="Arial"/>
          <w:sz w:val="14"/>
          <w:szCs w:val="14"/>
          <w:color w:val="auto"/>
        </w:rPr>
      </w:pPr>
      <w:r>
        <w:rPr>
          <w:rFonts w:ascii="Arial" w:cs="Arial" w:eastAsia="Arial" w:hAnsi="Arial"/>
          <w:sz w:val="14"/>
          <w:szCs w:val="14"/>
          <w:color w:val="auto"/>
        </w:rPr>
        <w:t>Party A has informed Party B that the mortgage has been set before the rental, and is now being disposed of.</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color w:val="auto"/>
        </w:rPr>
        <w:t>16. Statements and Guarantees</w:t>
      </w:r>
    </w:p>
    <w:p>
      <w:pPr>
        <w:spacing w:after="0" w:line="197" w:lineRule="exact"/>
        <w:rPr>
          <w:sz w:val="20"/>
          <w:szCs w:val="20"/>
          <w:color w:val="auto"/>
        </w:rPr>
      </w:pPr>
    </w:p>
    <w:p>
      <w:pPr>
        <w:ind w:left="300" w:hanging="296"/>
        <w:spacing w:after="0"/>
        <w:tabs>
          <w:tab w:leader="none" w:pos="300" w:val="left"/>
        </w:tabs>
        <w:numPr>
          <w:ilvl w:val="0"/>
          <w:numId w:val="337"/>
        </w:numPr>
        <w:rPr>
          <w:rFonts w:ascii="Arial" w:cs="Arial" w:eastAsia="Arial" w:hAnsi="Arial"/>
          <w:sz w:val="14"/>
          <w:szCs w:val="14"/>
          <w:color w:val="auto"/>
        </w:rPr>
      </w:pPr>
      <w:r>
        <w:rPr>
          <w:rFonts w:ascii="Arial" w:cs="Arial" w:eastAsia="Arial" w:hAnsi="Arial"/>
          <w:sz w:val="14"/>
          <w:szCs w:val="14"/>
          <w:color w:val="auto"/>
        </w:rPr>
        <w:t>Party A hereby states and guarantees as follows:</w:t>
      </w:r>
    </w:p>
    <w:p>
      <w:pPr>
        <w:spacing w:after="0" w:line="196" w:lineRule="exact"/>
        <w:rPr>
          <w:rFonts w:ascii="Arial" w:cs="Arial" w:eastAsia="Arial" w:hAnsi="Arial"/>
          <w:sz w:val="14"/>
          <w:szCs w:val="14"/>
          <w:color w:val="auto"/>
        </w:rPr>
      </w:pPr>
    </w:p>
    <w:p>
      <w:pPr>
        <w:ind w:left="600" w:hanging="301"/>
        <w:spacing w:after="0" w:line="277" w:lineRule="auto"/>
        <w:tabs>
          <w:tab w:leader="none" w:pos="600" w:val="left"/>
        </w:tabs>
        <w:numPr>
          <w:ilvl w:val="1"/>
          <w:numId w:val="337"/>
        </w:numPr>
        <w:rPr>
          <w:rFonts w:ascii="Arial" w:cs="Arial" w:eastAsia="Arial" w:hAnsi="Arial"/>
          <w:sz w:val="14"/>
          <w:szCs w:val="14"/>
          <w:color w:val="auto"/>
        </w:rPr>
      </w:pPr>
      <w:r>
        <w:rPr>
          <w:rFonts w:ascii="Arial" w:cs="Arial" w:eastAsia="Arial" w:hAnsi="Arial"/>
          <w:sz w:val="14"/>
          <w:szCs w:val="14"/>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54" w:lineRule="exact"/>
        <w:rPr>
          <w:rFonts w:ascii="Arial" w:cs="Arial" w:eastAsia="Arial" w:hAnsi="Arial"/>
          <w:sz w:val="14"/>
          <w:szCs w:val="14"/>
          <w:color w:val="auto"/>
        </w:rPr>
      </w:pPr>
    </w:p>
    <w:p>
      <w:pPr>
        <w:ind w:left="600" w:hanging="301"/>
        <w:spacing w:after="0"/>
        <w:tabs>
          <w:tab w:leader="none" w:pos="600" w:val="left"/>
        </w:tabs>
        <w:numPr>
          <w:ilvl w:val="1"/>
          <w:numId w:val="337"/>
        </w:numPr>
        <w:rPr>
          <w:rFonts w:ascii="Arial" w:cs="Arial" w:eastAsia="Arial" w:hAnsi="Arial"/>
          <w:sz w:val="14"/>
          <w:szCs w:val="14"/>
          <w:color w:val="auto"/>
        </w:rPr>
      </w:pPr>
      <w:r>
        <w:rPr>
          <w:rFonts w:ascii="Arial" w:cs="Arial" w:eastAsia="Arial" w:hAnsi="Arial"/>
          <w:sz w:val="14"/>
          <w:szCs w:val="14"/>
          <w:color w:val="auto"/>
        </w:rPr>
        <w:t>Party A's signing and performance of the Contract shall not constitute a violation of the applicable law or any contract signed by Party A with any third party.</w:t>
      </w:r>
    </w:p>
    <w:p>
      <w:pPr>
        <w:spacing w:after="0" w:line="196" w:lineRule="exact"/>
        <w:rPr>
          <w:rFonts w:ascii="Arial" w:cs="Arial" w:eastAsia="Arial" w:hAnsi="Arial"/>
          <w:sz w:val="14"/>
          <w:szCs w:val="14"/>
          <w:color w:val="auto"/>
        </w:rPr>
      </w:pPr>
    </w:p>
    <w:p>
      <w:pPr>
        <w:ind w:left="600" w:hanging="301"/>
        <w:spacing w:after="0" w:line="277" w:lineRule="auto"/>
        <w:tabs>
          <w:tab w:leader="none" w:pos="600" w:val="left"/>
        </w:tabs>
        <w:numPr>
          <w:ilvl w:val="1"/>
          <w:numId w:val="337"/>
        </w:numPr>
        <w:rPr>
          <w:rFonts w:ascii="Arial" w:cs="Arial" w:eastAsia="Arial" w:hAnsi="Arial"/>
          <w:sz w:val="14"/>
          <w:szCs w:val="14"/>
          <w:color w:val="auto"/>
        </w:rPr>
      </w:pPr>
      <w:r>
        <w:rPr>
          <w:rFonts w:ascii="Arial" w:cs="Arial" w:eastAsia="Arial" w:hAnsi="Arial"/>
          <w:sz w:val="14"/>
          <w:szCs w:val="14"/>
          <w:color w:val="auto"/>
        </w:rPr>
        <w:t>Party A guarantees that the House has been built and in good condition in accordance with applicable laws (including but not limited to safety and health related laws and regulations) and has legal ownership over it.</w:t>
      </w:r>
    </w:p>
    <w:p>
      <w:pPr>
        <w:spacing w:after="0" w:line="154" w:lineRule="exact"/>
        <w:rPr>
          <w:rFonts w:ascii="Arial" w:cs="Arial" w:eastAsia="Arial" w:hAnsi="Arial"/>
          <w:sz w:val="14"/>
          <w:szCs w:val="14"/>
          <w:color w:val="auto"/>
        </w:rPr>
      </w:pPr>
    </w:p>
    <w:p>
      <w:pPr>
        <w:ind w:left="300" w:hanging="296"/>
        <w:spacing w:after="0"/>
        <w:tabs>
          <w:tab w:leader="none" w:pos="300" w:val="left"/>
        </w:tabs>
        <w:numPr>
          <w:ilvl w:val="0"/>
          <w:numId w:val="337"/>
        </w:numPr>
        <w:rPr>
          <w:rFonts w:ascii="Arial" w:cs="Arial" w:eastAsia="Arial" w:hAnsi="Arial"/>
          <w:sz w:val="14"/>
          <w:szCs w:val="14"/>
          <w:color w:val="auto"/>
        </w:rPr>
      </w:pPr>
      <w:r>
        <w:rPr>
          <w:rFonts w:ascii="Arial" w:cs="Arial" w:eastAsia="Arial" w:hAnsi="Arial"/>
          <w:sz w:val="14"/>
          <w:szCs w:val="14"/>
          <w:color w:val="auto"/>
        </w:rPr>
        <w:t>Party B hereby states and guarantees as follows:</w:t>
      </w:r>
    </w:p>
    <w:p>
      <w:pPr>
        <w:spacing w:after="0" w:line="196" w:lineRule="exact"/>
        <w:rPr>
          <w:rFonts w:ascii="Arial" w:cs="Arial" w:eastAsia="Arial" w:hAnsi="Arial"/>
          <w:sz w:val="14"/>
          <w:szCs w:val="14"/>
          <w:color w:val="auto"/>
        </w:rPr>
      </w:pPr>
    </w:p>
    <w:p>
      <w:pPr>
        <w:ind w:left="600" w:hanging="301"/>
        <w:spacing w:after="0"/>
        <w:tabs>
          <w:tab w:leader="none" w:pos="600" w:val="left"/>
        </w:tabs>
        <w:numPr>
          <w:ilvl w:val="1"/>
          <w:numId w:val="337"/>
        </w:numPr>
        <w:rPr>
          <w:rFonts w:ascii="Arial" w:cs="Arial" w:eastAsia="Arial" w:hAnsi="Arial"/>
          <w:sz w:val="14"/>
          <w:szCs w:val="14"/>
          <w:color w:val="auto"/>
        </w:rPr>
      </w:pPr>
      <w:r>
        <w:rPr>
          <w:rFonts w:ascii="Arial" w:cs="Arial" w:eastAsia="Arial" w:hAnsi="Arial"/>
          <w:sz w:val="14"/>
          <w:szCs w:val="14"/>
          <w:color w:val="auto"/>
        </w:rPr>
        <w:t>Party B has all the necessary authorizations to formally and effectively sign and perform the Contract.</w:t>
      </w:r>
    </w:p>
    <w:p>
      <w:pPr>
        <w:spacing w:after="0" w:line="196" w:lineRule="exact"/>
        <w:rPr>
          <w:rFonts w:ascii="Arial" w:cs="Arial" w:eastAsia="Arial" w:hAnsi="Arial"/>
          <w:sz w:val="14"/>
          <w:szCs w:val="14"/>
          <w:color w:val="auto"/>
        </w:rPr>
      </w:pPr>
    </w:p>
    <w:p>
      <w:pPr>
        <w:ind w:left="600" w:hanging="301"/>
        <w:spacing w:after="0" w:line="277" w:lineRule="auto"/>
        <w:tabs>
          <w:tab w:leader="none" w:pos="600" w:val="left"/>
        </w:tabs>
        <w:numPr>
          <w:ilvl w:val="1"/>
          <w:numId w:val="337"/>
        </w:numPr>
        <w:rPr>
          <w:rFonts w:ascii="Arial" w:cs="Arial" w:eastAsia="Arial" w:hAnsi="Arial"/>
          <w:sz w:val="14"/>
          <w:szCs w:val="14"/>
          <w:color w:val="auto"/>
        </w:rPr>
      </w:pPr>
      <w:r>
        <w:rPr>
          <w:rFonts w:ascii="Arial" w:cs="Arial" w:eastAsia="Arial" w:hAnsi="Arial"/>
          <w:sz w:val="14"/>
          <w:szCs w:val="14"/>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54" w:lineRule="exact"/>
        <w:rPr>
          <w:rFonts w:ascii="Arial" w:cs="Arial" w:eastAsia="Arial" w:hAnsi="Arial"/>
          <w:sz w:val="14"/>
          <w:szCs w:val="14"/>
          <w:color w:val="auto"/>
        </w:rPr>
      </w:pPr>
    </w:p>
    <w:p>
      <w:pPr>
        <w:ind w:left="600" w:hanging="301"/>
        <w:spacing w:after="0" w:line="277" w:lineRule="auto"/>
        <w:tabs>
          <w:tab w:leader="none" w:pos="600" w:val="left"/>
        </w:tabs>
        <w:numPr>
          <w:ilvl w:val="1"/>
          <w:numId w:val="337"/>
        </w:numPr>
        <w:rPr>
          <w:rFonts w:ascii="Arial" w:cs="Arial" w:eastAsia="Arial" w:hAnsi="Arial"/>
          <w:sz w:val="14"/>
          <w:szCs w:val="14"/>
          <w:color w:val="auto"/>
        </w:rPr>
      </w:pPr>
      <w:r>
        <w:rPr>
          <w:rFonts w:ascii="Arial" w:cs="Arial" w:eastAsia="Arial" w:hAnsi="Arial"/>
          <w:sz w:val="14"/>
          <w:szCs w:val="14"/>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17. Safe Production</w:t>
      </w:r>
    </w:p>
    <w:p>
      <w:pPr>
        <w:spacing w:after="0" w:line="172" w:lineRule="exact"/>
        <w:rPr>
          <w:sz w:val="20"/>
          <w:szCs w:val="20"/>
          <w:color w:val="auto"/>
        </w:rPr>
      </w:pPr>
    </w:p>
    <w:p>
      <w:pPr>
        <w:jc w:val="both"/>
        <w:ind w:left="340" w:hanging="325"/>
        <w:spacing w:after="0" w:line="178" w:lineRule="exact"/>
        <w:rPr>
          <w:sz w:val="20"/>
          <w:szCs w:val="20"/>
          <w:color w:val="auto"/>
        </w:rPr>
      </w:pPr>
      <w:r>
        <w:rPr>
          <w:rFonts w:ascii="Arial" w:cs="Arial" w:eastAsia="Arial" w:hAnsi="Arial"/>
          <w:sz w:val="14"/>
          <w:szCs w:val="14"/>
          <w:color w:val="auto"/>
        </w:rPr>
        <w:t xml:space="preserve">17-1 Party B shall strictly comply with the safety management code of the park including the Notice on Enterprise Safety Management in Shanghai Pudong Software Park (see Annex </w:t>
      </w:r>
      <w:r>
        <w:rPr>
          <w:rFonts w:ascii="MS PGothic" w:cs="MS PGothic" w:eastAsia="MS PGothic" w:hAnsi="MS PGothic"/>
          <w:sz w:val="14"/>
          <w:szCs w:val="14"/>
          <w:color w:val="auto"/>
        </w:rPr>
        <w:t>Ⅲ</w:t>
      </w:r>
      <w:r>
        <w:rPr>
          <w:rFonts w:ascii="Arial" w:cs="Arial" w:eastAsia="Arial" w:hAnsi="Arial"/>
          <w:sz w:val="14"/>
          <w:szCs w:val="14"/>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88" w:name="page289"/>
    <w:bookmarkEnd w:id="288"/>
    <w:p>
      <w:pPr>
        <w:jc w:val="both"/>
        <w:ind w:left="340" w:hanging="325"/>
        <w:spacing w:after="0" w:line="277" w:lineRule="auto"/>
        <w:rPr>
          <w:sz w:val="20"/>
          <w:szCs w:val="20"/>
          <w:color w:val="auto"/>
        </w:rPr>
      </w:pPr>
      <w:r>
        <w:rPr>
          <w:rFonts w:ascii="Arial" w:cs="Arial" w:eastAsia="Arial" w:hAnsi="Arial"/>
          <w:sz w:val="14"/>
          <w:szCs w:val="14"/>
          <w:color w:val="auto"/>
        </w:rPr>
        <w:t>17-2 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17-3 Party B's safety records shall be used as a reference for Party B's priority rights such as renewal and extension of lease (if any).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18. Other Terms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18-1 The Contract takes effect immediately after both parties have signed and sealed the contract.</w:t>
      </w:r>
    </w:p>
    <w:p>
      <w:pPr>
        <w:spacing w:after="0" w:line="197" w:lineRule="exact"/>
        <w:rPr>
          <w:sz w:val="20"/>
          <w:szCs w:val="20"/>
          <w:color w:val="auto"/>
        </w:rPr>
      </w:pPr>
    </w:p>
    <w:p>
      <w:pPr>
        <w:jc w:val="both"/>
        <w:ind w:left="340" w:hanging="325"/>
        <w:spacing w:after="0" w:line="264" w:lineRule="auto"/>
        <w:rPr>
          <w:sz w:val="20"/>
          <w:szCs w:val="20"/>
          <w:color w:val="auto"/>
        </w:rPr>
      </w:pPr>
      <w:r>
        <w:rPr>
          <w:rFonts w:ascii="Arial" w:cs="Arial" w:eastAsia="Arial" w:hAnsi="Arial"/>
          <w:sz w:val="14"/>
          <w:szCs w:val="14"/>
          <w:color w:val="auto"/>
        </w:rPr>
        <w:t>18-2 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18-3 When both parties sign the Contract, they shall clearly understand their respective rights, obligations and responsibilities and are willing to fulfill their obligations strictly according to the Contract.</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If one party violates the Contract, the other party is entitled to claim according to the Contract.</w:t>
      </w:r>
    </w:p>
    <w:p>
      <w:pPr>
        <w:spacing w:after="0" w:line="186" w:lineRule="exact"/>
        <w:rPr>
          <w:sz w:val="20"/>
          <w:szCs w:val="20"/>
          <w:color w:val="auto"/>
        </w:rPr>
      </w:pPr>
    </w:p>
    <w:p>
      <w:pPr>
        <w:jc w:val="both"/>
        <w:ind w:left="340" w:hanging="325"/>
        <w:spacing w:after="0" w:line="277" w:lineRule="auto"/>
        <w:rPr>
          <w:sz w:val="20"/>
          <w:szCs w:val="20"/>
          <w:color w:val="auto"/>
        </w:rPr>
      </w:pPr>
      <w:r>
        <w:rPr>
          <w:rFonts w:ascii="Arial" w:cs="Arial" w:eastAsia="Arial" w:hAnsi="Arial"/>
          <w:sz w:val="14"/>
          <w:szCs w:val="14"/>
          <w:color w:val="auto"/>
        </w:rPr>
        <w:t>18-4 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55" w:lineRule="exact"/>
        <w:rPr>
          <w:sz w:val="20"/>
          <w:szCs w:val="20"/>
          <w:color w:val="auto"/>
        </w:rPr>
      </w:pPr>
    </w:p>
    <w:p>
      <w:pPr>
        <w:ind w:left="620" w:hanging="290"/>
        <w:spacing w:after="0"/>
        <w:tabs>
          <w:tab w:leader="none" w:pos="620" w:val="left"/>
        </w:tabs>
        <w:numPr>
          <w:ilvl w:val="0"/>
          <w:numId w:val="338"/>
        </w:numPr>
        <w:rPr>
          <w:rFonts w:ascii="Arial" w:cs="Arial" w:eastAsia="Arial" w:hAnsi="Arial"/>
          <w:sz w:val="14"/>
          <w:szCs w:val="14"/>
          <w:color w:val="auto"/>
        </w:rPr>
      </w:pPr>
      <w:r>
        <w:rPr>
          <w:rFonts w:ascii="Arial" w:cs="Arial" w:eastAsia="Arial" w:hAnsi="Arial"/>
          <w:sz w:val="14"/>
          <w:szCs w:val="14"/>
          <w:color w:val="auto"/>
        </w:rPr>
        <w:t>submitted to China International Economic and Trade Arbitration Commission Shanghai Branch for arbitration;</w:t>
      </w:r>
    </w:p>
    <w:p>
      <w:pPr>
        <w:spacing w:after="0" w:line="196" w:lineRule="exact"/>
        <w:rPr>
          <w:rFonts w:ascii="Arial" w:cs="Arial" w:eastAsia="Arial" w:hAnsi="Arial"/>
          <w:sz w:val="14"/>
          <w:szCs w:val="14"/>
          <w:color w:val="auto"/>
        </w:rPr>
      </w:pPr>
    </w:p>
    <w:p>
      <w:pPr>
        <w:ind w:left="620" w:hanging="290"/>
        <w:spacing w:after="0"/>
        <w:tabs>
          <w:tab w:leader="none" w:pos="620" w:val="left"/>
        </w:tabs>
        <w:numPr>
          <w:ilvl w:val="0"/>
          <w:numId w:val="338"/>
        </w:numPr>
        <w:rPr>
          <w:rFonts w:ascii="Arial" w:cs="Arial" w:eastAsia="Arial" w:hAnsi="Arial"/>
          <w:sz w:val="14"/>
          <w:szCs w:val="14"/>
          <w:color w:val="auto"/>
        </w:rPr>
      </w:pPr>
      <w:r>
        <w:rPr>
          <w:rFonts w:ascii="Arial" w:cs="Arial" w:eastAsia="Arial" w:hAnsi="Arial"/>
          <w:sz w:val="14"/>
          <w:szCs w:val="14"/>
          <w:color w:val="auto"/>
        </w:rPr>
        <w:t>bring a lawsuit to the people's court where the House is located.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18-5 The Contract has four copies with the Annex, and Party A, Party B, the business department, the tax department each hold a copy. All of them have the same effect.</w:t>
      </w:r>
    </w:p>
    <w:p>
      <w:pPr>
        <w:spacing w:after="0" w:line="197" w:lineRule="exact"/>
        <w:rPr>
          <w:sz w:val="20"/>
          <w:szCs w:val="20"/>
          <w:color w:val="auto"/>
        </w:rPr>
      </w:pPr>
    </w:p>
    <w:p>
      <w:pPr>
        <w:jc w:val="both"/>
        <w:ind w:left="340" w:hanging="325"/>
        <w:spacing w:after="0" w:line="277" w:lineRule="auto"/>
        <w:rPr>
          <w:sz w:val="20"/>
          <w:szCs w:val="20"/>
          <w:color w:val="auto"/>
        </w:rPr>
      </w:pPr>
      <w:r>
        <w:rPr>
          <w:rFonts w:ascii="Arial" w:cs="Arial" w:eastAsia="Arial" w:hAnsi="Arial"/>
          <w:sz w:val="14"/>
          <w:szCs w:val="14"/>
          <w:color w:val="auto"/>
        </w:rPr>
        <w:t>18-6 All fees and taxes related to the registration of the Contract (including but not limited to stamp duty) should be borne by both parties in accordance with the regulations of the People's Republic of China and Shanghai.</w:t>
      </w:r>
    </w:p>
    <w:p>
      <w:pPr>
        <w:spacing w:after="0" w:line="155" w:lineRule="exact"/>
        <w:rPr>
          <w:sz w:val="20"/>
          <w:szCs w:val="20"/>
          <w:color w:val="auto"/>
        </w:rPr>
      </w:pPr>
    </w:p>
    <w:p>
      <w:pPr>
        <w:jc w:val="both"/>
        <w:ind w:left="340" w:hanging="325"/>
        <w:spacing w:after="0" w:line="264" w:lineRule="auto"/>
        <w:rPr>
          <w:sz w:val="20"/>
          <w:szCs w:val="20"/>
          <w:color w:val="auto"/>
        </w:rPr>
      </w:pPr>
      <w:r>
        <w:rPr>
          <w:rFonts w:ascii="Arial" w:cs="Arial" w:eastAsia="Arial" w:hAnsi="Arial"/>
          <w:sz w:val="14"/>
          <w:szCs w:val="14"/>
          <w:color w:val="auto"/>
        </w:rPr>
        <w:t>18-7 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0" w:right="219" w:bottom="1440" w:gutter="0" w:footer="0" w:header="0"/>
        </w:sectPr>
      </w:pPr>
    </w:p>
    <w:bookmarkStart w:id="289" w:name="page290"/>
    <w:bookmarkEnd w:id="289"/>
    <w:p>
      <w:pPr>
        <w:jc w:val="center"/>
        <w:ind w:right="-20"/>
        <w:spacing w:after="0"/>
        <w:rPr>
          <w:sz w:val="20"/>
          <w:szCs w:val="20"/>
          <w:color w:val="auto"/>
        </w:rPr>
      </w:pPr>
      <w:r>
        <w:rPr>
          <w:rFonts w:ascii="Arial" w:cs="Arial" w:eastAsia="Arial" w:hAnsi="Arial"/>
          <w:sz w:val="14"/>
          <w:szCs w:val="14"/>
          <w:color w:val="auto"/>
        </w:rPr>
        <w:t>Annex I</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Plan of the House</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13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290" w:name="page291"/>
    <w:bookmarkEnd w:id="290"/>
    <w:p>
      <w:pPr>
        <w:jc w:val="center"/>
        <w:spacing w:after="0"/>
        <w:rPr>
          <w:sz w:val="20"/>
          <w:szCs w:val="20"/>
          <w:color w:val="auto"/>
        </w:rPr>
      </w:pPr>
      <w:r>
        <w:rPr>
          <w:rFonts w:ascii="Arial" w:cs="Arial" w:eastAsia="Arial" w:hAnsi="Arial"/>
          <w:sz w:val="14"/>
          <w:szCs w:val="14"/>
          <w:color w:val="auto"/>
        </w:rPr>
        <w:t>Annex II</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the existing decoration of the House, ancillary facilities and equipment status, and the decoration and additional facilities which Party A allows Party B to do in writing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11430</wp:posOffset>
            </wp:positionV>
            <wp:extent cx="7277100" cy="133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9400"/>
          </w:cols>
          <w:pgMar w:left="1260" w:top="739" w:right="1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4"/>
          <w:szCs w:val="14"/>
          <w:color w:val="auto"/>
        </w:rPr>
        <w:t>Annex 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Notice of Shanghai Pudong Software Park Park Enterprise Security Management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42" w:lineRule="exact"/>
        <w:rPr>
          <w:sz w:val="20"/>
          <w:szCs w:val="20"/>
          <w:color w:val="auto"/>
        </w:rPr>
      </w:pPr>
    </w:p>
    <w:p>
      <w:pPr>
        <w:ind w:left="400" w:hanging="396"/>
        <w:spacing w:after="0"/>
        <w:tabs>
          <w:tab w:leader="none" w:pos="400" w:val="left"/>
        </w:tabs>
        <w:numPr>
          <w:ilvl w:val="0"/>
          <w:numId w:val="339"/>
        </w:numPr>
        <w:rPr>
          <w:rFonts w:ascii="Arial" w:cs="Arial" w:eastAsia="Arial" w:hAnsi="Arial"/>
          <w:sz w:val="14"/>
          <w:szCs w:val="14"/>
          <w:color w:val="auto"/>
        </w:rPr>
      </w:pPr>
      <w:r>
        <w:rPr>
          <w:rFonts w:ascii="Arial" w:cs="Arial" w:eastAsia="Arial" w:hAnsi="Arial"/>
          <w:sz w:val="14"/>
          <w:szCs w:val="14"/>
          <w:color w:val="auto"/>
        </w:rPr>
        <w:t>Safety Management Responsibilities of Companies in the Park</w:t>
      </w:r>
    </w:p>
    <w:p>
      <w:pPr>
        <w:spacing w:after="0" w:line="175" w:lineRule="exact"/>
        <w:rPr>
          <w:rFonts w:ascii="Arial" w:cs="Arial" w:eastAsia="Arial" w:hAnsi="Arial"/>
          <w:sz w:val="14"/>
          <w:szCs w:val="14"/>
          <w:color w:val="auto"/>
        </w:rPr>
      </w:pPr>
    </w:p>
    <w:p>
      <w:pPr>
        <w:ind w:left="400"/>
        <w:spacing w:after="0" w:line="277" w:lineRule="auto"/>
        <w:rPr>
          <w:rFonts w:ascii="Arial" w:cs="Arial" w:eastAsia="Arial" w:hAnsi="Arial"/>
          <w:sz w:val="14"/>
          <w:szCs w:val="14"/>
          <w:color w:val="auto"/>
        </w:rPr>
      </w:pPr>
      <w:r>
        <w:rPr>
          <w:rFonts w:ascii="Arial" w:cs="Arial" w:eastAsia="Arial" w:hAnsi="Arial"/>
          <w:sz w:val="14"/>
          <w:szCs w:val="14"/>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54" w:lineRule="exact"/>
        <w:rPr>
          <w:rFonts w:ascii="Arial" w:cs="Arial" w:eastAsia="Arial" w:hAnsi="Arial"/>
          <w:sz w:val="14"/>
          <w:szCs w:val="14"/>
          <w:color w:val="auto"/>
        </w:rPr>
      </w:pPr>
    </w:p>
    <w:p>
      <w:pPr>
        <w:jc w:val="both"/>
        <w:ind w:left="680" w:hanging="286"/>
        <w:spacing w:after="0" w:line="264" w:lineRule="auto"/>
        <w:tabs>
          <w:tab w:leader="none" w:pos="68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63" w:lineRule="exact"/>
        <w:rPr>
          <w:rFonts w:ascii="Arial" w:cs="Arial" w:eastAsia="Arial" w:hAnsi="Arial"/>
          <w:sz w:val="14"/>
          <w:szCs w:val="14"/>
          <w:color w:val="auto"/>
        </w:rPr>
      </w:pPr>
    </w:p>
    <w:p>
      <w:pPr>
        <w:ind w:left="680" w:hanging="286"/>
        <w:spacing w:after="0"/>
        <w:tabs>
          <w:tab w:leader="none" w:pos="68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Strictly abide by the laws, regulations and rules related to safety and possess the qualifications and conditions for safety production required for the operation of the business and industry.</w:t>
      </w:r>
    </w:p>
    <w:p>
      <w:pPr>
        <w:spacing w:after="0" w:line="208" w:lineRule="exact"/>
        <w:rPr>
          <w:rFonts w:ascii="Arial" w:cs="Arial" w:eastAsia="Arial" w:hAnsi="Arial"/>
          <w:sz w:val="13"/>
          <w:szCs w:val="13"/>
          <w:color w:val="auto"/>
        </w:rPr>
      </w:pPr>
    </w:p>
    <w:p>
      <w:pPr>
        <w:ind w:left="680" w:hanging="286"/>
        <w:spacing w:after="0" w:line="277" w:lineRule="auto"/>
        <w:tabs>
          <w:tab w:leader="none" w:pos="68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33" w:lineRule="exact"/>
        <w:rPr>
          <w:rFonts w:ascii="Arial" w:cs="Arial" w:eastAsia="Arial" w:hAnsi="Arial"/>
          <w:sz w:val="14"/>
          <w:szCs w:val="14"/>
          <w:color w:val="auto"/>
        </w:rPr>
      </w:pPr>
    </w:p>
    <w:p>
      <w:pPr>
        <w:ind w:left="400" w:hanging="396"/>
        <w:spacing w:after="0"/>
        <w:tabs>
          <w:tab w:leader="none" w:pos="400" w:val="left"/>
        </w:tabs>
        <w:numPr>
          <w:ilvl w:val="0"/>
          <w:numId w:val="339"/>
        </w:numPr>
        <w:rPr>
          <w:rFonts w:ascii="Arial" w:cs="Arial" w:eastAsia="Arial" w:hAnsi="Arial"/>
          <w:sz w:val="14"/>
          <w:szCs w:val="14"/>
          <w:color w:val="auto"/>
        </w:rPr>
      </w:pPr>
      <w:r>
        <w:rPr>
          <w:rFonts w:ascii="Arial" w:cs="Arial" w:eastAsia="Arial" w:hAnsi="Arial"/>
          <w:sz w:val="14"/>
          <w:szCs w:val="14"/>
          <w:color w:val="auto"/>
        </w:rPr>
        <w:t>Safety Requirements of Daily Operation</w:t>
      </w:r>
    </w:p>
    <w:p>
      <w:pPr>
        <w:spacing w:after="0" w:line="196" w:lineRule="exact"/>
        <w:rPr>
          <w:rFonts w:ascii="Arial" w:cs="Arial" w:eastAsia="Arial" w:hAnsi="Arial"/>
          <w:sz w:val="14"/>
          <w:szCs w:val="14"/>
          <w:color w:val="auto"/>
        </w:rPr>
      </w:pPr>
    </w:p>
    <w:p>
      <w:pPr>
        <w:jc w:val="both"/>
        <w:ind w:left="680" w:hanging="286"/>
        <w:spacing w:after="0" w:line="264" w:lineRule="auto"/>
        <w:tabs>
          <w:tab w:leader="none" w:pos="68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63" w:lineRule="exact"/>
        <w:rPr>
          <w:rFonts w:ascii="Arial" w:cs="Arial" w:eastAsia="Arial" w:hAnsi="Arial"/>
          <w:sz w:val="14"/>
          <w:szCs w:val="14"/>
          <w:color w:val="auto"/>
        </w:rPr>
      </w:pPr>
    </w:p>
    <w:p>
      <w:pPr>
        <w:ind w:left="680" w:hanging="286"/>
        <w:spacing w:after="0" w:line="277" w:lineRule="auto"/>
        <w:tabs>
          <w:tab w:leader="none" w:pos="68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54" w:lineRule="exact"/>
        <w:rPr>
          <w:rFonts w:ascii="Arial" w:cs="Arial" w:eastAsia="Arial" w:hAnsi="Arial"/>
          <w:sz w:val="14"/>
          <w:szCs w:val="14"/>
          <w:color w:val="auto"/>
        </w:rPr>
      </w:pPr>
    </w:p>
    <w:p>
      <w:pPr>
        <w:ind w:left="680" w:hanging="286"/>
        <w:spacing w:after="0" w:line="277" w:lineRule="auto"/>
        <w:tabs>
          <w:tab w:leader="none" w:pos="68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92" w:name="page293"/>
    <w:bookmarkEnd w:id="292"/>
    <w:p>
      <w:pPr>
        <w:ind w:left="680" w:hanging="286"/>
        <w:spacing w:after="0"/>
        <w:tabs>
          <w:tab w:leader="none" w:pos="68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Don’t produce, store toxic, harmful, flammable, explosive materials.</w:t>
      </w:r>
    </w:p>
    <w:p>
      <w:pPr>
        <w:spacing w:after="0" w:line="196" w:lineRule="exact"/>
        <w:rPr>
          <w:rFonts w:ascii="Arial" w:cs="Arial" w:eastAsia="Arial" w:hAnsi="Arial"/>
          <w:sz w:val="14"/>
          <w:szCs w:val="14"/>
          <w:color w:val="auto"/>
        </w:rPr>
      </w:pPr>
    </w:p>
    <w:p>
      <w:pPr>
        <w:ind w:left="680" w:hanging="286"/>
        <w:spacing w:after="0"/>
        <w:tabs>
          <w:tab w:leader="none" w:pos="68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Loading and unloading of goods in the designated area, do a good job of on-site safety supervision and support.</w:t>
      </w:r>
    </w:p>
    <w:p>
      <w:pPr>
        <w:spacing w:after="0" w:line="196" w:lineRule="exact"/>
        <w:rPr>
          <w:rFonts w:ascii="Arial" w:cs="Arial" w:eastAsia="Arial" w:hAnsi="Arial"/>
          <w:sz w:val="14"/>
          <w:szCs w:val="14"/>
          <w:color w:val="auto"/>
        </w:rPr>
      </w:pPr>
    </w:p>
    <w:p>
      <w:pPr>
        <w:ind w:left="680" w:hanging="286"/>
        <w:spacing w:after="0"/>
        <w:tabs>
          <w:tab w:leader="none" w:pos="68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It is strictly forbidden to lodge staff in the office area of Shanghai Pudong Software Park.</w:t>
      </w:r>
    </w:p>
    <w:p>
      <w:pPr>
        <w:spacing w:after="0" w:line="196" w:lineRule="exact"/>
        <w:rPr>
          <w:rFonts w:ascii="Arial" w:cs="Arial" w:eastAsia="Arial" w:hAnsi="Arial"/>
          <w:sz w:val="14"/>
          <w:szCs w:val="14"/>
          <w:color w:val="auto"/>
        </w:rPr>
      </w:pPr>
    </w:p>
    <w:p>
      <w:pPr>
        <w:ind w:left="680" w:hanging="286"/>
        <w:spacing w:after="0" w:line="277" w:lineRule="auto"/>
        <w:tabs>
          <w:tab w:leader="none" w:pos="68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The risk of accidents or insecurity should be self-examination and timely rectification. Cooperate with Pu soft company and the property management unit for safety inspection and rectification.</w:t>
      </w:r>
    </w:p>
    <w:p>
      <w:pPr>
        <w:spacing w:after="0" w:line="133" w:lineRule="exact"/>
        <w:rPr>
          <w:rFonts w:ascii="Arial" w:cs="Arial" w:eastAsia="Arial" w:hAnsi="Arial"/>
          <w:sz w:val="14"/>
          <w:szCs w:val="14"/>
          <w:color w:val="auto"/>
        </w:rPr>
      </w:pPr>
    </w:p>
    <w:p>
      <w:pPr>
        <w:ind w:left="400" w:hanging="396"/>
        <w:spacing w:after="0"/>
        <w:tabs>
          <w:tab w:leader="none" w:pos="400" w:val="left"/>
        </w:tabs>
        <w:numPr>
          <w:ilvl w:val="0"/>
          <w:numId w:val="341"/>
        </w:numPr>
        <w:rPr>
          <w:rFonts w:ascii="Arial" w:cs="Arial" w:eastAsia="Arial" w:hAnsi="Arial"/>
          <w:sz w:val="14"/>
          <w:szCs w:val="14"/>
          <w:color w:val="auto"/>
        </w:rPr>
      </w:pPr>
      <w:r>
        <w:rPr>
          <w:rFonts w:ascii="Arial" w:cs="Arial" w:eastAsia="Arial" w:hAnsi="Arial"/>
          <w:sz w:val="14"/>
          <w:szCs w:val="14"/>
          <w:color w:val="auto"/>
        </w:rPr>
        <w:t>Requirements of Fire Safety</w:t>
      </w:r>
    </w:p>
    <w:p>
      <w:pPr>
        <w:spacing w:after="0" w:line="196" w:lineRule="exact"/>
        <w:rPr>
          <w:rFonts w:ascii="Arial" w:cs="Arial" w:eastAsia="Arial" w:hAnsi="Arial"/>
          <w:sz w:val="14"/>
          <w:szCs w:val="14"/>
          <w:color w:val="auto"/>
        </w:rPr>
      </w:pPr>
    </w:p>
    <w:p>
      <w:pPr>
        <w:ind w:left="680" w:hanging="286"/>
        <w:spacing w:after="0"/>
        <w:tabs>
          <w:tab w:leader="none" w:pos="680" w:val="left"/>
        </w:tabs>
        <w:numPr>
          <w:ilvl w:val="1"/>
          <w:numId w:val="341"/>
        </w:numPr>
        <w:rPr>
          <w:rFonts w:ascii="Arial" w:cs="Arial" w:eastAsia="Arial" w:hAnsi="Arial"/>
          <w:sz w:val="14"/>
          <w:szCs w:val="14"/>
          <w:color w:val="auto"/>
        </w:rPr>
      </w:pPr>
      <w:r>
        <w:rPr>
          <w:rFonts w:ascii="Arial" w:cs="Arial" w:eastAsia="Arial" w:hAnsi="Arial"/>
          <w:sz w:val="14"/>
          <w:szCs w:val="14"/>
          <w:color w:val="auto"/>
        </w:rPr>
        <w:t>Actively involved in the fire drill and cooperate with Pu soft company and property management units.</w:t>
      </w:r>
    </w:p>
    <w:p>
      <w:pPr>
        <w:spacing w:after="0" w:line="196" w:lineRule="exact"/>
        <w:rPr>
          <w:rFonts w:ascii="Arial" w:cs="Arial" w:eastAsia="Arial" w:hAnsi="Arial"/>
          <w:sz w:val="14"/>
          <w:szCs w:val="14"/>
          <w:color w:val="auto"/>
        </w:rPr>
      </w:pPr>
    </w:p>
    <w:p>
      <w:pPr>
        <w:ind w:left="680" w:hanging="286"/>
        <w:spacing w:after="0" w:line="277" w:lineRule="auto"/>
        <w:tabs>
          <w:tab w:leader="none" w:pos="680" w:val="left"/>
        </w:tabs>
        <w:numPr>
          <w:ilvl w:val="1"/>
          <w:numId w:val="341"/>
        </w:numPr>
        <w:rPr>
          <w:rFonts w:ascii="Arial" w:cs="Arial" w:eastAsia="Arial" w:hAnsi="Arial"/>
          <w:sz w:val="14"/>
          <w:szCs w:val="14"/>
          <w:color w:val="auto"/>
        </w:rPr>
      </w:pPr>
      <w:r>
        <w:rPr>
          <w:rFonts w:ascii="Arial" w:cs="Arial" w:eastAsia="Arial" w:hAnsi="Arial"/>
          <w:sz w:val="14"/>
          <w:szCs w:val="14"/>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54" w:lineRule="exact"/>
        <w:rPr>
          <w:rFonts w:ascii="Arial" w:cs="Arial" w:eastAsia="Arial" w:hAnsi="Arial"/>
          <w:sz w:val="14"/>
          <w:szCs w:val="14"/>
          <w:color w:val="auto"/>
        </w:rPr>
      </w:pPr>
    </w:p>
    <w:p>
      <w:pPr>
        <w:ind w:left="680" w:hanging="286"/>
        <w:spacing w:after="0"/>
        <w:tabs>
          <w:tab w:leader="none" w:pos="680" w:val="left"/>
        </w:tabs>
        <w:numPr>
          <w:ilvl w:val="1"/>
          <w:numId w:val="341"/>
        </w:numPr>
        <w:rPr>
          <w:rFonts w:ascii="Arial" w:cs="Arial" w:eastAsia="Arial" w:hAnsi="Arial"/>
          <w:sz w:val="14"/>
          <w:szCs w:val="14"/>
          <w:color w:val="auto"/>
        </w:rPr>
      </w:pPr>
      <w:r>
        <w:rPr>
          <w:rFonts w:ascii="Arial" w:cs="Arial" w:eastAsia="Arial" w:hAnsi="Arial"/>
          <w:sz w:val="14"/>
          <w:szCs w:val="14"/>
          <w:color w:val="auto"/>
        </w:rPr>
        <w:t>Smoking is strictly forbidden in non-smoking areas. It is forbidden to use open flame in violation of regulation.</w:t>
      </w:r>
    </w:p>
    <w:p>
      <w:pPr>
        <w:spacing w:after="0" w:line="196" w:lineRule="exact"/>
        <w:rPr>
          <w:rFonts w:ascii="Arial" w:cs="Arial" w:eastAsia="Arial" w:hAnsi="Arial"/>
          <w:sz w:val="14"/>
          <w:szCs w:val="14"/>
          <w:color w:val="auto"/>
        </w:rPr>
      </w:pPr>
    </w:p>
    <w:p>
      <w:pPr>
        <w:ind w:left="680" w:hanging="286"/>
        <w:spacing w:after="0"/>
        <w:tabs>
          <w:tab w:leader="none" w:pos="680" w:val="left"/>
        </w:tabs>
        <w:numPr>
          <w:ilvl w:val="1"/>
          <w:numId w:val="341"/>
        </w:numPr>
        <w:rPr>
          <w:rFonts w:ascii="Arial" w:cs="Arial" w:eastAsia="Arial" w:hAnsi="Arial"/>
          <w:sz w:val="14"/>
          <w:szCs w:val="14"/>
          <w:color w:val="auto"/>
        </w:rPr>
      </w:pPr>
      <w:r>
        <w:rPr>
          <w:rFonts w:ascii="Arial" w:cs="Arial" w:eastAsia="Arial" w:hAnsi="Arial"/>
          <w:sz w:val="14"/>
          <w:szCs w:val="14"/>
          <w:color w:val="auto"/>
        </w:rPr>
        <w:t>It is forbidden to block, close, occupy the evacuation routes and entrances and exits.</w:t>
      </w:r>
    </w:p>
    <w:p>
      <w:pPr>
        <w:spacing w:after="0" w:line="175" w:lineRule="exact"/>
        <w:rPr>
          <w:rFonts w:ascii="Arial" w:cs="Arial" w:eastAsia="Arial" w:hAnsi="Arial"/>
          <w:sz w:val="14"/>
          <w:szCs w:val="14"/>
          <w:color w:val="auto"/>
        </w:rPr>
      </w:pPr>
    </w:p>
    <w:p>
      <w:pPr>
        <w:ind w:left="400" w:hanging="396"/>
        <w:spacing w:after="0"/>
        <w:tabs>
          <w:tab w:leader="none" w:pos="400" w:val="left"/>
        </w:tabs>
        <w:numPr>
          <w:ilvl w:val="0"/>
          <w:numId w:val="341"/>
        </w:numPr>
        <w:rPr>
          <w:rFonts w:ascii="Arial" w:cs="Arial" w:eastAsia="Arial" w:hAnsi="Arial"/>
          <w:sz w:val="14"/>
          <w:szCs w:val="14"/>
          <w:color w:val="auto"/>
        </w:rPr>
      </w:pPr>
      <w:r>
        <w:rPr>
          <w:rFonts w:ascii="Arial" w:cs="Arial" w:eastAsia="Arial" w:hAnsi="Arial"/>
          <w:sz w:val="14"/>
          <w:szCs w:val="14"/>
          <w:color w:val="auto"/>
        </w:rPr>
        <w:t>Requirements of Security and Traffic Safety</w:t>
      </w:r>
    </w:p>
    <w:p>
      <w:pPr>
        <w:spacing w:after="0" w:line="196" w:lineRule="exact"/>
        <w:rPr>
          <w:rFonts w:ascii="Arial" w:cs="Arial" w:eastAsia="Arial" w:hAnsi="Arial"/>
          <w:sz w:val="14"/>
          <w:szCs w:val="14"/>
          <w:color w:val="auto"/>
        </w:rPr>
      </w:pPr>
    </w:p>
    <w:p>
      <w:pPr>
        <w:ind w:left="680" w:hanging="286"/>
        <w:spacing w:after="0" w:line="277" w:lineRule="auto"/>
        <w:tabs>
          <w:tab w:leader="none" w:pos="680" w:val="left"/>
        </w:tabs>
        <w:numPr>
          <w:ilvl w:val="1"/>
          <w:numId w:val="341"/>
        </w:numPr>
        <w:rPr>
          <w:rFonts w:ascii="Arial" w:cs="Arial" w:eastAsia="Arial" w:hAnsi="Arial"/>
          <w:sz w:val="14"/>
          <w:szCs w:val="14"/>
          <w:color w:val="auto"/>
        </w:rPr>
      </w:pPr>
      <w:r>
        <w:rPr>
          <w:rFonts w:ascii="Arial" w:cs="Arial" w:eastAsia="Arial" w:hAnsi="Arial"/>
          <w:sz w:val="14"/>
          <w:szCs w:val="14"/>
          <w:color w:val="auto"/>
        </w:rPr>
        <w:t>Improve staff's awareness of personal safety, property safety and traffic safety. Properly store their valuables such as cash and securities, and set up more reliable safety precautions to prevent theft.</w:t>
      </w:r>
    </w:p>
    <w:p>
      <w:pPr>
        <w:spacing w:after="0" w:line="154" w:lineRule="exact"/>
        <w:rPr>
          <w:rFonts w:ascii="Arial" w:cs="Arial" w:eastAsia="Arial" w:hAnsi="Arial"/>
          <w:sz w:val="14"/>
          <w:szCs w:val="14"/>
          <w:color w:val="auto"/>
        </w:rPr>
      </w:pPr>
    </w:p>
    <w:p>
      <w:pPr>
        <w:ind w:left="680" w:hanging="286"/>
        <w:spacing w:after="0" w:line="277" w:lineRule="auto"/>
        <w:tabs>
          <w:tab w:leader="none" w:pos="680" w:val="left"/>
        </w:tabs>
        <w:numPr>
          <w:ilvl w:val="1"/>
          <w:numId w:val="341"/>
        </w:numPr>
        <w:rPr>
          <w:rFonts w:ascii="Arial" w:cs="Arial" w:eastAsia="Arial" w:hAnsi="Arial"/>
          <w:sz w:val="14"/>
          <w:szCs w:val="14"/>
          <w:color w:val="auto"/>
        </w:rPr>
      </w:pPr>
      <w:r>
        <w:rPr>
          <w:rFonts w:ascii="Arial" w:cs="Arial" w:eastAsia="Arial" w:hAnsi="Arial"/>
          <w:sz w:val="14"/>
          <w:szCs w:val="14"/>
          <w:color w:val="auto"/>
        </w:rPr>
        <w:t>The motor vehicles owned by their employees or their employees’ relatives shall strictly follow the traffic lights’ instruction and traffic signs’ instruction to drive. Parking in the line with norms and regulations.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277100" cy="133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293" w:name="page294"/>
    <w:bookmarkEnd w:id="293"/>
    <w:p>
      <w:pPr>
        <w:jc w:val="right"/>
        <w:spacing w:after="0"/>
        <w:rPr>
          <w:sz w:val="20"/>
          <w:szCs w:val="20"/>
          <w:color w:val="auto"/>
        </w:rPr>
      </w:pPr>
      <w:r>
        <w:rPr>
          <w:rFonts w:ascii="Arial" w:cs="Arial" w:eastAsia="Arial" w:hAnsi="Arial"/>
          <w:sz w:val="17"/>
          <w:szCs w:val="17"/>
          <w:b w:val="1"/>
          <w:bCs w:val="1"/>
          <w:color w:val="auto"/>
        </w:rPr>
        <w:t>Exhibit 10.8</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Framework Contract of Subcontracting Technical Service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Client (Party A): ChinaLink Professional Services Co., Ltd.</w:t>
      </w:r>
    </w:p>
    <w:p>
      <w:pPr>
        <w:spacing w:after="0" w:line="199" w:lineRule="auto"/>
        <w:rPr>
          <w:sz w:val="20"/>
          <w:szCs w:val="20"/>
          <w:color w:val="auto"/>
        </w:rPr>
      </w:pPr>
      <w:r>
        <w:rPr>
          <w:rFonts w:ascii="Arial" w:cs="Arial" w:eastAsia="Arial" w:hAnsi="Arial"/>
          <w:sz w:val="14"/>
          <w:szCs w:val="14"/>
          <w:color w:val="auto"/>
        </w:rPr>
        <w:t>Registered address: 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 building 18, Guo Shoujing Road No. 498, Pudong New District, Shanghai</w:t>
      </w:r>
    </w:p>
    <w:p>
      <w:pPr>
        <w:spacing w:after="0"/>
        <w:rPr>
          <w:sz w:val="20"/>
          <w:szCs w:val="20"/>
          <w:color w:val="auto"/>
        </w:rPr>
      </w:pPr>
      <w:r>
        <w:rPr>
          <w:rFonts w:ascii="Arial" w:cs="Arial" w:eastAsia="Arial" w:hAnsi="Arial"/>
          <w:sz w:val="14"/>
          <w:szCs w:val="14"/>
          <w:color w:val="auto"/>
        </w:rPr>
        <w:t>Legal Representative: Yang Xiaofeng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Postcode: 201203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 021-31268010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Fax: 021-61682201</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Trustee (Party B): Shanghai Zhouyi Information Technology Co., Ltd.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Registered address: Room 1212, West Zhongshan Road No. 933, Changning District, Shanghai</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Legal Representative: Lu Zhongyi</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Postcode: 200051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 021-51113716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Fax: 021-51113717</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Signed at: Pudong New District, Shanghai, China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Date of Signing: May 1, 2017</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Contract No. of Party 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Contract No. of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277100" cy="133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79"/>
        </w:trPr>
        <w:tc>
          <w:tcPr>
            <w:tcW w:w="5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380" w:type="dxa"/>
            <w:vAlign w:val="bottom"/>
          </w:tcPr>
          <w:p>
            <w:pPr>
              <w:ind w:left="1360"/>
              <w:spacing w:after="0"/>
              <w:rPr>
                <w:sz w:val="20"/>
                <w:szCs w:val="20"/>
                <w:color w:val="auto"/>
              </w:rPr>
            </w:pPr>
            <w:r>
              <w:rPr>
                <w:rFonts w:ascii="Arial" w:cs="Arial" w:eastAsia="Arial" w:hAnsi="Arial"/>
                <w:sz w:val="14"/>
                <w:szCs w:val="14"/>
                <w:color w:val="auto"/>
              </w:rPr>
              <w:t>Catalogue</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Definition</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3</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2.</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The Service Model</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5</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3.</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Party A’s Obligations</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5</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4.</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Party B’s Obligations</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6</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5.</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Assessment and Acceptance</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6</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6.</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Fees and Payment</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7</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Confidential</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8</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8.</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Intellectual Property Rights</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9</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Liability for Breach of Contract</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10</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10.</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Time Limits and Termination</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12</w:t>
            </w:r>
          </w:p>
        </w:tc>
      </w:tr>
      <w:tr>
        <w:trPr>
          <w:trHeight w:val="168"/>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168"/>
        </w:trPr>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3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The General Terms</w:t>
            </w:r>
          </w:p>
        </w:tc>
        <w:tc>
          <w:tcPr>
            <w:tcW w:w="7380" w:type="dxa"/>
            <w:vAlign w:val="bottom"/>
            <w:shd w:val="clear" w:color="auto" w:fill="CCEEFF"/>
          </w:tcPr>
          <w:p>
            <w:pPr>
              <w:ind w:left="6240"/>
              <w:spacing w:after="0"/>
              <w:rPr>
                <w:sz w:val="20"/>
                <w:szCs w:val="20"/>
                <w:color w:val="auto"/>
              </w:rPr>
            </w:pPr>
            <w:r>
              <w:rPr>
                <w:rFonts w:ascii="Arial" w:cs="Arial" w:eastAsia="Arial" w:hAnsi="Arial"/>
                <w:sz w:val="14"/>
                <w:szCs w:val="14"/>
                <w:color w:val="auto"/>
              </w:rPr>
              <w:t>13</w:t>
            </w:r>
          </w:p>
        </w:tc>
      </w:tr>
      <w:tr>
        <w:trPr>
          <w:trHeight w:val="506"/>
        </w:trPr>
        <w:tc>
          <w:tcPr>
            <w:tcW w:w="5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40" w:right="219" w:bottom="1440" w:gutter="0" w:footer="0" w:header="0"/>
        </w:sectPr>
      </w:pPr>
    </w:p>
    <w:bookmarkStart w:id="295" w:name="page296"/>
    <w:bookmarkEnd w:id="295"/>
    <w:p>
      <w:pPr>
        <w:spacing w:after="0"/>
        <w:rPr>
          <w:sz w:val="20"/>
          <w:szCs w:val="20"/>
          <w:color w:val="auto"/>
        </w:rPr>
      </w:pPr>
      <w:r>
        <w:rPr>
          <w:rFonts w:ascii="Arial" w:cs="Arial" w:eastAsia="Arial" w:hAnsi="Arial"/>
          <w:sz w:val="14"/>
          <w:szCs w:val="14"/>
          <w:color w:val="auto"/>
        </w:rPr>
        <w:t>In consideration of:</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Party A is a company established and operating under the laws of the People's Republic of China and hereby authorizes Party B to provide Project Services (“Services”) to Party A's clients.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Party B is a company established and operating under the laws of the People's Republic of China and hereby accepts the trust from Party A to provide Project Services to Party A's clients.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In view of this, both parties have reached the following agreement through equal and friendly consultations and jointly abide by the agreement.</w:t>
      </w:r>
    </w:p>
    <w:p>
      <w:pPr>
        <w:spacing w:after="0" w:line="176" w:lineRule="exact"/>
        <w:rPr>
          <w:sz w:val="20"/>
          <w:szCs w:val="20"/>
          <w:color w:val="auto"/>
        </w:rPr>
      </w:pPr>
    </w:p>
    <w:p>
      <w:pPr>
        <w:ind w:left="500" w:hanging="496"/>
        <w:spacing w:after="0"/>
        <w:tabs>
          <w:tab w:leader="none" w:pos="500" w:val="left"/>
        </w:tabs>
        <w:numPr>
          <w:ilvl w:val="0"/>
          <w:numId w:val="342"/>
        </w:numPr>
        <w:rPr>
          <w:rFonts w:ascii="Arial" w:cs="Arial" w:eastAsia="Arial" w:hAnsi="Arial"/>
          <w:sz w:val="14"/>
          <w:szCs w:val="14"/>
          <w:color w:val="auto"/>
        </w:rPr>
      </w:pPr>
      <w:r>
        <w:rPr>
          <w:rFonts w:ascii="Arial" w:cs="Arial" w:eastAsia="Arial" w:hAnsi="Arial"/>
          <w:sz w:val="14"/>
          <w:szCs w:val="14"/>
          <w:color w:val="auto"/>
        </w:rPr>
        <w:t>Definition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agreed in writing by both parties or the context otherwise requires, the following terms in this contract have the following meanings: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“Service Location”: refers to the location of the service provided by Party B.</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“Associated Institutions”: refers to the institutions directly or indirectly controlled by one Party, directly or indirectly control one Party, directly or indirectly controlled by an organization as the same with one party. “Organization” refers to any natural person or legal person. “Control” refers to the ability to influence the management of the institution directly or indirectly, whether through ownership, voting shares, agreements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“Working Day”: refers to the business day of commercial bank in the People's Republic of China (excluding rest days and statutory holidays).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“Work Instructions”: refers to the file which determines the duration, location, standards, project staff, fees and other services related matters. The template is shown in Annex I.</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“Contract”: refers to the text of this contract, an attachment that forms an integral part of this contract and other documents agreed upon by both parties.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color w:val="auto"/>
        </w:rPr>
        <w:t>“Party A’s Client”: also called “final user”, refers to the subjects which eventually enjoy the services provided by Party B.</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“Technical Document”: refers to the service related technical documents stipulated in this contract, including drawings, manuals, standards, parameters and other texts and / or chart descriptions.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“Assessment”: refers to that Party A understands, verifies and evaluates the service provided by the project personnel according to the standards and time limits according to this contract.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“Service Achievements”: including but not limited to any invisible effects such as concepts, merits, ideas, goals, etc. that reflect service effectiveness, and physical objects such as drawings, documents, molds, model samples and computer storage media.</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“Software”: refers to a computer program consisting of hardwired logic instructions and machine-readable code (including but not limited to semiconductor devices or systems) resident in system memory, which can provide basic logic, instructions for operation, and user related application instructions, including the files used to describe, maintain, and use the program.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“Day”: refers to the natural day.</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“Upgrade”: refers to the functional changes made by Party B to the service achievements, including but not limited to changes in functions, increases or decreases the number of concurrent users and adjusts the user interface.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“Effective Date”: refers to the date of signing this contract.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“In Written”: including signatures, e-mail, electronic data exchange, and other teletext format.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“Both Parties”: refers to Party A and Party B.</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“Maintain”: refers to that within a certain period after Party A signs the final inspection report, Party B shall rectify the defect in order to make the service achievements possess and maintain the functions stipulated in this contract.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“Site”: refers to the location where Party B provides service and / or installs service achievements.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“Site Maintenance”: refers to that Party B maintains the service locally.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color w:val="auto"/>
        </w:rPr>
        <w:t>“Project Personnel”: refers to employees of Party B who are assigned by Party B to provide services to Party A.</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“Acceptance Check”: refers to the action that the acceptance team composed of both parties test, verify and issue a written report on the function of the service achievements delivered by Party B according to the standards and deadlines agreed upon in this contract.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“One Party”: refers to Party A or Party B.</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“Remote Maintenance”: refers to Party B maintains the service achievements by telephone, fax, e-mail, VPN and other off-site ways.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“China”: refers to the People's Republic of China, for the purpose of this contract, excluding the Hong Kong Special Administrative Region, Macao Special Administrative Region and Taiwan.</w:t>
      </w:r>
    </w:p>
    <w:p>
      <w:pPr>
        <w:spacing w:after="0" w:line="187" w:lineRule="exact"/>
        <w:rPr>
          <w:sz w:val="20"/>
          <w:szCs w:val="20"/>
          <w:color w:val="auto"/>
        </w:rPr>
      </w:pPr>
    </w:p>
    <w:p>
      <w:pPr>
        <w:ind w:left="500" w:hanging="496"/>
        <w:spacing w:after="0"/>
        <w:tabs>
          <w:tab w:leader="none" w:pos="50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The Service Model</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color w:val="auto"/>
        </w:rPr>
        <w:t>Party B shall assign project personnel to provide services in accordance with the contract and the work instructions.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2"/>
          <w:szCs w:val="12"/>
          <w:color w:val="auto"/>
        </w:rPr>
        <w:t>Terms of service, location, content, assessment standards, project personnel, fees and other services related matters should be appointed in the work instructions.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color w:val="auto"/>
        </w:rPr>
        <w:t>Both parties each assigned a project leader (see the work instructions) whose specific responsibilities are as follows:</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project leader of Party A is responsible for formulating a work plan, assigning tasks for project personnel; communicating the progress of the project; entering the assessment project, confirming the workload and signing the corresponding confirmation files.</w:t>
      </w:r>
    </w:p>
    <w:p>
      <w:pPr>
        <w:spacing w:after="0" w:line="133"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project leader of Party B is responsible for arranging project personnel to be in place, communicating the progress of the project and submitting the application files of workload confirmation.</w:t>
      </w:r>
    </w:p>
    <w:p>
      <w:pPr>
        <w:spacing w:after="0" w:line="133" w:lineRule="exact"/>
        <w:rPr>
          <w:sz w:val="20"/>
          <w:szCs w:val="20"/>
          <w:color w:val="auto"/>
        </w:rPr>
      </w:pPr>
    </w:p>
    <w:p>
      <w:pPr>
        <w:ind w:left="500" w:hanging="496"/>
        <w:spacing w:after="0"/>
        <w:tabs>
          <w:tab w:leader="none" w:pos="500" w:val="left"/>
        </w:tabs>
        <w:numPr>
          <w:ilvl w:val="0"/>
          <w:numId w:val="344"/>
        </w:numPr>
        <w:rPr>
          <w:rFonts w:ascii="Arial" w:cs="Arial" w:eastAsia="Arial" w:hAnsi="Arial"/>
          <w:sz w:val="14"/>
          <w:szCs w:val="14"/>
          <w:color w:val="auto"/>
        </w:rPr>
      </w:pPr>
      <w:r>
        <w:rPr>
          <w:rFonts w:ascii="Arial" w:cs="Arial" w:eastAsia="Arial" w:hAnsi="Arial"/>
          <w:sz w:val="14"/>
          <w:szCs w:val="14"/>
          <w:color w:val="auto"/>
        </w:rPr>
        <w:t>Party A’s Obligations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2"/>
          <w:szCs w:val="12"/>
          <w:color w:val="auto"/>
        </w:rPr>
        <w:t>Provide the site, tools, instruments, equipment, software and cooperation required by Party B for completion of the service in time (see the work instructions for details).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98" w:name="page299"/>
    <w:bookmarkEnd w:id="298"/>
    <w:p>
      <w:pPr>
        <w:spacing w:after="0"/>
        <w:tabs>
          <w:tab w:leader="none" w:pos="4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color w:val="auto"/>
        </w:rPr>
        <w:t>Confirm the workload and corresponding costs of project personnel in accordance with the contract and the work instructions.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color w:val="auto"/>
        </w:rPr>
        <w:t>Pay Party B in accordance with the contract and the work instructions.</w:t>
      </w:r>
    </w:p>
    <w:p>
      <w:pPr>
        <w:spacing w:after="0" w:line="176" w:lineRule="exact"/>
        <w:rPr>
          <w:sz w:val="20"/>
          <w:szCs w:val="20"/>
          <w:color w:val="auto"/>
        </w:rPr>
      </w:pPr>
    </w:p>
    <w:p>
      <w:pPr>
        <w:ind w:left="500" w:hanging="496"/>
        <w:spacing w:after="0"/>
        <w:tabs>
          <w:tab w:leader="none" w:pos="50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Party B’s Obligations</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Provide project personnel in accordance with the contract and work instructions on qualifications and time limits agreements. Provide service to Party A at the place agreed in the work instructions.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color w:val="auto"/>
        </w:rPr>
        <w:t>Don not withdraw or change the project personnel without Party A’s consent in written.</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Party B shall provide qualified personnel for replacing the personnel who was confirmed unqualified with Party A’s requirement by Party A within [ ] days after receiving the written notice from Party A. Alternate handover period and the service fee in the period can be seen in the work instructions.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2"/>
          <w:szCs w:val="12"/>
          <w:color w:val="auto"/>
        </w:rPr>
        <w:t>To ensure that its project personnel will perform confidentiality obligations in accordance with the provisions of Article 7 of the contract.</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In the process of providing service, if it is needed to use the soft or / and hard products of third party (except those provided by Party A or required by Party A), you should obtain the corresponding authorization of third party and do not violate the third party's right of intellectual property, and do not violate the laws and regulations and so on.</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2"/>
          <w:szCs w:val="12"/>
          <w:color w:val="auto"/>
        </w:rPr>
        <w:t>Provide the maintenance service in accordance with the work instructions.</w:t>
      </w:r>
    </w:p>
    <w:p>
      <w:pPr>
        <w:spacing w:after="0" w:line="176" w:lineRule="exact"/>
        <w:rPr>
          <w:sz w:val="20"/>
          <w:szCs w:val="20"/>
          <w:color w:val="auto"/>
        </w:rPr>
      </w:pPr>
    </w:p>
    <w:p>
      <w:pPr>
        <w:ind w:left="500" w:hanging="496"/>
        <w:spacing w:after="0"/>
        <w:tabs>
          <w:tab w:leader="none" w:pos="500" w:val="left"/>
        </w:tabs>
        <w:numPr>
          <w:ilvl w:val="0"/>
          <w:numId w:val="346"/>
        </w:numPr>
        <w:rPr>
          <w:rFonts w:ascii="Arial" w:cs="Arial" w:eastAsia="Arial" w:hAnsi="Arial"/>
          <w:sz w:val="14"/>
          <w:szCs w:val="14"/>
          <w:color w:val="auto"/>
        </w:rPr>
      </w:pPr>
      <w:r>
        <w:rPr>
          <w:rFonts w:ascii="Arial" w:cs="Arial" w:eastAsia="Arial" w:hAnsi="Arial"/>
          <w:sz w:val="14"/>
          <w:szCs w:val="14"/>
          <w:color w:val="auto"/>
        </w:rPr>
        <w:t>Assessment and Acceptance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color w:val="auto"/>
        </w:rPr>
        <w:t>The standards of personnel assessment and service achievement are detailed in the work instructions.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99" w:name="page300"/>
    <w:bookmarkEnd w:id="299"/>
    <w:p>
      <w:pPr>
        <w:ind w:left="500" w:hanging="496"/>
        <w:spacing w:after="0"/>
        <w:tabs>
          <w:tab w:leader="none" w:pos="500" w:val="left"/>
        </w:tabs>
        <w:numPr>
          <w:ilvl w:val="0"/>
          <w:numId w:val="347"/>
        </w:numPr>
        <w:rPr>
          <w:rFonts w:ascii="Arial" w:cs="Arial" w:eastAsia="Arial" w:hAnsi="Arial"/>
          <w:sz w:val="14"/>
          <w:szCs w:val="14"/>
          <w:color w:val="auto"/>
        </w:rPr>
      </w:pPr>
      <w:r>
        <w:rPr>
          <w:rFonts w:ascii="Arial" w:cs="Arial" w:eastAsia="Arial" w:hAnsi="Arial"/>
          <w:sz w:val="14"/>
          <w:szCs w:val="14"/>
          <w:color w:val="auto"/>
        </w:rPr>
        <w:t>Fees and Payment</w:t>
      </w:r>
    </w:p>
    <w:p>
      <w:pPr>
        <w:spacing w:after="0" w:line="176"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Party A shall pay service fee to Party B according to the standard stipulated in the work instructions, and Party A shall not pay Party B any additional fees such as travel expenses, accommodation expenses and overtime pay.</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color w:val="auto"/>
        </w:rPr>
        <w:t>Payment</w:t>
      </w:r>
    </w:p>
    <w:p>
      <w:pPr>
        <w:spacing w:after="0" w:line="176"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6.2.1</w:t>
      </w:r>
      <w:r>
        <w:rPr>
          <w:sz w:val="20"/>
          <w:szCs w:val="20"/>
          <w:color w:val="auto"/>
        </w:rPr>
        <w:tab/>
      </w:r>
      <w:r>
        <w:rPr>
          <w:rFonts w:ascii="Arial" w:cs="Arial" w:eastAsia="Arial" w:hAnsi="Arial"/>
          <w:sz w:val="14"/>
          <w:szCs w:val="14"/>
          <w:color w:val="auto"/>
        </w:rPr>
        <w:t>Both parties understand and confirm that Party A pays service fees to Party B on the premise that Party B's current service quality and workload and expense list are confirmed by Party A in written and Party A receives the current service fee paid by Party A's customers.</w:t>
      </w:r>
    </w:p>
    <w:p>
      <w:pPr>
        <w:spacing w:after="0" w:line="133" w:lineRule="exact"/>
        <w:rPr>
          <w:sz w:val="20"/>
          <w:szCs w:val="20"/>
          <w:color w:val="auto"/>
        </w:rPr>
      </w:pPr>
    </w:p>
    <w:p>
      <w:pPr>
        <w:jc w:val="both"/>
        <w:ind w:left="500" w:hanging="504"/>
        <w:spacing w:after="0" w:line="264" w:lineRule="auto"/>
        <w:tabs>
          <w:tab w:leader="none" w:pos="480" w:val="left"/>
        </w:tabs>
        <w:rPr>
          <w:sz w:val="20"/>
          <w:szCs w:val="20"/>
          <w:color w:val="auto"/>
        </w:rPr>
      </w:pPr>
      <w:r>
        <w:rPr>
          <w:rFonts w:ascii="Arial" w:cs="Arial" w:eastAsia="Arial" w:hAnsi="Arial"/>
          <w:sz w:val="14"/>
          <w:szCs w:val="14"/>
          <w:color w:val="auto"/>
        </w:rPr>
        <w:t>6.2.2</w:t>
      </w:r>
      <w:r>
        <w:rPr>
          <w:sz w:val="20"/>
          <w:szCs w:val="20"/>
          <w:color w:val="auto"/>
        </w:rPr>
        <w:tab/>
      </w:r>
      <w:r>
        <w:rPr>
          <w:rFonts w:ascii="Arial" w:cs="Arial" w:eastAsia="Arial" w:hAnsi="Arial"/>
          <w:sz w:val="14"/>
          <w:szCs w:val="14"/>
          <w:color w:val="auto"/>
        </w:rPr>
        <w:t>On the last working day of each month, Party B's financial liaison submits a list of expenses for the current month to Party A's financial liaison. If Party A confirms that the service quality of Party B meets the agreement and the list of workload and expense details is correct, Party A shall make a confirmation in writing and notify Party B to issue the invoice. If Party B should pay liquidated damages in the current month, Party A has the right to deduct it directly from the service fee of the current month.</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6.2.3</w:t>
      </w:r>
      <w:r>
        <w:rPr>
          <w:sz w:val="20"/>
          <w:szCs w:val="20"/>
          <w:color w:val="auto"/>
        </w:rPr>
        <w:tab/>
      </w:r>
      <w:r>
        <w:rPr>
          <w:rFonts w:ascii="Arial" w:cs="Arial" w:eastAsia="Arial" w:hAnsi="Arial"/>
          <w:sz w:val="13"/>
          <w:szCs w:val="13"/>
          <w:color w:val="auto"/>
        </w:rPr>
        <w:t>computational formula of the monthly fee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monthly fee = staff standard rate * the actual service days in the month - deducted fee of the month</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thereinto: Standard service hours is 8 hours per day (from9:00 to 18:00, including 1-hour lunch break).</w:t>
      </w:r>
    </w:p>
    <w:p>
      <w:pPr>
        <w:spacing w:after="0" w:line="176"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6.2.4</w:t>
      </w:r>
      <w:r>
        <w:rPr>
          <w:sz w:val="20"/>
          <w:szCs w:val="20"/>
          <w:color w:val="auto"/>
        </w:rPr>
        <w:tab/>
      </w:r>
      <w:r>
        <w:rPr>
          <w:rFonts w:ascii="Arial" w:cs="Arial" w:eastAsia="Arial" w:hAnsi="Arial"/>
          <w:sz w:val="14"/>
          <w:szCs w:val="14"/>
          <w:color w:val="auto"/>
        </w:rPr>
        <w:t>Party A shall, upon receipt of the monthly service fee paid by Party A's client and the tax invoice issued by Party B in compliance with the relevant laws and regulations, shall transfer the payment in RMB to the bank account of Party B which is on the first page of the contract with 30 days.</w:t>
      </w:r>
    </w:p>
    <w:p>
      <w:pPr>
        <w:spacing w:after="0" w:line="133" w:lineRule="exact"/>
        <w:rPr>
          <w:sz w:val="20"/>
          <w:szCs w:val="20"/>
          <w:color w:val="auto"/>
        </w:rPr>
      </w:pPr>
    </w:p>
    <w:p>
      <w:pPr>
        <w:jc w:val="both"/>
        <w:ind w:left="500" w:hanging="504"/>
        <w:spacing w:after="0" w:line="264" w:lineRule="auto"/>
        <w:tabs>
          <w:tab w:leader="none" w:pos="480" w:val="left"/>
        </w:tabs>
        <w:rPr>
          <w:sz w:val="20"/>
          <w:szCs w:val="20"/>
          <w:color w:val="auto"/>
        </w:rPr>
      </w:pPr>
      <w:r>
        <w:rPr>
          <w:rFonts w:ascii="Arial" w:cs="Arial" w:eastAsia="Arial" w:hAnsi="Arial"/>
          <w:sz w:val="14"/>
          <w:szCs w:val="14"/>
          <w:color w:val="auto"/>
        </w:rPr>
        <w:t>6.2.5</w:t>
      </w:r>
      <w:r>
        <w:rPr>
          <w:sz w:val="20"/>
          <w:szCs w:val="20"/>
          <w:color w:val="auto"/>
        </w:rPr>
        <w:tab/>
      </w:r>
      <w:r>
        <w:rPr>
          <w:rFonts w:ascii="Arial" w:cs="Arial" w:eastAsia="Arial" w:hAnsi="Arial"/>
          <w:sz w:val="14"/>
          <w:szCs w:val="14"/>
          <w:color w:val="auto"/>
        </w:rPr>
        <w:t>If Party A requires, Party B shall cooperate with Party A to verify whether the invoice is true or not, including but not limited to providing the original copy of the invoice stub and the serial number of the invoice purchased. If there is a tax issue on the invoice provided by Party B, including but not limited to taxes, late fees, fines and related losses, Party B shall bear the liability for compensation.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00" w:name="page301"/>
    <w:bookmarkEnd w:id="300"/>
    <w:p>
      <w:pPr>
        <w:spacing w:after="0"/>
        <w:tabs>
          <w:tab w:leader="none" w:pos="48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2"/>
          <w:szCs w:val="12"/>
          <w:color w:val="auto"/>
        </w:rPr>
        <w:t>Both parties shall bear the taxes and fees that they shall bear in connection with the contract according to the provisions of the tax law of China.</w:t>
      </w:r>
    </w:p>
    <w:p>
      <w:pPr>
        <w:spacing w:after="0" w:line="176" w:lineRule="exact"/>
        <w:rPr>
          <w:sz w:val="20"/>
          <w:szCs w:val="20"/>
          <w:color w:val="auto"/>
        </w:rPr>
      </w:pPr>
    </w:p>
    <w:p>
      <w:pPr>
        <w:ind w:left="500" w:hanging="496"/>
        <w:spacing w:after="0"/>
        <w:tabs>
          <w:tab w:leader="none" w:pos="500" w:val="left"/>
        </w:tabs>
        <w:numPr>
          <w:ilvl w:val="0"/>
          <w:numId w:val="348"/>
        </w:numPr>
        <w:rPr>
          <w:rFonts w:ascii="Arial" w:cs="Arial" w:eastAsia="Arial" w:hAnsi="Arial"/>
          <w:sz w:val="14"/>
          <w:szCs w:val="14"/>
          <w:color w:val="auto"/>
        </w:rPr>
      </w:pPr>
      <w:r>
        <w:rPr>
          <w:rFonts w:ascii="Arial" w:cs="Arial" w:eastAsia="Arial" w:hAnsi="Arial"/>
          <w:sz w:val="14"/>
          <w:szCs w:val="14"/>
          <w:color w:val="auto"/>
        </w:rPr>
        <w:t>Confidential</w:t>
      </w:r>
    </w:p>
    <w:p>
      <w:pPr>
        <w:spacing w:after="0" w:line="176" w:lineRule="exact"/>
        <w:rPr>
          <w:sz w:val="20"/>
          <w:szCs w:val="20"/>
          <w:color w:val="auto"/>
        </w:rPr>
      </w:pPr>
    </w:p>
    <w:p>
      <w:pPr>
        <w:jc w:val="both"/>
        <w:ind w:left="500" w:hanging="504"/>
        <w:spacing w:after="0" w:line="259" w:lineRule="auto"/>
        <w:tabs>
          <w:tab w:leader="none" w:pos="48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Before the signing of the contract and its time limits, one party (“disclosing party”) has or may disclose the commercial, technical or other information to the other party (“receiving party”). Such materials or information is confidential if it is defined to be confidential (or has similar label), or it is disclosed in a confidential situation, or it should be confidential based on both parties’ reasonable business judgment (“confidential information”). Both parties particularly clear that the existence and content of this contract and the information of Party A's customers are confidential. Before the confidential information get into the public domain, the receiving party should:</w:t>
      </w:r>
    </w:p>
    <w:p>
      <w:pPr>
        <w:spacing w:after="0" w:line="147" w:lineRule="exact"/>
        <w:rPr>
          <w:sz w:val="20"/>
          <w:szCs w:val="20"/>
          <w:color w:val="auto"/>
        </w:rPr>
      </w:pPr>
    </w:p>
    <w:p>
      <w:pPr>
        <w:ind w:left="900" w:hanging="391"/>
        <w:spacing w:after="0"/>
        <w:tabs>
          <w:tab w:leader="none" w:pos="900" w:val="left"/>
        </w:tabs>
        <w:numPr>
          <w:ilvl w:val="0"/>
          <w:numId w:val="349"/>
        </w:numPr>
        <w:rPr>
          <w:rFonts w:ascii="Arial" w:cs="Arial" w:eastAsia="Arial" w:hAnsi="Arial"/>
          <w:sz w:val="14"/>
          <w:szCs w:val="14"/>
          <w:color w:val="auto"/>
        </w:rPr>
      </w:pPr>
      <w:r>
        <w:rPr>
          <w:rFonts w:ascii="Arial" w:cs="Arial" w:eastAsia="Arial" w:hAnsi="Arial"/>
          <w:sz w:val="14"/>
          <w:szCs w:val="14"/>
          <w:color w:val="auto"/>
        </w:rPr>
        <w:t>Keep the confidential information confidential;</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49"/>
        </w:numPr>
        <w:rPr>
          <w:rFonts w:ascii="Arial" w:cs="Arial" w:eastAsia="Arial" w:hAnsi="Arial"/>
          <w:sz w:val="14"/>
          <w:szCs w:val="14"/>
          <w:color w:val="auto"/>
        </w:rPr>
      </w:pPr>
      <w:r>
        <w:rPr>
          <w:rFonts w:ascii="Arial" w:cs="Arial" w:eastAsia="Arial" w:hAnsi="Arial"/>
          <w:sz w:val="14"/>
          <w:szCs w:val="14"/>
          <w:color w:val="auto"/>
        </w:rPr>
        <w:t>Use the confidential information only for the purpose of this contract;</w:t>
      </w:r>
    </w:p>
    <w:p>
      <w:pPr>
        <w:spacing w:after="0" w:line="175" w:lineRule="exact"/>
        <w:rPr>
          <w:rFonts w:ascii="Arial" w:cs="Arial" w:eastAsia="Arial" w:hAnsi="Arial"/>
          <w:sz w:val="14"/>
          <w:szCs w:val="14"/>
          <w:color w:val="auto"/>
        </w:rPr>
      </w:pPr>
    </w:p>
    <w:p>
      <w:pPr>
        <w:ind w:left="900" w:hanging="391"/>
        <w:spacing w:after="0" w:line="277" w:lineRule="auto"/>
        <w:tabs>
          <w:tab w:leader="none" w:pos="900" w:val="left"/>
        </w:tabs>
        <w:numPr>
          <w:ilvl w:val="0"/>
          <w:numId w:val="349"/>
        </w:numPr>
        <w:rPr>
          <w:rFonts w:ascii="Arial" w:cs="Arial" w:eastAsia="Arial" w:hAnsi="Arial"/>
          <w:sz w:val="14"/>
          <w:szCs w:val="14"/>
          <w:color w:val="auto"/>
        </w:rPr>
      </w:pPr>
      <w:r>
        <w:rPr>
          <w:rFonts w:ascii="Arial" w:cs="Arial" w:eastAsia="Arial" w:hAnsi="Arial"/>
          <w:sz w:val="14"/>
          <w:szCs w:val="14"/>
          <w:color w:val="auto"/>
        </w:rPr>
        <w:t>Do not disclose confidential information to other persons except for the receiving party’s employees who do have a need to know the confidential information for the purpose of providing services.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color w:val="auto"/>
        </w:rPr>
        <w:t>The obligations stipulated in the preceding paragraph do not apply to the following information and materials:</w:t>
      </w:r>
    </w:p>
    <w:p>
      <w:pPr>
        <w:spacing w:after="0" w:line="176" w:lineRule="exact"/>
        <w:rPr>
          <w:sz w:val="20"/>
          <w:szCs w:val="20"/>
          <w:color w:val="auto"/>
        </w:rPr>
      </w:pPr>
    </w:p>
    <w:p>
      <w:pPr>
        <w:ind w:left="900" w:hanging="391"/>
        <w:spacing w:after="0"/>
        <w:tabs>
          <w:tab w:leader="none" w:pos="90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It has been in the public domain at the time of disclosure or gets into the public domain after disclosure;</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It has been known by the receiving party at the time of disclosure and the receiving party does not assume confidentiality obligations;</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The receiving party gets it from the third party without violating this contract;</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It is provided to the third party by the disclosing party and it is unpaid with confidentiality obligations;</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It is exploited by the receiving party independently of the confidential information.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1" w:name="page302"/>
    <w:bookmarkEnd w:id="301"/>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Upon the termination of this contract, the receiving party shall return all information to the disclosing party (or destroy it as required by the disclosing party), including the confidential information of disclosing party which was provided under this contract.</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2"/>
          <w:szCs w:val="12"/>
          <w:color w:val="auto"/>
        </w:rPr>
        <w:t>Party B shall provide services for Party A's clients in the name of Party A, but shall not make any representations or warranties to Party A's clients in any form.</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2"/>
          <w:szCs w:val="12"/>
          <w:color w:val="auto"/>
        </w:rPr>
        <w:t xml:space="preserve">Both parties may sign a </w:t>
      </w:r>
      <w:r>
        <w:rPr>
          <w:rFonts w:ascii="Arial" w:cs="Arial" w:eastAsia="Arial" w:hAnsi="Arial"/>
          <w:sz w:val="12"/>
          <w:szCs w:val="12"/>
          <w:i w:val="1"/>
          <w:iCs w:val="1"/>
          <w:color w:val="auto"/>
        </w:rPr>
        <w:t>Confidentiality Agreement</w:t>
      </w:r>
      <w:r>
        <w:rPr>
          <w:rFonts w:ascii="Arial" w:cs="Arial" w:eastAsia="Arial" w:hAnsi="Arial"/>
          <w:sz w:val="12"/>
          <w:szCs w:val="12"/>
          <w:color w:val="auto"/>
        </w:rPr>
        <w:t xml:space="preserve"> separately. If the </w:t>
      </w:r>
      <w:r>
        <w:rPr>
          <w:rFonts w:ascii="Arial" w:cs="Arial" w:eastAsia="Arial" w:hAnsi="Arial"/>
          <w:sz w:val="12"/>
          <w:szCs w:val="12"/>
          <w:i w:val="1"/>
          <w:iCs w:val="1"/>
          <w:color w:val="auto"/>
        </w:rPr>
        <w:t>Confidentiality Agreement</w:t>
      </w:r>
      <w:r>
        <w:rPr>
          <w:rFonts w:ascii="Arial" w:cs="Arial" w:eastAsia="Arial" w:hAnsi="Arial"/>
          <w:sz w:val="12"/>
          <w:szCs w:val="12"/>
          <w:color w:val="auto"/>
        </w:rPr>
        <w:t xml:space="preserve"> conflicts with Article 7, the </w:t>
      </w:r>
      <w:r>
        <w:rPr>
          <w:rFonts w:ascii="Arial" w:cs="Arial" w:eastAsia="Arial" w:hAnsi="Arial"/>
          <w:sz w:val="12"/>
          <w:szCs w:val="12"/>
          <w:i w:val="1"/>
          <w:iCs w:val="1"/>
          <w:color w:val="auto"/>
        </w:rPr>
        <w:t>Confidentiality Agreement</w:t>
      </w:r>
      <w:r>
        <w:rPr>
          <w:rFonts w:ascii="Arial" w:cs="Arial" w:eastAsia="Arial" w:hAnsi="Arial"/>
          <w:sz w:val="12"/>
          <w:szCs w:val="12"/>
          <w:color w:val="auto"/>
        </w:rPr>
        <w:t xml:space="preserve"> shall prevail.</w:t>
      </w:r>
    </w:p>
    <w:p>
      <w:pPr>
        <w:spacing w:after="0" w:line="176" w:lineRule="exact"/>
        <w:rPr>
          <w:sz w:val="20"/>
          <w:szCs w:val="20"/>
          <w:color w:val="auto"/>
        </w:rPr>
      </w:pPr>
    </w:p>
    <w:p>
      <w:pPr>
        <w:ind w:left="500" w:hanging="496"/>
        <w:spacing w:after="0"/>
        <w:tabs>
          <w:tab w:leader="none" w:pos="500" w:val="left"/>
        </w:tabs>
        <w:numPr>
          <w:ilvl w:val="0"/>
          <w:numId w:val="351"/>
        </w:numPr>
        <w:rPr>
          <w:rFonts w:ascii="Arial" w:cs="Arial" w:eastAsia="Arial" w:hAnsi="Arial"/>
          <w:sz w:val="14"/>
          <w:szCs w:val="14"/>
          <w:color w:val="auto"/>
        </w:rPr>
      </w:pPr>
      <w:r>
        <w:rPr>
          <w:rFonts w:ascii="Arial" w:cs="Arial" w:eastAsia="Arial" w:hAnsi="Arial"/>
          <w:sz w:val="14"/>
          <w:szCs w:val="14"/>
          <w:color w:val="auto"/>
        </w:rPr>
        <w:t>Intellectual Property Rights</w:t>
      </w:r>
    </w:p>
    <w:p>
      <w:pPr>
        <w:spacing w:after="0" w:line="176" w:lineRule="exact"/>
        <w:rPr>
          <w:sz w:val="20"/>
          <w:szCs w:val="20"/>
          <w:color w:val="auto"/>
        </w:rPr>
      </w:pPr>
    </w:p>
    <w:p>
      <w:pPr>
        <w:jc w:val="both"/>
        <w:ind w:left="500" w:hanging="504"/>
        <w:spacing w:after="0" w:line="275" w:lineRule="auto"/>
        <w:tabs>
          <w:tab w:leader="none" w:pos="48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color w:val="auto"/>
        </w:rPr>
        <w:t>Unless otherwise agreed in writing by both parties, the ownership of intellectual property such as copyrights, trademarks, patents and patent applications that existed prior to the signing of this contract shall remain unchanged. If the service achievements delivered by Party B involve the intellectual property rights that existed before the contract came into effect or the intellectual property rights is acquired by Party B (or its affiliates) independent of the services under this contract (“existing intellectual property rights”), in order to ensure that Party A's clients have the right to use the service achievements accomplished by this contract commercially, Party B shall give Party A the non-exclusive, non-transferable, perpetual, irrevocable, worldwide free and sub-licensing permission. In this contract, the words “commercial use” shall have the following meanings: in the case of patent rights and the context of patent law, including but not limited to manufacturing, using, selling, offering to sell, importing patented products or using proprietary methods and the use of the promise of selling, selling and importing the products directly obtained under the patent method. In terms of copyright, means the use of the work as defined in the Copyright Law and relevant laws and regulations, including but not limited to publication, modification, copying, distribution, adaptation, translation, compilation and other means of use of works, but does not include the act of dissemination through the information network. In terms of the right to technical secrets, it means without violating the secrecy of both parties, manufacture, use and sale the products which containing the technical secrets, use the technical secrets and other action permitted by laws. In terms of other intellectual property rights, it means the use of other intellectual property rights under the relevant laws and regulations. However, the commercial use mentioned in this contract does not include permitting or authorizing others to do the above.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2" w:name="page303"/>
    <w:bookmarkEnd w:id="302"/>
    <w:p>
      <w:pPr>
        <w:jc w:val="both"/>
        <w:ind w:left="500" w:hanging="504"/>
        <w:spacing w:after="0" w:line="264" w:lineRule="auto"/>
        <w:tabs>
          <w:tab w:leader="none" w:pos="4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The intellectual property rights which is provided by Party B such as copyrights, trademark rights, patent rights and patent application rights shall belong to Party A’s clients, and Party B shall not be entitled to any rights or interests in respect of these service achievements. Party B agrees that Party B shall not make any changes on the service achievements (including but not limited to redevelopment) without permission from Party A and Party A’s clients.</w:t>
      </w:r>
    </w:p>
    <w:p>
      <w:pPr>
        <w:spacing w:after="0" w:line="142"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Party B shall provide related assistance services free of charge on the request of Party A and Party A’s clients in the process of registering / declaring the intellectual property of the service achievements of Party A and Party A’s clients.</w:t>
      </w:r>
    </w:p>
    <w:p>
      <w:pPr>
        <w:spacing w:after="0" w:line="133" w:lineRule="exact"/>
        <w:rPr>
          <w:sz w:val="20"/>
          <w:szCs w:val="20"/>
          <w:color w:val="auto"/>
        </w:rPr>
      </w:pPr>
    </w:p>
    <w:p>
      <w:pPr>
        <w:ind w:left="500" w:hanging="496"/>
        <w:spacing w:after="0"/>
        <w:tabs>
          <w:tab w:leader="none" w:pos="500" w:val="left"/>
        </w:tabs>
        <w:numPr>
          <w:ilvl w:val="0"/>
          <w:numId w:val="352"/>
        </w:numPr>
        <w:rPr>
          <w:rFonts w:ascii="Arial" w:cs="Arial" w:eastAsia="Arial" w:hAnsi="Arial"/>
          <w:sz w:val="14"/>
          <w:szCs w:val="14"/>
          <w:color w:val="auto"/>
        </w:rPr>
      </w:pPr>
      <w:r>
        <w:rPr>
          <w:rFonts w:ascii="Arial" w:cs="Arial" w:eastAsia="Arial" w:hAnsi="Arial"/>
          <w:sz w:val="14"/>
          <w:szCs w:val="14"/>
          <w:color w:val="auto"/>
        </w:rPr>
        <w:t>Liability for Breach of Contract</w:t>
      </w:r>
    </w:p>
    <w:p>
      <w:pPr>
        <w:spacing w:after="0" w:line="176" w:lineRule="exact"/>
        <w:rPr>
          <w:sz w:val="20"/>
          <w:szCs w:val="20"/>
          <w:color w:val="auto"/>
        </w:rPr>
      </w:pPr>
    </w:p>
    <w:p>
      <w:pPr>
        <w:jc w:val="both"/>
        <w:ind w:left="500" w:hanging="504"/>
        <w:spacing w:after="0" w:line="264" w:lineRule="auto"/>
        <w:tabs>
          <w:tab w:leader="none" w:pos="48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Overdue service responsibility: if Party B late to provide service personnel, Party B shall pay liquidated damages which is 0.05% of the overdue amount per day. If Party B does not pay the liquidated damages up to 15 days, Party A has the right to stop or terminate the service and terminate the contract, in this situation, Party B shall pay all the above liquidated damages and compensate for Party A’s loss.</w:t>
      </w:r>
    </w:p>
    <w:p>
      <w:pPr>
        <w:spacing w:after="0" w:line="142"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Overdue payment responsibility: if Party A late to pay, Party A shall pay liquidated damages which is 0.05% of the overdue amount per day, but the total amount of liquidated damages cannot over 10% of the total amount in the work instructions.</w:t>
      </w:r>
    </w:p>
    <w:p>
      <w:pPr>
        <w:spacing w:after="0" w:line="133"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Tortious liability to the third party: if the service that Party B provided violates the right of the third party, Party B shall bear the consequential consequences, and compensate all the losses of Party A.</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3"/>
          <w:szCs w:val="13"/>
          <w:color w:val="auto"/>
        </w:rPr>
        <w:t>Duty of confidentiality: if a party violates the obligation of confidentiality under Article 7, it shall compensate the other party for the entire loss.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3" w:name="page304"/>
    <w:bookmarkEnd w:id="303"/>
    <w:p>
      <w:pPr>
        <w:jc w:val="both"/>
        <w:ind w:left="480" w:hanging="504"/>
        <w:spacing w:after="0" w:line="277" w:lineRule="auto"/>
        <w:tabs>
          <w:tab w:leader="none" w:pos="46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Duty of intellectual property rights: if Party B uses or allows others to use the other Party’s intellectual property in the form of violating the contract, Party B shall compensate all the losses of Party A.</w:t>
      </w:r>
    </w:p>
    <w:p>
      <w:pPr>
        <w:spacing w:after="0" w:line="133" w:lineRule="exact"/>
        <w:rPr>
          <w:sz w:val="20"/>
          <w:szCs w:val="20"/>
          <w:color w:val="auto"/>
        </w:rPr>
      </w:pPr>
    </w:p>
    <w:p>
      <w:pPr>
        <w:jc w:val="both"/>
        <w:ind w:left="480" w:hanging="504"/>
        <w:spacing w:after="0" w:line="317" w:lineRule="auto"/>
        <w:tabs>
          <w:tab w:leader="none" w:pos="46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3"/>
          <w:szCs w:val="13"/>
          <w:color w:val="auto"/>
        </w:rPr>
        <w:t>Commercial bribery responsibility: if Party B violates the anti-commercial bribe obligations stipulated in this contract, Party B shall return in full the fees paid by Party A and pay Party A 30% of the total amount of the contract as breach of contract damages, which if not be enough to make up for the loss of Party A, Party B should also compensate for the full loss.</w:t>
      </w:r>
    </w:p>
    <w:p>
      <w:pPr>
        <w:spacing w:after="0" w:line="110" w:lineRule="exact"/>
        <w:rPr>
          <w:sz w:val="20"/>
          <w:szCs w:val="20"/>
          <w:color w:val="auto"/>
        </w:rPr>
      </w:pPr>
    </w:p>
    <w:p>
      <w:pPr>
        <w:jc w:val="both"/>
        <w:ind w:left="480" w:hanging="504"/>
        <w:spacing w:after="0" w:line="264" w:lineRule="auto"/>
        <w:tabs>
          <w:tab w:leader="none" w:pos="46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color w:val="auto"/>
        </w:rPr>
        <w:t>Prohibit recruiting responsibility: Party B shall not use any form of recruitment to hire or use any of Party A's active employees and leave within one year after the expiration of the term and without the prior express written consent of Party A. If Party B violates its obligations under this subsection, it shall pay Party A liquidated damages equivalent to one year's salary of the employed employee or the departing employee who has been employed or used by the employer.</w:t>
      </w:r>
    </w:p>
    <w:p>
      <w:pPr>
        <w:spacing w:after="0" w:line="142" w:lineRule="exact"/>
        <w:rPr>
          <w:sz w:val="20"/>
          <w:szCs w:val="20"/>
          <w:color w:val="auto"/>
        </w:rPr>
      </w:pPr>
    </w:p>
    <w:p>
      <w:pPr>
        <w:jc w:val="both"/>
        <w:ind w:left="480" w:hanging="504"/>
        <w:spacing w:after="0" w:line="317" w:lineRule="auto"/>
        <w:tabs>
          <w:tab w:leader="none" w:pos="46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3"/>
          <w:szCs w:val="13"/>
          <w:color w:val="auto"/>
        </w:rPr>
        <w:t>Non-competition responsibility: Party B shall not provide the same or similar services in any form to Party A's clients within the term of this contract and within one year after its termination without the prior written consent of Party A. If Party B violates the obligations under this paragraph, Party B shall return all the service fee which is already paid by Party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133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40"/>
          </w:cols>
          <w:pgMar w:left="240" w:top="739" w:right="219" w:bottom="1440" w:gutter="0" w:footer="0" w:header="0"/>
        </w:sectPr>
      </w:pPr>
    </w:p>
    <w:bookmarkStart w:id="304" w:name="page305"/>
    <w:bookmarkEnd w:id="304"/>
    <w:p>
      <w:pPr>
        <w:ind w:right="9300" w:firstLine="4"/>
        <w:spacing w:after="0" w:line="501" w:lineRule="auto"/>
        <w:tabs>
          <w:tab w:leader="none" w:pos="505" w:val="left"/>
        </w:tabs>
        <w:numPr>
          <w:ilvl w:val="0"/>
          <w:numId w:val="353"/>
        </w:numPr>
        <w:rPr>
          <w:rFonts w:ascii="Arial" w:cs="Arial" w:eastAsia="Arial" w:hAnsi="Arial"/>
          <w:sz w:val="14"/>
          <w:szCs w:val="14"/>
          <w:color w:val="auto"/>
        </w:rPr>
      </w:pPr>
      <w:r>
        <w:rPr>
          <w:rFonts w:ascii="Arial" w:cs="Arial" w:eastAsia="Arial" w:hAnsi="Arial"/>
          <w:sz w:val="14"/>
          <w:szCs w:val="14"/>
          <w:color w:val="auto"/>
        </w:rPr>
        <w:t>Time Limits and Termination 10.1 Time Limits</w:t>
      </w:r>
    </w:p>
    <w:p>
      <w:pPr>
        <w:spacing w:after="0" w:line="1"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The contract shall be effective after signed by the legal representatives of both parties or their authorized representatives and sealed the company seal or contract seal from the day of signing / sealing to get off work on May 6, 2017.</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color w:val="auto"/>
        </w:rPr>
        <w:t>Termination</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10.2.1</w:t>
        <w:tab/>
        <w:t>Under one of the following situation, one party is entitled to notify the other party to terminate this contract and / or related work instructions (such notice should be signed by the legal representatives of both parties or their authorized representatives and sealed the company seal or contract seal).</w:t>
      </w:r>
    </w:p>
    <w:p>
      <w:pPr>
        <w:spacing w:after="0" w:line="133" w:lineRule="exact"/>
        <w:rPr>
          <w:sz w:val="20"/>
          <w:szCs w:val="20"/>
          <w:color w:val="auto"/>
        </w:rPr>
      </w:pPr>
    </w:p>
    <w:p>
      <w:pPr>
        <w:ind w:left="900" w:hanging="391"/>
        <w:spacing w:after="0"/>
        <w:tabs>
          <w:tab w:leader="none" w:pos="900" w:val="left"/>
        </w:tabs>
        <w:numPr>
          <w:ilvl w:val="0"/>
          <w:numId w:val="354"/>
        </w:numPr>
        <w:rPr>
          <w:rFonts w:ascii="Arial" w:cs="Arial" w:eastAsia="Arial" w:hAnsi="Arial"/>
          <w:sz w:val="14"/>
          <w:szCs w:val="14"/>
          <w:color w:val="auto"/>
        </w:rPr>
      </w:pPr>
      <w:r>
        <w:rPr>
          <w:rFonts w:ascii="Arial" w:cs="Arial" w:eastAsia="Arial" w:hAnsi="Arial"/>
          <w:sz w:val="14"/>
          <w:szCs w:val="14"/>
          <w:color w:val="auto"/>
        </w:rPr>
        <w:t>Due to force majeure this contract’s purpose cannot be achieved;</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54"/>
        </w:numPr>
        <w:rPr>
          <w:rFonts w:ascii="Arial" w:cs="Arial" w:eastAsia="Arial" w:hAnsi="Arial"/>
          <w:sz w:val="13"/>
          <w:szCs w:val="13"/>
          <w:color w:val="auto"/>
        </w:rPr>
      </w:pPr>
      <w:r>
        <w:rPr>
          <w:rFonts w:ascii="Arial" w:cs="Arial" w:eastAsia="Arial" w:hAnsi="Arial"/>
          <w:sz w:val="13"/>
          <w:szCs w:val="13"/>
          <w:color w:val="auto"/>
        </w:rPr>
        <w:t>The other party breaches this contract and fails to remedy the situation effectively or the defaults cannot be remedied by their nature within 30 days from the date of this notification;</w:t>
      </w:r>
    </w:p>
    <w:p>
      <w:pPr>
        <w:spacing w:after="0" w:line="187" w:lineRule="exact"/>
        <w:rPr>
          <w:rFonts w:ascii="Arial" w:cs="Arial" w:eastAsia="Arial" w:hAnsi="Arial"/>
          <w:sz w:val="13"/>
          <w:szCs w:val="13"/>
          <w:color w:val="auto"/>
        </w:rPr>
      </w:pPr>
    </w:p>
    <w:p>
      <w:pPr>
        <w:ind w:left="900" w:hanging="391"/>
        <w:spacing w:after="0"/>
        <w:tabs>
          <w:tab w:leader="none" w:pos="900" w:val="left"/>
        </w:tabs>
        <w:numPr>
          <w:ilvl w:val="0"/>
          <w:numId w:val="354"/>
        </w:numPr>
        <w:rPr>
          <w:rFonts w:ascii="Arial" w:cs="Arial" w:eastAsia="Arial" w:hAnsi="Arial"/>
          <w:sz w:val="14"/>
          <w:szCs w:val="14"/>
          <w:color w:val="auto"/>
        </w:rPr>
      </w:pPr>
      <w:r>
        <w:rPr>
          <w:rFonts w:ascii="Arial" w:cs="Arial" w:eastAsia="Arial" w:hAnsi="Arial"/>
          <w:sz w:val="14"/>
          <w:szCs w:val="14"/>
          <w:color w:val="auto"/>
        </w:rPr>
        <w:t>The other party is bankrupted, or will enter into bankruptcy, clearing and other similar legal proceedings;</w:t>
      </w:r>
    </w:p>
    <w:p>
      <w:pPr>
        <w:spacing w:after="0" w:line="175" w:lineRule="exact"/>
        <w:rPr>
          <w:rFonts w:ascii="Arial" w:cs="Arial" w:eastAsia="Arial" w:hAnsi="Arial"/>
          <w:sz w:val="14"/>
          <w:szCs w:val="14"/>
          <w:color w:val="auto"/>
        </w:rPr>
      </w:pPr>
    </w:p>
    <w:p>
      <w:pPr>
        <w:ind w:left="900" w:hanging="391"/>
        <w:spacing w:after="0"/>
        <w:tabs>
          <w:tab w:leader="none" w:pos="900" w:val="left"/>
        </w:tabs>
        <w:numPr>
          <w:ilvl w:val="0"/>
          <w:numId w:val="354"/>
        </w:numPr>
        <w:rPr>
          <w:rFonts w:ascii="Arial" w:cs="Arial" w:eastAsia="Arial" w:hAnsi="Arial"/>
          <w:sz w:val="14"/>
          <w:szCs w:val="14"/>
          <w:color w:val="auto"/>
        </w:rPr>
      </w:pPr>
      <w:r>
        <w:rPr>
          <w:rFonts w:ascii="Arial" w:cs="Arial" w:eastAsia="Arial" w:hAnsi="Arial"/>
          <w:sz w:val="14"/>
          <w:szCs w:val="14"/>
          <w:color w:val="auto"/>
        </w:rPr>
        <w:t>Substantial changes have taken place in each other's equity and such changes will impair their ability to perform.</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10.2.2</w:t>
        <w:tab/>
        <w:t>Due to the special project, Party A can terminate the contract and /or any term of the work instructions with a notice in written notified 10 days before, but Party A shall pay Party B a fee for the service achievements which have been accepted and checked by Party A.</w:t>
      </w:r>
    </w:p>
    <w:p>
      <w:pPr>
        <w:spacing w:after="0" w:line="133"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10.2.3</w:t>
        <w:tab/>
        <w:t>If Party B violates the contract to terminate the contract and /or any term of work instructions, Party B shall return the full cost which is already paid by Party A and compensate all the losses caused to Party A.</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10.2.4</w:t>
      </w:r>
      <w:r>
        <w:rPr>
          <w:sz w:val="20"/>
          <w:szCs w:val="20"/>
          <w:color w:val="auto"/>
        </w:rPr>
        <w:tab/>
      </w:r>
      <w:r>
        <w:rPr>
          <w:rFonts w:ascii="Arial" w:cs="Arial" w:eastAsia="Arial" w:hAnsi="Arial"/>
          <w:sz w:val="12"/>
          <w:szCs w:val="12"/>
          <w:color w:val="auto"/>
        </w:rPr>
        <w:t>After the termination of this contract, Articles 7, 8, 9, 10 and 11 shall continue to be valid.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5" w:name="page306"/>
    <w:bookmarkEnd w:id="305"/>
    <w:p>
      <w:pPr>
        <w:ind w:left="500" w:hanging="496"/>
        <w:spacing w:after="0"/>
        <w:tabs>
          <w:tab w:leader="none" w:pos="500" w:val="left"/>
        </w:tabs>
        <w:numPr>
          <w:ilvl w:val="0"/>
          <w:numId w:val="355"/>
        </w:numPr>
        <w:rPr>
          <w:rFonts w:ascii="Arial" w:cs="Arial" w:eastAsia="Arial" w:hAnsi="Arial"/>
          <w:sz w:val="14"/>
          <w:szCs w:val="14"/>
          <w:color w:val="auto"/>
        </w:rPr>
      </w:pPr>
      <w:r>
        <w:rPr>
          <w:rFonts w:ascii="Arial" w:cs="Arial" w:eastAsia="Arial" w:hAnsi="Arial"/>
          <w:sz w:val="14"/>
          <w:szCs w:val="14"/>
          <w:color w:val="auto"/>
        </w:rPr>
        <w:t>The General Terms</w:t>
      </w:r>
    </w:p>
    <w:p>
      <w:pPr>
        <w:spacing w:after="0" w:line="17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11.1</w:t>
      </w:r>
      <w:r>
        <w:rPr>
          <w:rFonts w:ascii="Arial" w:cs="Arial" w:eastAsia="Arial" w:hAnsi="Arial"/>
          <w:sz w:val="13"/>
          <w:szCs w:val="13"/>
          <w:color w:val="auto"/>
        </w:rPr>
        <w:t>Force Majeure</w:t>
      </w:r>
    </w:p>
    <w:p>
      <w:pPr>
        <w:spacing w:after="0" w:line="176"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11.1.1</w:t>
        <w:tab/>
        <w:t>After the contract enters into effective, if one party cannot perform the contract according to force majeure, the party’s responsibility is exempted totally or partly due to the effect of force majeure.</w:t>
      </w:r>
    </w:p>
    <w:p>
      <w:pPr>
        <w:spacing w:after="0" w:line="133" w:lineRule="exact"/>
        <w:rPr>
          <w:sz w:val="20"/>
          <w:szCs w:val="20"/>
          <w:color w:val="auto"/>
        </w:rPr>
      </w:pPr>
    </w:p>
    <w:p>
      <w:pPr>
        <w:jc w:val="both"/>
        <w:ind w:left="500" w:hanging="504"/>
        <w:spacing w:after="0" w:line="317" w:lineRule="auto"/>
        <w:tabs>
          <w:tab w:leader="none" w:pos="48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3"/>
          <w:szCs w:val="13"/>
          <w:color w:val="auto"/>
        </w:rPr>
        <w:t>After the occurrence of force majeure, the party encountering the force majeure shall inform the other party as soon as possible, and both parties shall take appropriate measures to prevent the loss from expanding. If one party does not take appropriate measures and makes the loss expanded, the party should compensate for the expanded loss.</w:t>
      </w:r>
    </w:p>
    <w:p>
      <w:pPr>
        <w:spacing w:after="0" w:line="110"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11.1.3</w:t>
        <w:tab/>
        <w:t>After the elimination of the effects of force majeure, the party encountering the force majeure shall provide the certificate issued by notarized authority and other competent authorities within 10 days.</w:t>
      </w:r>
    </w:p>
    <w:p>
      <w:pPr>
        <w:spacing w:after="0" w:line="133" w:lineRule="exact"/>
        <w:rPr>
          <w:sz w:val="20"/>
          <w:szCs w:val="20"/>
          <w:color w:val="auto"/>
        </w:rPr>
      </w:pPr>
    </w:p>
    <w:p>
      <w:pPr>
        <w:jc w:val="both"/>
        <w:ind w:left="500" w:hanging="504"/>
        <w:spacing w:after="0" w:line="317" w:lineRule="auto"/>
        <w:tabs>
          <w:tab w:leader="none" w:pos="480" w:val="left"/>
        </w:tabs>
        <w:rPr>
          <w:sz w:val="20"/>
          <w:szCs w:val="20"/>
          <w:color w:val="auto"/>
        </w:rPr>
      </w:pPr>
      <w:r>
        <w:rPr>
          <w:rFonts w:ascii="Arial" w:cs="Arial" w:eastAsia="Arial" w:hAnsi="Arial"/>
          <w:sz w:val="14"/>
          <w:szCs w:val="14"/>
          <w:color w:val="auto"/>
        </w:rPr>
        <w:t>11.1.4</w:t>
      </w:r>
      <w:r>
        <w:rPr>
          <w:sz w:val="20"/>
          <w:szCs w:val="20"/>
          <w:color w:val="auto"/>
        </w:rPr>
        <w:tab/>
      </w:r>
      <w:r>
        <w:rPr>
          <w:rFonts w:ascii="Arial" w:cs="Arial" w:eastAsia="Arial" w:hAnsi="Arial"/>
          <w:sz w:val="13"/>
          <w:szCs w:val="13"/>
          <w:color w:val="auto"/>
        </w:rPr>
        <w:t>After the elimination of the effects of force majeure, unless both parties have reached other written agreements, the party encountering the force majeure shall continue to perform this contract. If the impact of the force majeure lasts for 30 days, both parties should negotiate and conclude the supplementary agreement or terminate the agreement as soon as possible.</w:t>
      </w:r>
    </w:p>
    <w:p>
      <w:pPr>
        <w:spacing w:after="0" w:line="11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2"/>
          <w:szCs w:val="12"/>
          <w:color w:val="auto"/>
        </w:rPr>
        <w:t>Statements and Warranties</w:t>
      </w:r>
    </w:p>
    <w:p>
      <w:pPr>
        <w:spacing w:after="0" w:line="176" w:lineRule="exact"/>
        <w:rPr>
          <w:sz w:val="20"/>
          <w:szCs w:val="20"/>
          <w:color w:val="auto"/>
        </w:rPr>
      </w:pPr>
    </w:p>
    <w:p>
      <w:pPr>
        <w:jc w:val="both"/>
        <w:ind w:left="500" w:hanging="504"/>
        <w:spacing w:after="0" w:line="317" w:lineRule="auto"/>
        <w:tabs>
          <w:tab w:leader="none" w:pos="480" w:val="left"/>
        </w:tabs>
        <w:rPr>
          <w:sz w:val="20"/>
          <w:szCs w:val="20"/>
          <w:color w:val="auto"/>
        </w:rPr>
      </w:pPr>
      <w:r>
        <w:rPr>
          <w:rFonts w:ascii="Arial" w:cs="Arial" w:eastAsia="Arial" w:hAnsi="Arial"/>
          <w:sz w:val="14"/>
          <w:szCs w:val="14"/>
          <w:color w:val="auto"/>
        </w:rPr>
        <w:t>11.2.1</w:t>
      </w:r>
      <w:r>
        <w:rPr>
          <w:sz w:val="20"/>
          <w:szCs w:val="20"/>
          <w:color w:val="auto"/>
        </w:rPr>
        <w:tab/>
      </w:r>
      <w:r>
        <w:rPr>
          <w:rFonts w:ascii="Arial" w:cs="Arial" w:eastAsia="Arial" w:hAnsi="Arial"/>
          <w:sz w:val="13"/>
          <w:szCs w:val="13"/>
          <w:color w:val="auto"/>
        </w:rPr>
        <w:t>Both parties hereby warrant that they are legal entities which lawfully established and in operation in the People's Republic of China and have obtained the approval (if necessary) from the relevant government authorities and / or other necessary authorities to sign and execute the contract. The signing and performance of this contract shall not violate the other documents.</w:t>
      </w:r>
    </w:p>
    <w:p>
      <w:pPr>
        <w:spacing w:after="0" w:line="11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11.2.2</w:t>
      </w:r>
      <w:r>
        <w:rPr>
          <w:sz w:val="20"/>
          <w:szCs w:val="20"/>
          <w:color w:val="auto"/>
        </w:rPr>
        <w:tab/>
      </w:r>
      <w:r>
        <w:rPr>
          <w:rFonts w:ascii="Arial" w:cs="Arial" w:eastAsia="Arial" w:hAnsi="Arial"/>
          <w:sz w:val="12"/>
          <w:szCs w:val="12"/>
          <w:color w:val="auto"/>
        </w:rPr>
        <w:t>As a supplier who provides services to Party A, Party B promises:</w:t>
      </w:r>
    </w:p>
    <w:p>
      <w:pPr>
        <w:spacing w:after="0" w:line="176" w:lineRule="exact"/>
        <w:rPr>
          <w:sz w:val="20"/>
          <w:szCs w:val="20"/>
          <w:color w:val="auto"/>
        </w:rPr>
      </w:pPr>
    </w:p>
    <w:p>
      <w:pPr>
        <w:jc w:val="both"/>
        <w:ind w:left="500" w:hanging="504"/>
        <w:spacing w:after="0" w:line="264" w:lineRule="auto"/>
        <w:rPr>
          <w:sz w:val="20"/>
          <w:szCs w:val="20"/>
          <w:color w:val="auto"/>
        </w:rPr>
      </w:pPr>
      <w:r>
        <w:rPr>
          <w:rFonts w:ascii="Arial" w:cs="Arial" w:eastAsia="Arial" w:hAnsi="Arial"/>
          <w:sz w:val="14"/>
          <w:szCs w:val="14"/>
          <w:color w:val="auto"/>
        </w:rPr>
        <w:t>11.2.2.1 Business Integrity: any form of corruption, extortion or corruption is strictly prohibited. Party B cannot violate the FCPA, any international anti-corruption convention, nor the anti-corruption laws and regulations of the country in which it operates. Suppliers cannot participate in any form of corruption, extortion or corruption, and suppliers cannot bribe or get unjust enrichment by other means.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6" w:name="page307"/>
    <w:bookmarkEnd w:id="306"/>
    <w:p>
      <w:pPr>
        <w:jc w:val="both"/>
        <w:ind w:left="500" w:hanging="504"/>
        <w:spacing w:after="0" w:line="264" w:lineRule="auto"/>
        <w:rPr>
          <w:sz w:val="20"/>
          <w:szCs w:val="20"/>
          <w:color w:val="auto"/>
        </w:rPr>
      </w:pPr>
      <w:r>
        <w:rPr>
          <w:rFonts w:ascii="Arial" w:cs="Arial" w:eastAsia="Arial" w:hAnsi="Arial"/>
          <w:sz w:val="14"/>
          <w:szCs w:val="14"/>
          <w:color w:val="auto"/>
        </w:rPr>
        <w:t>11.2.2.2 Gifts: avoid giving gifts to Party A’s employees. Even the gifts given out of kindness, in some situation, it may constitute a bribe or a conflict of interest. Do not offer anything of value to gain or maintain the giver's benefits or advantages. Do not provide anything suspected of affecting or disrupting an employee's judgment or responsibility. If you want to provide gifts, catering or hospitality to Party A’s employees, be sure to go through a more concise judgment and decision-making, and grasp the scale.</w:t>
      </w:r>
    </w:p>
    <w:p>
      <w:pPr>
        <w:spacing w:after="0" w:line="142" w:lineRule="exact"/>
        <w:rPr>
          <w:sz w:val="20"/>
          <w:szCs w:val="20"/>
          <w:color w:val="auto"/>
        </w:rPr>
      </w:pPr>
    </w:p>
    <w:p>
      <w:pPr>
        <w:jc w:val="both"/>
        <w:ind w:left="500" w:hanging="504"/>
        <w:spacing w:after="0" w:line="264" w:lineRule="auto"/>
        <w:rPr>
          <w:sz w:val="20"/>
          <w:szCs w:val="20"/>
          <w:color w:val="auto"/>
        </w:rPr>
      </w:pPr>
      <w:r>
        <w:rPr>
          <w:rFonts w:ascii="Arial" w:cs="Arial" w:eastAsia="Arial" w:hAnsi="Arial"/>
          <w:sz w:val="14"/>
          <w:szCs w:val="14"/>
          <w:color w:val="auto"/>
        </w:rPr>
        <w:t>11.2.2.3 Conflicts of Interest: avoid surface or actual misconduct and / or conflicts of interest. Party B shall not directly deal with Party A’s employees who have a significant economic interest in the supplier with their spouses, domestic partners or other family members or relatives. It is equally forbidden to deal directly with spouses, domestic partners or other family members and relatives employed by Party A in negotiating agreements or fulfilling their obligations.</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2"/>
          <w:szCs w:val="12"/>
          <w:color w:val="auto"/>
        </w:rPr>
        <w:t>Relationship Between the Two Parties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11.3.1</w:t>
      </w:r>
      <w:r>
        <w:rPr>
          <w:sz w:val="20"/>
          <w:szCs w:val="20"/>
          <w:color w:val="auto"/>
        </w:rPr>
        <w:tab/>
      </w:r>
      <w:r>
        <w:rPr>
          <w:rFonts w:ascii="Arial" w:cs="Arial" w:eastAsia="Arial" w:hAnsi="Arial"/>
          <w:sz w:val="12"/>
          <w:szCs w:val="12"/>
          <w:color w:val="auto"/>
        </w:rPr>
        <w:t>No terms in this contract shall be construed as creating a joint venture, partnership, agency or any other relationship other than the purpose of this contract between Party A and Party B.</w:t>
      </w:r>
    </w:p>
    <w:p>
      <w:pPr>
        <w:spacing w:after="0" w:line="176" w:lineRule="exact"/>
        <w:rPr>
          <w:sz w:val="20"/>
          <w:szCs w:val="20"/>
          <w:color w:val="auto"/>
        </w:rPr>
      </w:pPr>
    </w:p>
    <w:p>
      <w:pPr>
        <w:jc w:val="both"/>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11.3.2</w:t>
        <w:tab/>
        <w:t>There is no labor contract or labor dispatch relationship between the project personnel and Party A, and the salary, social insurance and housing accumulation fund of the project personnel are paid by Party B, and the occupational injury and other related responsibilities are borne by Party B.</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2"/>
          <w:szCs w:val="12"/>
          <w:color w:val="auto"/>
        </w:rPr>
        <w:t>Transfer</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party may assign any of its rights and / or obligations under this contract without the prior permission in written from the other party.</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2"/>
          <w:szCs w:val="12"/>
          <w:color w:val="auto"/>
        </w:rPr>
        <w:t>Independence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any of the terms of this contract is found to be invalid or unenforceable, the other terms and conditions remain in effect.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3"/>
          <w:szCs w:val="13"/>
          <w:color w:val="auto"/>
        </w:rPr>
        <w:t>Non-abstaining</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11.6.1</w:t>
      </w:r>
      <w:r>
        <w:rPr>
          <w:sz w:val="20"/>
          <w:szCs w:val="20"/>
          <w:color w:val="auto"/>
        </w:rPr>
        <w:tab/>
      </w:r>
      <w:r>
        <w:rPr>
          <w:rFonts w:ascii="Arial" w:cs="Arial" w:eastAsia="Arial" w:hAnsi="Arial"/>
          <w:sz w:val="12"/>
          <w:szCs w:val="12"/>
          <w:color w:val="auto"/>
        </w:rPr>
        <w:t>Any failure or delay of exercising of any rights under this contract shall not be construed as abstaining.</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7" w:name="page308"/>
    <w:bookmarkEnd w:id="307"/>
    <w:p>
      <w:pPr>
        <w:spacing w:after="0"/>
        <w:tabs>
          <w:tab w:leader="none" w:pos="480" w:val="left"/>
        </w:tabs>
        <w:rPr>
          <w:sz w:val="20"/>
          <w:szCs w:val="20"/>
          <w:color w:val="auto"/>
        </w:rPr>
      </w:pPr>
      <w:r>
        <w:rPr>
          <w:rFonts w:ascii="Arial" w:cs="Arial" w:eastAsia="Arial" w:hAnsi="Arial"/>
          <w:sz w:val="14"/>
          <w:szCs w:val="14"/>
          <w:color w:val="auto"/>
        </w:rPr>
        <w:t>11.6.2</w:t>
      </w:r>
      <w:r>
        <w:rPr>
          <w:sz w:val="20"/>
          <w:szCs w:val="20"/>
          <w:color w:val="auto"/>
        </w:rPr>
        <w:tab/>
      </w:r>
      <w:r>
        <w:rPr>
          <w:rFonts w:ascii="Arial" w:cs="Arial" w:eastAsia="Arial" w:hAnsi="Arial"/>
          <w:sz w:val="12"/>
          <w:szCs w:val="12"/>
          <w:color w:val="auto"/>
        </w:rPr>
        <w:t>The quitclaim from any party under this contract should be expressly provided in written and is limited to the extent set out in such written documents.</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11.6.3</w:t>
        <w:tab/>
        <w:t>Any party abandons its right of recourse against the other party for breach of the contract shall not be construed as a waiver of his right of recourse in relation to the other party's continued breach of such obligations nor shall it be construed as a waiver of his claim of breach of this recourse rights of other obligations under the contract.</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2"/>
          <w:szCs w:val="12"/>
          <w:color w:val="auto"/>
        </w:rPr>
        <w:t>Completeness and Priority</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11.7.1</w:t>
        <w:tab/>
        <w:t>This contract reflects and constitutes the entire agreement between the parties in respect of the subject matter, replacing all prior written and oral notices, intentions, notices, undertakings and agreements.</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11.7.2</w:t>
      </w:r>
      <w:r>
        <w:rPr>
          <w:sz w:val="20"/>
          <w:szCs w:val="20"/>
          <w:color w:val="auto"/>
        </w:rPr>
        <w:tab/>
      </w:r>
      <w:r>
        <w:rPr>
          <w:rFonts w:ascii="Arial" w:cs="Arial" w:eastAsia="Arial" w:hAnsi="Arial"/>
          <w:sz w:val="12"/>
          <w:szCs w:val="12"/>
          <w:color w:val="auto"/>
        </w:rPr>
        <w:t>The title under this contract is only for convenience and does not affect the meaning or interpretation of any part of this contract.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11.7.3</w:t>
      </w:r>
      <w:r>
        <w:rPr>
          <w:sz w:val="20"/>
          <w:szCs w:val="20"/>
          <w:color w:val="auto"/>
        </w:rPr>
        <w:tab/>
      </w:r>
      <w:r>
        <w:rPr>
          <w:rFonts w:ascii="Arial" w:cs="Arial" w:eastAsia="Arial" w:hAnsi="Arial"/>
          <w:sz w:val="12"/>
          <w:szCs w:val="12"/>
          <w:color w:val="auto"/>
        </w:rPr>
        <w:t>The annex to this contract includes:</w:t>
      </w:r>
    </w:p>
    <w:p>
      <w:pPr>
        <w:spacing w:after="0" w:line="176" w:lineRule="exact"/>
        <w:rPr>
          <w:sz w:val="20"/>
          <w:szCs w:val="20"/>
          <w:color w:val="auto"/>
        </w:rPr>
      </w:pPr>
    </w:p>
    <w:p>
      <w:pPr>
        <w:ind w:left="900" w:hanging="391"/>
        <w:spacing w:after="0"/>
        <w:tabs>
          <w:tab w:leader="none" w:pos="900" w:val="left"/>
        </w:tabs>
        <w:numPr>
          <w:ilvl w:val="0"/>
          <w:numId w:val="356"/>
        </w:numPr>
        <w:rPr>
          <w:rFonts w:ascii="Arial" w:cs="Arial" w:eastAsia="Arial" w:hAnsi="Arial"/>
          <w:sz w:val="14"/>
          <w:szCs w:val="14"/>
          <w:color w:val="auto"/>
        </w:rPr>
      </w:pPr>
      <w:r>
        <w:rPr>
          <w:rFonts w:ascii="Arial" w:cs="Arial" w:eastAsia="Arial" w:hAnsi="Arial"/>
          <w:sz w:val="14"/>
          <w:szCs w:val="14"/>
          <w:color w:val="auto"/>
        </w:rPr>
        <w:t>Work Instructions (template)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After this contract enters into force, both parties may, if necessary, sign separate attachments which are an integral part of this contract and are binding on both parties.</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11.7.4</w:t>
        <w:tab/>
        <w:t>If the above attachments or other attachments signed by both parties are not in accordance with the terms of this contract, the terms of the attachments will prevail under the premise of the same purpose of this contract.</w:t>
      </w:r>
    </w:p>
    <w:p>
      <w:pPr>
        <w:spacing w:after="0" w:line="133"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11.7.5</w:t>
        <w:tab/>
        <w:t>If there are any unfinished matters or the contract needs to be amended, the two parties shall negotiate and sign the supplemental agreement, which shall be signed by the legal representatives of both parties or their authorized representatives and sealed the company seal or contract seal.</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3"/>
          <w:szCs w:val="13"/>
          <w:color w:val="auto"/>
        </w:rPr>
        <w:t>Publicity</w:t>
      </w:r>
    </w:p>
    <w:p>
      <w:pPr>
        <w:spacing w:after="0" w:line="176" w:lineRule="exact"/>
        <w:rPr>
          <w:sz w:val="20"/>
          <w:szCs w:val="20"/>
          <w:color w:val="auto"/>
        </w:rPr>
      </w:pPr>
    </w:p>
    <w:p>
      <w:pPr>
        <w:ind w:left="500"/>
        <w:spacing w:after="0" w:line="277" w:lineRule="auto"/>
        <w:rPr>
          <w:sz w:val="20"/>
          <w:szCs w:val="20"/>
          <w:color w:val="auto"/>
        </w:rPr>
      </w:pPr>
      <w:r>
        <w:rPr>
          <w:rFonts w:ascii="Arial" w:cs="Arial" w:eastAsia="Arial" w:hAnsi="Arial"/>
          <w:sz w:val="14"/>
          <w:szCs w:val="14"/>
          <w:color w:val="auto"/>
        </w:rPr>
        <w:t>Party B shall not publish any commercial purpose documents, such as announcements, statements, advertisements and other commercial advertisements related to this contract, or use Party A's name, trade name, trademark, etc. for commercial purposes without Party A's prior written consent.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8" w:name="page309"/>
    <w:bookmarkEnd w:id="308"/>
    <w:p>
      <w:pPr>
        <w:spacing w:after="0"/>
        <w:tabs>
          <w:tab w:leader="none" w:pos="48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3"/>
          <w:szCs w:val="13"/>
          <w:color w:val="auto"/>
        </w:rPr>
        <w:t>Notice</w:t>
      </w:r>
    </w:p>
    <w:p>
      <w:pPr>
        <w:spacing w:after="0" w:line="176" w:lineRule="exact"/>
        <w:rPr>
          <w:sz w:val="20"/>
          <w:szCs w:val="20"/>
          <w:color w:val="auto"/>
        </w:rPr>
      </w:pPr>
    </w:p>
    <w:p>
      <w:pPr>
        <w:ind w:left="500" w:hanging="504"/>
        <w:spacing w:after="0" w:line="277" w:lineRule="auto"/>
        <w:tabs>
          <w:tab w:leader="none" w:pos="480" w:val="left"/>
        </w:tabs>
        <w:rPr>
          <w:sz w:val="20"/>
          <w:szCs w:val="20"/>
          <w:color w:val="auto"/>
        </w:rPr>
      </w:pPr>
      <w:r>
        <w:rPr>
          <w:rFonts w:ascii="Arial" w:cs="Arial" w:eastAsia="Arial" w:hAnsi="Arial"/>
          <w:sz w:val="14"/>
          <w:szCs w:val="14"/>
          <w:color w:val="auto"/>
        </w:rPr>
        <w:t>11.9.1</w:t>
        <w:tab/>
        <w:t>Unless otherwise agreed in this contract or the work instructions, notices relating to this contract shall be communicated in writing (or in the absence of agreement to the contrary, including by electronic mail, fax) to the other person named in the Statement of Work. If mailing, China Post Speedpost or registered mail should be used.</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11.9.2</w:t>
      </w:r>
      <w:r>
        <w:rPr>
          <w:sz w:val="20"/>
          <w:szCs w:val="20"/>
          <w:color w:val="auto"/>
        </w:rPr>
        <w:tab/>
      </w:r>
      <w:r>
        <w:rPr>
          <w:rFonts w:ascii="Arial" w:cs="Arial" w:eastAsia="Arial" w:hAnsi="Arial"/>
          <w:sz w:val="12"/>
          <w:szCs w:val="12"/>
          <w:color w:val="auto"/>
        </w:rPr>
        <w:t>If the contact information changes, the changing party shall notify the other party within 5 days after the change, otherwise the losses incurred shall be borne by the responsible party.</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11.10</w:t>
      </w:r>
      <w:r>
        <w:rPr>
          <w:sz w:val="20"/>
          <w:szCs w:val="20"/>
          <w:color w:val="auto"/>
        </w:rPr>
        <w:tab/>
      </w:r>
      <w:r>
        <w:rPr>
          <w:rFonts w:ascii="Arial" w:cs="Arial" w:eastAsia="Arial" w:hAnsi="Arial"/>
          <w:sz w:val="13"/>
          <w:szCs w:val="13"/>
          <w:color w:val="auto"/>
        </w:rPr>
        <w:t>Law Application and Dispute Resolution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11.10.1  The contract applies to the laws of the People's Republic of China, and the legal conflicts cannot be considered.</w:t>
      </w:r>
    </w:p>
    <w:p>
      <w:pPr>
        <w:spacing w:after="0" w:line="176" w:lineRule="exact"/>
        <w:rPr>
          <w:sz w:val="20"/>
          <w:szCs w:val="20"/>
          <w:color w:val="auto"/>
        </w:rPr>
      </w:pPr>
    </w:p>
    <w:p>
      <w:pPr>
        <w:ind w:left="500" w:hanging="504"/>
        <w:spacing w:after="0" w:line="364" w:lineRule="auto"/>
        <w:rPr>
          <w:sz w:val="20"/>
          <w:szCs w:val="20"/>
          <w:color w:val="auto"/>
        </w:rPr>
      </w:pPr>
      <w:r>
        <w:rPr>
          <w:rFonts w:ascii="Arial" w:cs="Arial" w:eastAsia="Arial" w:hAnsi="Arial"/>
          <w:sz w:val="12"/>
          <w:szCs w:val="12"/>
          <w:color w:val="auto"/>
        </w:rPr>
        <w:t>11.10.2 The disputes related to this contract shall be settled through friendly negotiation between both parties at first. If the dispute cannot be settled within 30 days after one party issues the negotiation letter, any party can bring a lawsuit to the people's court in Party A’s registration place. Unless otherwise decided by the court, the costs of the litigation should be borne by the losing party.</w:t>
      </w:r>
    </w:p>
    <w:p>
      <w:pPr>
        <w:spacing w:after="0" w:line="8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3"/>
          <w:szCs w:val="13"/>
          <w:color w:val="auto"/>
        </w:rPr>
        <w:t>Text and Validity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contract in quadruplicate, each party has two copies. All of them have the same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 text below)</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color w:val="auto"/>
        </w:rPr>
        <w:t>Annex I: Work Instructions (template)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Work Instructions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 )</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Client (Party A): ChinaLink Professional Services Co., Ltd.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Trustee (Party B): Shanghai Zhouyi Information Technology Co., Ltd.</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This work instructions was signed on May 1, 2017 on the basis of Framework Contract of Subcontracting Technical Service (“the contract”) signed by Party A and Party B on May 1, 2017 for agreeing on the specific matters of service.</w:t>
      </w:r>
    </w:p>
    <w:p>
      <w:pPr>
        <w:spacing w:after="0" w:line="133" w:lineRule="exact"/>
        <w:rPr>
          <w:sz w:val="20"/>
          <w:szCs w:val="20"/>
          <w:color w:val="auto"/>
        </w:rPr>
      </w:pPr>
    </w:p>
    <w:p>
      <w:pPr>
        <w:ind w:left="500" w:hanging="496"/>
        <w:spacing w:after="0"/>
        <w:tabs>
          <w:tab w:leader="none" w:pos="500" w:val="left"/>
        </w:tabs>
        <w:numPr>
          <w:ilvl w:val="0"/>
          <w:numId w:val="357"/>
        </w:numPr>
        <w:rPr>
          <w:rFonts w:ascii="Arial" w:cs="Arial" w:eastAsia="Arial" w:hAnsi="Arial"/>
          <w:sz w:val="14"/>
          <w:szCs w:val="14"/>
          <w:color w:val="auto"/>
        </w:rPr>
      </w:pPr>
      <w:r>
        <w:rPr>
          <w:rFonts w:ascii="Arial" w:cs="Arial" w:eastAsia="Arial" w:hAnsi="Arial"/>
          <w:sz w:val="14"/>
          <w:szCs w:val="14"/>
          <w:color w:val="auto"/>
        </w:rPr>
        <w:t>The Name of the Project</w:t>
      </w:r>
    </w:p>
    <w:p>
      <w:pPr>
        <w:spacing w:after="0" w:line="200" w:lineRule="exact"/>
        <w:rPr>
          <w:sz w:val="20"/>
          <w:szCs w:val="20"/>
          <w:color w:val="auto"/>
        </w:rPr>
      </w:pPr>
    </w:p>
    <w:p>
      <w:pPr>
        <w:spacing w:after="0" w:line="312" w:lineRule="exact"/>
        <w:rPr>
          <w:sz w:val="20"/>
          <w:szCs w:val="20"/>
          <w:color w:val="auto"/>
        </w:rPr>
      </w:pPr>
    </w:p>
    <w:p>
      <w:pPr>
        <w:ind w:right="9480" w:firstLine="4"/>
        <w:spacing w:after="0" w:line="501" w:lineRule="auto"/>
        <w:tabs>
          <w:tab w:leader="none" w:pos="505" w:val="left"/>
        </w:tabs>
        <w:numPr>
          <w:ilvl w:val="0"/>
          <w:numId w:val="358"/>
        </w:numPr>
        <w:rPr>
          <w:rFonts w:ascii="Arial" w:cs="Arial" w:eastAsia="Arial" w:hAnsi="Arial"/>
          <w:sz w:val="14"/>
          <w:szCs w:val="14"/>
          <w:color w:val="auto"/>
        </w:rPr>
      </w:pPr>
      <w:r>
        <w:rPr>
          <w:rFonts w:ascii="Arial" w:cs="Arial" w:eastAsia="Arial" w:hAnsi="Arial"/>
          <w:sz w:val="14"/>
          <w:szCs w:val="14"/>
          <w:color w:val="auto"/>
        </w:rPr>
        <w:t>The Term of the Service From May 5, 2017 to May 6, 2017. (Pay by day)</w:t>
      </w:r>
    </w:p>
    <w:p>
      <w:pPr>
        <w:spacing w:after="0" w:line="1" w:lineRule="exact"/>
        <w:rPr>
          <w:rFonts w:ascii="Arial" w:cs="Arial" w:eastAsia="Arial" w:hAnsi="Arial"/>
          <w:sz w:val="14"/>
          <w:szCs w:val="14"/>
          <w:color w:val="auto"/>
        </w:rPr>
      </w:pPr>
    </w:p>
    <w:p>
      <w:pPr>
        <w:ind w:left="500" w:hanging="496"/>
        <w:spacing w:after="0"/>
        <w:tabs>
          <w:tab w:leader="none" w:pos="50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The Location of the Service</w:t>
      </w:r>
    </w:p>
    <w:p>
      <w:pPr>
        <w:spacing w:after="0" w:line="200" w:lineRule="exact"/>
        <w:rPr>
          <w:sz w:val="20"/>
          <w:szCs w:val="20"/>
          <w:color w:val="auto"/>
        </w:rPr>
      </w:pPr>
    </w:p>
    <w:p>
      <w:pPr>
        <w:spacing w:after="0" w:line="312" w:lineRule="exact"/>
        <w:rPr>
          <w:sz w:val="20"/>
          <w:szCs w:val="20"/>
          <w:color w:val="auto"/>
        </w:rPr>
      </w:pPr>
    </w:p>
    <w:p>
      <w:pPr>
        <w:ind w:left="500" w:hanging="496"/>
        <w:spacing w:after="0"/>
        <w:tabs>
          <w:tab w:leader="none" w:pos="500" w:val="left"/>
        </w:tabs>
        <w:numPr>
          <w:ilvl w:val="0"/>
          <w:numId w:val="359"/>
        </w:numPr>
        <w:rPr>
          <w:rFonts w:ascii="Arial" w:cs="Arial" w:eastAsia="Arial" w:hAnsi="Arial"/>
          <w:sz w:val="14"/>
          <w:szCs w:val="14"/>
          <w:color w:val="auto"/>
        </w:rPr>
      </w:pPr>
      <w:r>
        <w:rPr>
          <w:rFonts w:ascii="Arial" w:cs="Arial" w:eastAsia="Arial" w:hAnsi="Arial"/>
          <w:sz w:val="14"/>
          <w:szCs w:val="14"/>
          <w:color w:val="auto"/>
        </w:rPr>
        <w:t>The Content of the Service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Assisting clients with the development of new system and handling issues of existing system.</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10" w:name="page311"/>
    <w:bookmarkEnd w:id="310"/>
    <w:p>
      <w:pPr>
        <w:ind w:left="500" w:hanging="496"/>
        <w:spacing w:after="0"/>
        <w:tabs>
          <w:tab w:leader="none" w:pos="500" w:val="left"/>
        </w:tabs>
        <w:numPr>
          <w:ilvl w:val="0"/>
          <w:numId w:val="360"/>
        </w:numPr>
        <w:rPr>
          <w:rFonts w:ascii="Arial" w:cs="Arial" w:eastAsia="Arial" w:hAnsi="Arial"/>
          <w:sz w:val="14"/>
          <w:szCs w:val="14"/>
          <w:color w:val="auto"/>
        </w:rPr>
      </w:pPr>
      <w:r>
        <w:rPr>
          <w:rFonts w:ascii="Arial" w:cs="Arial" w:eastAsia="Arial" w:hAnsi="Arial"/>
          <w:sz w:val="14"/>
          <w:szCs w:val="14"/>
          <w:color w:val="auto"/>
        </w:rPr>
        <w:t>The Type, Level and Qualification Requirements of project personnel</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320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4"/>
                <w:szCs w:val="14"/>
                <w:color w:val="auto"/>
              </w:rPr>
              <w:t>Personnel Type</w:t>
            </w:r>
          </w:p>
        </w:tc>
        <w:tc>
          <w:tcPr>
            <w:tcW w:w="2640" w:type="dxa"/>
            <w:vAlign w:val="bottom"/>
            <w:tcBorders>
              <w:top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4"/>
                <w:szCs w:val="14"/>
                <w:color w:val="auto"/>
              </w:rPr>
              <w:t>Personnel Level</w:t>
            </w:r>
          </w:p>
        </w:tc>
        <w:tc>
          <w:tcPr>
            <w:tcW w:w="49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4"/>
                <w:szCs w:val="14"/>
                <w:color w:val="auto"/>
              </w:rPr>
              <w:t>Personnel Qualification Requirements</w:t>
            </w:r>
          </w:p>
        </w:tc>
      </w:tr>
      <w:tr>
        <w:trPr>
          <w:trHeight w:val="159"/>
        </w:trPr>
        <w:tc>
          <w:tcPr>
            <w:tcW w:w="720" w:type="dxa"/>
            <w:vAlign w:val="bottom"/>
            <w:tcBorders>
              <w:left w:val="single" w:sz="8" w:color="auto"/>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rPr>
              <w:t>1</w:t>
            </w:r>
          </w:p>
        </w:tc>
        <w:tc>
          <w:tcPr>
            <w:tcW w:w="3200" w:type="dxa"/>
            <w:vAlign w:val="bottom"/>
            <w:tcBorders>
              <w:bottom w:val="single" w:sz="8" w:color="auto"/>
              <w:right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ECShop e-commerce platform development</w:t>
            </w:r>
          </w:p>
        </w:tc>
        <w:tc>
          <w:tcPr>
            <w:tcW w:w="2640" w:type="dxa"/>
            <w:vAlign w:val="bottom"/>
            <w:tcBorders>
              <w:bottom w:val="single" w:sz="8" w:color="auto"/>
              <w:right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senior consultant</w:t>
            </w:r>
          </w:p>
        </w:tc>
        <w:tc>
          <w:tcPr>
            <w:tcW w:w="4920" w:type="dxa"/>
            <w:vAlign w:val="bottom"/>
            <w:tcBorders>
              <w:bottom w:val="single" w:sz="8" w:color="auto"/>
              <w:right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Familiar with the development of ECShop platform.</w:t>
            </w:r>
          </w:p>
        </w:tc>
      </w:tr>
      <w:tr>
        <w:trPr>
          <w:trHeight w:val="159"/>
        </w:trPr>
        <w:tc>
          <w:tcPr>
            <w:tcW w:w="72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rPr>
              <w:t>2</w:t>
            </w:r>
          </w:p>
        </w:tc>
        <w:tc>
          <w:tcPr>
            <w:tcW w:w="3200" w:type="dxa"/>
            <w:vAlign w:val="bottom"/>
            <w:tcBorders>
              <w:bottom w:val="single" w:sz="8" w:color="auto"/>
              <w:right w:val="single" w:sz="8" w:color="auto"/>
            </w:tcBorders>
          </w:tcPr>
          <w:p>
            <w:pPr>
              <w:spacing w:after="0"/>
              <w:rPr>
                <w:sz w:val="13"/>
                <w:szCs w:val="13"/>
                <w:color w:val="auto"/>
              </w:rPr>
            </w:pPr>
          </w:p>
        </w:tc>
        <w:tc>
          <w:tcPr>
            <w:tcW w:w="2640" w:type="dxa"/>
            <w:vAlign w:val="bottom"/>
            <w:tcBorders>
              <w:bottom w:val="single" w:sz="8" w:color="auto"/>
              <w:right w:val="single" w:sz="8" w:color="auto"/>
            </w:tcBorders>
          </w:tcPr>
          <w:p>
            <w:pPr>
              <w:spacing w:after="0"/>
              <w:rPr>
                <w:sz w:val="13"/>
                <w:szCs w:val="13"/>
                <w:color w:val="auto"/>
              </w:rPr>
            </w:pPr>
          </w:p>
        </w:tc>
        <w:tc>
          <w:tcPr>
            <w:tcW w:w="4920" w:type="dxa"/>
            <w:vAlign w:val="bottom"/>
            <w:tcBorders>
              <w:bottom w:val="single" w:sz="8" w:color="auto"/>
              <w:right w:val="single" w:sz="8" w:color="auto"/>
            </w:tcBorders>
          </w:tcPr>
          <w:p>
            <w:pPr>
              <w:spacing w:after="0"/>
              <w:rPr>
                <w:sz w:val="13"/>
                <w:szCs w:val="13"/>
                <w:color w:val="auto"/>
              </w:rPr>
            </w:pPr>
          </w:p>
        </w:tc>
      </w:tr>
      <w:tr>
        <w:trPr>
          <w:trHeight w:val="159"/>
        </w:trPr>
        <w:tc>
          <w:tcPr>
            <w:tcW w:w="720" w:type="dxa"/>
            <w:vAlign w:val="bottom"/>
            <w:tcBorders>
              <w:left w:val="single" w:sz="8" w:color="auto"/>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rPr>
              <w:t>3</w:t>
            </w:r>
          </w:p>
        </w:tc>
        <w:tc>
          <w:tcPr>
            <w:tcW w:w="3200" w:type="dxa"/>
            <w:vAlign w:val="bottom"/>
            <w:tcBorders>
              <w:bottom w:val="single" w:sz="8" w:color="auto"/>
              <w:right w:val="single" w:sz="8" w:color="auto"/>
            </w:tcBorders>
            <w:shd w:val="clear" w:color="auto" w:fill="CCEEFF"/>
          </w:tcPr>
          <w:p>
            <w:pPr>
              <w:spacing w:after="0"/>
              <w:rPr>
                <w:sz w:val="13"/>
                <w:szCs w:val="13"/>
                <w:color w:val="auto"/>
              </w:rPr>
            </w:pPr>
          </w:p>
        </w:tc>
        <w:tc>
          <w:tcPr>
            <w:tcW w:w="2640" w:type="dxa"/>
            <w:vAlign w:val="bottom"/>
            <w:tcBorders>
              <w:bottom w:val="single" w:sz="8" w:color="auto"/>
              <w:right w:val="single" w:sz="8" w:color="auto"/>
            </w:tcBorders>
            <w:shd w:val="clear" w:color="auto" w:fill="CCEEFF"/>
          </w:tcPr>
          <w:p>
            <w:pPr>
              <w:spacing w:after="0"/>
              <w:rPr>
                <w:sz w:val="13"/>
                <w:szCs w:val="13"/>
                <w:color w:val="auto"/>
              </w:rPr>
            </w:pPr>
          </w:p>
        </w:tc>
        <w:tc>
          <w:tcPr>
            <w:tcW w:w="492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9"/>
        </w:trPr>
        <w:tc>
          <w:tcPr>
            <w:tcW w:w="72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rPr>
              <w:t>4</w:t>
            </w:r>
          </w:p>
        </w:tc>
        <w:tc>
          <w:tcPr>
            <w:tcW w:w="3200" w:type="dxa"/>
            <w:vAlign w:val="bottom"/>
            <w:tcBorders>
              <w:bottom w:val="single" w:sz="8" w:color="auto"/>
              <w:right w:val="single" w:sz="8" w:color="auto"/>
            </w:tcBorders>
          </w:tcPr>
          <w:p>
            <w:pPr>
              <w:spacing w:after="0"/>
              <w:rPr>
                <w:sz w:val="13"/>
                <w:szCs w:val="13"/>
                <w:color w:val="auto"/>
              </w:rPr>
            </w:pPr>
          </w:p>
        </w:tc>
        <w:tc>
          <w:tcPr>
            <w:tcW w:w="2640" w:type="dxa"/>
            <w:vAlign w:val="bottom"/>
            <w:tcBorders>
              <w:bottom w:val="single" w:sz="8" w:color="auto"/>
              <w:right w:val="single" w:sz="8" w:color="auto"/>
            </w:tcBorders>
          </w:tcPr>
          <w:p>
            <w:pPr>
              <w:spacing w:after="0"/>
              <w:rPr>
                <w:sz w:val="13"/>
                <w:szCs w:val="13"/>
                <w:color w:val="auto"/>
              </w:rPr>
            </w:pPr>
          </w:p>
        </w:tc>
        <w:tc>
          <w:tcPr>
            <w:tcW w:w="4920" w:type="dxa"/>
            <w:vAlign w:val="bottom"/>
            <w:tcBorders>
              <w:bottom w:val="single" w:sz="8" w:color="auto"/>
              <w:right w:val="single" w:sz="8" w:color="auto"/>
            </w:tcBorders>
          </w:tcPr>
          <w:p>
            <w:pPr>
              <w:spacing w:after="0"/>
              <w:rPr>
                <w:sz w:val="13"/>
                <w:szCs w:val="13"/>
                <w:color w:val="auto"/>
              </w:rPr>
            </w:pPr>
          </w:p>
        </w:tc>
      </w:tr>
      <w:tr>
        <w:trPr>
          <w:trHeight w:val="159"/>
        </w:trPr>
        <w:tc>
          <w:tcPr>
            <w:tcW w:w="720" w:type="dxa"/>
            <w:vAlign w:val="bottom"/>
            <w:tcBorders>
              <w:left w:val="single" w:sz="8" w:color="auto"/>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rPr>
              <w:t>5</w:t>
            </w:r>
          </w:p>
        </w:tc>
        <w:tc>
          <w:tcPr>
            <w:tcW w:w="3200" w:type="dxa"/>
            <w:vAlign w:val="bottom"/>
            <w:tcBorders>
              <w:bottom w:val="single" w:sz="8" w:color="auto"/>
              <w:right w:val="single" w:sz="8" w:color="auto"/>
            </w:tcBorders>
            <w:shd w:val="clear" w:color="auto" w:fill="CCEEFF"/>
          </w:tcPr>
          <w:p>
            <w:pPr>
              <w:spacing w:after="0"/>
              <w:rPr>
                <w:sz w:val="13"/>
                <w:szCs w:val="13"/>
                <w:color w:val="auto"/>
              </w:rPr>
            </w:pPr>
          </w:p>
        </w:tc>
        <w:tc>
          <w:tcPr>
            <w:tcW w:w="2640" w:type="dxa"/>
            <w:vAlign w:val="bottom"/>
            <w:tcBorders>
              <w:bottom w:val="single" w:sz="8" w:color="auto"/>
              <w:right w:val="single" w:sz="8" w:color="auto"/>
            </w:tcBorders>
            <w:shd w:val="clear" w:color="auto" w:fill="CCEEFF"/>
          </w:tcPr>
          <w:p>
            <w:pPr>
              <w:spacing w:after="0"/>
              <w:rPr>
                <w:sz w:val="13"/>
                <w:szCs w:val="13"/>
                <w:color w:val="auto"/>
              </w:rPr>
            </w:pPr>
          </w:p>
        </w:tc>
        <w:tc>
          <w:tcPr>
            <w:tcW w:w="4920" w:type="dxa"/>
            <w:vAlign w:val="bottom"/>
            <w:tcBorders>
              <w:bottom w:val="single" w:sz="8" w:color="auto"/>
              <w:right w:val="single" w:sz="8" w:color="auto"/>
            </w:tcBorders>
            <w:shd w:val="clear" w:color="auto" w:fill="CCEEFF"/>
          </w:tcPr>
          <w:p>
            <w:pPr>
              <w:spacing w:after="0"/>
              <w:rPr>
                <w:sz w:val="13"/>
                <w:szCs w:val="13"/>
                <w:color w:val="auto"/>
              </w:rPr>
            </w:pPr>
          </w:p>
        </w:tc>
      </w:tr>
    </w:tbl>
    <w:p>
      <w:pPr>
        <w:spacing w:after="0" w:line="158" w:lineRule="exact"/>
        <w:rPr>
          <w:sz w:val="20"/>
          <w:szCs w:val="20"/>
          <w:color w:val="auto"/>
        </w:rPr>
      </w:pPr>
    </w:p>
    <w:p>
      <w:pPr>
        <w:ind w:left="500" w:hanging="496"/>
        <w:spacing w:after="0"/>
        <w:tabs>
          <w:tab w:leader="none" w:pos="500" w:val="left"/>
        </w:tabs>
        <w:numPr>
          <w:ilvl w:val="0"/>
          <w:numId w:val="361"/>
        </w:numPr>
        <w:rPr>
          <w:rFonts w:ascii="Arial" w:cs="Arial" w:eastAsia="Arial" w:hAnsi="Arial"/>
          <w:sz w:val="14"/>
          <w:szCs w:val="14"/>
          <w:color w:val="auto"/>
        </w:rPr>
      </w:pPr>
      <w:r>
        <w:rPr>
          <w:rFonts w:ascii="Arial" w:cs="Arial" w:eastAsia="Arial" w:hAnsi="Arial"/>
          <w:sz w:val="14"/>
          <w:szCs w:val="14"/>
          <w:color w:val="auto"/>
        </w:rPr>
        <w:t>Service Standards / Assessment Standards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standard service hours are 8 hours per day, from 9:00 am to 6:00 pm (with 1 hour lunch break).</w:t>
      </w:r>
    </w:p>
    <w:p>
      <w:pPr>
        <w:spacing w:after="0" w:line="176" w:lineRule="exact"/>
        <w:rPr>
          <w:sz w:val="20"/>
          <w:szCs w:val="20"/>
          <w:color w:val="auto"/>
        </w:rPr>
      </w:pPr>
    </w:p>
    <w:p>
      <w:pPr>
        <w:ind w:left="500" w:hanging="496"/>
        <w:spacing w:after="0"/>
        <w:tabs>
          <w:tab w:leader="none" w:pos="500" w:val="left"/>
        </w:tabs>
        <w:numPr>
          <w:ilvl w:val="0"/>
          <w:numId w:val="362"/>
        </w:numPr>
        <w:rPr>
          <w:rFonts w:ascii="Arial" w:cs="Arial" w:eastAsia="Arial" w:hAnsi="Arial"/>
          <w:sz w:val="14"/>
          <w:szCs w:val="14"/>
          <w:color w:val="auto"/>
        </w:rPr>
      </w:pPr>
      <w:r>
        <w:rPr>
          <w:rFonts w:ascii="Arial" w:cs="Arial" w:eastAsia="Arial" w:hAnsi="Arial"/>
          <w:sz w:val="14"/>
          <w:szCs w:val="14"/>
          <w:color w:val="auto"/>
        </w:rPr>
        <w:t>Technical Information and Collaboration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Party A shall provide Party B the following technical information as a basic condition for Party B to complete the services under this work specifications: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Technical Information</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Time Limits of providing</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Way of Providing</w:t>
            </w: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The Way of Processing after the termination</w:t>
            </w:r>
          </w:p>
        </w:tc>
      </w:tr>
      <w:tr>
        <w:trPr>
          <w:trHeight w:val="159"/>
        </w:trPr>
        <w:tc>
          <w:tcPr>
            <w:tcW w:w="720" w:type="dxa"/>
            <w:vAlign w:val="bottom"/>
            <w:tcBorders>
              <w:left w:val="single" w:sz="8" w:color="auto"/>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rPr>
              <w:t>1</w:t>
            </w:r>
          </w:p>
        </w:tc>
        <w:tc>
          <w:tcPr>
            <w:tcW w:w="20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Source</w:t>
            </w:r>
          </w:p>
        </w:tc>
        <w:tc>
          <w:tcPr>
            <w:tcW w:w="230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1 day</w:t>
            </w:r>
          </w:p>
        </w:tc>
        <w:tc>
          <w:tcPr>
            <w:tcW w:w="25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Debug, Bug list</w:t>
            </w:r>
          </w:p>
        </w:tc>
        <w:tc>
          <w:tcPr>
            <w:tcW w:w="38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Deliver the revised original code</w:t>
            </w:r>
          </w:p>
        </w:tc>
      </w:tr>
      <w:tr>
        <w:trPr>
          <w:trHeight w:val="159"/>
        </w:trPr>
        <w:tc>
          <w:tcPr>
            <w:tcW w:w="72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rPr>
              <w:t>2</w:t>
            </w:r>
          </w:p>
        </w:tc>
        <w:tc>
          <w:tcPr>
            <w:tcW w:w="2060" w:type="dxa"/>
            <w:vAlign w:val="bottom"/>
            <w:tcBorders>
              <w:bottom w:val="single" w:sz="8" w:color="auto"/>
              <w:right w:val="single" w:sz="8" w:color="auto"/>
            </w:tcBorders>
          </w:tcPr>
          <w:p>
            <w:pPr>
              <w:spacing w:after="0"/>
              <w:rPr>
                <w:sz w:val="13"/>
                <w:szCs w:val="13"/>
                <w:color w:val="auto"/>
              </w:rPr>
            </w:pPr>
          </w:p>
        </w:tc>
        <w:tc>
          <w:tcPr>
            <w:tcW w:w="230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3880" w:type="dxa"/>
            <w:vAlign w:val="bottom"/>
            <w:tcBorders>
              <w:bottom w:val="single" w:sz="8" w:color="auto"/>
              <w:right w:val="single" w:sz="8" w:color="auto"/>
            </w:tcBorders>
          </w:tcPr>
          <w:p>
            <w:pPr>
              <w:spacing w:after="0"/>
              <w:rPr>
                <w:sz w:val="13"/>
                <w:szCs w:val="13"/>
                <w:color w:val="auto"/>
              </w:rPr>
            </w:pPr>
          </w:p>
        </w:tc>
      </w:tr>
    </w:tbl>
    <w:p>
      <w:pPr>
        <w:spacing w:after="0" w:line="158" w:lineRule="exact"/>
        <w:rPr>
          <w:sz w:val="20"/>
          <w:szCs w:val="20"/>
          <w:color w:val="auto"/>
        </w:rPr>
      </w:pPr>
    </w:p>
    <w:p>
      <w:pPr>
        <w:ind w:left="500" w:hanging="496"/>
        <w:spacing w:after="0"/>
        <w:tabs>
          <w:tab w:leader="none" w:pos="500" w:val="left"/>
        </w:tabs>
        <w:numPr>
          <w:ilvl w:val="0"/>
          <w:numId w:val="363"/>
        </w:numPr>
        <w:rPr>
          <w:rFonts w:ascii="Arial" w:cs="Arial" w:eastAsia="Arial" w:hAnsi="Arial"/>
          <w:sz w:val="14"/>
          <w:szCs w:val="14"/>
          <w:color w:val="auto"/>
        </w:rPr>
      </w:pPr>
      <w:r>
        <w:rPr>
          <w:rFonts w:ascii="Arial" w:cs="Arial" w:eastAsia="Arial" w:hAnsi="Arial"/>
          <w:sz w:val="14"/>
          <w:szCs w:val="14"/>
          <w:color w:val="auto"/>
        </w:rPr>
        <w:t>Service Costs</w:t>
      </w:r>
    </w:p>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2"/>
          <w:szCs w:val="12"/>
          <w:color w:val="auto"/>
        </w:rPr>
        <w:t>The service costs standard of project personnel under this work instructions is as follows: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320" w:type="dxa"/>
            <w:vAlign w:val="bottom"/>
            <w:tcBorders>
              <w:top w:val="single" w:sz="8" w:color="auto"/>
              <w:left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Standard rate with tax</w:t>
            </w:r>
          </w:p>
        </w:tc>
        <w:tc>
          <w:tcPr>
            <w:tcW w:w="1840" w:type="dxa"/>
            <w:vAlign w:val="bottom"/>
            <w:tcBorders>
              <w:top w:val="single" w:sz="8" w:color="auto"/>
              <w:right w:val="single" w:sz="8" w:color="auto"/>
            </w:tcBorders>
          </w:tcPr>
          <w:p>
            <w:pPr>
              <w:spacing w:after="0"/>
              <w:rPr>
                <w:sz w:val="14"/>
                <w:szCs w:val="14"/>
                <w:color w:val="auto"/>
              </w:rPr>
            </w:pPr>
          </w:p>
        </w:tc>
      </w:tr>
      <w:tr>
        <w:trPr>
          <w:trHeight w:val="179"/>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Name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Personnel Type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Personnel Level</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(RMByuan/person/day)</w:t>
            </w:r>
          </w:p>
        </w:tc>
        <w:tc>
          <w:tcPr>
            <w:tcW w:w="184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4"/>
                <w:szCs w:val="14"/>
                <w:color w:val="auto"/>
              </w:rPr>
              <w:t>remarks</w:t>
            </w:r>
          </w:p>
        </w:tc>
      </w:tr>
      <w:tr>
        <w:trPr>
          <w:trHeight w:val="148"/>
        </w:trPr>
        <w:tc>
          <w:tcPr>
            <w:tcW w:w="2320" w:type="dxa"/>
            <w:vAlign w:val="bottom"/>
            <w:tcBorders>
              <w:left w:val="single" w:sz="8" w:color="auto"/>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rPr>
              <w:t>1</w:t>
            </w:r>
          </w:p>
        </w:tc>
        <w:tc>
          <w:tcPr>
            <w:tcW w:w="182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98"/>
              </w:rPr>
              <w:t>Lu Zhongyi</w:t>
            </w:r>
          </w:p>
        </w:tc>
        <w:tc>
          <w:tcPr>
            <w:tcW w:w="184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e-commerce platform</w:t>
            </w:r>
          </w:p>
        </w:tc>
        <w:tc>
          <w:tcPr>
            <w:tcW w:w="184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senior consultant</w:t>
            </w:r>
          </w:p>
        </w:tc>
        <w:tc>
          <w:tcPr>
            <w:tcW w:w="182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RMB 3,000</w:t>
            </w:r>
          </w:p>
        </w:tc>
        <w:tc>
          <w:tcPr>
            <w:tcW w:w="1840" w:type="dxa"/>
            <w:vAlign w:val="bottom"/>
            <w:tcBorders>
              <w:right w:val="single" w:sz="8" w:color="auto"/>
            </w:tcBorders>
            <w:shd w:val="clear" w:color="auto" w:fill="CCEEFF"/>
          </w:tcPr>
          <w:p>
            <w:pPr>
              <w:spacing w:after="0"/>
              <w:rPr>
                <w:sz w:val="12"/>
                <w:szCs w:val="12"/>
                <w:color w:val="auto"/>
              </w:rPr>
            </w:pPr>
          </w:p>
        </w:tc>
      </w:tr>
      <w:tr>
        <w:trPr>
          <w:trHeight w:val="179"/>
        </w:trPr>
        <w:tc>
          <w:tcPr>
            <w:tcW w:w="232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820" w:type="dxa"/>
            <w:vAlign w:val="bottom"/>
            <w:tcBorders>
              <w:bottom w:val="single" w:sz="8" w:color="auto"/>
              <w:right w:val="single" w:sz="8" w:color="auto"/>
            </w:tcBorders>
            <w:shd w:val="clear" w:color="auto" w:fill="CCEEFF"/>
          </w:tcPr>
          <w:p>
            <w:pPr>
              <w:spacing w:after="0"/>
              <w:rPr>
                <w:sz w:val="15"/>
                <w:szCs w:val="15"/>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technology</w:t>
            </w:r>
          </w:p>
        </w:tc>
        <w:tc>
          <w:tcPr>
            <w:tcW w:w="1840" w:type="dxa"/>
            <w:vAlign w:val="bottom"/>
            <w:tcBorders>
              <w:bottom w:val="single" w:sz="8" w:color="auto"/>
              <w:right w:val="single" w:sz="8" w:color="auto"/>
            </w:tcBorders>
            <w:shd w:val="clear" w:color="auto" w:fill="CCEEFF"/>
          </w:tcPr>
          <w:p>
            <w:pPr>
              <w:spacing w:after="0"/>
              <w:rPr>
                <w:sz w:val="15"/>
                <w:szCs w:val="15"/>
                <w:color w:val="auto"/>
              </w:rPr>
            </w:pPr>
          </w:p>
        </w:tc>
        <w:tc>
          <w:tcPr>
            <w:tcW w:w="1820" w:type="dxa"/>
            <w:vAlign w:val="bottom"/>
            <w:tcBorders>
              <w:bottom w:val="single" w:sz="8" w:color="auto"/>
              <w:right w:val="single" w:sz="8" w:color="auto"/>
            </w:tcBorders>
            <w:shd w:val="clear" w:color="auto" w:fill="CCEEFF"/>
          </w:tcPr>
          <w:p>
            <w:pPr>
              <w:spacing w:after="0"/>
              <w:rPr>
                <w:sz w:val="15"/>
                <w:szCs w:val="15"/>
                <w:color w:val="auto"/>
              </w:rPr>
            </w:pPr>
          </w:p>
        </w:tc>
        <w:tc>
          <w:tcPr>
            <w:tcW w:w="18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59"/>
        </w:trPr>
        <w:tc>
          <w:tcPr>
            <w:tcW w:w="232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rPr>
              <w:t>2</w:t>
            </w:r>
          </w:p>
        </w:tc>
        <w:tc>
          <w:tcPr>
            <w:tcW w:w="182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r>
      <w:tr>
        <w:trPr>
          <w:trHeight w:val="159"/>
        </w:trPr>
        <w:tc>
          <w:tcPr>
            <w:tcW w:w="2320" w:type="dxa"/>
            <w:vAlign w:val="bottom"/>
            <w:tcBorders>
              <w:left w:val="single" w:sz="8" w:color="auto"/>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rPr>
              <w:t>3</w:t>
            </w:r>
          </w:p>
        </w:tc>
        <w:tc>
          <w:tcPr>
            <w:tcW w:w="1820" w:type="dxa"/>
            <w:vAlign w:val="bottom"/>
            <w:tcBorders>
              <w:bottom w:val="single" w:sz="8" w:color="auto"/>
              <w:right w:val="single" w:sz="8" w:color="auto"/>
            </w:tcBorders>
            <w:shd w:val="clear" w:color="auto" w:fill="CCEEFF"/>
          </w:tcPr>
          <w:p>
            <w:pPr>
              <w:spacing w:after="0"/>
              <w:rPr>
                <w:sz w:val="13"/>
                <w:szCs w:val="13"/>
                <w:color w:val="auto"/>
              </w:rPr>
            </w:pPr>
          </w:p>
        </w:tc>
        <w:tc>
          <w:tcPr>
            <w:tcW w:w="1840" w:type="dxa"/>
            <w:vAlign w:val="bottom"/>
            <w:tcBorders>
              <w:bottom w:val="single" w:sz="8" w:color="auto"/>
              <w:right w:val="single" w:sz="8" w:color="auto"/>
            </w:tcBorders>
            <w:shd w:val="clear" w:color="auto" w:fill="CCEEFF"/>
          </w:tcPr>
          <w:p>
            <w:pPr>
              <w:spacing w:after="0"/>
              <w:rPr>
                <w:sz w:val="13"/>
                <w:szCs w:val="13"/>
                <w:color w:val="auto"/>
              </w:rPr>
            </w:pPr>
          </w:p>
        </w:tc>
        <w:tc>
          <w:tcPr>
            <w:tcW w:w="1840" w:type="dxa"/>
            <w:vAlign w:val="bottom"/>
            <w:tcBorders>
              <w:bottom w:val="single" w:sz="8" w:color="auto"/>
              <w:right w:val="single" w:sz="8" w:color="auto"/>
            </w:tcBorders>
            <w:shd w:val="clear" w:color="auto" w:fill="CCEEFF"/>
          </w:tcPr>
          <w:p>
            <w:pPr>
              <w:spacing w:after="0"/>
              <w:rPr>
                <w:sz w:val="13"/>
                <w:szCs w:val="13"/>
                <w:color w:val="auto"/>
              </w:rPr>
            </w:pPr>
          </w:p>
        </w:tc>
        <w:tc>
          <w:tcPr>
            <w:tcW w:w="1820" w:type="dxa"/>
            <w:vAlign w:val="bottom"/>
            <w:tcBorders>
              <w:bottom w:val="single" w:sz="8" w:color="auto"/>
              <w:right w:val="single" w:sz="8" w:color="auto"/>
            </w:tcBorders>
            <w:shd w:val="clear" w:color="auto" w:fill="CCEEFF"/>
          </w:tcPr>
          <w:p>
            <w:pPr>
              <w:spacing w:after="0"/>
              <w:rPr>
                <w:sz w:val="13"/>
                <w:szCs w:val="13"/>
                <w:color w:val="auto"/>
              </w:rPr>
            </w:pPr>
          </w:p>
        </w:tc>
        <w:tc>
          <w:tcPr>
            <w:tcW w:w="18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9"/>
        </w:trPr>
        <w:tc>
          <w:tcPr>
            <w:tcW w:w="232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rPr>
              <w:t>4</w:t>
            </w:r>
          </w:p>
        </w:tc>
        <w:tc>
          <w:tcPr>
            <w:tcW w:w="182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r>
      <w:tr>
        <w:trPr>
          <w:trHeight w:val="159"/>
        </w:trPr>
        <w:tc>
          <w:tcPr>
            <w:tcW w:w="2320" w:type="dxa"/>
            <w:vAlign w:val="bottom"/>
            <w:tcBorders>
              <w:left w:val="single" w:sz="8" w:color="auto"/>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rPr>
              <w:t>5</w:t>
            </w:r>
          </w:p>
        </w:tc>
        <w:tc>
          <w:tcPr>
            <w:tcW w:w="1820" w:type="dxa"/>
            <w:vAlign w:val="bottom"/>
            <w:tcBorders>
              <w:bottom w:val="single" w:sz="8" w:color="auto"/>
              <w:right w:val="single" w:sz="8" w:color="auto"/>
            </w:tcBorders>
            <w:shd w:val="clear" w:color="auto" w:fill="CCEEFF"/>
          </w:tcPr>
          <w:p>
            <w:pPr>
              <w:spacing w:after="0"/>
              <w:rPr>
                <w:sz w:val="13"/>
                <w:szCs w:val="13"/>
                <w:color w:val="auto"/>
              </w:rPr>
            </w:pPr>
          </w:p>
        </w:tc>
        <w:tc>
          <w:tcPr>
            <w:tcW w:w="1840" w:type="dxa"/>
            <w:vAlign w:val="bottom"/>
            <w:tcBorders>
              <w:bottom w:val="single" w:sz="8" w:color="auto"/>
              <w:right w:val="single" w:sz="8" w:color="auto"/>
            </w:tcBorders>
            <w:shd w:val="clear" w:color="auto" w:fill="CCEEFF"/>
          </w:tcPr>
          <w:p>
            <w:pPr>
              <w:spacing w:after="0"/>
              <w:rPr>
                <w:sz w:val="13"/>
                <w:szCs w:val="13"/>
                <w:color w:val="auto"/>
              </w:rPr>
            </w:pPr>
          </w:p>
        </w:tc>
        <w:tc>
          <w:tcPr>
            <w:tcW w:w="1840" w:type="dxa"/>
            <w:vAlign w:val="bottom"/>
            <w:tcBorders>
              <w:bottom w:val="single" w:sz="8" w:color="auto"/>
              <w:right w:val="single" w:sz="8" w:color="auto"/>
            </w:tcBorders>
            <w:shd w:val="clear" w:color="auto" w:fill="CCEEFF"/>
          </w:tcPr>
          <w:p>
            <w:pPr>
              <w:spacing w:after="0"/>
              <w:rPr>
                <w:sz w:val="13"/>
                <w:szCs w:val="13"/>
                <w:color w:val="auto"/>
              </w:rPr>
            </w:pPr>
          </w:p>
        </w:tc>
        <w:tc>
          <w:tcPr>
            <w:tcW w:w="1820" w:type="dxa"/>
            <w:vAlign w:val="bottom"/>
            <w:tcBorders>
              <w:bottom w:val="single" w:sz="8" w:color="auto"/>
              <w:right w:val="single" w:sz="8" w:color="auto"/>
            </w:tcBorders>
            <w:shd w:val="clear" w:color="auto" w:fill="CCEEFF"/>
          </w:tcPr>
          <w:p>
            <w:pPr>
              <w:spacing w:after="0"/>
              <w:rPr>
                <w:sz w:val="13"/>
                <w:szCs w:val="13"/>
                <w:color w:val="auto"/>
              </w:rPr>
            </w:pPr>
          </w:p>
        </w:tc>
        <w:tc>
          <w:tcPr>
            <w:tcW w:w="18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327"/>
        </w:trPr>
        <w:tc>
          <w:tcPr>
            <w:tcW w:w="2320" w:type="dxa"/>
            <w:vAlign w:val="bottom"/>
          </w:tcPr>
          <w:p>
            <w:pPr>
              <w:spacing w:after="0"/>
              <w:rPr>
                <w:sz w:val="20"/>
                <w:szCs w:val="20"/>
                <w:color w:val="auto"/>
              </w:rPr>
            </w:pPr>
            <w:r>
              <w:rPr>
                <w:rFonts w:ascii="Arial" w:cs="Arial" w:eastAsia="Arial" w:hAnsi="Arial"/>
                <w:sz w:val="14"/>
                <w:szCs w:val="14"/>
                <w:color w:val="auto"/>
              </w:rPr>
              <w:t>Note:</w:t>
            </w: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158" w:lineRule="exact"/>
        <w:rPr>
          <w:sz w:val="20"/>
          <w:szCs w:val="20"/>
          <w:color w:val="auto"/>
        </w:rPr>
      </w:pPr>
    </w:p>
    <w:p>
      <w:pPr>
        <w:ind w:left="500" w:hanging="496"/>
        <w:spacing w:after="0" w:line="277" w:lineRule="auto"/>
        <w:tabs>
          <w:tab w:leader="none" w:pos="500" w:val="left"/>
        </w:tabs>
        <w:numPr>
          <w:ilvl w:val="0"/>
          <w:numId w:val="364"/>
        </w:numPr>
        <w:rPr>
          <w:rFonts w:ascii="Arial" w:cs="Arial" w:eastAsia="Arial" w:hAnsi="Arial"/>
          <w:sz w:val="14"/>
          <w:szCs w:val="14"/>
          <w:color w:val="auto"/>
        </w:rPr>
      </w:pPr>
      <w:r>
        <w:rPr>
          <w:rFonts w:ascii="Arial" w:cs="Arial" w:eastAsia="Arial" w:hAnsi="Arial"/>
          <w:sz w:val="14"/>
          <w:szCs w:val="14"/>
          <w:color w:val="auto"/>
        </w:rPr>
        <w:t>Party A only pays service fee to Party B according to the standard rates of personnel listed in the above table, and do not pay to Party B for any fees of travel, accommodation, overtime and other extras.</w:t>
      </w:r>
    </w:p>
    <w:p>
      <w:pPr>
        <w:spacing w:after="0" w:line="154" w:lineRule="exact"/>
        <w:rPr>
          <w:rFonts w:ascii="Arial" w:cs="Arial" w:eastAsia="Arial" w:hAnsi="Arial"/>
          <w:sz w:val="14"/>
          <w:szCs w:val="14"/>
          <w:color w:val="auto"/>
        </w:rPr>
      </w:pPr>
    </w:p>
    <w:p>
      <w:pPr>
        <w:ind w:left="500" w:hanging="496"/>
        <w:spacing w:after="0"/>
        <w:tabs>
          <w:tab w:leader="none" w:pos="500" w:val="left"/>
        </w:tabs>
        <w:numPr>
          <w:ilvl w:val="0"/>
          <w:numId w:val="364"/>
        </w:numPr>
        <w:rPr>
          <w:rFonts w:ascii="Arial" w:cs="Arial" w:eastAsia="Arial" w:hAnsi="Arial"/>
          <w:sz w:val="14"/>
          <w:szCs w:val="14"/>
          <w:color w:val="auto"/>
        </w:rPr>
      </w:pPr>
      <w:r>
        <w:rPr>
          <w:rFonts w:ascii="Arial" w:cs="Arial" w:eastAsia="Arial" w:hAnsi="Arial"/>
          <w:sz w:val="14"/>
          <w:szCs w:val="14"/>
          <w:color w:val="auto"/>
        </w:rPr>
        <w:t>The replacement period of replacement personnel is 7 days. During the handover period, Party A only pays service fees to Party B for the service of replacement personnel.</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11" w:name="page312"/>
    <w:bookmarkEnd w:id="311"/>
    <w:p>
      <w:pPr>
        <w:ind w:left="500" w:hanging="496"/>
        <w:spacing w:after="0"/>
        <w:tabs>
          <w:tab w:leader="none" w:pos="500" w:val="left"/>
        </w:tabs>
        <w:numPr>
          <w:ilvl w:val="0"/>
          <w:numId w:val="365"/>
        </w:numPr>
        <w:rPr>
          <w:rFonts w:ascii="Arial" w:cs="Arial" w:eastAsia="Arial" w:hAnsi="Arial"/>
          <w:sz w:val="14"/>
          <w:szCs w:val="14"/>
          <w:color w:val="auto"/>
        </w:rPr>
      </w:pPr>
      <w:r>
        <w:rPr>
          <w:rFonts w:ascii="Arial" w:cs="Arial" w:eastAsia="Arial" w:hAnsi="Arial"/>
          <w:sz w:val="14"/>
          <w:szCs w:val="14"/>
          <w:color w:val="auto"/>
        </w:rPr>
        <w:t>Project Management and Contact Information</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340" w:type="dxa"/>
            <w:vAlign w:val="bottom"/>
            <w:tcBorders>
              <w:top w:val="single" w:sz="8" w:color="auto"/>
              <w:lef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bottom w:val="single" w:sz="8" w:color="auto"/>
            </w:tcBorders>
          </w:tcPr>
          <w:p>
            <w:pPr>
              <w:spacing w:after="0"/>
              <w:rPr>
                <w:sz w:val="15"/>
                <w:szCs w:val="15"/>
                <w:color w:val="auto"/>
              </w:rPr>
            </w:pPr>
          </w:p>
        </w:tc>
        <w:tc>
          <w:tcPr>
            <w:tcW w:w="32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Party A</w:t>
            </w:r>
          </w:p>
        </w:tc>
        <w:tc>
          <w:tcPr>
            <w:tcW w:w="1840" w:type="dxa"/>
            <w:vAlign w:val="bottom"/>
            <w:tcBorders>
              <w:top w:val="single" w:sz="8" w:color="auto"/>
              <w:bottom w:val="single" w:sz="8" w:color="auto"/>
            </w:tcBorders>
          </w:tcPr>
          <w:p>
            <w:pPr>
              <w:spacing w:after="0"/>
              <w:rPr>
                <w:sz w:val="15"/>
                <w:szCs w:val="15"/>
                <w:color w:val="auto"/>
              </w:rPr>
            </w:pPr>
          </w:p>
        </w:tc>
        <w:tc>
          <w:tcPr>
            <w:tcW w:w="25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Party B</w:t>
            </w:r>
          </w:p>
        </w:tc>
      </w:tr>
      <w:tr>
        <w:trPr>
          <w:trHeight w:val="159"/>
        </w:trPr>
        <w:tc>
          <w:tcPr>
            <w:tcW w:w="340" w:type="dxa"/>
            <w:vAlign w:val="bottom"/>
            <w:tcBorders>
              <w:left w:val="single" w:sz="8" w:color="auto"/>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Project Leader</w:t>
            </w:r>
          </w:p>
        </w:tc>
        <w:tc>
          <w:tcPr>
            <w:tcW w:w="32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Financial Contact</w:t>
            </w:r>
          </w:p>
        </w:tc>
        <w:tc>
          <w:tcPr>
            <w:tcW w:w="18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Project Leader</w:t>
            </w:r>
          </w:p>
        </w:tc>
        <w:tc>
          <w:tcPr>
            <w:tcW w:w="25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Financial Contact</w:t>
            </w:r>
          </w:p>
        </w:tc>
      </w:tr>
      <w:tr>
        <w:trPr>
          <w:trHeight w:val="159"/>
        </w:trPr>
        <w:tc>
          <w:tcPr>
            <w:tcW w:w="340" w:type="dxa"/>
            <w:vAlign w:val="bottom"/>
            <w:tcBorders>
              <w:left w:val="single" w:sz="8" w:color="auto"/>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ind w:right="270"/>
              <w:spacing w:after="0" w:line="159" w:lineRule="exact"/>
              <w:rPr>
                <w:sz w:val="20"/>
                <w:szCs w:val="20"/>
                <w:color w:val="auto"/>
              </w:rPr>
            </w:pPr>
            <w:r>
              <w:rPr>
                <w:rFonts w:ascii="Arial" w:cs="Arial" w:eastAsia="Arial" w:hAnsi="Arial"/>
                <w:sz w:val="14"/>
                <w:szCs w:val="14"/>
                <w:color w:val="auto"/>
                <w:w w:val="85"/>
              </w:rPr>
              <w:t>Name</w:t>
            </w:r>
          </w:p>
        </w:tc>
        <w:tc>
          <w:tcPr>
            <w:tcW w:w="25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Chen Weigen</w:t>
            </w:r>
          </w:p>
        </w:tc>
        <w:tc>
          <w:tcPr>
            <w:tcW w:w="32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rPr>
              <w:t>Lin Mingyi</w:t>
            </w:r>
          </w:p>
        </w:tc>
        <w:tc>
          <w:tcPr>
            <w:tcW w:w="18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5"/>
              </w:rPr>
              <w:t>Lu Zhongyi</w:t>
            </w:r>
          </w:p>
        </w:tc>
        <w:tc>
          <w:tcPr>
            <w:tcW w:w="25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Qiu Jia</w:t>
            </w:r>
          </w:p>
        </w:tc>
      </w:tr>
      <w:tr>
        <w:trPr>
          <w:trHeight w:val="148"/>
        </w:trPr>
        <w:tc>
          <w:tcPr>
            <w:tcW w:w="34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jc w:val="center"/>
              <w:ind w:right="290"/>
              <w:spacing w:after="0" w:line="148" w:lineRule="exact"/>
              <w:rPr>
                <w:sz w:val="20"/>
                <w:szCs w:val="20"/>
                <w:color w:val="auto"/>
              </w:rPr>
            </w:pPr>
            <w:r>
              <w:rPr>
                <w:rFonts w:ascii="Arial" w:cs="Arial" w:eastAsia="Arial" w:hAnsi="Arial"/>
                <w:sz w:val="14"/>
                <w:szCs w:val="14"/>
                <w:color w:val="auto"/>
                <w:w w:val="89"/>
              </w:rPr>
              <w:t>Address</w:t>
            </w:r>
          </w:p>
        </w:tc>
        <w:tc>
          <w:tcPr>
            <w:tcW w:w="25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w w:val="93"/>
              </w:rPr>
              <w:t>2nd floor, building 18, Guo Shoujing</w:t>
            </w:r>
          </w:p>
        </w:tc>
        <w:tc>
          <w:tcPr>
            <w:tcW w:w="32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w w:val="92"/>
              </w:rPr>
              <w:t>2nd floor, building 18, Guo Shoujing Road No. 498,</w:t>
            </w:r>
          </w:p>
        </w:tc>
        <w:tc>
          <w:tcPr>
            <w:tcW w:w="18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w w:val="89"/>
              </w:rPr>
              <w:t>Room 1212, West Zhongshan</w:t>
            </w:r>
          </w:p>
        </w:tc>
        <w:tc>
          <w:tcPr>
            <w:tcW w:w="25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w w:val="89"/>
              </w:rPr>
              <w:t>Room 1212, West Zhongshan Road No.</w:t>
            </w:r>
          </w:p>
        </w:tc>
      </w:tr>
      <w:tr>
        <w:trPr>
          <w:trHeight w:val="168"/>
        </w:trPr>
        <w:tc>
          <w:tcPr>
            <w:tcW w:w="340" w:type="dxa"/>
            <w:vAlign w:val="bottom"/>
            <w:tcBorders>
              <w:lef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Road No. 498, Pudong New District,</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Pudong New District, Shanghai</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Road No. 933, Changning</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933, Changning District, Shanghai</w:t>
            </w:r>
          </w:p>
        </w:tc>
      </w:tr>
      <w:tr>
        <w:trPr>
          <w:trHeight w:val="179"/>
        </w:trPr>
        <w:tc>
          <w:tcPr>
            <w:tcW w:w="34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Shanghai</w:t>
            </w:r>
          </w:p>
        </w:tc>
        <w:tc>
          <w:tcPr>
            <w:tcW w:w="320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District, Shanghai</w:t>
            </w:r>
          </w:p>
        </w:tc>
        <w:tc>
          <w:tcPr>
            <w:tcW w:w="2520" w:type="dxa"/>
            <w:vAlign w:val="bottom"/>
            <w:tcBorders>
              <w:bottom w:val="single" w:sz="8" w:color="auto"/>
              <w:right w:val="single" w:sz="8" w:color="auto"/>
            </w:tcBorders>
          </w:tcPr>
          <w:p>
            <w:pPr>
              <w:spacing w:after="0"/>
              <w:rPr>
                <w:sz w:val="15"/>
                <w:szCs w:val="15"/>
                <w:color w:val="auto"/>
              </w:rPr>
            </w:pPr>
          </w:p>
        </w:tc>
      </w:tr>
      <w:tr>
        <w:trPr>
          <w:trHeight w:val="159"/>
        </w:trPr>
        <w:tc>
          <w:tcPr>
            <w:tcW w:w="340" w:type="dxa"/>
            <w:vAlign w:val="bottom"/>
            <w:tcBorders>
              <w:left w:val="single" w:sz="8" w:color="auto"/>
              <w:bottom w:val="single" w:sz="8" w:color="auto"/>
            </w:tcBorders>
            <w:shd w:val="clear" w:color="auto" w:fill="CCEEFF"/>
          </w:tcPr>
          <w:p>
            <w:pPr>
              <w:spacing w:after="0"/>
              <w:rPr>
                <w:sz w:val="13"/>
                <w:szCs w:val="13"/>
                <w:color w:val="auto"/>
              </w:rPr>
            </w:pPr>
          </w:p>
        </w:tc>
        <w:tc>
          <w:tcPr>
            <w:tcW w:w="1060" w:type="dxa"/>
            <w:vAlign w:val="bottom"/>
            <w:tcBorders>
              <w:bottom w:val="single" w:sz="8" w:color="auto"/>
              <w:right w:val="single" w:sz="8" w:color="auto"/>
            </w:tcBorders>
            <w:shd w:val="clear" w:color="auto" w:fill="CCEEFF"/>
          </w:tcPr>
          <w:p>
            <w:pPr>
              <w:jc w:val="center"/>
              <w:ind w:right="270"/>
              <w:spacing w:after="0" w:line="159" w:lineRule="exact"/>
              <w:rPr>
                <w:sz w:val="20"/>
                <w:szCs w:val="20"/>
                <w:color w:val="auto"/>
              </w:rPr>
            </w:pPr>
            <w:r>
              <w:rPr>
                <w:rFonts w:ascii="Arial" w:cs="Arial" w:eastAsia="Arial" w:hAnsi="Arial"/>
                <w:sz w:val="14"/>
                <w:szCs w:val="14"/>
                <w:color w:val="auto"/>
                <w:w w:val="89"/>
              </w:rPr>
              <w:t>Postcode</w:t>
            </w:r>
          </w:p>
        </w:tc>
        <w:tc>
          <w:tcPr>
            <w:tcW w:w="25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201203</w:t>
            </w:r>
          </w:p>
        </w:tc>
        <w:tc>
          <w:tcPr>
            <w:tcW w:w="320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201203</w:t>
            </w:r>
          </w:p>
        </w:tc>
        <w:tc>
          <w:tcPr>
            <w:tcW w:w="18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200051</w:t>
            </w:r>
          </w:p>
        </w:tc>
        <w:tc>
          <w:tcPr>
            <w:tcW w:w="25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200051</w:t>
            </w:r>
          </w:p>
        </w:tc>
      </w:tr>
      <w:tr>
        <w:trPr>
          <w:trHeight w:val="159"/>
        </w:trPr>
        <w:tc>
          <w:tcPr>
            <w:tcW w:w="340" w:type="dxa"/>
            <w:vAlign w:val="bottom"/>
            <w:tcBorders>
              <w:left w:val="single" w:sz="8" w:color="auto"/>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ind w:right="270"/>
              <w:spacing w:after="0" w:line="159" w:lineRule="exact"/>
              <w:rPr>
                <w:sz w:val="20"/>
                <w:szCs w:val="20"/>
                <w:color w:val="auto"/>
              </w:rPr>
            </w:pPr>
            <w:r>
              <w:rPr>
                <w:rFonts w:ascii="Arial" w:cs="Arial" w:eastAsia="Arial" w:hAnsi="Arial"/>
                <w:sz w:val="14"/>
                <w:szCs w:val="14"/>
                <w:color w:val="auto"/>
                <w:w w:val="85"/>
              </w:rPr>
              <w:t>Tel.</w:t>
            </w:r>
          </w:p>
        </w:tc>
        <w:tc>
          <w:tcPr>
            <w:tcW w:w="25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21-31268010</w:t>
            </w:r>
          </w:p>
        </w:tc>
        <w:tc>
          <w:tcPr>
            <w:tcW w:w="32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21-31268010</w:t>
            </w:r>
          </w:p>
        </w:tc>
        <w:tc>
          <w:tcPr>
            <w:tcW w:w="18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21-51113716</w:t>
            </w:r>
          </w:p>
        </w:tc>
        <w:tc>
          <w:tcPr>
            <w:tcW w:w="25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21-51113716</w:t>
            </w:r>
          </w:p>
        </w:tc>
      </w:tr>
      <w:tr>
        <w:trPr>
          <w:trHeight w:val="159"/>
        </w:trPr>
        <w:tc>
          <w:tcPr>
            <w:tcW w:w="340" w:type="dxa"/>
            <w:vAlign w:val="bottom"/>
            <w:tcBorders>
              <w:left w:val="single" w:sz="8" w:color="auto"/>
              <w:bottom w:val="single" w:sz="8" w:color="auto"/>
            </w:tcBorders>
            <w:shd w:val="clear" w:color="auto" w:fill="CCEEFF"/>
          </w:tcPr>
          <w:p>
            <w:pPr>
              <w:spacing w:after="0"/>
              <w:rPr>
                <w:sz w:val="13"/>
                <w:szCs w:val="13"/>
                <w:color w:val="auto"/>
              </w:rPr>
            </w:pPr>
          </w:p>
        </w:tc>
        <w:tc>
          <w:tcPr>
            <w:tcW w:w="1060" w:type="dxa"/>
            <w:vAlign w:val="bottom"/>
            <w:tcBorders>
              <w:bottom w:val="single" w:sz="8" w:color="auto"/>
              <w:right w:val="single" w:sz="8" w:color="auto"/>
            </w:tcBorders>
            <w:shd w:val="clear" w:color="auto" w:fill="CCEEFF"/>
          </w:tcPr>
          <w:p>
            <w:pPr>
              <w:jc w:val="center"/>
              <w:ind w:right="270"/>
              <w:spacing w:after="0" w:line="159" w:lineRule="exact"/>
              <w:rPr>
                <w:sz w:val="20"/>
                <w:szCs w:val="20"/>
                <w:color w:val="auto"/>
              </w:rPr>
            </w:pPr>
            <w:r>
              <w:rPr>
                <w:rFonts w:ascii="Arial" w:cs="Arial" w:eastAsia="Arial" w:hAnsi="Arial"/>
                <w:sz w:val="14"/>
                <w:szCs w:val="14"/>
                <w:color w:val="auto"/>
                <w:w w:val="85"/>
              </w:rPr>
              <w:t>Fax</w:t>
            </w:r>
          </w:p>
        </w:tc>
        <w:tc>
          <w:tcPr>
            <w:tcW w:w="25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21-61682201</w:t>
            </w:r>
          </w:p>
        </w:tc>
        <w:tc>
          <w:tcPr>
            <w:tcW w:w="320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21-61682201</w:t>
            </w:r>
          </w:p>
        </w:tc>
        <w:tc>
          <w:tcPr>
            <w:tcW w:w="18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21-51113717</w:t>
            </w:r>
          </w:p>
        </w:tc>
        <w:tc>
          <w:tcPr>
            <w:tcW w:w="25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21-51113717</w:t>
            </w:r>
          </w:p>
        </w:tc>
      </w:tr>
      <w:tr>
        <w:trPr>
          <w:trHeight w:val="327"/>
        </w:trPr>
        <w:tc>
          <w:tcPr>
            <w:tcW w:w="340" w:type="dxa"/>
            <w:vAlign w:val="bottom"/>
          </w:tcPr>
          <w:p>
            <w:pPr>
              <w:jc w:val="right"/>
              <w:ind w:right="30"/>
              <w:spacing w:after="0"/>
              <w:rPr>
                <w:sz w:val="20"/>
                <w:szCs w:val="20"/>
                <w:color w:val="auto"/>
              </w:rPr>
            </w:pPr>
            <w:r>
              <w:rPr>
                <w:rFonts w:ascii="Arial" w:cs="Arial" w:eastAsia="Arial" w:hAnsi="Arial"/>
                <w:sz w:val="14"/>
                <w:szCs w:val="14"/>
                <w:color w:val="auto"/>
                <w:w w:val="80"/>
              </w:rPr>
              <w:t>10.1</w:t>
            </w:r>
          </w:p>
        </w:tc>
        <w:tc>
          <w:tcPr>
            <w:tcW w:w="1060" w:type="dxa"/>
            <w:vAlign w:val="bottom"/>
          </w:tcPr>
          <w:p>
            <w:pPr>
              <w:ind w:left="160"/>
              <w:spacing w:after="0"/>
              <w:rPr>
                <w:sz w:val="20"/>
                <w:szCs w:val="20"/>
                <w:color w:val="auto"/>
              </w:rPr>
            </w:pPr>
            <w:r>
              <w:rPr>
                <w:rFonts w:ascii="Arial" w:cs="Arial" w:eastAsia="Arial" w:hAnsi="Arial"/>
                <w:sz w:val="14"/>
                <w:szCs w:val="14"/>
                <w:color w:val="auto"/>
              </w:rPr>
              <w:t>Others</w:t>
            </w:r>
          </w:p>
        </w:tc>
        <w:tc>
          <w:tcPr>
            <w:tcW w:w="2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58"/>
        </w:trPr>
        <w:tc>
          <w:tcPr>
            <w:tcW w:w="340" w:type="dxa"/>
            <w:vAlign w:val="bottom"/>
          </w:tcPr>
          <w:p>
            <w:pPr>
              <w:jc w:val="right"/>
              <w:ind w:right="30"/>
              <w:spacing w:after="0"/>
              <w:rPr>
                <w:sz w:val="20"/>
                <w:szCs w:val="20"/>
                <w:color w:val="auto"/>
              </w:rPr>
            </w:pPr>
            <w:r>
              <w:rPr>
                <w:rFonts w:ascii="Arial" w:cs="Arial" w:eastAsia="Arial" w:hAnsi="Arial"/>
                <w:sz w:val="14"/>
                <w:szCs w:val="14"/>
                <w:color w:val="auto"/>
                <w:w w:val="80"/>
              </w:rPr>
              <w:t>10.1</w:t>
            </w:r>
          </w:p>
        </w:tc>
        <w:tc>
          <w:tcPr>
            <w:tcW w:w="1060" w:type="dxa"/>
            <w:vAlign w:val="bottom"/>
          </w:tcPr>
          <w:p>
            <w:pPr>
              <w:ind w:left="160"/>
              <w:spacing w:after="0"/>
              <w:rPr>
                <w:sz w:val="20"/>
                <w:szCs w:val="20"/>
                <w:color w:val="auto"/>
              </w:rPr>
            </w:pPr>
            <w:r>
              <w:rPr>
                <w:rFonts w:ascii="Arial" w:cs="Arial" w:eastAsia="Arial" w:hAnsi="Arial"/>
                <w:sz w:val="14"/>
                <w:szCs w:val="14"/>
                <w:color w:val="auto"/>
              </w:rPr>
              <w:t>N/A</w:t>
            </w:r>
          </w:p>
        </w:tc>
        <w:tc>
          <w:tcPr>
            <w:tcW w:w="2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37"/>
        </w:trPr>
        <w:tc>
          <w:tcPr>
            <w:tcW w:w="340" w:type="dxa"/>
            <w:vAlign w:val="bottom"/>
          </w:tcPr>
          <w:p>
            <w:pPr>
              <w:jc w:val="right"/>
              <w:ind w:right="30"/>
              <w:spacing w:after="0"/>
              <w:rPr>
                <w:sz w:val="20"/>
                <w:szCs w:val="20"/>
                <w:color w:val="auto"/>
              </w:rPr>
            </w:pPr>
            <w:r>
              <w:rPr>
                <w:rFonts w:ascii="Arial" w:cs="Arial" w:eastAsia="Arial" w:hAnsi="Arial"/>
                <w:sz w:val="14"/>
                <w:szCs w:val="14"/>
                <w:color w:val="auto"/>
                <w:w w:val="80"/>
              </w:rPr>
              <w:t>10.2</w:t>
            </w:r>
          </w:p>
        </w:tc>
        <w:tc>
          <w:tcPr>
            <w:tcW w:w="1060" w:type="dxa"/>
            <w:vAlign w:val="bottom"/>
          </w:tcPr>
          <w:p>
            <w:pPr>
              <w:ind w:left="160"/>
              <w:spacing w:after="0"/>
              <w:rPr>
                <w:sz w:val="20"/>
                <w:szCs w:val="20"/>
                <w:color w:val="auto"/>
              </w:rPr>
            </w:pPr>
            <w:r>
              <w:rPr>
                <w:rFonts w:ascii="Arial" w:cs="Arial" w:eastAsia="Arial" w:hAnsi="Arial"/>
                <w:sz w:val="14"/>
                <w:szCs w:val="14"/>
                <w:color w:val="auto"/>
                <w:w w:val="96"/>
              </w:rPr>
              <w:t>Normal Terms</w:t>
            </w:r>
          </w:p>
        </w:tc>
        <w:tc>
          <w:tcPr>
            <w:tcW w:w="2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58"/>
        </w:trPr>
        <w:tc>
          <w:tcPr>
            <w:tcW w:w="340" w:type="dxa"/>
            <w:vAlign w:val="bottom"/>
          </w:tcPr>
          <w:p>
            <w:pPr>
              <w:jc w:val="right"/>
              <w:ind w:right="30"/>
              <w:spacing w:after="0"/>
              <w:rPr>
                <w:sz w:val="20"/>
                <w:szCs w:val="20"/>
                <w:color w:val="auto"/>
              </w:rPr>
            </w:pPr>
            <w:r>
              <w:rPr>
                <w:rFonts w:ascii="Arial" w:cs="Arial" w:eastAsia="Arial" w:hAnsi="Arial"/>
                <w:sz w:val="14"/>
                <w:szCs w:val="14"/>
                <w:color w:val="auto"/>
                <w:w w:val="80"/>
              </w:rPr>
              <w:t>11.1</w:t>
            </w:r>
          </w:p>
        </w:tc>
        <w:tc>
          <w:tcPr>
            <w:tcW w:w="6780" w:type="dxa"/>
            <w:vAlign w:val="bottom"/>
            <w:gridSpan w:val="3"/>
          </w:tcPr>
          <w:p>
            <w:pPr>
              <w:ind w:left="160"/>
              <w:spacing w:after="0"/>
              <w:rPr>
                <w:sz w:val="20"/>
                <w:szCs w:val="20"/>
                <w:color w:val="auto"/>
              </w:rPr>
            </w:pPr>
            <w:r>
              <w:rPr>
                <w:rFonts w:ascii="Arial" w:cs="Arial" w:eastAsia="Arial" w:hAnsi="Arial"/>
                <w:sz w:val="14"/>
                <w:szCs w:val="14"/>
                <w:color w:val="auto"/>
              </w:rPr>
              <w:t>The terms and conditions of the contract apply to this work instructions.</w:t>
            </w:r>
          </w:p>
        </w:tc>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47"/>
        </w:trPr>
        <w:tc>
          <w:tcPr>
            <w:tcW w:w="340" w:type="dxa"/>
            <w:vAlign w:val="bottom"/>
          </w:tcPr>
          <w:p>
            <w:pPr>
              <w:jc w:val="right"/>
              <w:ind w:right="30"/>
              <w:spacing w:after="0"/>
              <w:rPr>
                <w:sz w:val="20"/>
                <w:szCs w:val="20"/>
                <w:color w:val="auto"/>
              </w:rPr>
            </w:pPr>
            <w:r>
              <w:rPr>
                <w:rFonts w:ascii="Arial" w:cs="Arial" w:eastAsia="Arial" w:hAnsi="Arial"/>
                <w:sz w:val="14"/>
                <w:szCs w:val="14"/>
                <w:color w:val="auto"/>
                <w:w w:val="80"/>
              </w:rPr>
              <w:t>11.2</w:t>
            </w:r>
          </w:p>
        </w:tc>
        <w:tc>
          <w:tcPr>
            <w:tcW w:w="11140" w:type="dxa"/>
            <w:vAlign w:val="bottom"/>
            <w:gridSpan w:val="5"/>
          </w:tcPr>
          <w:p>
            <w:pPr>
              <w:ind w:left="160"/>
              <w:spacing w:after="0"/>
              <w:rPr>
                <w:sz w:val="20"/>
                <w:szCs w:val="20"/>
                <w:color w:val="auto"/>
              </w:rPr>
            </w:pPr>
            <w:r>
              <w:rPr>
                <w:rFonts w:ascii="Arial" w:cs="Arial" w:eastAsia="Arial" w:hAnsi="Arial"/>
                <w:sz w:val="14"/>
                <w:szCs w:val="14"/>
                <w:color w:val="auto"/>
                <w:w w:val="90"/>
              </w:rPr>
              <w:t>This work instructions reflects and supersedes all prior written and oral notices, intentions, declarations, undertakings and agreements with respect to the entire agreement concluded between the</w:t>
            </w:r>
          </w:p>
        </w:tc>
      </w:tr>
      <w:tr>
        <w:trPr>
          <w:trHeight w:val="179"/>
        </w:trPr>
        <w:tc>
          <w:tcPr>
            <w:tcW w:w="340" w:type="dxa"/>
            <w:vAlign w:val="bottom"/>
          </w:tcPr>
          <w:p>
            <w:pPr>
              <w:spacing w:after="0"/>
              <w:rPr>
                <w:sz w:val="15"/>
                <w:szCs w:val="15"/>
                <w:color w:val="auto"/>
              </w:rPr>
            </w:pPr>
          </w:p>
        </w:tc>
        <w:tc>
          <w:tcPr>
            <w:tcW w:w="3580" w:type="dxa"/>
            <w:vAlign w:val="bottom"/>
            <w:gridSpan w:val="2"/>
          </w:tcPr>
          <w:p>
            <w:pPr>
              <w:ind w:left="160"/>
              <w:spacing w:after="0"/>
              <w:rPr>
                <w:sz w:val="20"/>
                <w:szCs w:val="20"/>
                <w:color w:val="auto"/>
              </w:rPr>
            </w:pPr>
            <w:r>
              <w:rPr>
                <w:rFonts w:ascii="Arial" w:cs="Arial" w:eastAsia="Arial" w:hAnsi="Arial"/>
                <w:sz w:val="14"/>
                <w:szCs w:val="14"/>
                <w:color w:val="auto"/>
              </w:rPr>
              <w:t>parties under this work instructions.</w:t>
            </w:r>
          </w:p>
        </w:tc>
        <w:tc>
          <w:tcPr>
            <w:tcW w:w="3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8"/>
        </w:trPr>
        <w:tc>
          <w:tcPr>
            <w:tcW w:w="340" w:type="dxa"/>
            <w:vAlign w:val="bottom"/>
          </w:tcPr>
          <w:p>
            <w:pPr>
              <w:jc w:val="right"/>
              <w:ind w:right="30"/>
              <w:spacing w:after="0"/>
              <w:rPr>
                <w:sz w:val="20"/>
                <w:szCs w:val="20"/>
                <w:color w:val="auto"/>
              </w:rPr>
            </w:pPr>
            <w:r>
              <w:rPr>
                <w:rFonts w:ascii="Arial" w:cs="Arial" w:eastAsia="Arial" w:hAnsi="Arial"/>
                <w:sz w:val="14"/>
                <w:szCs w:val="14"/>
                <w:color w:val="auto"/>
                <w:w w:val="80"/>
              </w:rPr>
              <w:t>11.3</w:t>
            </w:r>
          </w:p>
        </w:tc>
        <w:tc>
          <w:tcPr>
            <w:tcW w:w="11140" w:type="dxa"/>
            <w:vAlign w:val="bottom"/>
            <w:gridSpan w:val="5"/>
          </w:tcPr>
          <w:p>
            <w:pPr>
              <w:ind w:left="160"/>
              <w:spacing w:after="0"/>
              <w:rPr>
                <w:sz w:val="20"/>
                <w:szCs w:val="20"/>
                <w:color w:val="auto"/>
              </w:rPr>
            </w:pPr>
            <w:r>
              <w:rPr>
                <w:rFonts w:ascii="Arial" w:cs="Arial" w:eastAsia="Arial" w:hAnsi="Arial"/>
                <w:sz w:val="14"/>
                <w:szCs w:val="14"/>
                <w:color w:val="auto"/>
                <w:w w:val="95"/>
              </w:rPr>
              <w:t>This work instructions shall be effective on the date of signed by the legal representatives of both parties or their authorized representatives and sealed the company seal or contract seal.</w:t>
            </w:r>
          </w:p>
        </w:tc>
      </w:tr>
      <w:tr>
        <w:trPr>
          <w:trHeight w:val="358"/>
        </w:trPr>
        <w:tc>
          <w:tcPr>
            <w:tcW w:w="340" w:type="dxa"/>
            <w:vAlign w:val="bottom"/>
          </w:tcPr>
          <w:p>
            <w:pPr>
              <w:jc w:val="right"/>
              <w:ind w:right="30"/>
              <w:spacing w:after="0"/>
              <w:rPr>
                <w:sz w:val="20"/>
                <w:szCs w:val="20"/>
                <w:color w:val="auto"/>
              </w:rPr>
            </w:pPr>
            <w:r>
              <w:rPr>
                <w:rFonts w:ascii="Arial" w:cs="Arial" w:eastAsia="Arial" w:hAnsi="Arial"/>
                <w:sz w:val="14"/>
                <w:szCs w:val="14"/>
                <w:color w:val="auto"/>
                <w:w w:val="80"/>
              </w:rPr>
              <w:t>11.4</w:t>
            </w:r>
          </w:p>
        </w:tc>
        <w:tc>
          <w:tcPr>
            <w:tcW w:w="6780" w:type="dxa"/>
            <w:vAlign w:val="bottom"/>
            <w:gridSpan w:val="3"/>
          </w:tcPr>
          <w:p>
            <w:pPr>
              <w:ind w:left="160"/>
              <w:spacing w:after="0"/>
              <w:rPr>
                <w:sz w:val="20"/>
                <w:szCs w:val="20"/>
                <w:color w:val="auto"/>
              </w:rPr>
            </w:pPr>
            <w:r>
              <w:rPr>
                <w:rFonts w:ascii="Arial" w:cs="Arial" w:eastAsia="Arial" w:hAnsi="Arial"/>
                <w:sz w:val="14"/>
                <w:szCs w:val="14"/>
                <w:color w:val="auto"/>
              </w:rPr>
              <w:t>The work instructions in quadruplicate, each party has two copies. All of them have the same effect.</w:t>
            </w:r>
          </w:p>
        </w:tc>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Both parties confirm and sign: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277100" cy="133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12" w:name="page313"/>
    <w:bookmarkEnd w:id="312"/>
    <w:p>
      <w:pPr>
        <w:jc w:val="right"/>
        <w:spacing w:after="0"/>
        <w:rPr>
          <w:sz w:val="20"/>
          <w:szCs w:val="20"/>
          <w:color w:val="auto"/>
        </w:rPr>
      </w:pPr>
      <w:r>
        <w:rPr>
          <w:rFonts w:ascii="Arial" w:cs="Arial" w:eastAsia="Arial" w:hAnsi="Arial"/>
          <w:sz w:val="14"/>
          <w:szCs w:val="14"/>
          <w:b w:val="1"/>
          <w:bCs w:val="1"/>
          <w:color w:val="auto"/>
        </w:rPr>
        <w:t>Exhibit 14.1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Introduction</w:t>
      </w:r>
    </w:p>
    <w:p>
      <w:pPr>
        <w:spacing w:after="0" w:line="176" w:lineRule="exact"/>
        <w:rPr>
          <w:sz w:val="20"/>
          <w:szCs w:val="20"/>
          <w:color w:val="auto"/>
        </w:rPr>
      </w:pPr>
    </w:p>
    <w:p>
      <w:pPr>
        <w:ind w:right="180" w:firstLine="504"/>
        <w:spacing w:after="0" w:line="259" w:lineRule="auto"/>
        <w:rPr>
          <w:sz w:val="20"/>
          <w:szCs w:val="20"/>
          <w:color w:val="auto"/>
        </w:rPr>
      </w:pPr>
      <w:r>
        <w:rPr>
          <w:rFonts w:ascii="Arial" w:cs="Arial" w:eastAsia="Arial" w:hAnsi="Arial"/>
          <w:sz w:val="14"/>
          <w:szCs w:val="14"/>
          <w:b w:val="1"/>
          <w:bCs w:val="1"/>
          <w:color w:val="auto"/>
        </w:rPr>
        <w:t xml:space="preserve">CLPS Incorporation </w:t>
      </w:r>
      <w:r>
        <w:rPr>
          <w:rFonts w:ascii="Arial" w:cs="Arial" w:eastAsia="Arial" w:hAnsi="Arial"/>
          <w:sz w:val="14"/>
          <w:szCs w:val="14"/>
          <w:color w:val="auto"/>
        </w:rPr>
        <w:t>and each of its subsidiaries (collectively, “CLPS”) are committed to the highest standards of ethics and business conduct. CLPS conducts its business as a good corporate</w:t>
      </w:r>
      <w:r>
        <w:rPr>
          <w:rFonts w:ascii="Arial" w:cs="Arial" w:eastAsia="Arial" w:hAnsi="Arial"/>
          <w:sz w:val="14"/>
          <w:szCs w:val="14"/>
          <w:b w:val="1"/>
          <w:bCs w:val="1"/>
          <w:color w:val="auto"/>
        </w:rPr>
        <w:t xml:space="preserve"> </w:t>
      </w:r>
      <w:r>
        <w:rPr>
          <w:rFonts w:ascii="Arial" w:cs="Arial" w:eastAsia="Arial" w:hAnsi="Arial"/>
          <w:sz w:val="14"/>
          <w:szCs w:val="14"/>
          <w:color w:val="auto"/>
        </w:rPr>
        <w:t>citizen and complies with all laws, rules and regulations applicable to it or the conduct of its business. This commitment and standard of conduct governs our relationships with customers, suppliers, shareholders, competitors, the communities in which we operate, and with each other as employees at every organizational level. Maintaining the highest ethical standards at all levels within our organization is critical for our success as a corporation. This Code of Ethics of CLPS (“Code”) applies to the corporation as a whole and to all employees, directors, officers, as well as consultants and vendors.</w:t>
      </w:r>
    </w:p>
    <w:p>
      <w:pPr>
        <w:spacing w:after="0" w:line="146" w:lineRule="exact"/>
        <w:rPr>
          <w:sz w:val="20"/>
          <w:szCs w:val="20"/>
          <w:color w:val="auto"/>
        </w:rPr>
      </w:pPr>
    </w:p>
    <w:p>
      <w:pPr>
        <w:ind w:right="80" w:firstLine="504"/>
        <w:spacing w:after="0" w:line="304" w:lineRule="auto"/>
        <w:rPr>
          <w:sz w:val="20"/>
          <w:szCs w:val="20"/>
          <w:color w:val="auto"/>
        </w:rPr>
      </w:pPr>
      <w:r>
        <w:rPr>
          <w:rFonts w:ascii="Arial" w:cs="Arial" w:eastAsia="Arial" w:hAnsi="Arial"/>
          <w:sz w:val="12"/>
          <w:szCs w:val="12"/>
          <w:color w:val="auto"/>
        </w:rPr>
        <w:t>The Code is an expression of our core values and represents a framework for decision making. To this end, all of us are responsible for understanding the Code and acting in accordance with it. The Code cannot and is not intended to cover every applicable law, rule or regulation or provide answers to all questions that may arise; for that, we must ultimately rely on each employee’s, officer’s and director’s good sense of what is right, including a sense of when it is proper to seek guidance from others with respect to the appropriate course of conduct. CLPS maintains an open door policy for resolving issues that arise in the workplace. Employees are encouraged to first discuss any questions regarding any law, rule, regulation, or principle discussed in this Code, which may govern business conduct, with the employee’s immediate supervisor. If open communication with the employees’ supervisor does not resolve the issue or makes the employee uncomfortable, the employee should subsequently consult his or her next level supervisor or his or her Human Resources representative. If this does not result in satisfactory resolution of the issue, the employee should consult CLPS’s Chief Financial Officer. Additionally, employees are encouraged to email address to [_] to report any ethics violation. Due to the sensitive nature of the reporting, calls to the hot line can be made anonymously.</w:t>
      </w:r>
    </w:p>
    <w:p>
      <w:pPr>
        <w:spacing w:after="0" w:line="123" w:lineRule="exact"/>
        <w:rPr>
          <w:sz w:val="20"/>
          <w:szCs w:val="20"/>
          <w:color w:val="auto"/>
        </w:rPr>
      </w:pPr>
    </w:p>
    <w:p>
      <w:pPr>
        <w:ind w:right="20" w:firstLine="504"/>
        <w:spacing w:after="0" w:line="277" w:lineRule="auto"/>
        <w:rPr>
          <w:sz w:val="20"/>
          <w:szCs w:val="20"/>
          <w:color w:val="auto"/>
        </w:rPr>
      </w:pPr>
      <w:r>
        <w:rPr>
          <w:rFonts w:ascii="Arial" w:cs="Arial" w:eastAsia="Arial" w:hAnsi="Arial"/>
          <w:sz w:val="14"/>
          <w:szCs w:val="14"/>
          <w:color w:val="auto"/>
        </w:rPr>
        <w:t>The Code does not in any way constitute an employment contract or an assurance of continued employment. It is for the sole and exclusive benefit of CLPS and may not be used or relied upon by any other party. CLPS may modify or repeal the provisions of the Code or adopt a new Code at any time it deems appropriate, with or without notice.</w:t>
      </w:r>
    </w:p>
    <w:p>
      <w:pPr>
        <w:spacing w:after="0" w:line="133" w:lineRule="exact"/>
        <w:rPr>
          <w:sz w:val="20"/>
          <w:szCs w:val="20"/>
          <w:color w:val="auto"/>
        </w:rPr>
      </w:pPr>
    </w:p>
    <w:p>
      <w:pPr>
        <w:ind w:right="520" w:firstLine="504"/>
        <w:spacing w:after="0" w:line="364" w:lineRule="auto"/>
        <w:rPr>
          <w:sz w:val="20"/>
          <w:szCs w:val="20"/>
          <w:color w:val="auto"/>
        </w:rPr>
      </w:pPr>
      <w:r>
        <w:rPr>
          <w:rFonts w:ascii="Arial" w:cs="Arial" w:eastAsia="Arial" w:hAnsi="Arial"/>
          <w:sz w:val="12"/>
          <w:szCs w:val="12"/>
          <w:color w:val="auto"/>
        </w:rPr>
        <w:t>The Code must be strictly observed and failure to do so could result in disciplinary action, up to and including termination. This Code applies equally to all employees, officers, directors, consultants and vendors of CLPS. CLPS encourages employees to seek or to ask for advice from their supervisors or human resources representative when ethical issues arise in the workplace.</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Compliance with Laws, Rules, Regulations and CLPS Policies</w:t>
      </w:r>
    </w:p>
    <w:p>
      <w:pPr>
        <w:spacing w:after="0" w:line="176" w:lineRule="exact"/>
        <w:rPr>
          <w:sz w:val="20"/>
          <w:szCs w:val="20"/>
          <w:color w:val="auto"/>
        </w:rPr>
      </w:pPr>
    </w:p>
    <w:p>
      <w:pPr>
        <w:ind w:right="220" w:firstLine="504"/>
        <w:spacing w:after="0" w:line="317" w:lineRule="auto"/>
        <w:rPr>
          <w:sz w:val="20"/>
          <w:szCs w:val="20"/>
          <w:color w:val="auto"/>
        </w:rPr>
      </w:pPr>
      <w:r>
        <w:rPr>
          <w:rFonts w:ascii="Arial" w:cs="Arial" w:eastAsia="Arial" w:hAnsi="Arial"/>
          <w:sz w:val="13"/>
          <w:szCs w:val="13"/>
          <w:color w:val="auto"/>
        </w:rPr>
        <w:t>We all are expected to act honestly and maintain the highest standards of ethics and business conduct, consistent with the professional image of CLPS. We are required to comply fully with all laws, rules and regulations affecting CLPS’s business and its conduct in business matters. We are expected to uphold both the letter and the spirit of the law and CLPS’s policies.</w:t>
      </w:r>
    </w:p>
    <w:p>
      <w:pPr>
        <w:spacing w:after="0" w:line="110" w:lineRule="exact"/>
        <w:rPr>
          <w:sz w:val="20"/>
          <w:szCs w:val="20"/>
          <w:color w:val="auto"/>
        </w:rPr>
      </w:pPr>
    </w:p>
    <w:p>
      <w:pPr>
        <w:ind w:right="40" w:firstLine="504"/>
        <w:spacing w:after="0" w:line="264" w:lineRule="auto"/>
        <w:rPr>
          <w:sz w:val="20"/>
          <w:szCs w:val="20"/>
          <w:color w:val="auto"/>
        </w:rPr>
      </w:pPr>
      <w:r>
        <w:rPr>
          <w:rFonts w:ascii="Arial" w:cs="Arial" w:eastAsia="Arial" w:hAnsi="Arial"/>
          <w:sz w:val="14"/>
          <w:szCs w:val="14"/>
          <w:color w:val="auto"/>
        </w:rPr>
        <w:t>CLPS conducts its business in the PRC and internationally. It is CLPS’s policy to abide by the national and local laws of our host nations and communities. In the case of any conflict between the laws of another country and the PRC, or in any situation where an employee has a doubt as to the proper course of conduct, it is incumbent upon an employee to immediately consult first his or her supervisor, and then his or her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277100" cy="133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13" w:name="page314"/>
    <w:bookmarkEnd w:id="313"/>
    <w:p>
      <w:pPr>
        <w:ind w:left="500"/>
        <w:spacing w:after="0"/>
        <w:rPr>
          <w:sz w:val="20"/>
          <w:szCs w:val="20"/>
          <w:color w:val="auto"/>
        </w:rPr>
      </w:pPr>
      <w:r>
        <w:rPr>
          <w:rFonts w:ascii="Arial" w:cs="Arial" w:eastAsia="Arial" w:hAnsi="Arial"/>
          <w:sz w:val="14"/>
          <w:szCs w:val="14"/>
          <w:u w:val="single" w:color="auto"/>
          <w:color w:val="auto"/>
        </w:rPr>
        <w:t>Confidential, Proprietary Information</w:t>
      </w:r>
    </w:p>
    <w:p>
      <w:pPr>
        <w:spacing w:after="0" w:line="176" w:lineRule="exact"/>
        <w:rPr>
          <w:sz w:val="20"/>
          <w:szCs w:val="20"/>
          <w:color w:val="auto"/>
        </w:rPr>
      </w:pPr>
    </w:p>
    <w:p>
      <w:pPr>
        <w:ind w:right="120" w:firstLine="504"/>
        <w:spacing w:after="0" w:line="286" w:lineRule="auto"/>
        <w:rPr>
          <w:sz w:val="20"/>
          <w:szCs w:val="20"/>
          <w:color w:val="auto"/>
        </w:rPr>
      </w:pPr>
      <w:r>
        <w:rPr>
          <w:rFonts w:ascii="Arial" w:cs="Arial" w:eastAsia="Arial" w:hAnsi="Arial"/>
          <w:sz w:val="13"/>
          <w:szCs w:val="13"/>
          <w:color w:val="auto"/>
        </w:rPr>
        <w:t>One of CLPS’s most valuable assets is information. Employees, officers and directors should maintain the confidentiality of information (whether specifically regarded as proprietary or not) entrusted to them not only by CLPS, but also by suppliers, former employers, customers and others related to our business. Confidential information includes all non-public information that might be of use to our competitors or harmful to CLPS, or its customers or suppliers, if disclosed. Examples of confidential information include, but are not limited to, trade secrets, new product or marketing plans, customer lists, employee lists, research and development ideas, manufacturing processes, or acquisition or divestiture prospects.</w:t>
      </w:r>
    </w:p>
    <w:p>
      <w:pPr>
        <w:spacing w:after="0" w:line="129" w:lineRule="exact"/>
        <w:rPr>
          <w:sz w:val="20"/>
          <w:szCs w:val="20"/>
          <w:color w:val="auto"/>
        </w:rPr>
      </w:pPr>
    </w:p>
    <w:p>
      <w:pPr>
        <w:ind w:firstLine="504"/>
        <w:spacing w:after="0" w:line="257" w:lineRule="auto"/>
        <w:rPr>
          <w:sz w:val="20"/>
          <w:szCs w:val="20"/>
          <w:color w:val="auto"/>
        </w:rPr>
      </w:pPr>
      <w:r>
        <w:rPr>
          <w:rFonts w:ascii="Arial" w:cs="Arial" w:eastAsia="Arial" w:hAnsi="Arial"/>
          <w:sz w:val="14"/>
          <w:szCs w:val="14"/>
          <w:color w:val="auto"/>
        </w:rPr>
        <w:t>Employees, officers and directors should take steps to safeguard confidential information by keeping such information secure, limiting access to such information to those employees who have a “need to know” in order to do their job, and avoiding discussion of confidential information in public areas, for example, in elevators, on planes, and on mobile phones. Employees, officers and directors must safeguard documents with confidential information, and should take steps to ensure proper disposal of documents with confidential information through shredding or other appropriate means, so that such documents cannot be acquired by those without proper authorization. Confidential information may be disclosed to others when disclosure is authorized by CLPS or legally mandated. The obligation to preserve confidential information is ongoing, even after termination of employment.</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Use of Inside Information/ Insider Trading</w:t>
      </w:r>
    </w:p>
    <w:p>
      <w:pPr>
        <w:spacing w:after="0" w:line="176" w:lineRule="exact"/>
        <w:rPr>
          <w:sz w:val="20"/>
          <w:szCs w:val="20"/>
          <w:color w:val="auto"/>
        </w:rPr>
      </w:pPr>
    </w:p>
    <w:p>
      <w:pPr>
        <w:ind w:right="40" w:firstLine="504"/>
        <w:spacing w:after="0" w:line="257" w:lineRule="auto"/>
        <w:rPr>
          <w:sz w:val="20"/>
          <w:szCs w:val="20"/>
          <w:color w:val="auto"/>
        </w:rPr>
      </w:pPr>
      <w:r>
        <w:rPr>
          <w:rFonts w:ascii="Arial" w:cs="Arial" w:eastAsia="Arial" w:hAnsi="Arial"/>
          <w:sz w:val="14"/>
          <w:szCs w:val="14"/>
          <w:color w:val="auto"/>
        </w:rPr>
        <w:t>Federal and state law prohibits the use of “material inside information” when trading in or recommending CLPS securities. In accordance with applicable federal and state law, no employee, officer or director may engage in transactions in CLPS shares (whether for their own account, for CLPS’s account or otherwise) while in possession of material inside information (“Insider Trading”) relating to CLPS. Further, no employee, officer or director who is in possession of material inside information may communicate such information to third parties who may use such information in the decision to purchase or sell CLPS shares (“Tipping”). These restrictions also apply to securities of other companies if an employee, officer or director learns of material inside information in the course of his or her duties for CLPS. In addition to violating CLPS policy, Insider Trading and Tipping are illegal.</w:t>
      </w:r>
    </w:p>
    <w:p>
      <w:pPr>
        <w:spacing w:after="0" w:line="148" w:lineRule="exact"/>
        <w:rPr>
          <w:sz w:val="20"/>
          <w:szCs w:val="20"/>
          <w:color w:val="auto"/>
        </w:rPr>
      </w:pPr>
    </w:p>
    <w:p>
      <w:pPr>
        <w:ind w:right="200" w:firstLine="504"/>
        <w:spacing w:after="0" w:line="259" w:lineRule="auto"/>
        <w:rPr>
          <w:sz w:val="20"/>
          <w:szCs w:val="20"/>
          <w:color w:val="auto"/>
        </w:rPr>
      </w:pPr>
      <w:r>
        <w:rPr>
          <w:rFonts w:ascii="Arial" w:cs="Arial" w:eastAsia="Arial" w:hAnsi="Arial"/>
          <w:sz w:val="14"/>
          <w:szCs w:val="14"/>
          <w:color w:val="auto"/>
        </w:rPr>
        <w:t>What constitutes “material inside information” is a complex legal question, but is generally considered to be information not available to the general public, which a reasonable investor contemplating a purchase of CLPS shares would be substantially likely to take into account in making his or her investment decision. Such information includes information relating to a stock or share split and other actions relating to capital structure, major management changes, contemplated acquisitions or divestitures, and information concerning earnings or other financial information. Such information continues to be “inside” information until two business days following the broad disclosure to the general public.</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20"/>
          </w:cols>
          <w:pgMar w:left="220" w:top="781" w:right="259" w:bottom="1440" w:gutter="0" w:footer="0" w:header="0"/>
        </w:sectPr>
      </w:pPr>
    </w:p>
    <w:bookmarkStart w:id="314" w:name="page315"/>
    <w:bookmarkEnd w:id="314"/>
    <w:p>
      <w:pPr>
        <w:ind w:right="20" w:firstLine="504"/>
        <w:spacing w:after="0" w:line="257" w:lineRule="auto"/>
        <w:rPr>
          <w:sz w:val="20"/>
          <w:szCs w:val="20"/>
          <w:color w:val="auto"/>
        </w:rPr>
      </w:pPr>
      <w:r>
        <w:rPr>
          <w:rFonts w:ascii="Arial" w:cs="Arial" w:eastAsia="Arial" w:hAnsi="Arial"/>
          <w:sz w:val="14"/>
          <w:szCs w:val="14"/>
          <w:color w:val="auto"/>
        </w:rPr>
        <w:t>Any person who is in possession of material inside information is deemed to be an “insider.” This would include directors, officers, employees (management and non- management), as well as spouses, friends or brokers who may have acquired such information directly or indirectly from an insider “tip. Substantial penalties may be assessed against people who trade while in possession of material inside information and can also be imposed upon companies and so-called controlling persons such as officers and directors who fail to take appropriate steps to prevent or detect insider trading violations by their employees or subordinates. To avoid severe consequences, employees should review this policy and the Insider Trading Policy before trading in securities and consult with CLPS’s chief financial officer if any doubts exist as to what constitutes “material inside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Conflicts of Interest</w:t>
      </w:r>
    </w:p>
    <w:p>
      <w:pPr>
        <w:spacing w:after="0" w:line="176" w:lineRule="exact"/>
        <w:rPr>
          <w:sz w:val="20"/>
          <w:szCs w:val="20"/>
          <w:color w:val="auto"/>
        </w:rPr>
      </w:pPr>
    </w:p>
    <w:p>
      <w:pPr>
        <w:ind w:right="20" w:firstLine="505"/>
        <w:spacing w:after="0" w:line="282" w:lineRule="auto"/>
        <w:rPr>
          <w:sz w:val="20"/>
          <w:szCs w:val="20"/>
          <w:color w:val="auto"/>
        </w:rPr>
      </w:pPr>
      <w:r>
        <w:rPr>
          <w:rFonts w:ascii="Arial" w:cs="Arial" w:eastAsia="Arial" w:hAnsi="Arial"/>
          <w:sz w:val="13"/>
          <w:szCs w:val="13"/>
          <w:color w:val="auto"/>
        </w:rPr>
        <w:t>Employees must base business decisions and actions on the best interests of CLPS. Accordingly, CLPS policy prohibits conflicts of interest. A conflict of interest occurs when an individual’s personal interest interferes in any way—or even appears to interfere—with the interests of CLPS as a whole. A conflict situation can arise when an employee or a member of an employee’s family takes actions or has interests that may make it difficult to perform his or her CLPS work objectively and effectively. Conflicts of interest also arise when an employee or a member of his or her family or close personal friend, receives improper personal benefits as a result of his or her position in CLPS. Family members include an employee’s spouse, child, stepchild, grandchild, parent, step-parent, grandparent, sibling, in-laws and anyone living in an employee’s household and/or economically dependent upon an employee, including all adoptive relationships.</w:t>
      </w:r>
    </w:p>
    <w:p>
      <w:pPr>
        <w:spacing w:after="0" w:line="132" w:lineRule="exact"/>
        <w:rPr>
          <w:sz w:val="20"/>
          <w:szCs w:val="20"/>
          <w:color w:val="auto"/>
        </w:rPr>
      </w:pPr>
    </w:p>
    <w:p>
      <w:pPr>
        <w:ind w:right="40" w:firstLine="505"/>
        <w:spacing w:after="0" w:line="264" w:lineRule="auto"/>
        <w:rPr>
          <w:sz w:val="20"/>
          <w:szCs w:val="20"/>
          <w:color w:val="auto"/>
        </w:rPr>
      </w:pPr>
      <w:r>
        <w:rPr>
          <w:rFonts w:ascii="Arial" w:cs="Arial" w:eastAsia="Arial" w:hAnsi="Arial"/>
          <w:sz w:val="14"/>
          <w:szCs w:val="14"/>
          <w:color w:val="auto"/>
        </w:rPr>
        <w:t>Such conflicts of interest can undermine our business judgment and our responsibility to CLPS and threaten CLPS’s business and reputation. Accordingly, all apparent, potential, and actual conflicts of interest should be scrupulously avoided. Though it is not possible to list every activity or situation that might raise a conflict of interest issue(s), the list below is included to help you recognize some of the more significant ones:</w:t>
      </w:r>
    </w:p>
    <w:p>
      <w:pPr>
        <w:spacing w:after="0" w:line="138" w:lineRule="exact"/>
        <w:rPr>
          <w:sz w:val="20"/>
          <w:szCs w:val="20"/>
          <w:color w:val="auto"/>
        </w:rPr>
      </w:pPr>
    </w:p>
    <w:p>
      <w:pPr>
        <w:jc w:val="both"/>
        <w:ind w:left="500" w:right="60" w:firstLine="514"/>
        <w:spacing w:after="0" w:line="267" w:lineRule="auto"/>
        <w:tabs>
          <w:tab w:leader="none" w:pos="1230" w:val="left"/>
        </w:tabs>
        <w:numPr>
          <w:ilvl w:val="0"/>
          <w:numId w:val="366"/>
        </w:numPr>
        <w:rPr>
          <w:rFonts w:ascii="Arial" w:cs="Arial" w:eastAsia="Arial" w:hAnsi="Arial"/>
          <w:sz w:val="14"/>
          <w:szCs w:val="14"/>
          <w:color w:val="auto"/>
        </w:rPr>
      </w:pPr>
      <w:r>
        <w:rPr>
          <w:rFonts w:ascii="Arial" w:cs="Arial" w:eastAsia="Arial" w:hAnsi="Arial"/>
          <w:sz w:val="14"/>
          <w:szCs w:val="14"/>
          <w:b w:val="1"/>
          <w:bCs w:val="1"/>
          <w:color w:val="auto"/>
        </w:rPr>
        <w:t xml:space="preserve">Corporate Opportunities. </w:t>
      </w:r>
      <w:r>
        <w:rPr>
          <w:rFonts w:ascii="Arial" w:cs="Arial" w:eastAsia="Arial" w:hAnsi="Arial"/>
          <w:sz w:val="14"/>
          <w:szCs w:val="14"/>
          <w:color w:val="auto"/>
        </w:rPr>
        <w:t>Taking personally opportunities that are discovered through the use of corporate property, information or position (unless CLPS has already been offered</w:t>
      </w:r>
      <w:r>
        <w:rPr>
          <w:rFonts w:ascii="Arial" w:cs="Arial" w:eastAsia="Arial" w:hAnsi="Arial"/>
          <w:sz w:val="14"/>
          <w:szCs w:val="14"/>
          <w:b w:val="1"/>
          <w:bCs w:val="1"/>
          <w:color w:val="auto"/>
        </w:rPr>
        <w:t xml:space="preserve"> </w:t>
      </w:r>
      <w:r>
        <w:rPr>
          <w:rFonts w:ascii="Arial" w:cs="Arial" w:eastAsia="Arial" w:hAnsi="Arial"/>
          <w:sz w:val="14"/>
          <w:szCs w:val="14"/>
          <w:color w:val="auto"/>
        </w:rPr>
        <w:t>the opportunity and turned it down), or using corporate property, information or position for personal gain or competing with CLPS. Such action is prohibited. In addition, directors owe a duty to CLPS to advance its legitimate interests when the opportunity to do so arises.</w:t>
      </w:r>
    </w:p>
    <w:p>
      <w:pPr>
        <w:spacing w:after="0" w:line="136" w:lineRule="exact"/>
        <w:rPr>
          <w:rFonts w:ascii="Arial" w:cs="Arial" w:eastAsia="Arial" w:hAnsi="Arial"/>
          <w:sz w:val="14"/>
          <w:szCs w:val="14"/>
          <w:color w:val="auto"/>
        </w:rPr>
      </w:pPr>
    </w:p>
    <w:p>
      <w:pPr>
        <w:ind w:left="500" w:right="20" w:firstLine="514"/>
        <w:spacing w:after="0" w:line="281" w:lineRule="auto"/>
        <w:tabs>
          <w:tab w:leader="none" w:pos="1230" w:val="left"/>
        </w:tabs>
        <w:numPr>
          <w:ilvl w:val="0"/>
          <w:numId w:val="366"/>
        </w:numPr>
        <w:rPr>
          <w:rFonts w:ascii="Arial" w:cs="Arial" w:eastAsia="Arial" w:hAnsi="Arial"/>
          <w:sz w:val="13"/>
          <w:szCs w:val="13"/>
          <w:color w:val="auto"/>
        </w:rPr>
      </w:pPr>
      <w:r>
        <w:rPr>
          <w:rFonts w:ascii="Arial" w:cs="Arial" w:eastAsia="Arial" w:hAnsi="Arial"/>
          <w:sz w:val="13"/>
          <w:szCs w:val="13"/>
          <w:b w:val="1"/>
          <w:bCs w:val="1"/>
          <w:color w:val="auto"/>
        </w:rPr>
        <w:t xml:space="preserve">Gifts. </w:t>
      </w:r>
      <w:r>
        <w:rPr>
          <w:rFonts w:ascii="Arial" w:cs="Arial" w:eastAsia="Arial" w:hAnsi="Arial"/>
          <w:sz w:val="13"/>
          <w:szCs w:val="13"/>
          <w:color w:val="auto"/>
        </w:rPr>
        <w:t>Receiving from, or giving to, a supplier, customer or competitor, gifts, gratuities, special allowances, inappropriate discounts or other benefits of significant value (as defined</w:t>
      </w:r>
      <w:r>
        <w:rPr>
          <w:rFonts w:ascii="Arial" w:cs="Arial" w:eastAsia="Arial" w:hAnsi="Arial"/>
          <w:sz w:val="13"/>
          <w:szCs w:val="13"/>
          <w:b w:val="1"/>
          <w:bCs w:val="1"/>
          <w:color w:val="auto"/>
        </w:rPr>
        <w:t xml:space="preserve"> </w:t>
      </w:r>
      <w:r>
        <w:rPr>
          <w:rFonts w:ascii="Arial" w:cs="Arial" w:eastAsia="Arial" w:hAnsi="Arial"/>
          <w:sz w:val="13"/>
          <w:szCs w:val="13"/>
          <w:color w:val="auto"/>
        </w:rPr>
        <w:t>below) that may have the potential to influence a business decision. The purpose of business entertainment and gifts in a commercial setting is to create goodwill and sound working relationships, not to gain unfair advantage with suppliers or customers. Gifts and entertainment of more than a significant value, that is, other than as is customary (i.e. holiday gift baskets or vendor attended entertainment), must be pre- approved, by a vice president or an officer of a higher level, other than the recipient of the gift. In addition, any item that costs greater than the local equivalent of USD$500 will be deemed to be of significant value and require pre-approval. If an employee is unsure regarding any gifts received or given, he or she should seek approval from his or her vice president. Any vice president seeking approval shall seek such approval from the Chief Financial Officer.</w:t>
      </w:r>
    </w:p>
    <w:p>
      <w:pPr>
        <w:spacing w:after="0" w:line="128" w:lineRule="exact"/>
        <w:rPr>
          <w:rFonts w:ascii="Arial" w:cs="Arial" w:eastAsia="Arial" w:hAnsi="Arial"/>
          <w:sz w:val="13"/>
          <w:szCs w:val="13"/>
          <w:color w:val="auto"/>
        </w:rPr>
      </w:pPr>
    </w:p>
    <w:p>
      <w:pPr>
        <w:ind w:left="500" w:firstLine="514"/>
        <w:spacing w:after="0" w:line="267" w:lineRule="auto"/>
        <w:tabs>
          <w:tab w:leader="none" w:pos="1230" w:val="left"/>
        </w:tabs>
        <w:numPr>
          <w:ilvl w:val="0"/>
          <w:numId w:val="366"/>
        </w:numPr>
        <w:rPr>
          <w:rFonts w:ascii="Arial" w:cs="Arial" w:eastAsia="Arial" w:hAnsi="Arial"/>
          <w:sz w:val="14"/>
          <w:szCs w:val="14"/>
          <w:color w:val="auto"/>
        </w:rPr>
      </w:pPr>
      <w:r>
        <w:rPr>
          <w:rFonts w:ascii="Arial" w:cs="Arial" w:eastAsia="Arial" w:hAnsi="Arial"/>
          <w:sz w:val="14"/>
          <w:szCs w:val="14"/>
          <w:b w:val="1"/>
          <w:bCs w:val="1"/>
          <w:color w:val="auto"/>
        </w:rPr>
        <w:t>Loans</w:t>
      </w:r>
      <w:r>
        <w:rPr>
          <w:rFonts w:ascii="Arial" w:cs="Arial" w:eastAsia="Arial" w:hAnsi="Arial"/>
          <w:sz w:val="14"/>
          <w:szCs w:val="14"/>
          <w:color w:val="auto"/>
        </w:rPr>
        <w:t>. Providing loans to, or guarantees of obligations of, employees or their family members. Such activity will not be allowed without the prior written approval of the Chief</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Officer, and if appropriate, the Board of Directors or a committee of the Board of Directors. CLPS will not extend, maintain or arrange any personal loan (or the equivalent thereof) to or for any director or executive officer or members of their families, or make guarantees of any of their obligations.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81" w:right="219" w:bottom="1440" w:gutter="0" w:footer="0" w:header="0"/>
        </w:sectPr>
      </w:pPr>
    </w:p>
    <w:bookmarkStart w:id="315" w:name="page316"/>
    <w:bookmarkEnd w:id="315"/>
    <w:p>
      <w:pPr>
        <w:ind w:left="1240" w:hanging="226"/>
        <w:spacing w:after="0"/>
        <w:tabs>
          <w:tab w:leader="none" w:pos="1240" w:val="left"/>
        </w:tabs>
        <w:numPr>
          <w:ilvl w:val="0"/>
          <w:numId w:val="367"/>
        </w:numPr>
        <w:rPr>
          <w:rFonts w:ascii="Arial" w:cs="Arial" w:eastAsia="Arial" w:hAnsi="Arial"/>
          <w:sz w:val="14"/>
          <w:szCs w:val="14"/>
          <w:color w:val="auto"/>
        </w:rPr>
      </w:pPr>
      <w:r>
        <w:rPr>
          <w:rFonts w:ascii="Arial" w:cs="Arial" w:eastAsia="Arial" w:hAnsi="Arial"/>
          <w:sz w:val="14"/>
          <w:szCs w:val="14"/>
          <w:b w:val="1"/>
          <w:bCs w:val="1"/>
          <w:color w:val="auto"/>
        </w:rPr>
        <w:t xml:space="preserve">Outside Activity. </w:t>
      </w:r>
      <w:r>
        <w:rPr>
          <w:rFonts w:ascii="Arial" w:cs="Arial" w:eastAsia="Arial" w:hAnsi="Arial"/>
          <w:sz w:val="14"/>
          <w:szCs w:val="14"/>
          <w:color w:val="auto"/>
        </w:rPr>
        <w:t>Engaging in any outside activity that materially detracts from or interferes with the performance by an employee of his or her services to CLPS.</w:t>
      </w:r>
    </w:p>
    <w:p>
      <w:pPr>
        <w:spacing w:after="0" w:line="175" w:lineRule="exact"/>
        <w:rPr>
          <w:rFonts w:ascii="Arial" w:cs="Arial" w:eastAsia="Arial" w:hAnsi="Arial"/>
          <w:sz w:val="14"/>
          <w:szCs w:val="14"/>
          <w:color w:val="auto"/>
        </w:rPr>
      </w:pPr>
    </w:p>
    <w:p>
      <w:pPr>
        <w:ind w:left="500" w:right="420" w:firstLine="514"/>
        <w:spacing w:after="0" w:line="283" w:lineRule="auto"/>
        <w:tabs>
          <w:tab w:leader="none" w:pos="1230" w:val="left"/>
        </w:tabs>
        <w:numPr>
          <w:ilvl w:val="0"/>
          <w:numId w:val="367"/>
        </w:numPr>
        <w:rPr>
          <w:rFonts w:ascii="Arial" w:cs="Arial" w:eastAsia="Arial" w:hAnsi="Arial"/>
          <w:sz w:val="14"/>
          <w:szCs w:val="14"/>
          <w:color w:val="auto"/>
        </w:rPr>
      </w:pPr>
      <w:r>
        <w:rPr>
          <w:rFonts w:ascii="Arial" w:cs="Arial" w:eastAsia="Arial" w:hAnsi="Arial"/>
          <w:sz w:val="14"/>
          <w:szCs w:val="14"/>
          <w:b w:val="1"/>
          <w:bCs w:val="1"/>
          <w:color w:val="auto"/>
        </w:rPr>
        <w:t xml:space="preserve">Outside Employment. </w:t>
      </w:r>
      <w:r>
        <w:rPr>
          <w:rFonts w:ascii="Arial" w:cs="Arial" w:eastAsia="Arial" w:hAnsi="Arial"/>
          <w:sz w:val="14"/>
          <w:szCs w:val="14"/>
          <w:color w:val="auto"/>
        </w:rPr>
        <w:t>Serving as a director, representative, employee, partner, consultant or agent of, or providing services to, an organization or individual that is a supplier,</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or otherwise seeking to do or doing business with CLPS or a competitor of CLPS.</w:t>
      </w:r>
    </w:p>
    <w:p>
      <w:pPr>
        <w:spacing w:after="0" w:line="125" w:lineRule="exact"/>
        <w:rPr>
          <w:rFonts w:ascii="Arial" w:cs="Arial" w:eastAsia="Arial" w:hAnsi="Arial"/>
          <w:sz w:val="14"/>
          <w:szCs w:val="14"/>
          <w:color w:val="auto"/>
        </w:rPr>
      </w:pPr>
    </w:p>
    <w:p>
      <w:pPr>
        <w:ind w:left="500" w:right="440" w:firstLine="514"/>
        <w:spacing w:after="0" w:line="324" w:lineRule="auto"/>
        <w:tabs>
          <w:tab w:leader="none" w:pos="1230" w:val="left"/>
        </w:tabs>
        <w:numPr>
          <w:ilvl w:val="0"/>
          <w:numId w:val="367"/>
        </w:numPr>
        <w:rPr>
          <w:rFonts w:ascii="Arial" w:cs="Arial" w:eastAsia="Arial" w:hAnsi="Arial"/>
          <w:sz w:val="13"/>
          <w:szCs w:val="13"/>
          <w:color w:val="auto"/>
        </w:rPr>
      </w:pPr>
      <w:r>
        <w:rPr>
          <w:rFonts w:ascii="Arial" w:cs="Arial" w:eastAsia="Arial" w:hAnsi="Arial"/>
          <w:sz w:val="13"/>
          <w:szCs w:val="13"/>
          <w:b w:val="1"/>
          <w:bCs w:val="1"/>
          <w:color w:val="auto"/>
        </w:rPr>
        <w:t xml:space="preserve">Personal Investments. </w:t>
      </w:r>
      <w:r>
        <w:rPr>
          <w:rFonts w:ascii="Arial" w:cs="Arial" w:eastAsia="Arial" w:hAnsi="Arial"/>
          <w:sz w:val="13"/>
          <w:szCs w:val="13"/>
          <w:color w:val="auto"/>
        </w:rPr>
        <w:t>Directly or indirectly, owning stock in, being a partner or creditor of, or having another financial interest in, or being engaged in the management of, a</w:t>
      </w:r>
      <w:r>
        <w:rPr>
          <w:rFonts w:ascii="Arial" w:cs="Arial" w:eastAsia="Arial" w:hAnsi="Arial"/>
          <w:sz w:val="13"/>
          <w:szCs w:val="13"/>
          <w:b w:val="1"/>
          <w:bCs w:val="1"/>
          <w:color w:val="auto"/>
        </w:rPr>
        <w:t xml:space="preserve"> </w:t>
      </w:r>
      <w:r>
        <w:rPr>
          <w:rFonts w:ascii="Arial" w:cs="Arial" w:eastAsia="Arial" w:hAnsi="Arial"/>
          <w:sz w:val="13"/>
          <w:szCs w:val="13"/>
          <w:color w:val="auto"/>
        </w:rPr>
        <w:t>supplier, contractor, customer, distributor or competitor; provided that ownership of less than 1% in a publicly traded company shall not be included in the foregoing.</w:t>
      </w:r>
    </w:p>
    <w:p>
      <w:pPr>
        <w:spacing w:after="0" w:line="105" w:lineRule="exact"/>
        <w:rPr>
          <w:sz w:val="20"/>
          <w:szCs w:val="20"/>
          <w:color w:val="auto"/>
        </w:rPr>
      </w:pPr>
    </w:p>
    <w:p>
      <w:pPr>
        <w:ind w:right="60" w:firstLine="504"/>
        <w:spacing w:after="0" w:line="255" w:lineRule="auto"/>
        <w:rPr>
          <w:sz w:val="20"/>
          <w:szCs w:val="20"/>
          <w:color w:val="auto"/>
        </w:rPr>
      </w:pPr>
      <w:r>
        <w:rPr>
          <w:rFonts w:ascii="Arial" w:cs="Arial" w:eastAsia="Arial" w:hAnsi="Arial"/>
          <w:sz w:val="14"/>
          <w:szCs w:val="14"/>
          <w:color w:val="auto"/>
        </w:rPr>
        <w:t>All potential and actual conflicts of interest or material transactions or relationships that reasonably could be expected to give rise to such a conflict or the appearance of such a conflict must be promptly communicated to the employee’s supervisor or human resources representative. Employees should take care to report conflicts to a person who they believe is not involved in the matter giving rise to the conflict. If a director believes he or she has an actual or potential conflict of interest with CLPS, the director should notify the Chief Financial Officer and the Chairman of the Audit Committee (or any successor committee thereto) as promptly as practicable. The director should not participate in any decision by the Board of Directors, or any Committee of the Board of Directors, that in any way relates to the matter that gives rise to the conflict of interest or potential conflict of interest until the issue has been resolved to the satisfaction of the Chairman of the Audit Committee or the entire Board of Directors. Any employee who has a doubt about whether a conflict of interest exists after consulting this provision of the Code, should contact their human resources representative or, so that he or she can be assisted in making that determination.</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Quality of Disclosures</w:t>
      </w:r>
    </w:p>
    <w:p>
      <w:pPr>
        <w:spacing w:after="0" w:line="176" w:lineRule="exact"/>
        <w:rPr>
          <w:sz w:val="20"/>
          <w:szCs w:val="20"/>
          <w:color w:val="auto"/>
        </w:rPr>
      </w:pPr>
    </w:p>
    <w:p>
      <w:pPr>
        <w:ind w:firstLine="504"/>
        <w:spacing w:after="0" w:line="264" w:lineRule="auto"/>
        <w:rPr>
          <w:sz w:val="20"/>
          <w:szCs w:val="20"/>
          <w:color w:val="auto"/>
        </w:rPr>
      </w:pPr>
      <w:r>
        <w:rPr>
          <w:rFonts w:ascii="Arial" w:cs="Arial" w:eastAsia="Arial" w:hAnsi="Arial"/>
          <w:sz w:val="14"/>
          <w:szCs w:val="14"/>
          <w:color w:val="auto"/>
        </w:rPr>
        <w:t>The US federal and state securities laws impose continuing disclosure requirements on CLPS, and require CLPS to regularly file certain reports with and make certain submissions (the “Reports”) to the Securities and Exchange Commission and the stock exchange on which CLPS’s securities are traded and disseminate them to its shareholders. Such Reports must comply with all applicable legal and exchange requirements and may not contain material misstatements or omit material facts.</w:t>
      </w:r>
    </w:p>
    <w:p>
      <w:pPr>
        <w:spacing w:after="0" w:line="142" w:lineRule="exact"/>
        <w:rPr>
          <w:sz w:val="20"/>
          <w:szCs w:val="20"/>
          <w:color w:val="auto"/>
        </w:rPr>
      </w:pPr>
    </w:p>
    <w:p>
      <w:pPr>
        <w:ind w:right="40" w:firstLine="504"/>
        <w:spacing w:after="0" w:line="259" w:lineRule="auto"/>
        <w:rPr>
          <w:sz w:val="20"/>
          <w:szCs w:val="20"/>
          <w:color w:val="auto"/>
        </w:rPr>
      </w:pPr>
      <w:r>
        <w:rPr>
          <w:rFonts w:ascii="Arial" w:cs="Arial" w:eastAsia="Arial" w:hAnsi="Arial"/>
          <w:sz w:val="14"/>
          <w:szCs w:val="14"/>
          <w:color w:val="auto"/>
        </w:rPr>
        <w:t>All employees, officers and directors directly or indirectly involved in preparing such Reports, any employees, officers or directors who regularly communicate with the press, investors and analysts concerning CLPS, and all representatives who assist CLPS in preparing such Reports and communications, will ensure that such Reports and communications are (i) full, fair, timely, accurate and understandable and (ii) meet all legal requirements. This policy applies to all public disclosure of material information about CLPS, including written disclosures, oral statements, visual presentations, press conferences and media calls.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Protection and Proper Use of CLPS Assets</w:t>
      </w:r>
    </w:p>
    <w:p>
      <w:pPr>
        <w:spacing w:after="0" w:line="176" w:lineRule="exact"/>
        <w:rPr>
          <w:sz w:val="20"/>
          <w:szCs w:val="20"/>
          <w:color w:val="auto"/>
        </w:rPr>
      </w:pPr>
    </w:p>
    <w:p>
      <w:pPr>
        <w:ind w:right="60" w:firstLine="504"/>
        <w:spacing w:after="0" w:line="257" w:lineRule="auto"/>
        <w:rPr>
          <w:sz w:val="20"/>
          <w:szCs w:val="20"/>
          <w:color w:val="auto"/>
        </w:rPr>
      </w:pPr>
      <w:r>
        <w:rPr>
          <w:rFonts w:ascii="Arial" w:cs="Arial" w:eastAsia="Arial" w:hAnsi="Arial"/>
          <w:sz w:val="14"/>
          <w:szCs w:val="14"/>
          <w:color w:val="auto"/>
        </w:rPr>
        <w:t>Proper and efficient use of assets of CLPS, suppliers, customers and others, such as electronic communication systems, vehicles, cell phones, information (proprietary or otherwise), facilities and equipment, as well as intangible assets, is the responsibility of each employee, officer and director. Employees, officers and directors must not inappropriately use such assets for non-CLPS business or personal profit for themselves or others unless such use is permitted under an approved written policy, compensation or expense reimbursement program. In addition, employees, officers and directors must act in a manner to protect CLPS assets from loss, damage, misuse, theft, removal and waste. Finally, employees, officers and directors must ensure that such assets are used only for legitimate business purposes.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77" w:right="219" w:bottom="1440" w:gutter="0" w:footer="0" w:header="0"/>
        </w:sectPr>
      </w:pPr>
    </w:p>
    <w:bookmarkStart w:id="316" w:name="page317"/>
    <w:bookmarkEnd w:id="316"/>
    <w:p>
      <w:pPr>
        <w:ind w:left="500"/>
        <w:spacing w:after="0"/>
        <w:rPr>
          <w:sz w:val="20"/>
          <w:szCs w:val="20"/>
          <w:color w:val="auto"/>
        </w:rPr>
      </w:pPr>
      <w:r>
        <w:rPr>
          <w:rFonts w:ascii="Arial" w:cs="Arial" w:eastAsia="Arial" w:hAnsi="Arial"/>
          <w:sz w:val="14"/>
          <w:szCs w:val="14"/>
          <w:u w:val="single" w:color="auto"/>
          <w:color w:val="auto"/>
        </w:rPr>
        <w:t>Reporting of any Illegal or Unethical Behavior</w:t>
      </w:r>
    </w:p>
    <w:p>
      <w:pPr>
        <w:spacing w:after="0" w:line="176" w:lineRule="exact"/>
        <w:rPr>
          <w:sz w:val="20"/>
          <w:szCs w:val="20"/>
          <w:color w:val="auto"/>
        </w:rPr>
      </w:pPr>
    </w:p>
    <w:p>
      <w:pPr>
        <w:ind w:firstLine="504"/>
        <w:spacing w:after="0" w:line="259" w:lineRule="auto"/>
        <w:rPr>
          <w:sz w:val="20"/>
          <w:szCs w:val="20"/>
          <w:color w:val="auto"/>
        </w:rPr>
      </w:pPr>
      <w:r>
        <w:rPr>
          <w:rFonts w:ascii="Arial" w:cs="Arial" w:eastAsia="Arial" w:hAnsi="Arial"/>
          <w:sz w:val="14"/>
          <w:szCs w:val="14"/>
          <w:color w:val="auto"/>
        </w:rPr>
        <w:t>Any employee who is aware of any illegal or unethical behavior or who believes that an applicable law, rule or regulation or the Code has been violated, must promptly report the matter to his or her supervisor. If this does not result in a satisfactory conclusion, or if the supervisor is the subject matter of the report, the employee should contact his or her Human Resources representative. Finally, if the matter is not resolved, the employee should contact the Chief Financial Officer or Chief Executive Officer. Additionally, employees are encouraged to email address to [_] to report any ethics violation. Due to the sensitive nature of the reporting, calls to the hot line can be made anonymously.</w:t>
      </w:r>
    </w:p>
    <w:p>
      <w:pPr>
        <w:spacing w:after="0" w:line="147" w:lineRule="exact"/>
        <w:rPr>
          <w:sz w:val="20"/>
          <w:szCs w:val="20"/>
          <w:color w:val="auto"/>
        </w:rPr>
      </w:pPr>
    </w:p>
    <w:p>
      <w:pPr>
        <w:ind w:right="20" w:firstLine="504"/>
        <w:spacing w:after="0" w:line="259" w:lineRule="auto"/>
        <w:rPr>
          <w:sz w:val="20"/>
          <w:szCs w:val="20"/>
          <w:color w:val="auto"/>
        </w:rPr>
      </w:pPr>
      <w:r>
        <w:rPr>
          <w:rFonts w:ascii="Arial" w:cs="Arial" w:eastAsia="Arial" w:hAnsi="Arial"/>
          <w:sz w:val="14"/>
          <w:szCs w:val="14"/>
          <w:color w:val="auto"/>
        </w:rPr>
        <w:t>In addition, an employee who has a concern about CLPS’s accounting practices, internal controls or auditing matters, should follow the same reporting procedures outlined above, provided that to the extent such concerns involve the Chief Financial Officer, the employee should not contact such officer. Employees should take care to report violations to a person who they believe is not involved in the matter giving rise to the violation. All reports of violations will be promptly investigated and, if appropriate, remedied, and if legally required, immediately reported to the proper governmental authority.</w:t>
      </w:r>
    </w:p>
    <w:p>
      <w:pPr>
        <w:spacing w:after="0" w:line="147" w:lineRule="exact"/>
        <w:rPr>
          <w:sz w:val="20"/>
          <w:szCs w:val="20"/>
          <w:color w:val="auto"/>
        </w:rPr>
      </w:pPr>
    </w:p>
    <w:p>
      <w:pPr>
        <w:jc w:val="both"/>
        <w:ind w:right="160" w:firstLine="504"/>
        <w:spacing w:after="0" w:line="264" w:lineRule="auto"/>
        <w:rPr>
          <w:sz w:val="20"/>
          <w:szCs w:val="20"/>
          <w:color w:val="auto"/>
        </w:rPr>
      </w:pPr>
      <w:r>
        <w:rPr>
          <w:rFonts w:ascii="Arial" w:cs="Arial" w:eastAsia="Arial" w:hAnsi="Arial"/>
          <w:sz w:val="14"/>
          <w:szCs w:val="14"/>
          <w:color w:val="auto"/>
        </w:rPr>
        <w:t>Employees will be expected to cooperate in assuring that violations of the Code are promptly addressed. CLPS will protect confidentiality of those making reports of possible misconduct to the maximum extent possible, consistent with the requirements necessary to conduct an effective investigation and the law. Any form of retaliation against someone for reporting an activity that he or she in good faith believes to be a violation of any law, rule, regulation, or this Code will not be tolerated.</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supervisor or other employee intimidating or imposing sanctions on an employee for reporting a matter will be disciplined up to and including termination.</w:t>
      </w:r>
    </w:p>
    <w:p>
      <w:pPr>
        <w:spacing w:after="0" w:line="176" w:lineRule="exact"/>
        <w:rPr>
          <w:sz w:val="20"/>
          <w:szCs w:val="20"/>
          <w:color w:val="auto"/>
        </w:rPr>
      </w:pPr>
    </w:p>
    <w:p>
      <w:pPr>
        <w:ind w:right="60" w:firstLine="504"/>
        <w:spacing w:after="0" w:line="264" w:lineRule="auto"/>
        <w:rPr>
          <w:sz w:val="20"/>
          <w:szCs w:val="20"/>
          <w:color w:val="auto"/>
        </w:rPr>
      </w:pPr>
      <w:r>
        <w:rPr>
          <w:rFonts w:ascii="Arial" w:cs="Arial" w:eastAsia="Arial" w:hAnsi="Arial"/>
          <w:sz w:val="14"/>
          <w:szCs w:val="14"/>
          <w:color w:val="auto"/>
        </w:rPr>
        <w:t>It is illegal to retaliate against a person, including any action regarding his employment, for providing truthful information to a law enforcement officer relating to the possible commission of any federal offense. CLPS encourages employees to report any retaliation for reporting violations of law to their human resources representative or the Chief Financial Officer in addition to the appropriate government authorities.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Responding to Improper Conduct</w:t>
      </w:r>
    </w:p>
    <w:p>
      <w:pPr>
        <w:spacing w:after="0" w:line="176" w:lineRule="exact"/>
        <w:rPr>
          <w:sz w:val="20"/>
          <w:szCs w:val="20"/>
          <w:color w:val="auto"/>
        </w:rPr>
      </w:pPr>
    </w:p>
    <w:p>
      <w:pPr>
        <w:ind w:right="20" w:firstLine="504"/>
        <w:spacing w:after="0" w:line="264" w:lineRule="auto"/>
        <w:rPr>
          <w:sz w:val="20"/>
          <w:szCs w:val="20"/>
          <w:color w:val="auto"/>
        </w:rPr>
      </w:pPr>
      <w:r>
        <w:rPr>
          <w:rFonts w:ascii="Arial" w:cs="Arial" w:eastAsia="Arial" w:hAnsi="Arial"/>
          <w:sz w:val="14"/>
          <w:szCs w:val="14"/>
          <w:color w:val="auto"/>
        </w:rPr>
        <w:t>This Code will be enforced on a uniform basis for everyone, without regard to an employee’s position within CLPS. If an employee violates CLPS’s Code, he or she will be subject to disciplinary action. Supervisors and managers of a disciplined employee may also be subject to disciplinary action for their failure to properly oversee an employee’s conduct, or for retaliation against an employee who reports a violation(s).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81" w:right="219" w:bottom="1440" w:gutter="0" w:footer="0" w:header="0"/>
        </w:sectPr>
      </w:pPr>
    </w:p>
    <w:bookmarkStart w:id="317" w:name="page318"/>
    <w:bookmarkEnd w:id="317"/>
    <w:p>
      <w:pPr>
        <w:jc w:val="both"/>
        <w:ind w:right="100" w:firstLine="504"/>
        <w:spacing w:after="0" w:line="264" w:lineRule="auto"/>
        <w:rPr>
          <w:sz w:val="20"/>
          <w:szCs w:val="20"/>
          <w:color w:val="auto"/>
        </w:rPr>
      </w:pPr>
      <w:r>
        <w:rPr>
          <w:rFonts w:ascii="Arial" w:cs="Arial" w:eastAsia="Arial" w:hAnsi="Arial"/>
          <w:sz w:val="14"/>
          <w:szCs w:val="14"/>
          <w:color w:val="auto"/>
        </w:rPr>
        <w:t>CLPS’s response to misconduct will depend upon a number of factors, including whether the improper behavior involved illegal conduct. Disciplinary action may include, but is not limited to, reprimands and warnings, probation, suspension, demotion, reassignment, reduction in salary or immediate termination. Employees should be aware that certain actions and omissions prohibited by the Code might be crimes that could lead to individual criminal prosecution and, upon conviction, to fines and imprisonment.</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Employment Practices/ Equal Employment Opportunity</w:t>
      </w:r>
    </w:p>
    <w:p>
      <w:pPr>
        <w:spacing w:after="0" w:line="176" w:lineRule="exact"/>
        <w:rPr>
          <w:sz w:val="20"/>
          <w:szCs w:val="20"/>
          <w:color w:val="auto"/>
        </w:rPr>
      </w:pPr>
    </w:p>
    <w:p>
      <w:pPr>
        <w:ind w:firstLine="504"/>
        <w:spacing w:after="0" w:line="328" w:lineRule="auto"/>
        <w:rPr>
          <w:sz w:val="20"/>
          <w:szCs w:val="20"/>
          <w:color w:val="auto"/>
        </w:rPr>
      </w:pPr>
      <w:r>
        <w:rPr>
          <w:rFonts w:ascii="Arial" w:cs="Arial" w:eastAsia="Arial" w:hAnsi="Arial"/>
          <w:sz w:val="12"/>
          <w:szCs w:val="12"/>
          <w:color w:val="auto"/>
        </w:rPr>
        <w:t>CLPS strives to maintain a workplace free of discrimination or harassment. This includes, but is not limited to, discrimination or harassment based on race, color, sex, national origin, religion, age, sexual orientation, veteran status or disability. Retaliation against employees who report such conduct is illegal and will not be tolerated. CLPS also strives to provide a safe working environment for all of its employees. Employees are encouraged to provide any thoughts or ideas on how to improve workplace safety by contacting your supervisor or your respective safety representative.</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Waivers</w:t>
      </w:r>
    </w:p>
    <w:p>
      <w:pPr>
        <w:spacing w:after="0" w:line="176" w:lineRule="exact"/>
        <w:rPr>
          <w:sz w:val="20"/>
          <w:szCs w:val="20"/>
          <w:color w:val="auto"/>
        </w:rPr>
      </w:pPr>
    </w:p>
    <w:p>
      <w:pPr>
        <w:jc w:val="both"/>
        <w:ind w:right="20" w:firstLine="504"/>
        <w:spacing w:after="0" w:line="264" w:lineRule="auto"/>
        <w:rPr>
          <w:sz w:val="20"/>
          <w:szCs w:val="20"/>
          <w:color w:val="auto"/>
        </w:rPr>
      </w:pPr>
      <w:r>
        <w:rPr>
          <w:rFonts w:ascii="Arial" w:cs="Arial" w:eastAsia="Arial" w:hAnsi="Arial"/>
          <w:sz w:val="14"/>
          <w:szCs w:val="14"/>
          <w:color w:val="auto"/>
        </w:rPr>
        <w:t>Employees, officers and directors should understand that waivers or exceptions to our Code will be granted only in advance and only under exceptional circumstances. A waiver of this Code for any executive officer or director may be made only by the Board of Directors or a committee of the Board of Directors and must be promptly disclosed to shareholders in accordance with applicable law and exchange requirements.</w:t>
      </w: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60"/>
          </w:cols>
          <w:pgMar w:left="220" w:top="781" w:right="319" w:bottom="1440" w:gutter="0" w:footer="0" w:header="0"/>
        </w:sectPr>
      </w:pPr>
    </w:p>
    <w:bookmarkStart w:id="318" w:name="page319"/>
    <w:bookmarkEnd w:id="318"/>
    <w:p>
      <w:pPr>
        <w:ind w:left="10600"/>
        <w:spacing w:after="0"/>
        <w:rPr>
          <w:sz w:val="20"/>
          <w:szCs w:val="20"/>
          <w:color w:val="auto"/>
        </w:rPr>
      </w:pPr>
      <w:r>
        <w:rPr>
          <w:rFonts w:ascii="Arial" w:cs="Arial" w:eastAsia="Arial" w:hAnsi="Arial"/>
          <w:sz w:val="15"/>
          <w:szCs w:val="15"/>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spacing w:after="0"/>
              <w:rPr>
                <w:sz w:val="20"/>
                <w:szCs w:val="20"/>
                <w:color w:val="auto"/>
              </w:rPr>
            </w:pPr>
            <w:r>
              <w:rPr>
                <w:rFonts w:ascii="Arial" w:cs="Arial" w:eastAsia="Arial" w:hAnsi="Arial"/>
                <w:sz w:val="14"/>
                <w:szCs w:val="14"/>
                <w:b w:val="1"/>
                <w:bCs w:val="1"/>
                <w:color w:val="auto"/>
              </w:rPr>
              <w:t>Name of the Entity</w:t>
            </w:r>
          </w:p>
        </w:tc>
        <w:tc>
          <w:tcPr>
            <w:tcW w:w="28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Jurisdiction</w:t>
            </w:r>
          </w:p>
        </w:tc>
      </w:tr>
      <w:tr>
        <w:trPr>
          <w:trHeight w:val="168"/>
        </w:trPr>
        <w:tc>
          <w:tcPr>
            <w:tcW w:w="8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Borders>
              <w:top w:val="single" w:sz="8" w:color="auto"/>
            </w:tcBorders>
          </w:tcPr>
          <w:p>
            <w:pPr>
              <w:spacing w:after="0"/>
              <w:rPr>
                <w:sz w:val="14"/>
                <w:szCs w:val="14"/>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Qinheng Co., Limited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Hong Kong</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Qiner Co., Limited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Hong Kong</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CLIVST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British Virgin Islands</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FDT-CL Financial Technology Services Limited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Hong Kong</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JQ Technology Co., Limited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Hong Kong</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JIALIN Technology Limited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Taiwan</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Shanghai Qincheng Information Technology Co.,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ChinaLink Professional Services Co., Ltd.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CLPS Dalian Co.,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CLPS Ruicheng Co., Ltd.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CLPS Beijing Hengtong Co.,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Judge (Shanghai) Co., Ltd.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Judge (Shanghai) Human Resource Co.,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CLPS Technology (Australia) Pty. Ltd.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Australia</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CLPS Technology (Singapore) Pte.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Singapore</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CLPS Technology (HK) Co., Ltd.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Hong Kong</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CLPS Shenzhen Co.,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Tianjin Huanyu Qinshang Network Technology Co., Ltd.</w:t>
            </w:r>
          </w:p>
        </w:tc>
        <w:tc>
          <w:tcPr>
            <w:tcW w:w="2860" w:type="dxa"/>
            <w:vAlign w:val="bottom"/>
            <w:gridSpan w:val="2"/>
          </w:tcPr>
          <w:p>
            <w:pPr>
              <w:ind w:left="240"/>
              <w:spacing w:after="0"/>
              <w:rPr>
                <w:sz w:val="20"/>
                <w:szCs w:val="20"/>
                <w:color w:val="auto"/>
              </w:rPr>
            </w:pPr>
            <w:r>
              <w:rPr>
                <w:rFonts w:ascii="Arial" w:cs="Arial" w:eastAsia="Arial" w:hAnsi="Arial"/>
                <w:sz w:val="14"/>
                <w:szCs w:val="14"/>
                <w:color w:val="auto"/>
              </w:rPr>
              <w:t>PRC</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CLPS Guangzhou Co., Ltd.</w:t>
            </w:r>
          </w:p>
        </w:tc>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PRC</w:t>
            </w:r>
          </w:p>
        </w:tc>
      </w:tr>
    </w:tbl>
    <w:p>
      <w:pPr>
        <w:sectPr>
          <w:pgSz w:w="11900" w:h="16838" w:orient="portrait"/>
          <w:cols w:equalWidth="0" w:num="1">
            <w:col w:w="11460"/>
          </w:cols>
          <w:pgMar w:left="220" w:top="118" w:right="219" w:bottom="1440" w:gutter="0" w:footer="0" w:header="0"/>
        </w:sectPr>
      </w:pPr>
    </w:p>
    <w:bookmarkStart w:id="319" w:name="page320"/>
    <w:bookmarkEnd w:id="319"/>
    <w:p>
      <w:pPr>
        <w:jc w:val="right"/>
        <w:spacing w:after="0"/>
        <w:rPr>
          <w:sz w:val="20"/>
          <w:szCs w:val="20"/>
          <w:color w:val="auto"/>
        </w:rPr>
      </w:pPr>
      <w:r>
        <w:rPr>
          <w:rFonts w:ascii="Arial" w:cs="Arial" w:eastAsia="Arial" w:hAnsi="Arial"/>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505710" cy="4476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0571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CLPS Incorporation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consent to the inclusion in this Registration Statement of CLPS Incorporation on Form F-1 of our report dated December 8, 2017, except for Notes 1, 2, 17 and 18 which are dated March 27, 2018, with respect to our audits of CLPS Incorporation and Subsidiaries as of June 30, 2017 and 2016, and the related consolidated statements of income and comprehensive income, changes in shareholders’ equity and cash flows for the years then ended. We also consent to the reference to our Firm under the heading “Experts” in the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 Friedman LLP</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March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111760</wp:posOffset>
            </wp:positionV>
            <wp:extent cx="4182745" cy="4076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182745" cy="4076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320" w:name="page321"/>
    <w:bookmarkEnd w:id="320"/>
    <w:p>
      <w:pPr>
        <w:jc w:val="right"/>
        <w:spacing w:after="0"/>
        <w:rPr>
          <w:sz w:val="20"/>
          <w:szCs w:val="20"/>
          <w:color w:val="auto"/>
        </w:rPr>
      </w:pPr>
      <w:r>
        <w:rPr>
          <w:rFonts w:ascii="Arial" w:cs="Arial" w:eastAsia="Arial" w:hAnsi="Arial"/>
          <w:sz w:val="14"/>
          <w:szCs w:val="14"/>
          <w:b w:val="1"/>
          <w:bCs w:val="1"/>
          <w:color w:val="auto"/>
        </w:rPr>
        <w:t>Exhibit 99.1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CHARTER OF THE 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9"/>
          <w:szCs w:val="9"/>
          <w:b w:val="1"/>
          <w:bCs w:val="1"/>
          <w:color w:val="auto"/>
        </w:rPr>
        <w:t>EMBERSHIP</w:t>
      </w:r>
    </w:p>
    <w:p>
      <w:pPr>
        <w:spacing w:after="0" w:line="176" w:lineRule="exact"/>
        <w:rPr>
          <w:sz w:val="20"/>
          <w:szCs w:val="20"/>
          <w:color w:val="auto"/>
        </w:rPr>
      </w:pPr>
    </w:p>
    <w:p>
      <w:pPr>
        <w:ind w:right="280" w:firstLine="505"/>
        <w:spacing w:after="0" w:line="297" w:lineRule="auto"/>
        <w:rPr>
          <w:sz w:val="20"/>
          <w:szCs w:val="20"/>
          <w:color w:val="auto"/>
        </w:rPr>
      </w:pPr>
      <w:r>
        <w:rPr>
          <w:rFonts w:ascii="Arial" w:cs="Arial" w:eastAsia="Arial" w:hAnsi="Arial"/>
          <w:sz w:val="13"/>
          <w:szCs w:val="13"/>
          <w:color w:val="auto"/>
        </w:rPr>
        <w:t>The Audit Committee (the “</w:t>
      </w:r>
      <w:r>
        <w:rPr>
          <w:rFonts w:ascii="Arial" w:cs="Arial" w:eastAsia="Arial" w:hAnsi="Arial"/>
          <w:sz w:val="13"/>
          <w:szCs w:val="13"/>
          <w:b w:val="1"/>
          <w:bCs w:val="1"/>
          <w:color w:val="auto"/>
        </w:rPr>
        <w:t>Committee</w:t>
      </w:r>
      <w:r>
        <w:rPr>
          <w:rFonts w:ascii="Arial" w:cs="Arial" w:eastAsia="Arial" w:hAnsi="Arial"/>
          <w:sz w:val="13"/>
          <w:szCs w:val="13"/>
          <w:color w:val="auto"/>
        </w:rPr>
        <w:t>”) of the board of directors (the “</w:t>
      </w:r>
      <w:r>
        <w:rPr>
          <w:rFonts w:ascii="Arial" w:cs="Arial" w:eastAsia="Arial" w:hAnsi="Arial"/>
          <w:sz w:val="13"/>
          <w:szCs w:val="13"/>
          <w:b w:val="1"/>
          <w:bCs w:val="1"/>
          <w:color w:val="auto"/>
        </w:rPr>
        <w:t>Board</w:t>
      </w:r>
      <w:r>
        <w:rPr>
          <w:rFonts w:ascii="Arial" w:cs="Arial" w:eastAsia="Arial" w:hAnsi="Arial"/>
          <w:sz w:val="13"/>
          <w:szCs w:val="13"/>
          <w:color w:val="auto"/>
        </w:rPr>
        <w:t>”) of CLPS Incorporation (the “</w:t>
      </w:r>
      <w:r>
        <w:rPr>
          <w:rFonts w:ascii="Arial" w:cs="Arial" w:eastAsia="Arial" w:hAnsi="Arial"/>
          <w:sz w:val="13"/>
          <w:szCs w:val="13"/>
          <w:b w:val="1"/>
          <w:bCs w:val="1"/>
          <w:color w:val="auto"/>
        </w:rPr>
        <w:t>Company</w:t>
      </w:r>
      <w:r>
        <w:rPr>
          <w:rFonts w:ascii="Arial" w:cs="Arial" w:eastAsia="Arial" w:hAnsi="Arial"/>
          <w:sz w:val="13"/>
          <w:szCs w:val="13"/>
          <w:color w:val="auto"/>
        </w:rPr>
        <w:t>”) shall consist of three or more directors. Each member of the Committee shall be independent in accordance with the requirements of Rule 10A-3 of the Securities Exchange Act of 1934, as amended, and the rules of the Nasdaq Stock Market. No member of the Committee can have participated in the preparation of the Company’s or any of its subsidiaries’ financial statements at any time during the past three years.</w:t>
      </w:r>
    </w:p>
    <w:p>
      <w:pPr>
        <w:spacing w:after="0" w:line="122" w:lineRule="exact"/>
        <w:rPr>
          <w:sz w:val="20"/>
          <w:szCs w:val="20"/>
          <w:color w:val="auto"/>
        </w:rPr>
      </w:pPr>
    </w:p>
    <w:p>
      <w:pPr>
        <w:ind w:firstLine="505"/>
        <w:spacing w:after="0" w:line="259" w:lineRule="auto"/>
        <w:rPr>
          <w:sz w:val="20"/>
          <w:szCs w:val="20"/>
          <w:color w:val="auto"/>
        </w:rPr>
      </w:pPr>
      <w:r>
        <w:rPr>
          <w:rFonts w:ascii="Arial" w:cs="Arial" w:eastAsia="Arial" w:hAnsi="Arial"/>
          <w:sz w:val="14"/>
          <w:szCs w:val="14"/>
          <w:color w:val="auto"/>
        </w:rPr>
        <w:t>Each member of the Committee must be able to read and understand fundamental financial statements, including the Company’s balance sheet, income statement and cash flow statement. At least one member of the Committee must have past employment experience in finance or accounting, requisite professional certification in accounting or other comparable experience or background that leads to financial sophistication. At least one member of the Committee must be an “audit committee financial expert” as defined in Item 407(d)(5)(ii) of Regulation S-K. A person who satisfies this definition of audit committee financial expert will also be presumed to have financial sophistication.</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members of the Committee shall be appointed by the Board based on recommendations from the nominating and corporate governance committee of the Board. The members of the</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Committee shall serve for such term or terms as the Board may determine or until earlier resignation or death. The Board may remove any member from the Committee at any time with or without cause.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URPOSE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primary purpose of the Committee is to oversee the quality and integrity of the Company’s accounting and financial reporting processes and the audit of the Company’s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To fulfill this obligation, the Committee relies on:</w:t>
      </w:r>
    </w:p>
    <w:p>
      <w:pPr>
        <w:spacing w:after="0" w:line="165" w:lineRule="exact"/>
        <w:rPr>
          <w:sz w:val="20"/>
          <w:szCs w:val="20"/>
          <w:color w:val="auto"/>
        </w:rPr>
      </w:pPr>
    </w:p>
    <w:p>
      <w:pPr>
        <w:ind w:left="1080" w:hanging="497"/>
        <w:spacing w:after="0"/>
        <w:tabs>
          <w:tab w:leader="none" w:pos="1080" w:val="left"/>
        </w:tabs>
        <w:numPr>
          <w:ilvl w:val="0"/>
          <w:numId w:val="368"/>
        </w:numPr>
        <w:rPr>
          <w:rFonts w:ascii="Arial" w:cs="Arial" w:eastAsia="Arial" w:hAnsi="Arial"/>
          <w:sz w:val="14"/>
          <w:szCs w:val="14"/>
          <w:color w:val="auto"/>
        </w:rPr>
      </w:pPr>
      <w:r>
        <w:rPr>
          <w:rFonts w:ascii="Arial" w:cs="Arial" w:eastAsia="Arial" w:hAnsi="Arial"/>
          <w:sz w:val="14"/>
          <w:szCs w:val="14"/>
          <w:color w:val="auto"/>
        </w:rPr>
        <w:t>management for the preparation and accuracy of the Company’s financial statements;</w:t>
      </w:r>
    </w:p>
    <w:p>
      <w:pPr>
        <w:spacing w:after="0" w:line="196" w:lineRule="exact"/>
        <w:rPr>
          <w:rFonts w:ascii="Arial" w:cs="Arial" w:eastAsia="Arial" w:hAnsi="Arial"/>
          <w:sz w:val="14"/>
          <w:szCs w:val="14"/>
          <w:color w:val="auto"/>
        </w:rPr>
      </w:pPr>
    </w:p>
    <w:p>
      <w:pPr>
        <w:ind w:left="1080" w:right="180" w:hanging="497"/>
        <w:spacing w:after="0" w:line="277" w:lineRule="auto"/>
        <w:tabs>
          <w:tab w:leader="none" w:pos="1080" w:val="left"/>
        </w:tabs>
        <w:numPr>
          <w:ilvl w:val="0"/>
          <w:numId w:val="368"/>
        </w:numPr>
        <w:rPr>
          <w:rFonts w:ascii="Arial" w:cs="Arial" w:eastAsia="Arial" w:hAnsi="Arial"/>
          <w:sz w:val="14"/>
          <w:szCs w:val="14"/>
          <w:color w:val="auto"/>
        </w:rPr>
      </w:pPr>
      <w:r>
        <w:rPr>
          <w:rFonts w:ascii="Arial" w:cs="Arial" w:eastAsia="Arial" w:hAnsi="Arial"/>
          <w:sz w:val="14"/>
          <w:szCs w:val="14"/>
          <w:color w:val="auto"/>
        </w:rPr>
        <w:t>management for establishing effective internal controls and procedures to ensure the Company’s compliance with accounting standards, financial reporting procedures and applicable laws and regulations;</w:t>
      </w:r>
    </w:p>
    <w:p>
      <w:pPr>
        <w:spacing w:after="0" w:line="154" w:lineRule="exact"/>
        <w:rPr>
          <w:rFonts w:ascii="Arial" w:cs="Arial" w:eastAsia="Arial" w:hAnsi="Arial"/>
          <w:sz w:val="14"/>
          <w:szCs w:val="14"/>
          <w:color w:val="auto"/>
        </w:rPr>
      </w:pPr>
    </w:p>
    <w:p>
      <w:pPr>
        <w:ind w:left="1080" w:hanging="497"/>
        <w:spacing w:after="0"/>
        <w:tabs>
          <w:tab w:leader="none" w:pos="1080" w:val="left"/>
        </w:tabs>
        <w:numPr>
          <w:ilvl w:val="0"/>
          <w:numId w:val="368"/>
        </w:numPr>
        <w:rPr>
          <w:rFonts w:ascii="Arial" w:cs="Arial" w:eastAsia="Arial" w:hAnsi="Arial"/>
          <w:sz w:val="14"/>
          <w:szCs w:val="14"/>
          <w:color w:val="auto"/>
        </w:rPr>
      </w:pPr>
      <w:r>
        <w:rPr>
          <w:rFonts w:ascii="Arial" w:cs="Arial" w:eastAsia="Arial" w:hAnsi="Arial"/>
          <w:sz w:val="14"/>
          <w:szCs w:val="14"/>
          <w:color w:val="auto"/>
        </w:rPr>
        <w:t>management for establishing an effective anti-fraud program; and</w:t>
      </w:r>
    </w:p>
    <w:p>
      <w:pPr>
        <w:spacing w:after="0" w:line="175" w:lineRule="exact"/>
        <w:rPr>
          <w:rFonts w:ascii="Arial" w:cs="Arial" w:eastAsia="Arial" w:hAnsi="Arial"/>
          <w:sz w:val="14"/>
          <w:szCs w:val="14"/>
          <w:color w:val="auto"/>
        </w:rPr>
      </w:pPr>
    </w:p>
    <w:p>
      <w:pPr>
        <w:ind w:left="1080" w:hanging="497"/>
        <w:spacing w:after="0"/>
        <w:tabs>
          <w:tab w:leader="none" w:pos="1080" w:val="left"/>
        </w:tabs>
        <w:numPr>
          <w:ilvl w:val="0"/>
          <w:numId w:val="368"/>
        </w:numPr>
        <w:rPr>
          <w:rFonts w:ascii="Arial" w:cs="Arial" w:eastAsia="Arial" w:hAnsi="Arial"/>
          <w:sz w:val="14"/>
          <w:szCs w:val="14"/>
          <w:color w:val="auto"/>
        </w:rPr>
      </w:pPr>
      <w:r>
        <w:rPr>
          <w:rFonts w:ascii="Arial" w:cs="Arial" w:eastAsia="Arial" w:hAnsi="Arial"/>
          <w:sz w:val="14"/>
          <w:szCs w:val="14"/>
          <w:color w:val="auto"/>
        </w:rPr>
        <w:t>the Company’s independent auditors for an unbiased, diligent audit or review, as applicable, of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7277100" cy="133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9"/>
          <w:szCs w:val="9"/>
          <w:b w:val="1"/>
          <w:bCs w:val="1"/>
          <w:color w:val="auto"/>
        </w:rPr>
        <w:t>UTIES AND</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ESPONSIBILITIES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Committee shall have the following authority and responsibilities:</w:t>
      </w:r>
    </w:p>
    <w:p>
      <w:pPr>
        <w:spacing w:after="0" w:line="176" w:lineRule="exact"/>
        <w:rPr>
          <w:sz w:val="20"/>
          <w:szCs w:val="20"/>
          <w:color w:val="auto"/>
        </w:rPr>
      </w:pPr>
    </w:p>
    <w:p>
      <w:pPr>
        <w:ind w:left="1080" w:right="60" w:hanging="497"/>
        <w:spacing w:after="0" w:line="259" w:lineRule="auto"/>
        <w:tabs>
          <w:tab w:leader="none" w:pos="108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To (a) select and retain an independent registered public accounting firm to act as the Company’s independent auditors for the purpose of auditing the Company’s annual financial statements, books, records, and accounts, (b) set the compensation of the Company’s independent auditors, (c) oversee the work done by the Company’s independent auditors, (d) terminate the Company’s independent auditors, if necessary, and (e) perform an annual evaluation of the performance of the independent auditors. The independent auditors shall report directly to the Committee.</w:t>
      </w:r>
    </w:p>
    <w:p>
      <w:pPr>
        <w:spacing w:after="0" w:line="146" w:lineRule="exact"/>
        <w:rPr>
          <w:rFonts w:ascii="Arial" w:cs="Arial" w:eastAsia="Arial" w:hAnsi="Arial"/>
          <w:sz w:val="14"/>
          <w:szCs w:val="14"/>
          <w:color w:val="auto"/>
        </w:rPr>
      </w:pPr>
    </w:p>
    <w:p>
      <w:pPr>
        <w:ind w:left="1080" w:right="20" w:hanging="497"/>
        <w:spacing w:after="0" w:line="277" w:lineRule="auto"/>
        <w:tabs>
          <w:tab w:leader="none" w:pos="108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To select, retain, compensate, oversee and terminate, if necessary, any other registered public accounting firm engaged for the purpose of preparing or issuing a report on the Company’s internal controls, or perform other audit, review or attest services for the Company.</w:t>
      </w:r>
    </w:p>
    <w:p>
      <w:pPr>
        <w:spacing w:after="0" w:line="133" w:lineRule="exact"/>
        <w:rPr>
          <w:rFonts w:ascii="Arial" w:cs="Arial" w:eastAsia="Arial" w:hAnsi="Arial"/>
          <w:sz w:val="14"/>
          <w:szCs w:val="14"/>
          <w:color w:val="auto"/>
        </w:rPr>
      </w:pPr>
    </w:p>
    <w:p>
      <w:pPr>
        <w:ind w:left="1080" w:right="280" w:hanging="497"/>
        <w:spacing w:after="0" w:line="277" w:lineRule="auto"/>
        <w:tabs>
          <w:tab w:leader="none" w:pos="108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To pre-approve all audit and permitted non-audit and tax services that may be provided by the Company’s independent auditors, and to establish such policies and procedures as the Committee deems necessary for the Committee’s pre- approval of permitted services by the Company’s independent auditors.</w:t>
      </w:r>
    </w:p>
    <w:p>
      <w:pPr>
        <w:spacing w:after="0" w:line="133" w:lineRule="exact"/>
        <w:rPr>
          <w:rFonts w:ascii="Arial" w:cs="Arial" w:eastAsia="Arial" w:hAnsi="Arial"/>
          <w:sz w:val="14"/>
          <w:szCs w:val="14"/>
          <w:color w:val="auto"/>
        </w:rPr>
      </w:pPr>
    </w:p>
    <w:p>
      <w:pPr>
        <w:jc w:val="both"/>
        <w:ind w:left="1080" w:hanging="497"/>
        <w:spacing w:after="0" w:line="264" w:lineRule="auto"/>
        <w:tabs>
          <w:tab w:leader="none" w:pos="108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At least annually, to obtain and review a formal written statement by the Company’s independent auditors that describes all relationships between the firm and the Company or any of its subsidiaries, consistent with Independence Standards Board Standard 1; and to actively engage in a dialogue with the independent auditors with respect to any disclosed relationships or services that may impact the objectivity and independence of the independent auditors.</w:t>
      </w:r>
    </w:p>
    <w:p>
      <w:pPr>
        <w:spacing w:after="0" w:line="142" w:lineRule="exact"/>
        <w:rPr>
          <w:rFonts w:ascii="Arial" w:cs="Arial" w:eastAsia="Arial" w:hAnsi="Arial"/>
          <w:sz w:val="14"/>
          <w:szCs w:val="14"/>
          <w:color w:val="auto"/>
        </w:rPr>
      </w:pPr>
    </w:p>
    <w:p>
      <w:pPr>
        <w:ind w:left="1080" w:hanging="497"/>
        <w:spacing w:after="0"/>
        <w:tabs>
          <w:tab w:leader="none" w:pos="108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To assure the required rotation of the lead audit partner at the Company’s independent auditors.</w:t>
      </w:r>
    </w:p>
    <w:p>
      <w:pPr>
        <w:spacing w:after="0" w:line="175" w:lineRule="exact"/>
        <w:rPr>
          <w:rFonts w:ascii="Arial" w:cs="Arial" w:eastAsia="Arial" w:hAnsi="Arial"/>
          <w:sz w:val="14"/>
          <w:szCs w:val="14"/>
          <w:color w:val="auto"/>
        </w:rPr>
      </w:pPr>
    </w:p>
    <w:p>
      <w:pPr>
        <w:ind w:left="1080" w:right="180" w:hanging="497"/>
        <w:spacing w:after="0" w:line="293" w:lineRule="auto"/>
        <w:tabs>
          <w:tab w:leader="none" w:pos="1080" w:val="left"/>
        </w:tabs>
        <w:numPr>
          <w:ilvl w:val="0"/>
          <w:numId w:val="369"/>
        </w:numPr>
        <w:rPr>
          <w:rFonts w:ascii="Arial" w:cs="Arial" w:eastAsia="Arial" w:hAnsi="Arial"/>
          <w:sz w:val="13"/>
          <w:szCs w:val="13"/>
          <w:color w:val="auto"/>
        </w:rPr>
      </w:pPr>
      <w:r>
        <w:rPr>
          <w:rFonts w:ascii="Arial" w:cs="Arial" w:eastAsia="Arial" w:hAnsi="Arial"/>
          <w:sz w:val="13"/>
          <w:szCs w:val="13"/>
          <w:color w:val="auto"/>
        </w:rPr>
        <w:t>To review and discuss with the Company’s independent auditors (a) all critical accounting policies and practices used by the Company; (b) all alternative treatments of financial information within generally accepted accounting principles (“</w:t>
      </w:r>
      <w:r>
        <w:rPr>
          <w:rFonts w:ascii="Arial" w:cs="Arial" w:eastAsia="Arial" w:hAnsi="Arial"/>
          <w:sz w:val="13"/>
          <w:szCs w:val="13"/>
          <w:b w:val="1"/>
          <w:bCs w:val="1"/>
          <w:color w:val="auto"/>
        </w:rPr>
        <w:t>GAAP</w:t>
      </w:r>
      <w:r>
        <w:rPr>
          <w:rFonts w:ascii="Arial" w:cs="Arial" w:eastAsia="Arial" w:hAnsi="Arial"/>
          <w:sz w:val="13"/>
          <w:szCs w:val="13"/>
          <w:color w:val="auto"/>
        </w:rPr>
        <w:t>”) that have been discussed with management, the ramifications of the use of such alternative treatments and the treatment preferred by the independent auditors; and (c) other material written communications between the independent auditors and management.</w:t>
      </w:r>
    </w:p>
    <w:p>
      <w:pPr>
        <w:spacing w:after="0" w:line="125" w:lineRule="exact"/>
        <w:rPr>
          <w:rFonts w:ascii="Arial" w:cs="Arial" w:eastAsia="Arial" w:hAnsi="Arial"/>
          <w:sz w:val="13"/>
          <w:szCs w:val="13"/>
          <w:color w:val="auto"/>
        </w:rPr>
      </w:pPr>
    </w:p>
    <w:p>
      <w:pPr>
        <w:ind w:left="1080" w:right="540" w:hanging="497"/>
        <w:spacing w:after="0" w:line="277" w:lineRule="auto"/>
        <w:tabs>
          <w:tab w:leader="none" w:pos="108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 xml:space="preserve">To review and discuss with the Company’s independent auditors any other matters required to be discussed by </w:t>
      </w:r>
      <w:r>
        <w:rPr>
          <w:rFonts w:ascii="Arial" w:cs="Arial" w:eastAsia="Arial" w:hAnsi="Arial"/>
          <w:sz w:val="14"/>
          <w:szCs w:val="14"/>
          <w:i w:val="1"/>
          <w:iCs w:val="1"/>
          <w:color w:val="auto"/>
        </w:rPr>
        <w:t>PCAOB Auditing Standards No. 16, Communications with Audit</w:t>
      </w:r>
      <w:r>
        <w:rPr>
          <w:rFonts w:ascii="Arial" w:cs="Arial" w:eastAsia="Arial" w:hAnsi="Arial"/>
          <w:sz w:val="14"/>
          <w:szCs w:val="14"/>
          <w:color w:val="auto"/>
        </w:rPr>
        <w:t xml:space="preserve"> </w:t>
      </w:r>
      <w:r>
        <w:rPr>
          <w:rFonts w:ascii="Arial" w:cs="Arial" w:eastAsia="Arial" w:hAnsi="Arial"/>
          <w:sz w:val="14"/>
          <w:szCs w:val="14"/>
          <w:i w:val="1"/>
          <w:iCs w:val="1"/>
          <w:color w:val="auto"/>
        </w:rPr>
        <w:t>Committees</w:t>
      </w:r>
      <w:r>
        <w:rPr>
          <w:rFonts w:ascii="Arial" w:cs="Arial" w:eastAsia="Arial" w:hAnsi="Arial"/>
          <w:sz w:val="14"/>
          <w:szCs w:val="14"/>
          <w:color w:val="auto"/>
        </w:rPr>
        <w: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277100" cy="133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5" w:right="219" w:bottom="1440" w:gutter="0" w:footer="0" w:header="0"/>
        </w:sectPr>
      </w:pPr>
    </w:p>
    <w:bookmarkStart w:id="322" w:name="page323"/>
    <w:bookmarkEnd w:id="322"/>
    <w:p>
      <w:pPr>
        <w:ind w:left="1080" w:hanging="497"/>
        <w:spacing w:after="0" w:line="264" w:lineRule="auto"/>
        <w:tabs>
          <w:tab w:leader="none" w:pos="108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To review and discuss with the Company’s independent auditors and management the Company’s annual audited financial statements (including the related notes), the form of audit opinion to be issued by the auditors on the financial statements and the disclosure under “Management’s Discussion and Analysis of Financial Condition and Results of Operations” to be included in the Company’s Annual Report before it is filed.</w:t>
      </w:r>
    </w:p>
    <w:p>
      <w:pPr>
        <w:spacing w:after="0" w:line="142" w:lineRule="exact"/>
        <w:rPr>
          <w:rFonts w:ascii="Arial" w:cs="Arial" w:eastAsia="Arial" w:hAnsi="Arial"/>
          <w:sz w:val="14"/>
          <w:szCs w:val="14"/>
          <w:color w:val="auto"/>
        </w:rPr>
      </w:pPr>
    </w:p>
    <w:p>
      <w:pPr>
        <w:ind w:left="1080" w:hanging="497"/>
        <w:spacing w:after="0" w:line="277" w:lineRule="auto"/>
        <w:tabs>
          <w:tab w:leader="none" w:pos="108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To recommend to the Board that the audited financial statements be included in the Company’s Annual Report and to produce the audit committee report required to be included in the Company’s proxy statement.</w:t>
      </w:r>
    </w:p>
    <w:p>
      <w:pPr>
        <w:spacing w:after="0" w:line="133" w:lineRule="exact"/>
        <w:rPr>
          <w:rFonts w:ascii="Arial" w:cs="Arial" w:eastAsia="Arial" w:hAnsi="Arial"/>
          <w:sz w:val="14"/>
          <w:szCs w:val="14"/>
          <w:color w:val="auto"/>
        </w:rPr>
      </w:pPr>
    </w:p>
    <w:p>
      <w:pPr>
        <w:ind w:left="1080" w:right="120" w:hanging="497"/>
        <w:spacing w:after="0" w:line="277" w:lineRule="auto"/>
        <w:tabs>
          <w:tab w:leader="none" w:pos="108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To review and discuss with the Company’s independent auditors and management the Company’s quarterly financial statements and the disclosure under “Management’s Discussion and Analysis of Financial Condition and Results of Operations” to be included in the Company’s interim filings before they are filed.</w:t>
      </w:r>
    </w:p>
    <w:p>
      <w:pPr>
        <w:spacing w:after="0" w:line="133" w:lineRule="exact"/>
        <w:rPr>
          <w:rFonts w:ascii="Arial" w:cs="Arial" w:eastAsia="Arial" w:hAnsi="Arial"/>
          <w:sz w:val="14"/>
          <w:szCs w:val="14"/>
          <w:color w:val="auto"/>
        </w:rPr>
      </w:pPr>
    </w:p>
    <w:p>
      <w:pPr>
        <w:ind w:left="1080" w:right="100" w:hanging="497"/>
        <w:spacing w:after="0" w:line="277" w:lineRule="auto"/>
        <w:tabs>
          <w:tab w:leader="none" w:pos="108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To review and discuss with management the Company’s earnings press releases, including the type of information to be included and its presentation and the use of any pro forma or adjusted non-GAAP information, before their release to the public.</w:t>
      </w:r>
    </w:p>
    <w:p>
      <w:pPr>
        <w:spacing w:after="0" w:line="133" w:lineRule="exact"/>
        <w:rPr>
          <w:rFonts w:ascii="Arial" w:cs="Arial" w:eastAsia="Arial" w:hAnsi="Arial"/>
          <w:sz w:val="14"/>
          <w:szCs w:val="14"/>
          <w:color w:val="auto"/>
        </w:rPr>
      </w:pPr>
    </w:p>
    <w:p>
      <w:pPr>
        <w:ind w:left="1080" w:right="40" w:hanging="497"/>
        <w:spacing w:after="0" w:line="317" w:lineRule="auto"/>
        <w:tabs>
          <w:tab w:leader="none" w:pos="108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To establish and oversee procedures for: (a) the receipt, retention and treatment of complaints received by the Company regarding accounting, internal accounting controls or auditing matters, and (b) the confidential, anonymous submission by Company employees of concerns regarding questionable accounting or auditing matters.</w:t>
      </w:r>
    </w:p>
    <w:p>
      <w:pPr>
        <w:spacing w:after="0" w:line="110" w:lineRule="exact"/>
        <w:rPr>
          <w:rFonts w:ascii="Arial" w:cs="Arial" w:eastAsia="Arial" w:hAnsi="Arial"/>
          <w:sz w:val="13"/>
          <w:szCs w:val="13"/>
          <w:color w:val="auto"/>
        </w:rPr>
      </w:pPr>
    </w:p>
    <w:p>
      <w:pPr>
        <w:ind w:left="1080" w:hanging="497"/>
        <w:spacing w:after="0"/>
        <w:tabs>
          <w:tab w:leader="none" w:pos="108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To review, approve and oversee any transaction between the Company and any related person.</w:t>
      </w:r>
    </w:p>
    <w:p>
      <w:pPr>
        <w:spacing w:after="0" w:line="175" w:lineRule="exact"/>
        <w:rPr>
          <w:rFonts w:ascii="Arial" w:cs="Arial" w:eastAsia="Arial" w:hAnsi="Arial"/>
          <w:sz w:val="14"/>
          <w:szCs w:val="14"/>
          <w:color w:val="auto"/>
        </w:rPr>
      </w:pPr>
    </w:p>
    <w:p>
      <w:pPr>
        <w:ind w:left="1080" w:right="40" w:hanging="497"/>
        <w:spacing w:after="0" w:line="277" w:lineRule="auto"/>
        <w:tabs>
          <w:tab w:leader="none" w:pos="108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To review and assess the Company’s financial risk management process, including the adequacy of the company’s overall financial control environment and controls in selected areas representing significant financial risk.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9"/>
          <w:szCs w:val="9"/>
          <w:b w:val="1"/>
          <w:bCs w:val="1"/>
          <w:color w:val="auto"/>
        </w:rPr>
        <w:t>UTSIDE</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DVISORS</w:t>
      </w:r>
    </w:p>
    <w:p>
      <w:pPr>
        <w:spacing w:after="0" w:line="180" w:lineRule="exact"/>
        <w:rPr>
          <w:sz w:val="20"/>
          <w:szCs w:val="20"/>
          <w:color w:val="auto"/>
        </w:rPr>
      </w:pPr>
    </w:p>
    <w:p>
      <w:pPr>
        <w:ind w:firstLine="505"/>
        <w:spacing w:after="0" w:line="317" w:lineRule="auto"/>
        <w:rPr>
          <w:sz w:val="20"/>
          <w:szCs w:val="20"/>
          <w:color w:val="auto"/>
        </w:rPr>
      </w:pPr>
      <w:r>
        <w:rPr>
          <w:rFonts w:ascii="Arial" w:cs="Arial" w:eastAsia="Arial" w:hAnsi="Arial"/>
          <w:sz w:val="13"/>
          <w:szCs w:val="13"/>
          <w:color w:val="auto"/>
        </w:rPr>
        <w:t>The Committee shall have the authority, in its sole discretion, to retain and obtain the advice and assistance of independent outside legal counsel and such other advisors as it deems necessary to fulfill its duties and responsibilities under this Charter. The Committee shall set the compensation and oversee the work of any outside legal counsel and other advisors.</w:t>
      </w:r>
    </w:p>
    <w:p>
      <w:pPr>
        <w:spacing w:after="0" w:line="110" w:lineRule="exact"/>
        <w:rPr>
          <w:sz w:val="20"/>
          <w:szCs w:val="20"/>
          <w:color w:val="auto"/>
        </w:rPr>
      </w:pPr>
    </w:p>
    <w:p>
      <w:pPr>
        <w:ind w:right="400" w:firstLine="505"/>
        <w:spacing w:after="0" w:line="317" w:lineRule="auto"/>
        <w:rPr>
          <w:sz w:val="20"/>
          <w:szCs w:val="20"/>
          <w:color w:val="auto"/>
        </w:rPr>
      </w:pPr>
      <w:r>
        <w:rPr>
          <w:rFonts w:ascii="Arial" w:cs="Arial" w:eastAsia="Arial" w:hAnsi="Arial"/>
          <w:sz w:val="13"/>
          <w:szCs w:val="13"/>
          <w:color w:val="auto"/>
        </w:rPr>
        <w:t>The Committee shall receive appropriate funding from the Company, as determined by the Committee in its capacity as a committee of the Board, for the payment of compensation to the Company’s independent auditors, any other accounting firm engaged to perform services for the Company, any outside legal counsel and any other advisors to the Committee.</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277100" cy="133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40"/>
          </w:cols>
          <w:pgMar w:left="220" w:top="760" w:right="339"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9"/>
          <w:szCs w:val="9"/>
          <w:b w:val="1"/>
          <w:bCs w:val="1"/>
          <w:color w:val="auto"/>
        </w:rPr>
        <w:t>TRUCTURE AND</w:t>
      </w:r>
      <w:r>
        <w:rPr>
          <w:rFonts w:ascii="Arial" w:cs="Arial" w:eastAsia="Arial" w:hAnsi="Arial"/>
          <w:sz w:val="14"/>
          <w:szCs w:val="14"/>
          <w:b w:val="1"/>
          <w:bCs w:val="1"/>
          <w:color w:val="auto"/>
        </w:rPr>
        <w:t xml:space="preserve"> O</w:t>
      </w:r>
      <w:r>
        <w:rPr>
          <w:rFonts w:ascii="Arial" w:cs="Arial" w:eastAsia="Arial" w:hAnsi="Arial"/>
          <w:sz w:val="9"/>
          <w:szCs w:val="9"/>
          <w:b w:val="1"/>
          <w:bCs w:val="1"/>
          <w:color w:val="auto"/>
        </w:rPr>
        <w:t>PERATIONS</w:t>
      </w:r>
    </w:p>
    <w:p>
      <w:pPr>
        <w:spacing w:after="0" w:line="180" w:lineRule="exact"/>
        <w:rPr>
          <w:sz w:val="20"/>
          <w:szCs w:val="20"/>
          <w:color w:val="auto"/>
        </w:rPr>
      </w:pPr>
    </w:p>
    <w:p>
      <w:pPr>
        <w:ind w:right="160" w:firstLine="505"/>
        <w:spacing w:after="0" w:line="316" w:lineRule="auto"/>
        <w:rPr>
          <w:sz w:val="20"/>
          <w:szCs w:val="20"/>
          <w:color w:val="auto"/>
        </w:rPr>
      </w:pPr>
      <w:r>
        <w:rPr>
          <w:rFonts w:ascii="Arial" w:cs="Arial" w:eastAsia="Arial" w:hAnsi="Arial"/>
          <w:sz w:val="12"/>
          <w:szCs w:val="12"/>
          <w:color w:val="auto"/>
        </w:rPr>
        <w:t>The Board shall designate a member of the Committee as the chairperson. The Committee shall meet no less than four times annually and more frequently as circumstances require. At least quarterly, the meetings of the Committee shall include an executive session of the Committee, absent members of management, and an executive session with the independent auditors.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pPr>
        <w:spacing w:after="0" w:line="115" w:lineRule="exact"/>
        <w:rPr>
          <w:sz w:val="20"/>
          <w:szCs w:val="20"/>
          <w:color w:val="auto"/>
        </w:rPr>
      </w:pPr>
    </w:p>
    <w:p>
      <w:pPr>
        <w:ind w:right="100" w:firstLine="505"/>
        <w:spacing w:after="0" w:line="277" w:lineRule="auto"/>
        <w:rPr>
          <w:sz w:val="20"/>
          <w:szCs w:val="20"/>
          <w:color w:val="auto"/>
        </w:rPr>
      </w:pPr>
      <w:r>
        <w:rPr>
          <w:rFonts w:ascii="Arial" w:cs="Arial" w:eastAsia="Arial" w:hAnsi="Arial"/>
          <w:sz w:val="14"/>
          <w:szCs w:val="14"/>
          <w:color w:val="auto"/>
        </w:rPr>
        <w:t>The chairperson and others on the Committee shall, to the extent appropriate, have contact throughout the year with senior management, other committee chairpersons, and other key Committee advisors, external and internal auditors, etc., as applicable, to strengthen the Committee’s knowledge of relevant current and prospective business issues.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Committee shall review this Charter at least annually and recommend any proposed changes to the Board for approval.</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9"/>
          <w:szCs w:val="9"/>
          <w:b w:val="1"/>
          <w:bCs w:val="1"/>
          <w:color w:val="auto"/>
        </w:rPr>
        <w:t>ELEGATION OF</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UTHORITY</w:t>
      </w:r>
    </w:p>
    <w:p>
      <w:pPr>
        <w:spacing w:after="0" w:line="180"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The Committee shall have the authority to delegate any of its responsibilities, along with the authority to take action in relation to such responsibilities, to one or more subcommittees as the Committee may deem appropriate in its sole discretion. The Chair may represent the entire Committee, as a subcommittee, with respect to functions of the Committee undertaken between meetings. Any actions of a subcommittee shall be presented to the full Committee at its next scheduled meeting.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ERFORMANCE</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VALUATION</w:t>
      </w:r>
    </w:p>
    <w:p>
      <w:pPr>
        <w:spacing w:after="0" w:line="18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The Committee shall conduct an annual evaluation of the performance of its duties under this Charter and shall present the results of the evaluation to the Board. The Committee shall conduct this evaluation in such manner as it deems appropriate.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5" w:right="219" w:bottom="1440" w:gutter="0" w:footer="0" w:header="0"/>
        </w:sectPr>
      </w:pPr>
    </w:p>
    <w:bookmarkStart w:id="324" w:name="page325"/>
    <w:bookmarkEnd w:id="324"/>
    <w:p>
      <w:pPr>
        <w:jc w:val="right"/>
        <w:spacing w:after="0"/>
        <w:rPr>
          <w:sz w:val="20"/>
          <w:szCs w:val="20"/>
          <w:color w:val="auto"/>
        </w:rPr>
      </w:pPr>
      <w:r>
        <w:rPr>
          <w:rFonts w:ascii="Arial" w:cs="Arial" w:eastAsia="Arial" w:hAnsi="Arial"/>
          <w:sz w:val="14"/>
          <w:szCs w:val="14"/>
          <w:b w:val="1"/>
          <w:bCs w:val="1"/>
          <w:color w:val="auto"/>
        </w:rPr>
        <w:t>Exhibit 99.2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CHARTER OF THE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9"/>
          <w:szCs w:val="9"/>
          <w:b w:val="1"/>
          <w:bCs w:val="1"/>
          <w:color w:val="auto"/>
        </w:rPr>
        <w:t>EMBERSHIP</w:t>
      </w:r>
    </w:p>
    <w:p>
      <w:pPr>
        <w:spacing w:after="0" w:line="176" w:lineRule="exact"/>
        <w:rPr>
          <w:sz w:val="20"/>
          <w:szCs w:val="20"/>
          <w:color w:val="auto"/>
        </w:rPr>
      </w:pPr>
    </w:p>
    <w:p>
      <w:pPr>
        <w:ind w:right="120" w:firstLine="505"/>
        <w:spacing w:after="0" w:line="283" w:lineRule="auto"/>
        <w:rPr>
          <w:sz w:val="20"/>
          <w:szCs w:val="20"/>
          <w:color w:val="auto"/>
        </w:rPr>
      </w:pPr>
      <w:r>
        <w:rPr>
          <w:rFonts w:ascii="Arial" w:cs="Arial" w:eastAsia="Arial" w:hAnsi="Arial"/>
          <w:sz w:val="14"/>
          <w:szCs w:val="14"/>
          <w:color w:val="auto"/>
        </w:rPr>
        <w:t>The Compensation Committee (the “</w:t>
      </w:r>
      <w:r>
        <w:rPr>
          <w:rFonts w:ascii="Arial" w:cs="Arial" w:eastAsia="Arial" w:hAnsi="Arial"/>
          <w:sz w:val="14"/>
          <w:szCs w:val="14"/>
          <w:b w:val="1"/>
          <w:bCs w:val="1"/>
          <w:color w:val="auto"/>
        </w:rPr>
        <w:t>Committee</w:t>
      </w:r>
      <w:r>
        <w:rPr>
          <w:rFonts w:ascii="Arial" w:cs="Arial" w:eastAsia="Arial" w:hAnsi="Arial"/>
          <w:sz w:val="14"/>
          <w:szCs w:val="14"/>
          <w:color w:val="auto"/>
        </w:rPr>
        <w:t>”) of the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of CLPS Incorporation (the “</w:t>
      </w:r>
      <w:r>
        <w:rPr>
          <w:rFonts w:ascii="Arial" w:cs="Arial" w:eastAsia="Arial" w:hAnsi="Arial"/>
          <w:sz w:val="14"/>
          <w:szCs w:val="14"/>
          <w:b w:val="1"/>
          <w:bCs w:val="1"/>
          <w:color w:val="auto"/>
        </w:rPr>
        <w:t>Company</w:t>
      </w:r>
      <w:r>
        <w:rPr>
          <w:rFonts w:ascii="Arial" w:cs="Arial" w:eastAsia="Arial" w:hAnsi="Arial"/>
          <w:sz w:val="14"/>
          <w:szCs w:val="14"/>
          <w:color w:val="auto"/>
        </w:rPr>
        <w:t>”) shall consist of three or more directors. Each member of the Committee shall be independent in accordance with the rules of the Nasdaq Stock Market.</w:t>
      </w:r>
    </w:p>
    <w:p>
      <w:pPr>
        <w:spacing w:after="0" w:line="125" w:lineRule="exact"/>
        <w:rPr>
          <w:sz w:val="20"/>
          <w:szCs w:val="20"/>
          <w:color w:val="auto"/>
        </w:rPr>
      </w:pPr>
    </w:p>
    <w:p>
      <w:pPr>
        <w:ind w:right="140" w:firstLine="505"/>
        <w:spacing w:after="0" w:line="283" w:lineRule="auto"/>
        <w:rPr>
          <w:sz w:val="20"/>
          <w:szCs w:val="20"/>
          <w:color w:val="auto"/>
        </w:rPr>
      </w:pPr>
      <w:r>
        <w:rPr>
          <w:rFonts w:ascii="Arial" w:cs="Arial" w:eastAsia="Arial" w:hAnsi="Arial"/>
          <w:sz w:val="14"/>
          <w:szCs w:val="14"/>
          <w:color w:val="auto"/>
        </w:rPr>
        <w:t>Each member of the Committee must qualify as “non-employee directors” for the purposes of Rule 16b-3 under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and as “outside directors” for the purposes of Section 162(m) of the Internal Revenue Code, as amended.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members of the Committee shall be appointed by the Board based on recommendations from the nominating and corporate governance committee of the Board. The members of the</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Committee shall serve for such term or terms as the Board may determine or until earlier resignation or death. The Board may remove any member from the Committee at any time with or without cause.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URPOSE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purpose of the Committee is to carry out the responsibilities delegated by the Board relating to the review and determination of 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9"/>
          <w:szCs w:val="9"/>
          <w:b w:val="1"/>
          <w:bCs w:val="1"/>
          <w:color w:val="auto"/>
        </w:rPr>
        <w:t>UTIES AND</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ESPONSIBILITIES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Committee shall have the following authority and responsibilities:</w:t>
      </w:r>
    </w:p>
    <w:p>
      <w:pPr>
        <w:spacing w:after="0" w:line="172" w:lineRule="exact"/>
        <w:rPr>
          <w:sz w:val="20"/>
          <w:szCs w:val="20"/>
          <w:color w:val="auto"/>
        </w:rPr>
      </w:pPr>
    </w:p>
    <w:p>
      <w:pPr>
        <w:ind w:left="900" w:right="140" w:hanging="391"/>
        <w:spacing w:after="0" w:line="259" w:lineRule="auto"/>
        <w:tabs>
          <w:tab w:leader="none" w:pos="900" w:val="left"/>
        </w:tabs>
        <w:numPr>
          <w:ilvl w:val="0"/>
          <w:numId w:val="371"/>
        </w:numPr>
        <w:rPr>
          <w:rFonts w:ascii="Arial" w:cs="Arial" w:eastAsia="Arial" w:hAnsi="Arial"/>
          <w:sz w:val="14"/>
          <w:szCs w:val="14"/>
          <w:color w:val="auto"/>
        </w:rPr>
      </w:pPr>
      <w:r>
        <w:rPr>
          <w:rFonts w:ascii="Arial" w:cs="Arial" w:eastAsia="Arial" w:hAnsi="Arial"/>
          <w:sz w:val="14"/>
          <w:szCs w:val="14"/>
          <w:color w:val="auto"/>
        </w:rPr>
        <w:t>To annually review and recommend for approval by the Board the corporate goals and objectives applicable to the compensation of the chief executive officer (“</w:t>
      </w:r>
      <w:r>
        <w:rPr>
          <w:rFonts w:ascii="Arial" w:cs="Arial" w:eastAsia="Arial" w:hAnsi="Arial"/>
          <w:sz w:val="14"/>
          <w:szCs w:val="14"/>
          <w:b w:val="1"/>
          <w:bCs w:val="1"/>
          <w:color w:val="auto"/>
        </w:rPr>
        <w:t>CEO</w:t>
      </w:r>
      <w:r>
        <w:rPr>
          <w:rFonts w:ascii="Arial" w:cs="Arial" w:eastAsia="Arial" w:hAnsi="Arial"/>
          <w:sz w:val="14"/>
          <w:szCs w:val="14"/>
          <w:color w:val="auto"/>
        </w:rPr>
        <w:t>”), evaluate at least annually the CEO's performance in light of those goals and objectives, and recommend for approval by the Board, the CEO's compensation level based on this evaluation. In evaluating and determining CEO compensation, to the extent applicable to the Company, the Committee shall consider the results of the most recent shareholder advisory vote on executive compensation (“</w:t>
      </w:r>
      <w:r>
        <w:rPr>
          <w:rFonts w:ascii="Arial" w:cs="Arial" w:eastAsia="Arial" w:hAnsi="Arial"/>
          <w:sz w:val="14"/>
          <w:szCs w:val="14"/>
          <w:b w:val="1"/>
          <w:bCs w:val="1"/>
          <w:color w:val="auto"/>
        </w:rPr>
        <w:t>Say on Pay Vote</w:t>
      </w:r>
      <w:r>
        <w:rPr>
          <w:rFonts w:ascii="Arial" w:cs="Arial" w:eastAsia="Arial" w:hAnsi="Arial"/>
          <w:sz w:val="14"/>
          <w:szCs w:val="14"/>
          <w:color w:val="auto"/>
        </w:rPr>
        <w:t>”) when such vote is required by Section 14A of the Exchange Act. The CEO cannot be present during any voting or deliberations by the Committee on his or her compensation.</w:t>
      </w:r>
    </w:p>
    <w:p>
      <w:pPr>
        <w:spacing w:after="0" w:line="145" w:lineRule="exact"/>
        <w:rPr>
          <w:rFonts w:ascii="Arial" w:cs="Arial" w:eastAsia="Arial" w:hAnsi="Arial"/>
          <w:sz w:val="14"/>
          <w:szCs w:val="14"/>
          <w:color w:val="auto"/>
        </w:rPr>
      </w:pPr>
    </w:p>
    <w:p>
      <w:pPr>
        <w:ind w:left="900" w:hanging="391"/>
        <w:spacing w:after="0" w:line="277" w:lineRule="auto"/>
        <w:tabs>
          <w:tab w:leader="none" w:pos="900" w:val="left"/>
        </w:tabs>
        <w:numPr>
          <w:ilvl w:val="0"/>
          <w:numId w:val="371"/>
        </w:numPr>
        <w:rPr>
          <w:rFonts w:ascii="Arial" w:cs="Arial" w:eastAsia="Arial" w:hAnsi="Arial"/>
          <w:sz w:val="14"/>
          <w:szCs w:val="14"/>
          <w:color w:val="auto"/>
        </w:rPr>
      </w:pPr>
      <w:r>
        <w:rPr>
          <w:rFonts w:ascii="Arial" w:cs="Arial" w:eastAsia="Arial" w:hAnsi="Arial"/>
          <w:sz w:val="14"/>
          <w:szCs w:val="14"/>
          <w:color w:val="auto"/>
        </w:rPr>
        <w:t>To review and recommend for approval by the Board the compensation of all other executive officers. In evaluating executive compensation, the Committee shall consider the results of the most recent Say on Pay Vote, to the extent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212090</wp:posOffset>
            </wp:positionV>
            <wp:extent cx="7277100" cy="133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25" w:name="page326"/>
    <w:bookmarkEnd w:id="325"/>
    <w:p>
      <w:pPr>
        <w:ind w:left="400" w:hanging="391"/>
        <w:spacing w:after="0" w:line="256" w:lineRule="auto"/>
        <w:tabs>
          <w:tab w:leader="none" w:pos="4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To review, approve and, when appropriate, recommend to the Board for approval, incentive compensation plans and equity-based plans, and where appropriate or required, recommend for approval by the shareholders of the Company, which includes the ability to adopt, amend and terminate such plans. The Committee shall also have the authority to administer the Company's incentive compensation plans and equity-based plans, including designation of the employees to whom the awards are to be granted, the amount of the award or equity to be granted and the terms and conditions applicable to each award or grant, subject to the provisions of each plan. In reviewing and making recommendations regarding incentive compensation plans and equity-based plans, including whether to adopt, amend or terminate any such plans, the Committee shall consider the results of the most recent Say on Pay Vote, to the extent applicable to the Company.</w:t>
      </w:r>
    </w:p>
    <w:p>
      <w:pPr>
        <w:spacing w:after="0" w:line="144" w:lineRule="exact"/>
        <w:rPr>
          <w:rFonts w:ascii="Arial" w:cs="Arial" w:eastAsia="Arial" w:hAnsi="Arial"/>
          <w:sz w:val="14"/>
          <w:szCs w:val="14"/>
          <w:color w:val="auto"/>
        </w:rPr>
      </w:pPr>
    </w:p>
    <w:p>
      <w:pPr>
        <w:ind w:left="400" w:right="100" w:hanging="391"/>
        <w:spacing w:after="0" w:line="297" w:lineRule="auto"/>
        <w:tabs>
          <w:tab w:leader="none" w:pos="40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To the extent such disclosure is required by the Exchange Act, to review and discuss with management the Company's Compensation Discussion and Analysis (“</w:t>
      </w:r>
      <w:r>
        <w:rPr>
          <w:rFonts w:ascii="Arial" w:cs="Arial" w:eastAsia="Arial" w:hAnsi="Arial"/>
          <w:sz w:val="13"/>
          <w:szCs w:val="13"/>
          <w:b w:val="1"/>
          <w:bCs w:val="1"/>
          <w:color w:val="auto"/>
        </w:rPr>
        <w:t>CD&amp;A</w:t>
      </w:r>
      <w:r>
        <w:rPr>
          <w:rFonts w:ascii="Arial" w:cs="Arial" w:eastAsia="Arial" w:hAnsi="Arial"/>
          <w:sz w:val="13"/>
          <w:szCs w:val="13"/>
          <w:color w:val="auto"/>
        </w:rPr>
        <w:t>”) and the related executive compensation information, recommend that the CD&amp;A and related executive compensation information be included in the Company's Annual Report and proxy statement and produce the compensation committee report on executive officer compensation required to be included in the Company's proxy statement or Annual Report.</w:t>
      </w:r>
    </w:p>
    <w:p>
      <w:pPr>
        <w:spacing w:after="0" w:line="122" w:lineRule="exact"/>
        <w:rPr>
          <w:rFonts w:ascii="Arial" w:cs="Arial" w:eastAsia="Arial" w:hAnsi="Arial"/>
          <w:sz w:val="13"/>
          <w:szCs w:val="13"/>
          <w:color w:val="auto"/>
        </w:rPr>
      </w:pPr>
    </w:p>
    <w:p>
      <w:pPr>
        <w:ind w:left="400" w:right="120" w:hanging="391"/>
        <w:spacing w:after="0" w:line="277" w:lineRule="auto"/>
        <w:tabs>
          <w:tab w:leader="none" w:pos="4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To review and make recommendations to the Board regarding any employment agreements and any severance arrangements or plans, including any benefits to be provided in connection with a change in control, for the CEO and other executive officers.</w:t>
      </w:r>
    </w:p>
    <w:p>
      <w:pPr>
        <w:spacing w:after="0" w:line="133" w:lineRule="exact"/>
        <w:rPr>
          <w:rFonts w:ascii="Arial" w:cs="Arial" w:eastAsia="Arial" w:hAnsi="Arial"/>
          <w:sz w:val="14"/>
          <w:szCs w:val="14"/>
          <w:color w:val="auto"/>
        </w:rPr>
      </w:pPr>
    </w:p>
    <w:p>
      <w:pPr>
        <w:ind w:left="400" w:right="40" w:hanging="391"/>
        <w:spacing w:after="0" w:line="277" w:lineRule="auto"/>
        <w:tabs>
          <w:tab w:leader="none" w:pos="4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To review and discuss annually the Company's compensation arrangements to determine whether they encourage excessive risk-taking and to evaluate compensation policies and practices that could mitigate any such risk.</w:t>
      </w:r>
    </w:p>
    <w:p>
      <w:pPr>
        <w:spacing w:after="0" w:line="133" w:lineRule="exact"/>
        <w:rPr>
          <w:rFonts w:ascii="Arial" w:cs="Arial" w:eastAsia="Arial" w:hAnsi="Arial"/>
          <w:sz w:val="14"/>
          <w:szCs w:val="14"/>
          <w:color w:val="auto"/>
        </w:rPr>
      </w:pPr>
    </w:p>
    <w:p>
      <w:pPr>
        <w:jc w:val="both"/>
        <w:ind w:left="400" w:right="120" w:hanging="391"/>
        <w:spacing w:after="0" w:line="293" w:lineRule="auto"/>
        <w:tabs>
          <w:tab w:leader="none" w:pos="40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To review and recommend to the Board for approval the frequency with which the Company will conduct Say on Pay Votes, to the extent applicable to the Company, taking into account the results of the most recent shareholder advisory vote on frequency of Say on Pay Votes to the extent applicable to the Company and required by Section 14A of the Exchange Act, and review and approve the proposals regarding the Say on Pay Vote and the frequency of the Say on Pay Vote to be included in the Company's proxy statement.</w:t>
      </w:r>
    </w:p>
    <w:p>
      <w:pPr>
        <w:spacing w:after="0" w:line="125" w:lineRule="exact"/>
        <w:rPr>
          <w:rFonts w:ascii="Arial" w:cs="Arial" w:eastAsia="Arial" w:hAnsi="Arial"/>
          <w:sz w:val="13"/>
          <w:szCs w:val="13"/>
          <w:color w:val="auto"/>
        </w:rPr>
      </w:pPr>
    </w:p>
    <w:p>
      <w:pPr>
        <w:ind w:left="400" w:right="20" w:hanging="391"/>
        <w:spacing w:after="0" w:line="277" w:lineRule="auto"/>
        <w:tabs>
          <w:tab w:leader="none" w:pos="4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The Committee shall discuss with the Audit Committee of the Board, the Committee’s assessment of the Company’s performance of its annual objectives for the purpose of confirming the accuracy of the Company's financial statements, including compensation reserves and accruals.</w:t>
      </w:r>
    </w:p>
    <w:p>
      <w:pPr>
        <w:spacing w:after="0" w:line="133" w:lineRule="exact"/>
        <w:rPr>
          <w:rFonts w:ascii="Arial" w:cs="Arial" w:eastAsia="Arial" w:hAnsi="Arial"/>
          <w:sz w:val="14"/>
          <w:szCs w:val="14"/>
          <w:color w:val="auto"/>
        </w:rPr>
      </w:pPr>
    </w:p>
    <w:p>
      <w:pPr>
        <w:ind w:left="400" w:hanging="391"/>
        <w:spacing w:after="0"/>
        <w:tabs>
          <w:tab w:leader="none" w:pos="4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To review director compensation for service on the Board and Board committees at least once a year and to recommend any changes to the Board.</w:t>
      </w: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6985</wp:posOffset>
            </wp:positionV>
            <wp:extent cx="7277100" cy="133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0940"/>
          </w:cols>
          <w:pgMar w:left="720" w:top="761" w:right="239" w:bottom="1440" w:gutter="0" w:footer="0" w:header="0"/>
        </w:sectPr>
      </w:pPr>
    </w:p>
    <w:bookmarkStart w:id="326" w:name="page327"/>
    <w:bookmarkEnd w:id="326"/>
    <w:p>
      <w:pP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9"/>
          <w:szCs w:val="9"/>
          <w:b w:val="1"/>
          <w:bCs w:val="1"/>
          <w:color w:val="auto"/>
        </w:rPr>
        <w:t>UTSIDE ADVISORS</w:t>
      </w:r>
    </w:p>
    <w:p>
      <w:pPr>
        <w:spacing w:after="0" w:line="180" w:lineRule="exact"/>
        <w:rPr>
          <w:sz w:val="20"/>
          <w:szCs w:val="20"/>
          <w:color w:val="auto"/>
        </w:rPr>
      </w:pPr>
    </w:p>
    <w:p>
      <w:pPr>
        <w:ind w:right="40" w:firstLine="505"/>
        <w:spacing w:after="0" w:line="293" w:lineRule="auto"/>
        <w:rPr>
          <w:sz w:val="20"/>
          <w:szCs w:val="20"/>
          <w:color w:val="auto"/>
        </w:rPr>
      </w:pPr>
      <w:r>
        <w:rPr>
          <w:rFonts w:ascii="Arial" w:cs="Arial" w:eastAsia="Arial" w:hAnsi="Arial"/>
          <w:sz w:val="13"/>
          <w:szCs w:val="13"/>
          <w:color w:val="auto"/>
        </w:rPr>
        <w:t>The Committee shall have the authority, in its sole discretion, to select, retain and obtain the advice of a compensation consultant as necessary to assist with the execution of its duties and responsibilities as set forth in this Charter. The Committee shall set the compensation and oversee the work of the compensation consultant. The Committee shall have the authority, in its sole discretion, to retain and obtain the advice and assistance of outside legal counsel and such other advisors as it deems necessary to fulfill its duties and responsibilities under this Charter.</w:t>
      </w:r>
    </w:p>
    <w:p>
      <w:pPr>
        <w:spacing w:after="0" w:line="126" w:lineRule="exact"/>
        <w:rPr>
          <w:sz w:val="20"/>
          <w:szCs w:val="20"/>
          <w:color w:val="auto"/>
        </w:rPr>
      </w:pPr>
    </w:p>
    <w:p>
      <w:pPr>
        <w:ind w:right="180" w:firstLine="505"/>
        <w:spacing w:after="0" w:line="286" w:lineRule="auto"/>
        <w:rPr>
          <w:sz w:val="20"/>
          <w:szCs w:val="20"/>
          <w:color w:val="auto"/>
        </w:rPr>
      </w:pPr>
      <w:r>
        <w:rPr>
          <w:rFonts w:ascii="Arial" w:cs="Arial" w:eastAsia="Arial" w:hAnsi="Arial"/>
          <w:sz w:val="13"/>
          <w:szCs w:val="13"/>
          <w:color w:val="auto"/>
        </w:rPr>
        <w:t>The Committee shall set the compensation and oversee the work of its outside legal counsel and other advisors. The Committee shall receive appropriate funding from the Company, as determined by the Committee in its capacity as a committee of the Board, for the payment of compensation to its compensation consultants, outside legal counsel and any other advisors. However, the Committee shall not be required to implement or act consistently with the advice or recommendations of its compensation consultant, outside legal counsel or other advisor to the Committee, and the authority granted in this Charter shall not affect the ability or obligation of the Committee to exercise its own judgment in fulfillment of its duties under this Charter.</w:t>
      </w:r>
    </w:p>
    <w:p>
      <w:pPr>
        <w:spacing w:after="0" w:line="129" w:lineRule="exact"/>
        <w:rPr>
          <w:sz w:val="20"/>
          <w:szCs w:val="20"/>
          <w:color w:val="auto"/>
        </w:rPr>
      </w:pPr>
    </w:p>
    <w:p>
      <w:pPr>
        <w:ind w:firstLine="505"/>
        <w:spacing w:after="0" w:line="254" w:lineRule="auto"/>
        <w:rPr>
          <w:sz w:val="20"/>
          <w:szCs w:val="20"/>
          <w:color w:val="auto"/>
        </w:rPr>
      </w:pPr>
      <w:r>
        <w:rPr>
          <w:rFonts w:ascii="Arial" w:cs="Arial" w:eastAsia="Arial" w:hAnsi="Arial"/>
          <w:sz w:val="14"/>
          <w:szCs w:val="14"/>
          <w:color w:val="auto"/>
        </w:rPr>
        <w:t>The Committee may select a compensation consultant, outside legal counsel or other advisors only after taking into consideration all relevant factors, including the following: (i) the provision of other services to the Company by the person that employs the compensation consultant, outside legal counsel or other advisor; (ii) the amount of fees received from the Company by the person that employs the compensation consultant, outside legal counsel or other advisor, as a percentage of the total revenue of the person that employs the compensation consultant, outside legal counsel or other advisor; (iii) the policies and procedures of the person that employs the compensation consultant, outside legal counsel or other advisor that are designed to prevent conflicts of interest; (iv) any business or personal relationship of the compensation consultant, outside legal counsel or other advisor with a member of the compensation committee; (v) any stock of the Company owned by the compensation consultant, outside legal counsel or other advisor; and (vi) any business or personal relationship of the compensation consultant, outside legal counsel, other advisor or the person employing the advisor with an executive officer of the Company. The Committee may retain, or receive advice from, any compensation advisor they prefer, including ones that are not independent, after considering the above factors.</w:t>
      </w:r>
    </w:p>
    <w:p>
      <w:pPr>
        <w:spacing w:after="0" w:line="152" w:lineRule="exact"/>
        <w:rPr>
          <w:sz w:val="20"/>
          <w:szCs w:val="20"/>
          <w:color w:val="auto"/>
        </w:rPr>
      </w:pPr>
    </w:p>
    <w:p>
      <w:pPr>
        <w:ind w:right="40" w:firstLine="505"/>
        <w:spacing w:after="0" w:line="293" w:lineRule="auto"/>
        <w:rPr>
          <w:sz w:val="20"/>
          <w:szCs w:val="20"/>
          <w:color w:val="auto"/>
        </w:rPr>
      </w:pPr>
      <w:r>
        <w:rPr>
          <w:rFonts w:ascii="Arial" w:cs="Arial" w:eastAsia="Arial" w:hAnsi="Arial"/>
          <w:sz w:val="13"/>
          <w:szCs w:val="13"/>
          <w:color w:val="auto"/>
        </w:rPr>
        <w:t>The Committee is not required to assess the independence of any compensation consultant or other advisor that acts in a role limited to consulting on any broad-based plan that does not discriminate in scope, terms or operation in favor of executive officers or directors and that is generally available to all salaried employees or providing information that is not customized for a particular company or that is customized based on parameters that are not developed by the consultant or advisor, and about which the consultant or advisor does not provide advice.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Committee shall evaluate whether any compensation consultant retained or to be retained by it has any conflict of interest in accordance with Item 407(e)(3)(iv) of Regulation S- K.</w:t>
      </w: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277100" cy="133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60"/>
          </w:cols>
          <w:pgMar w:left="220" w:top="735" w:right="319"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9"/>
          <w:szCs w:val="9"/>
          <w:b w:val="1"/>
          <w:bCs w:val="1"/>
          <w:color w:val="auto"/>
        </w:rPr>
        <w:t>TRUCTURE AND OPERATIONS</w:t>
      </w:r>
    </w:p>
    <w:p>
      <w:pPr>
        <w:spacing w:after="0" w:line="180" w:lineRule="exact"/>
        <w:rPr>
          <w:sz w:val="20"/>
          <w:szCs w:val="20"/>
          <w:color w:val="auto"/>
        </w:rPr>
      </w:pPr>
    </w:p>
    <w:p>
      <w:pPr>
        <w:ind w:right="100" w:firstLine="505"/>
        <w:spacing w:after="0" w:line="293" w:lineRule="auto"/>
        <w:rPr>
          <w:sz w:val="20"/>
          <w:szCs w:val="20"/>
          <w:color w:val="auto"/>
        </w:rPr>
      </w:pPr>
      <w:r>
        <w:rPr>
          <w:rFonts w:ascii="Arial" w:cs="Arial" w:eastAsia="Arial" w:hAnsi="Arial"/>
          <w:sz w:val="13"/>
          <w:szCs w:val="13"/>
          <w:color w:val="auto"/>
        </w:rPr>
        <w:t>The Board shall designate a member of the Committee as the chairperson. The Committee shall meet as often as it deems necessary to perform its responsibilities.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pPr>
        <w:spacing w:after="0" w:line="126" w:lineRule="exact"/>
        <w:rPr>
          <w:sz w:val="20"/>
          <w:szCs w:val="20"/>
          <w:color w:val="auto"/>
        </w:rPr>
      </w:pPr>
    </w:p>
    <w:p>
      <w:pPr>
        <w:ind w:right="20" w:firstLine="505"/>
        <w:spacing w:after="0" w:line="277" w:lineRule="auto"/>
        <w:rPr>
          <w:sz w:val="20"/>
          <w:szCs w:val="20"/>
          <w:color w:val="auto"/>
        </w:rPr>
      </w:pPr>
      <w:r>
        <w:rPr>
          <w:rFonts w:ascii="Arial" w:cs="Arial" w:eastAsia="Arial" w:hAnsi="Arial"/>
          <w:sz w:val="14"/>
          <w:szCs w:val="14"/>
          <w:color w:val="auto"/>
        </w:rPr>
        <w:t>The Committee may invite such members of management to its meetings as it deems appropriate. However, the Committee shall meet regularly without such members present, and in all cases the CEO and any other such officers shall not be present at meetings at which their compensation or performance is discussed or determined.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Committee shall review this Charter at least annually and recommend any proposed changes to the Board for approval.</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9"/>
          <w:szCs w:val="9"/>
          <w:b w:val="1"/>
          <w:bCs w:val="1"/>
          <w:color w:val="auto"/>
        </w:rPr>
        <w:t>ELEGATION OF AUTHORITY</w:t>
      </w:r>
    </w:p>
    <w:p>
      <w:pPr>
        <w:spacing w:after="0" w:line="180" w:lineRule="exact"/>
        <w:rPr>
          <w:sz w:val="20"/>
          <w:szCs w:val="20"/>
          <w:color w:val="auto"/>
        </w:rPr>
      </w:pPr>
    </w:p>
    <w:p>
      <w:pPr>
        <w:ind w:right="120" w:firstLine="505"/>
        <w:spacing w:after="0" w:line="264" w:lineRule="auto"/>
        <w:rPr>
          <w:sz w:val="20"/>
          <w:szCs w:val="20"/>
          <w:color w:val="auto"/>
        </w:rPr>
      </w:pPr>
      <w:r>
        <w:rPr>
          <w:rFonts w:ascii="Arial" w:cs="Arial" w:eastAsia="Arial" w:hAnsi="Arial"/>
          <w:sz w:val="14"/>
          <w:szCs w:val="14"/>
          <w:color w:val="auto"/>
        </w:rPr>
        <w:t>The Committee shall have the authority to delegate any of its responsibilities, along with the authority to take action in relation to such responsibilities, to one or more subcommittees as the Committee may deem appropriate in its sole discretion. The Chair may represent the entire Committee, as a subcommittee, with respect to functions of the Committee undertaken between meetings. Any actions of a subcommittee shall be presented to the full Committee at its next scheduled meeting.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ERFORMANCE EVALUATION</w:t>
      </w:r>
    </w:p>
    <w:p>
      <w:pPr>
        <w:spacing w:after="0" w:line="180"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The Committee shall conduct an annual evaluation of the performance of its duties under this Charter and shall present the results of the evaluation to the Board. The Committee shall conduct this evaluation in such manner as it deems appropriate.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133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735" w:right="219" w:bottom="1440" w:gutter="0" w:footer="0" w:header="0"/>
        </w:sectPr>
      </w:pPr>
    </w:p>
    <w:bookmarkStart w:id="328" w:name="page329"/>
    <w:bookmarkEnd w:id="328"/>
    <w:p>
      <w:pPr>
        <w:jc w:val="right"/>
        <w:spacing w:after="0"/>
        <w:rPr>
          <w:sz w:val="20"/>
          <w:szCs w:val="20"/>
          <w:color w:val="auto"/>
        </w:rPr>
      </w:pPr>
      <w:r>
        <w:rPr>
          <w:rFonts w:ascii="Arial" w:cs="Arial" w:eastAsia="Arial" w:hAnsi="Arial"/>
          <w:sz w:val="17"/>
          <w:szCs w:val="17"/>
          <w:b w:val="1"/>
          <w:bCs w:val="1"/>
          <w:color w:val="auto"/>
        </w:rPr>
        <w:t>Exhibit 99.3</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CLPS Incorporation</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CHARTER OF THE NOMINATION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9"/>
          <w:szCs w:val="9"/>
          <w:b w:val="1"/>
          <w:bCs w:val="1"/>
          <w:color w:val="auto"/>
        </w:rPr>
        <w:t>EMBERSHIP</w:t>
      </w:r>
    </w:p>
    <w:p>
      <w:pPr>
        <w:spacing w:after="0" w:line="176" w:lineRule="exact"/>
        <w:rPr>
          <w:sz w:val="20"/>
          <w:szCs w:val="20"/>
          <w:color w:val="auto"/>
        </w:rPr>
      </w:pPr>
    </w:p>
    <w:p>
      <w:pPr>
        <w:ind w:firstLine="505"/>
        <w:spacing w:after="0" w:line="297" w:lineRule="auto"/>
        <w:rPr>
          <w:sz w:val="20"/>
          <w:szCs w:val="20"/>
          <w:color w:val="auto"/>
        </w:rPr>
      </w:pPr>
      <w:r>
        <w:rPr>
          <w:rFonts w:ascii="Arial" w:cs="Arial" w:eastAsia="Arial" w:hAnsi="Arial"/>
          <w:sz w:val="13"/>
          <w:szCs w:val="13"/>
          <w:color w:val="auto"/>
        </w:rPr>
        <w:t>The Nominating Committee (the “</w:t>
      </w:r>
      <w:r>
        <w:rPr>
          <w:rFonts w:ascii="Arial" w:cs="Arial" w:eastAsia="Arial" w:hAnsi="Arial"/>
          <w:sz w:val="13"/>
          <w:szCs w:val="13"/>
          <w:b w:val="1"/>
          <w:bCs w:val="1"/>
          <w:color w:val="auto"/>
        </w:rPr>
        <w:t>Committee</w:t>
      </w:r>
      <w:r>
        <w:rPr>
          <w:rFonts w:ascii="Arial" w:cs="Arial" w:eastAsia="Arial" w:hAnsi="Arial"/>
          <w:sz w:val="13"/>
          <w:szCs w:val="13"/>
          <w:color w:val="auto"/>
        </w:rPr>
        <w:t>”) of the board of directors (the “</w:t>
      </w:r>
      <w:r>
        <w:rPr>
          <w:rFonts w:ascii="Arial" w:cs="Arial" w:eastAsia="Arial" w:hAnsi="Arial"/>
          <w:sz w:val="13"/>
          <w:szCs w:val="13"/>
          <w:b w:val="1"/>
          <w:bCs w:val="1"/>
          <w:color w:val="auto"/>
        </w:rPr>
        <w:t>Board</w:t>
      </w:r>
      <w:r>
        <w:rPr>
          <w:rFonts w:ascii="Arial" w:cs="Arial" w:eastAsia="Arial" w:hAnsi="Arial"/>
          <w:sz w:val="13"/>
          <w:szCs w:val="13"/>
          <w:color w:val="auto"/>
        </w:rPr>
        <w:t>”) of CLPS Incorporation (the “</w:t>
      </w:r>
      <w:r>
        <w:rPr>
          <w:rFonts w:ascii="Arial" w:cs="Arial" w:eastAsia="Arial" w:hAnsi="Arial"/>
          <w:sz w:val="13"/>
          <w:szCs w:val="13"/>
          <w:b w:val="1"/>
          <w:bCs w:val="1"/>
          <w:color w:val="auto"/>
        </w:rPr>
        <w:t>Company</w:t>
      </w:r>
      <w:r>
        <w:rPr>
          <w:rFonts w:ascii="Arial" w:cs="Arial" w:eastAsia="Arial" w:hAnsi="Arial"/>
          <w:sz w:val="13"/>
          <w:szCs w:val="13"/>
          <w:color w:val="auto"/>
        </w:rPr>
        <w:t>”) shall consist of three or more directors. Each member of the Committee shall be independent in accordance with the rules of the Nasdaq Stock Market. The members of the Committee shall be appointed by the Board. The members of the Committee shall serve for such term or terms as the Board may determine or until earlier resignation or death. The Board may remove any member from the Committee at any time with or without cause.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URPOSE</w:t>
      </w:r>
    </w:p>
    <w:p>
      <w:pPr>
        <w:spacing w:after="0" w:line="180" w:lineRule="exact"/>
        <w:rPr>
          <w:sz w:val="20"/>
          <w:szCs w:val="20"/>
          <w:color w:val="auto"/>
        </w:rPr>
      </w:pPr>
    </w:p>
    <w:p>
      <w:pPr>
        <w:ind w:right="80" w:firstLine="505"/>
        <w:spacing w:after="0" w:line="277" w:lineRule="auto"/>
        <w:rPr>
          <w:sz w:val="20"/>
          <w:szCs w:val="20"/>
          <w:color w:val="auto"/>
        </w:rPr>
      </w:pPr>
      <w:r>
        <w:rPr>
          <w:rFonts w:ascii="Arial" w:cs="Arial" w:eastAsia="Arial" w:hAnsi="Arial"/>
          <w:sz w:val="14"/>
          <w:szCs w:val="14"/>
          <w:color w:val="auto"/>
        </w:rPr>
        <w:t>The purpose of the Committee is to carry out the responsibilities delegated by the Board relating to the Company's director nominations process and procedures, developing and maintaining the Company's corporate governance policies and any related matters required by the federal securities laws.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9"/>
          <w:szCs w:val="9"/>
          <w:b w:val="1"/>
          <w:bCs w:val="1"/>
          <w:color w:val="auto"/>
        </w:rPr>
        <w:t>UTIES AND RESPONSIBILITIES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Committee shall have the following authority and responsibilities:</w:t>
      </w:r>
    </w:p>
    <w:p>
      <w:pPr>
        <w:spacing w:after="0" w:line="176" w:lineRule="exact"/>
        <w:rPr>
          <w:sz w:val="20"/>
          <w:szCs w:val="20"/>
          <w:color w:val="auto"/>
        </w:rPr>
      </w:pPr>
    </w:p>
    <w:p>
      <w:pPr>
        <w:ind w:left="1000" w:right="180" w:hanging="497"/>
        <w:spacing w:after="0" w:line="277" w:lineRule="auto"/>
        <w:tabs>
          <w:tab w:leader="none" w:pos="100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To determine the qualifications, qualities, skills, and other expertise required to be a director and to develop, and recommend to the Board for its approval, criteria to be considered in selecting nominees for director (the “</w:t>
      </w:r>
      <w:r>
        <w:rPr>
          <w:rFonts w:ascii="Arial" w:cs="Arial" w:eastAsia="Arial" w:hAnsi="Arial"/>
          <w:sz w:val="14"/>
          <w:szCs w:val="14"/>
          <w:b w:val="1"/>
          <w:bCs w:val="1"/>
          <w:color w:val="auto"/>
        </w:rPr>
        <w:t>Director Criteria</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jc w:val="both"/>
        <w:ind w:left="1000" w:right="20" w:hanging="497"/>
        <w:spacing w:after="0" w:line="328" w:lineRule="auto"/>
        <w:tabs>
          <w:tab w:leader="none" w:pos="1000" w:val="left"/>
        </w:tabs>
        <w:numPr>
          <w:ilvl w:val="0"/>
          <w:numId w:val="373"/>
        </w:numPr>
        <w:rPr>
          <w:rFonts w:ascii="Arial" w:cs="Arial" w:eastAsia="Arial" w:hAnsi="Arial"/>
          <w:sz w:val="12"/>
          <w:szCs w:val="12"/>
          <w:color w:val="auto"/>
        </w:rPr>
      </w:pPr>
      <w:r>
        <w:rPr>
          <w:rFonts w:ascii="Arial" w:cs="Arial" w:eastAsia="Arial" w:hAnsi="Arial"/>
          <w:sz w:val="12"/>
          <w:szCs w:val="12"/>
          <w:color w:val="auto"/>
        </w:rPr>
        <w:t>To identify and screen individuals qualified to become members of the Board, consistent with the Director Criteria. The Committee shall consider any director candidates recommended by the Company's shareholders pursuant to the procedures set forth in the Company's Memorandum and Articles of Association and proxy statement. The Committee shall also consider any nominations of director candidates validly made by shareholders in accordance with applicable laws, rules and regulations and the provisions of the Company's charter documents.</w:t>
      </w:r>
    </w:p>
    <w:p>
      <w:pPr>
        <w:spacing w:after="0" w:line="107" w:lineRule="exact"/>
        <w:rPr>
          <w:rFonts w:ascii="Arial" w:cs="Arial" w:eastAsia="Arial" w:hAnsi="Arial"/>
          <w:sz w:val="12"/>
          <w:szCs w:val="12"/>
          <w:color w:val="auto"/>
        </w:rPr>
      </w:pPr>
    </w:p>
    <w:p>
      <w:pPr>
        <w:ind w:left="1000" w:hanging="497"/>
        <w:spacing w:after="0"/>
        <w:tabs>
          <w:tab w:leader="none" w:pos="1000" w:val="left"/>
        </w:tabs>
        <w:numPr>
          <w:ilvl w:val="0"/>
          <w:numId w:val="373"/>
        </w:numPr>
        <w:rPr>
          <w:rFonts w:ascii="Arial" w:cs="Arial" w:eastAsia="Arial" w:hAnsi="Arial"/>
          <w:sz w:val="12"/>
          <w:szCs w:val="12"/>
          <w:color w:val="auto"/>
        </w:rPr>
      </w:pPr>
      <w:r>
        <w:rPr>
          <w:rFonts w:ascii="Arial" w:cs="Arial" w:eastAsia="Arial" w:hAnsi="Arial"/>
          <w:sz w:val="12"/>
          <w:szCs w:val="12"/>
          <w:color w:val="auto"/>
        </w:rPr>
        <w:t>To make recommendations to the Board regarding the selection and approval of the nominees for director to be submitted to a shareholder vote at the annual meeting of shareholder.</w:t>
      </w:r>
    </w:p>
    <w:p>
      <w:pPr>
        <w:spacing w:after="0" w:line="198" w:lineRule="exact"/>
        <w:rPr>
          <w:rFonts w:ascii="Arial" w:cs="Arial" w:eastAsia="Arial" w:hAnsi="Arial"/>
          <w:sz w:val="12"/>
          <w:szCs w:val="12"/>
          <w:color w:val="auto"/>
        </w:rPr>
      </w:pPr>
    </w:p>
    <w:p>
      <w:pPr>
        <w:jc w:val="both"/>
        <w:ind w:left="1000" w:hanging="497"/>
        <w:spacing w:after="0" w:line="264" w:lineRule="auto"/>
        <w:tabs>
          <w:tab w:leader="none" w:pos="100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To annually review and assess the adequacy of the Company’s corporate governance policies and procedures and the Company’s Code of Ethics, and it shall recommend any proposed changes to the Board for approval. The Committee also shall consider corporate governance issues that arise from time to time and develop appropriate recommendations and policies for the Board regarding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324485</wp:posOffset>
            </wp:positionV>
            <wp:extent cx="7277100" cy="133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380"/>
          </w:cols>
          <w:pgMar w:left="300" w:top="118" w:right="219" w:bottom="1440" w:gutter="0" w:footer="0" w:header="0"/>
        </w:sectPr>
      </w:pPr>
    </w:p>
    <w:bookmarkStart w:id="329" w:name="page330"/>
    <w:bookmarkEnd w:id="329"/>
    <w:p>
      <w:pPr>
        <w:ind w:left="1000" w:hanging="497"/>
        <w:spacing w:after="0" w:line="277" w:lineRule="auto"/>
        <w:tabs>
          <w:tab w:leader="none" w:pos="1000" w:val="left"/>
        </w:tabs>
        <w:numPr>
          <w:ilvl w:val="0"/>
          <w:numId w:val="374"/>
        </w:numPr>
        <w:rPr>
          <w:rFonts w:ascii="Arial" w:cs="Arial" w:eastAsia="Arial" w:hAnsi="Arial"/>
          <w:sz w:val="14"/>
          <w:szCs w:val="14"/>
          <w:color w:val="auto"/>
        </w:rPr>
      </w:pPr>
      <w:r>
        <w:rPr>
          <w:rFonts w:ascii="Arial" w:cs="Arial" w:eastAsia="Arial" w:hAnsi="Arial"/>
          <w:sz w:val="14"/>
          <w:szCs w:val="14"/>
          <w:color w:val="auto"/>
        </w:rPr>
        <w:t>To review the Board's committee structure and composition and to make recommendations to the Board regarding the appointment of directors to serve as members of each committee and committee chairperson annually.</w:t>
      </w:r>
    </w:p>
    <w:p>
      <w:pPr>
        <w:spacing w:after="0" w:line="133" w:lineRule="exact"/>
        <w:rPr>
          <w:rFonts w:ascii="Arial" w:cs="Arial" w:eastAsia="Arial" w:hAnsi="Arial"/>
          <w:sz w:val="14"/>
          <w:szCs w:val="14"/>
          <w:color w:val="auto"/>
        </w:rPr>
      </w:pPr>
    </w:p>
    <w:p>
      <w:pPr>
        <w:ind w:left="1000" w:hanging="497"/>
        <w:spacing w:after="0" w:line="277" w:lineRule="auto"/>
        <w:tabs>
          <w:tab w:leader="none" w:pos="1000" w:val="left"/>
        </w:tabs>
        <w:numPr>
          <w:ilvl w:val="0"/>
          <w:numId w:val="374"/>
        </w:numPr>
        <w:rPr>
          <w:rFonts w:ascii="Arial" w:cs="Arial" w:eastAsia="Arial" w:hAnsi="Arial"/>
          <w:sz w:val="14"/>
          <w:szCs w:val="14"/>
          <w:color w:val="auto"/>
        </w:rPr>
      </w:pPr>
      <w:r>
        <w:rPr>
          <w:rFonts w:ascii="Arial" w:cs="Arial" w:eastAsia="Arial" w:hAnsi="Arial"/>
          <w:sz w:val="14"/>
          <w:szCs w:val="14"/>
          <w:color w:val="auto"/>
        </w:rPr>
        <w:t>If a vacancy on the Board and/or any Board committee occurs, to identify and make recommendations to the Board regarding the selection and approval of candidates to fill such vacancy either by election by shareholders or appointment by the Board.</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9"/>
          <w:szCs w:val="9"/>
          <w:b w:val="1"/>
          <w:bCs w:val="1"/>
          <w:color w:val="auto"/>
        </w:rPr>
        <w:t>UTSIDE ADVISORS</w:t>
      </w:r>
    </w:p>
    <w:p>
      <w:pPr>
        <w:spacing w:after="0" w:line="180" w:lineRule="exact"/>
        <w:rPr>
          <w:sz w:val="20"/>
          <w:szCs w:val="20"/>
          <w:color w:val="auto"/>
        </w:rPr>
      </w:pPr>
    </w:p>
    <w:p>
      <w:pPr>
        <w:ind w:firstLine="505"/>
        <w:spacing w:after="0" w:line="282" w:lineRule="auto"/>
        <w:rPr>
          <w:sz w:val="20"/>
          <w:szCs w:val="20"/>
          <w:color w:val="auto"/>
        </w:rPr>
      </w:pPr>
      <w:r>
        <w:rPr>
          <w:rFonts w:ascii="Arial" w:cs="Arial" w:eastAsia="Arial" w:hAnsi="Arial"/>
          <w:sz w:val="13"/>
          <w:szCs w:val="13"/>
          <w:color w:val="auto"/>
        </w:rPr>
        <w:t>The Committee shall have the authority, in its sole discretion, to select, retain and obtain the advice of a director search firm as necessary to assist with the execution of its duties and responsibilities as set forth in this Charter. The Committee shall set the compensation and oversee the work of the director search firm. The Committee shall have the authority, in its sole discretion, to retain and obtain the advice and assistance of outside legal counsel and such other advisors as it deems necessary to fulfill its duties and responsibilities under this Charter. The Committee shall set the compensation and oversee the work of its outside legal counsel and other advisors. The Committee shall receive appropriate funding from the Company, as determined by the Committee in its capacity as a committee of the Board, for the payment of compensation to its compensation consultants, outside legal counsel and any other advisors.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9"/>
          <w:szCs w:val="9"/>
          <w:b w:val="1"/>
          <w:bCs w:val="1"/>
          <w:color w:val="auto"/>
        </w:rPr>
        <w:t>TRUCTURE AND OPERATIONS</w:t>
      </w:r>
    </w:p>
    <w:p>
      <w:pPr>
        <w:spacing w:after="0" w:line="180" w:lineRule="exact"/>
        <w:rPr>
          <w:sz w:val="20"/>
          <w:szCs w:val="20"/>
          <w:color w:val="auto"/>
        </w:rPr>
      </w:pPr>
    </w:p>
    <w:p>
      <w:pPr>
        <w:ind w:right="20" w:firstLine="505"/>
        <w:spacing w:after="0" w:line="259" w:lineRule="auto"/>
        <w:rPr>
          <w:sz w:val="20"/>
          <w:szCs w:val="20"/>
          <w:color w:val="auto"/>
        </w:rPr>
      </w:pPr>
      <w:r>
        <w:rPr>
          <w:rFonts w:ascii="Arial" w:cs="Arial" w:eastAsia="Arial" w:hAnsi="Arial"/>
          <w:sz w:val="14"/>
          <w:szCs w:val="14"/>
          <w:color w:val="auto"/>
        </w:rPr>
        <w:t>The Board shall designate a member of the Committee as the chairperson. The Committee shall meet as often as it deems necessary to perform its responsibilities.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 The Committee shall review this Charter at least annually and recommend any proposed changes to the Board for approval.</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9"/>
          <w:szCs w:val="9"/>
          <w:b w:val="1"/>
          <w:bCs w:val="1"/>
          <w:color w:val="auto"/>
        </w:rPr>
        <w:t>ELEGATION OF AUTHORITY</w:t>
      </w:r>
    </w:p>
    <w:p>
      <w:pPr>
        <w:spacing w:after="0" w:line="180" w:lineRule="exact"/>
        <w:rPr>
          <w:sz w:val="20"/>
          <w:szCs w:val="20"/>
          <w:color w:val="auto"/>
        </w:rPr>
      </w:pPr>
    </w:p>
    <w:p>
      <w:pPr>
        <w:ind w:right="40" w:firstLine="505"/>
        <w:spacing w:after="0" w:line="264" w:lineRule="auto"/>
        <w:rPr>
          <w:sz w:val="20"/>
          <w:szCs w:val="20"/>
          <w:color w:val="auto"/>
        </w:rPr>
      </w:pPr>
      <w:r>
        <w:rPr>
          <w:rFonts w:ascii="Arial" w:cs="Arial" w:eastAsia="Arial" w:hAnsi="Arial"/>
          <w:sz w:val="14"/>
          <w:szCs w:val="14"/>
          <w:color w:val="auto"/>
        </w:rPr>
        <w:t>The Committee shall have the authority to delegate any of its responsibilities, along with the authority to take action in relation to such responsibilities, to one or more subcommittees as the Committee may deem appropriate in its sole discretion. The Chair may represent the entire Committee, as a subcommittee, with respect to functions of the Committee undertaken between meetings. Any actions of a subcommittee shall be presented to the full Committee at its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311150</wp:posOffset>
            </wp:positionV>
            <wp:extent cx="7277100" cy="133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sectPr>
      <w:pgSz w:w="11900" w:h="16838" w:orient="portrait"/>
      <w:cols w:equalWidth="0" w:num="1">
        <w:col w:w="11380"/>
      </w:cols>
      <w:pgMar w:left="300" w:top="73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429599"/>
    <w:multiLevelType w:val="hybridMultilevel"/>
    <w:lvl w:ilvl="0">
      <w:lvlJc w:val="left"/>
      <w:lvlText w:val="(%1)"/>
      <w:numFmt w:val="decimal"/>
      <w:start w:val="3"/>
    </w:lvl>
  </w:abstractNum>
  <w:abstractNum w:abstractNumId="1">
    <w:nsid w:val="631F1690"/>
    <w:multiLevelType w:val="hybridMultilevel"/>
    <w:lvl w:ilvl="0">
      <w:lvlJc w:val="left"/>
      <w:lvlText w:val="(%1)"/>
      <w:numFmt w:val="decimal"/>
      <w:start w:val="1"/>
    </w:lvl>
  </w:abstractNum>
  <w:abstractNum w:abstractNumId="2">
    <w:nsid w:val="25973E32"/>
    <w:multiLevelType w:val="hybridMultilevel"/>
    <w:lvl w:ilvl="0">
      <w:lvlJc w:val="left"/>
      <w:lvlText w:val="●"/>
      <w:numFmt w:val="bullet"/>
      <w:start w:val="1"/>
    </w:lvl>
  </w:abstractNum>
  <w:abstractNum w:abstractNumId="3">
    <w:nsid w:val="EAD6F57"/>
    <w:multiLevelType w:val="hybridMultilevel"/>
    <w:lvl w:ilvl="0">
      <w:lvlJc w:val="left"/>
      <w:lvlText w:val="●"/>
      <w:numFmt w:val="bullet"/>
      <w:start w:val="1"/>
    </w:lvl>
  </w:abstractNum>
  <w:abstractNum w:abstractNumId="4">
    <w:nsid w:val="6EC9D844"/>
    <w:multiLevelType w:val="hybridMultilevel"/>
    <w:lvl w:ilvl="0">
      <w:lvlJc w:val="left"/>
      <w:lvlText w:val="●"/>
      <w:numFmt w:val="bullet"/>
      <w:start w:val="1"/>
    </w:lvl>
  </w:abstractNum>
  <w:abstractNum w:abstractNumId="5">
    <w:nsid w:val="5C49EAEE"/>
    <w:multiLevelType w:val="hybridMultilevel"/>
    <w:lvl w:ilvl="0">
      <w:lvlJc w:val="left"/>
      <w:lvlText w:val="●"/>
      <w:numFmt w:val="bullet"/>
      <w:start w:val="1"/>
    </w:lvl>
  </w:abstractNum>
  <w:abstractNum w:abstractNumId="6">
    <w:nsid w:val="64AF49B"/>
    <w:multiLevelType w:val="hybridMultilevel"/>
    <w:lvl w:ilvl="0">
      <w:lvlJc w:val="left"/>
      <w:lvlText w:val="●"/>
      <w:numFmt w:val="bullet"/>
      <w:start w:val="1"/>
    </w:lvl>
  </w:abstractNum>
  <w:abstractNum w:abstractNumId="7">
    <w:nsid w:val="397C46BC"/>
    <w:multiLevelType w:val="hybridMultilevel"/>
    <w:lvl w:ilvl="0">
      <w:lvlJc w:val="left"/>
      <w:lvlText w:val="●"/>
      <w:numFmt w:val="bullet"/>
      <w:start w:val="1"/>
    </w:lvl>
  </w:abstractNum>
  <w:abstractNum w:abstractNumId="8">
    <w:nsid w:val="7E448DE9"/>
    <w:multiLevelType w:val="hybridMultilevel"/>
    <w:lvl w:ilvl="0">
      <w:lvlJc w:val="left"/>
      <w:lvlText w:val="●"/>
      <w:numFmt w:val="bullet"/>
      <w:start w:val="1"/>
    </w:lvl>
    <w:lvl w:ilvl="1">
      <w:lvlJc w:val="left"/>
      <w:lvlText w:val="●"/>
      <w:numFmt w:val="bullet"/>
      <w:start w:val="1"/>
    </w:lvl>
  </w:abstractNum>
  <w:abstractNum w:abstractNumId="9">
    <w:nsid w:val="5A9CC3E5"/>
    <w:multiLevelType w:val="hybridMultilevel"/>
    <w:lvl w:ilvl="0">
      <w:lvlJc w:val="left"/>
      <w:lvlText w:val="●"/>
      <w:numFmt w:val="bullet"/>
      <w:start w:val="1"/>
    </w:lvl>
  </w:abstractNum>
  <w:abstractNum w:abstractNumId="10">
    <w:nsid w:val="1AFE3625"/>
    <w:multiLevelType w:val="hybridMultilevel"/>
    <w:lvl w:ilvl="0">
      <w:lvlJc w:val="left"/>
      <w:lvlText w:val="●"/>
      <w:numFmt w:val="bullet"/>
      <w:start w:val="1"/>
    </w:lvl>
  </w:abstractNum>
  <w:abstractNum w:abstractNumId="11">
    <w:nsid w:val="3CA88ECF"/>
    <w:multiLevelType w:val="hybridMultilevel"/>
    <w:lvl w:ilvl="0">
      <w:lvlJc w:val="left"/>
      <w:lvlText w:val="●"/>
      <w:numFmt w:val="bullet"/>
      <w:start w:val="1"/>
    </w:lvl>
  </w:abstractNum>
  <w:abstractNum w:abstractNumId="12">
    <w:nsid w:val="6EBE4208"/>
    <w:multiLevelType w:val="hybridMultilevel"/>
    <w:lvl w:ilvl="0">
      <w:lvlJc w:val="left"/>
      <w:lvlText w:val="●"/>
      <w:numFmt w:val="bullet"/>
      <w:start w:val="1"/>
    </w:lvl>
  </w:abstractNum>
  <w:abstractNum w:abstractNumId="13">
    <w:nsid w:val="C058DF5"/>
    <w:multiLevelType w:val="hybridMultilevel"/>
    <w:lvl w:ilvl="0">
      <w:lvlJc w:val="left"/>
      <w:lvlText w:val="●"/>
      <w:numFmt w:val="bullet"/>
      <w:start w:val="1"/>
    </w:lvl>
  </w:abstractNum>
  <w:abstractNum w:abstractNumId="14">
    <w:nsid w:val="CBE5BE9"/>
    <w:multiLevelType w:val="hybridMultilevel"/>
    <w:lvl w:ilvl="0">
      <w:lvlJc w:val="left"/>
      <w:lvlText w:val="●"/>
      <w:numFmt w:val="bullet"/>
      <w:start w:val="1"/>
    </w:lvl>
  </w:abstractNum>
  <w:abstractNum w:abstractNumId="15">
    <w:nsid w:val="3102BBE2"/>
    <w:multiLevelType w:val="hybridMultilevel"/>
    <w:lvl w:ilvl="0">
      <w:lvlJc w:val="left"/>
      <w:lvlText w:val="●"/>
      <w:numFmt w:val="bullet"/>
      <w:start w:val="1"/>
    </w:lvl>
  </w:abstractNum>
  <w:abstractNum w:abstractNumId="16">
    <w:nsid w:val="26A02C5E"/>
    <w:multiLevelType w:val="hybridMultilevel"/>
    <w:lvl w:ilvl="0">
      <w:lvlJc w:val="left"/>
      <w:lvlText w:val="●"/>
      <w:numFmt w:val="bullet"/>
      <w:start w:val="1"/>
    </w:lvl>
  </w:abstractNum>
  <w:abstractNum w:abstractNumId="17">
    <w:nsid w:val="541C8153"/>
    <w:multiLevelType w:val="hybridMultilevel"/>
    <w:lvl w:ilvl="0">
      <w:lvlJc w:val="left"/>
      <w:lvlText w:val="●"/>
      <w:numFmt w:val="bullet"/>
      <w:start w:val="1"/>
    </w:lvl>
  </w:abstractNum>
  <w:abstractNum w:abstractNumId="18">
    <w:nsid w:val="67906F60"/>
    <w:multiLevelType w:val="hybridMultilevel"/>
    <w:lvl w:ilvl="0">
      <w:lvlJc w:val="left"/>
      <w:lvlText w:val="●"/>
      <w:numFmt w:val="bullet"/>
      <w:start w:val="1"/>
    </w:lvl>
  </w:abstractNum>
  <w:abstractNum w:abstractNumId="19">
    <w:nsid w:val="10DB9DAA"/>
    <w:multiLevelType w:val="hybridMultilevel"/>
    <w:lvl w:ilvl="0">
      <w:lvlJc w:val="left"/>
      <w:lvlText w:val="*"/>
      <w:numFmt w:val="bullet"/>
      <w:start w:val="1"/>
    </w:lvl>
  </w:abstractNum>
  <w:abstractNum w:abstractNumId="20">
    <w:nsid w:val="697D2D2"/>
    <w:multiLevelType w:val="hybridMultilevel"/>
    <w:lvl w:ilvl="0">
      <w:lvlJc w:val="left"/>
      <w:lvlText w:val="●"/>
      <w:numFmt w:val="bullet"/>
      <w:start w:val="1"/>
    </w:lvl>
  </w:abstractNum>
  <w:abstractNum w:abstractNumId="21">
    <w:nsid w:val="6D68AB2"/>
    <w:multiLevelType w:val="hybridMultilevel"/>
    <w:lvl w:ilvl="0">
      <w:lvlJc w:val="left"/>
      <w:lvlText w:val="●"/>
      <w:numFmt w:val="bullet"/>
      <w:start w:val="1"/>
    </w:lvl>
  </w:abstractNum>
  <w:abstractNum w:abstractNumId="22">
    <w:nsid w:val="3A966CD0"/>
    <w:multiLevelType w:val="hybridMultilevel"/>
    <w:lvl w:ilvl="0">
      <w:lvlJc w:val="left"/>
      <w:lvlText w:val="(%1)"/>
      <w:numFmt w:val="lowerRoman"/>
      <w:start w:val="1"/>
    </w:lvl>
  </w:abstractNum>
  <w:abstractNum w:abstractNumId="23">
    <w:nsid w:val="63F37E85"/>
    <w:multiLevelType w:val="hybridMultilevel"/>
    <w:lvl w:ilvl="0">
      <w:lvlJc w:val="left"/>
      <w:lvlText w:val="%1."/>
      <w:numFmt w:val="decimal"/>
      <w:start w:val="1"/>
    </w:lvl>
  </w:abstractNum>
  <w:abstractNum w:abstractNumId="24">
    <w:nsid w:val="5895F5FA"/>
    <w:multiLevelType w:val="hybridMultilevel"/>
    <w:lvl w:ilvl="0">
      <w:lvlJc w:val="left"/>
      <w:lvlText w:val="●"/>
      <w:numFmt w:val="bullet"/>
      <w:start w:val="1"/>
    </w:lvl>
  </w:abstractNum>
  <w:abstractNum w:abstractNumId="25">
    <w:nsid w:val="38A5D054"/>
    <w:multiLevelType w:val="hybridMultilevel"/>
    <w:lvl w:ilvl="0">
      <w:lvlJc w:val="left"/>
      <w:lvlText w:val="●"/>
      <w:numFmt w:val="bullet"/>
      <w:start w:val="1"/>
    </w:lvl>
  </w:abstractNum>
  <w:abstractNum w:abstractNumId="26">
    <w:nsid w:val="F3F09D8"/>
    <w:multiLevelType w:val="hybridMultilevel"/>
    <w:lvl w:ilvl="0">
      <w:lvlJc w:val="left"/>
      <w:lvlText w:val="●"/>
      <w:numFmt w:val="bullet"/>
      <w:start w:val="1"/>
    </w:lvl>
  </w:abstractNum>
  <w:abstractNum w:abstractNumId="27">
    <w:nsid w:val="4B793735"/>
    <w:multiLevelType w:val="hybridMultilevel"/>
    <w:lvl w:ilvl="0">
      <w:lvlJc w:val="left"/>
      <w:lvlText w:val="●"/>
      <w:numFmt w:val="bullet"/>
      <w:start w:val="1"/>
    </w:lvl>
  </w:abstractNum>
  <w:abstractNum w:abstractNumId="28">
    <w:nsid w:val="4A10B4E8"/>
    <w:multiLevelType w:val="hybridMultilevel"/>
    <w:lvl w:ilvl="0">
      <w:lvlJc w:val="left"/>
      <w:lvlText w:val="●"/>
      <w:numFmt w:val="bullet"/>
      <w:start w:val="1"/>
    </w:lvl>
  </w:abstractNum>
  <w:abstractNum w:abstractNumId="29">
    <w:nsid w:val="43D3BCD4"/>
    <w:multiLevelType w:val="hybridMultilevel"/>
    <w:lvl w:ilvl="0">
      <w:lvlJc w:val="left"/>
      <w:lvlText w:val="●"/>
      <w:numFmt w:val="bullet"/>
      <w:start w:val="1"/>
    </w:lvl>
  </w:abstractNum>
  <w:abstractNum w:abstractNumId="30">
    <w:nsid w:val="4C2A7166"/>
    <w:multiLevelType w:val="hybridMultilevel"/>
    <w:lvl w:ilvl="0">
      <w:lvlJc w:val="left"/>
      <w:lvlText w:val="●"/>
      <w:numFmt w:val="bullet"/>
      <w:start w:val="1"/>
    </w:lvl>
  </w:abstractNum>
  <w:abstractNum w:abstractNumId="31">
    <w:nsid w:val="2E534A82"/>
    <w:multiLevelType w:val="hybridMultilevel"/>
    <w:lvl w:ilvl="0">
      <w:lvlJc w:val="left"/>
      <w:lvlText w:val="●"/>
      <w:numFmt w:val="bullet"/>
      <w:start w:val="1"/>
    </w:lvl>
  </w:abstractNum>
  <w:abstractNum w:abstractNumId="32">
    <w:nsid w:val="26F2D364"/>
    <w:multiLevelType w:val="hybridMultilevel"/>
    <w:lvl w:ilvl="0">
      <w:lvlJc w:val="left"/>
      <w:lvlText w:val="*"/>
      <w:numFmt w:val="bullet"/>
      <w:start w:val="1"/>
    </w:lvl>
  </w:abstractNum>
  <w:abstractNum w:abstractNumId="33">
    <w:nsid w:val="71C1AF98"/>
    <w:multiLevelType w:val="hybridMultilevel"/>
    <w:lvl w:ilvl="0">
      <w:lvlJc w:val="left"/>
      <w:lvlText w:val="(%1)"/>
      <w:numFmt w:val="decimal"/>
      <w:start w:val="1"/>
    </w:lvl>
  </w:abstractNum>
  <w:abstractNum w:abstractNumId="34">
    <w:nsid w:val="3D00B9D9"/>
    <w:multiLevelType w:val="hybridMultilevel"/>
    <w:lvl w:ilvl="0">
      <w:lvlJc w:val="left"/>
      <w:lvlText w:val="●"/>
      <w:numFmt w:val="bullet"/>
      <w:start w:val="1"/>
    </w:lvl>
  </w:abstractNum>
  <w:abstractNum w:abstractNumId="35">
    <w:nsid w:val="15BCABA8"/>
    <w:multiLevelType w:val="hybridMultilevel"/>
    <w:lvl w:ilvl="0">
      <w:lvlJc w:val="left"/>
      <w:lvlText w:val="●"/>
      <w:numFmt w:val="bullet"/>
      <w:start w:val="1"/>
    </w:lvl>
  </w:abstractNum>
  <w:abstractNum w:abstractNumId="36">
    <w:nsid w:val="4E0B9A87"/>
    <w:multiLevelType w:val="hybridMultilevel"/>
    <w:lvl w:ilvl="0">
      <w:lvlJc w:val="left"/>
      <w:lvlText w:val="●"/>
      <w:numFmt w:val="bullet"/>
      <w:start w:val="1"/>
    </w:lvl>
  </w:abstractNum>
  <w:abstractNum w:abstractNumId="37">
    <w:nsid w:val="434BAE75"/>
    <w:multiLevelType w:val="hybridMultilevel"/>
    <w:lvl w:ilvl="0">
      <w:lvlJc w:val="left"/>
      <w:lvlText w:val="●"/>
      <w:numFmt w:val="bullet"/>
      <w:start w:val="1"/>
    </w:lvl>
  </w:abstractNum>
  <w:abstractNum w:abstractNumId="38">
    <w:nsid w:val="4F38F265"/>
    <w:multiLevelType w:val="hybridMultilevel"/>
    <w:lvl w:ilvl="0">
      <w:lvlJc w:val="left"/>
      <w:lvlText w:val="●"/>
      <w:numFmt w:val="bullet"/>
      <w:start w:val="1"/>
    </w:lvl>
  </w:abstractNum>
  <w:abstractNum w:abstractNumId="39">
    <w:nsid w:val="4C502870"/>
    <w:multiLevelType w:val="hybridMultilevel"/>
    <w:lvl w:ilvl="0">
      <w:lvlJc w:val="left"/>
      <w:lvlText w:val="(%1)"/>
      <w:numFmt w:val="decimal"/>
      <w:start w:val="1"/>
    </w:lvl>
  </w:abstractNum>
  <w:abstractNum w:abstractNumId="40">
    <w:nsid w:val="1DE8725A"/>
    <w:multiLevelType w:val="hybridMultilevel"/>
    <w:lvl w:ilvl="0">
      <w:lvlJc w:val="left"/>
      <w:lvlText w:val="(%1)"/>
      <w:numFmt w:val="lowerRoman"/>
      <w:start w:val="1"/>
    </w:lvl>
  </w:abstractNum>
  <w:abstractNum w:abstractNumId="41">
    <w:nsid w:val="6A37288A"/>
    <w:multiLevelType w:val="hybridMultilevel"/>
    <w:lvl w:ilvl="0">
      <w:lvlJc w:val="left"/>
      <w:lvlText w:val="●"/>
      <w:numFmt w:val="bullet"/>
      <w:start w:val="1"/>
    </w:lvl>
  </w:abstractNum>
  <w:abstractNum w:abstractNumId="42">
    <w:nsid w:val="8F8B73F"/>
    <w:multiLevelType w:val="hybridMultilevel"/>
    <w:lvl w:ilvl="0">
      <w:lvlJc w:val="left"/>
      <w:lvlText w:val="*"/>
      <w:numFmt w:val="bullet"/>
      <w:start w:val="1"/>
    </w:lvl>
  </w:abstractNum>
  <w:abstractNum w:abstractNumId="43">
    <w:nsid w:val="CA6B462"/>
    <w:multiLevelType w:val="hybridMultilevel"/>
    <w:lvl w:ilvl="0">
      <w:lvlJc w:val="left"/>
      <w:lvlText w:val="(%1)"/>
      <w:numFmt w:val="decimal"/>
      <w:start w:val="1"/>
    </w:lvl>
  </w:abstractNum>
  <w:abstractNum w:abstractNumId="44">
    <w:nsid w:val="763CB680"/>
    <w:multiLevelType w:val="hybridMultilevel"/>
    <w:lvl w:ilvl="0">
      <w:lvlJc w:val="left"/>
      <w:lvlText w:val="●"/>
      <w:numFmt w:val="bullet"/>
      <w:start w:val="1"/>
    </w:lvl>
  </w:abstractNum>
  <w:abstractNum w:abstractNumId="45">
    <w:nsid w:val="15B71329"/>
    <w:multiLevelType w:val="hybridMultilevel"/>
    <w:lvl w:ilvl="0">
      <w:lvlJc w:val="left"/>
      <w:lvlText w:val="●"/>
      <w:numFmt w:val="bullet"/>
      <w:start w:val="1"/>
    </w:lvl>
  </w:abstractNum>
  <w:abstractNum w:abstractNumId="46">
    <w:nsid w:val="3DA97044"/>
    <w:multiLevelType w:val="hybridMultilevel"/>
    <w:lvl w:ilvl="0">
      <w:lvlJc w:val="left"/>
      <w:lvlText w:val="●"/>
      <w:numFmt w:val="bullet"/>
      <w:start w:val="1"/>
    </w:lvl>
  </w:abstractNum>
  <w:abstractNum w:abstractNumId="47">
    <w:nsid w:val="1CDCE2DE"/>
    <w:multiLevelType w:val="hybridMultilevel"/>
    <w:lvl w:ilvl="0">
      <w:lvlJc w:val="left"/>
      <w:lvlText w:val="●"/>
      <w:numFmt w:val="bullet"/>
      <w:start w:val="1"/>
    </w:lvl>
  </w:abstractNum>
  <w:abstractNum w:abstractNumId="48">
    <w:nsid w:val="69D3947C"/>
    <w:multiLevelType w:val="hybridMultilevel"/>
    <w:lvl w:ilvl="0">
      <w:lvlJc w:val="left"/>
      <w:lvlText w:val="●"/>
      <w:numFmt w:val="bullet"/>
      <w:start w:val="1"/>
    </w:lvl>
  </w:abstractNum>
  <w:abstractNum w:abstractNumId="49">
    <w:nsid w:val="2539DFA5"/>
    <w:multiLevelType w:val="hybridMultilevel"/>
    <w:lvl w:ilvl="0">
      <w:lvlJc w:val="left"/>
      <w:lvlText w:val="●"/>
      <w:numFmt w:val="bullet"/>
      <w:start w:val="1"/>
    </w:lvl>
  </w:abstractNum>
  <w:abstractNum w:abstractNumId="50">
    <w:nsid w:val="2DB88089"/>
    <w:multiLevelType w:val="hybridMultilevel"/>
    <w:lvl w:ilvl="0">
      <w:lvlJc w:val="left"/>
      <w:lvlText w:val="●"/>
      <w:numFmt w:val="bullet"/>
      <w:start w:val="1"/>
    </w:lvl>
  </w:abstractNum>
  <w:abstractNum w:abstractNumId="51">
    <w:nsid w:val="706B674E"/>
    <w:multiLevelType w:val="hybridMultilevel"/>
    <w:lvl w:ilvl="0">
      <w:lvlJc w:val="left"/>
      <w:lvlText w:val="●"/>
      <w:numFmt w:val="bullet"/>
      <w:start w:val="1"/>
    </w:lvl>
  </w:abstractNum>
  <w:abstractNum w:abstractNumId="52">
    <w:nsid w:val="2C106A57"/>
    <w:multiLevelType w:val="hybridMultilevel"/>
    <w:lvl w:ilvl="0">
      <w:lvlJc w:val="left"/>
      <w:lvlText w:val="●"/>
      <w:numFmt w:val="bullet"/>
      <w:start w:val="1"/>
    </w:lvl>
  </w:abstractNum>
  <w:abstractNum w:abstractNumId="53">
    <w:nsid w:val="684EED59"/>
    <w:multiLevelType w:val="hybridMultilevel"/>
    <w:lvl w:ilvl="0">
      <w:lvlJc w:val="left"/>
      <w:lvlText w:val="●"/>
      <w:numFmt w:val="bullet"/>
      <w:start w:val="1"/>
    </w:lvl>
  </w:abstractNum>
  <w:abstractNum w:abstractNumId="54">
    <w:nsid w:val="545EE5D3"/>
    <w:multiLevelType w:val="hybridMultilevel"/>
    <w:lvl w:ilvl="0">
      <w:lvlJc w:val="left"/>
      <w:lvlText w:val="●"/>
      <w:numFmt w:val="bullet"/>
      <w:start w:val="1"/>
    </w:lvl>
  </w:abstractNum>
  <w:abstractNum w:abstractNumId="55">
    <w:nsid w:val="4A66051"/>
    <w:multiLevelType w:val="hybridMultilevel"/>
    <w:lvl w:ilvl="0">
      <w:lvlJc w:val="left"/>
      <w:lvlText w:val="*"/>
      <w:numFmt w:val="bullet"/>
      <w:start w:val="1"/>
    </w:lvl>
  </w:abstractNum>
  <w:abstractNum w:abstractNumId="56">
    <w:nsid w:val="20F4BDAD"/>
    <w:multiLevelType w:val="hybridMultilevel"/>
    <w:lvl w:ilvl="0">
      <w:lvlJc w:val="left"/>
      <w:lvlText w:val="●"/>
      <w:numFmt w:val="bullet"/>
      <w:start w:val="1"/>
    </w:lvl>
  </w:abstractNum>
  <w:abstractNum w:abstractNumId="57">
    <w:nsid w:val="639DEFAC"/>
    <w:multiLevelType w:val="hybridMultilevel"/>
    <w:lvl w:ilvl="0">
      <w:lvlJc w:val="left"/>
      <w:lvlText w:val="%1."/>
      <w:numFmt w:val="decimal"/>
      <w:start w:val="1"/>
    </w:lvl>
  </w:abstractNum>
  <w:abstractNum w:abstractNumId="58">
    <w:nsid w:val="501F9786"/>
    <w:multiLevelType w:val="hybridMultilevel"/>
    <w:lvl w:ilvl="0">
      <w:lvlJc w:val="left"/>
      <w:lvlText w:val="-"/>
      <w:numFmt w:val="bullet"/>
      <w:start w:val="1"/>
    </w:lvl>
  </w:abstractNum>
  <w:abstractNum w:abstractNumId="59">
    <w:nsid w:val="6B057295"/>
    <w:multiLevelType w:val="hybridMultilevel"/>
    <w:lvl w:ilvl="0">
      <w:lvlJc w:val="left"/>
      <w:lvlText w:val="-"/>
      <w:numFmt w:val="bullet"/>
      <w:start w:val="1"/>
    </w:lvl>
  </w:abstractNum>
  <w:abstractNum w:abstractNumId="60">
    <w:nsid w:val="2771AC80"/>
    <w:multiLevelType w:val="hybridMultilevel"/>
    <w:lvl w:ilvl="0">
      <w:lvlJc w:val="left"/>
      <w:lvlText w:val="-"/>
      <w:numFmt w:val="bullet"/>
      <w:start w:val="1"/>
    </w:lvl>
  </w:abstractNum>
  <w:abstractNum w:abstractNumId="61">
    <w:nsid w:val="1C4A08EC"/>
    <w:multiLevelType w:val="hybridMultilevel"/>
    <w:lvl w:ilvl="0">
      <w:lvlJc w:val="left"/>
      <w:lvlText w:val="(%1)"/>
      <w:numFmt w:val="lowerRoman"/>
      <w:start w:val="1"/>
    </w:lvl>
  </w:abstractNum>
  <w:abstractNum w:abstractNumId="62">
    <w:nsid w:val="1958BD17"/>
    <w:multiLevelType w:val="hybridMultilevel"/>
    <w:lvl w:ilvl="0">
      <w:lvlJc w:val="left"/>
      <w:lvlText w:val="(%1)"/>
      <w:numFmt w:val="lowerLetter"/>
      <w:start w:val="1"/>
    </w:lvl>
  </w:abstractNum>
  <w:abstractNum w:abstractNumId="63">
    <w:nsid w:val="4E647FE4"/>
    <w:multiLevelType w:val="hybridMultilevel"/>
    <w:lvl w:ilvl="0">
      <w:lvlJc w:val="left"/>
      <w:lvlText w:val="*"/>
      <w:numFmt w:val="bullet"/>
      <w:start w:val="1"/>
    </w:lvl>
  </w:abstractNum>
  <w:abstractNum w:abstractNumId="64">
    <w:nsid w:val="E0BB885"/>
    <w:multiLevelType w:val="hybridMultilevel"/>
    <w:lvl w:ilvl="0">
      <w:lvlJc w:val="left"/>
      <w:lvlText w:val="(%1)"/>
      <w:numFmt w:val="lowerLetter"/>
      <w:start w:val="1"/>
    </w:lvl>
  </w:abstractNum>
  <w:abstractNum w:abstractNumId="65">
    <w:nsid w:val="565976F1"/>
    <w:multiLevelType w:val="hybridMultilevel"/>
    <w:lvl w:ilvl="0">
      <w:lvlJc w:val="left"/>
      <w:lvlText w:val="(%1)"/>
      <w:numFmt w:val="lowerRoman"/>
      <w:start w:val="1"/>
    </w:lvl>
  </w:abstractNum>
  <w:abstractNum w:abstractNumId="66">
    <w:nsid w:val="64212B8C"/>
    <w:multiLevelType w:val="hybridMultilevel"/>
    <w:lvl w:ilvl="0">
      <w:lvlJc w:val="left"/>
      <w:lvlText w:val="(%1)"/>
      <w:numFmt w:val="lowerRoman"/>
      <w:start w:val="3"/>
    </w:lvl>
  </w:abstractNum>
  <w:abstractNum w:abstractNumId="67">
    <w:nsid w:val="5C17530C"/>
    <w:multiLevelType w:val="hybridMultilevel"/>
    <w:lvl w:ilvl="0">
      <w:lvlJc w:val="left"/>
      <w:lvlText w:val="*"/>
      <w:numFmt w:val="bullet"/>
      <w:start w:val="1"/>
    </w:lvl>
  </w:abstractNum>
  <w:abstractNum w:abstractNumId="68">
    <w:nsid w:val="19A52566"/>
    <w:multiLevelType w:val="hybridMultilevel"/>
    <w:lvl w:ilvl="0">
      <w:lvlJc w:val="left"/>
      <w:lvlText w:val="(%1)"/>
      <w:numFmt w:val="lowerLetter"/>
      <w:start w:val="2"/>
    </w:lvl>
  </w:abstractNum>
  <w:abstractNum w:abstractNumId="69">
    <w:nsid w:val="335A1DF1"/>
    <w:multiLevelType w:val="hybridMultilevel"/>
    <w:lvl w:ilvl="0">
      <w:lvlJc w:val="left"/>
      <w:lvlText w:val="(%1)"/>
      <w:numFmt w:val="lowerRoman"/>
      <w:start w:val="1"/>
    </w:lvl>
  </w:abstractNum>
  <w:abstractNum w:abstractNumId="70">
    <w:nsid w:val="28677B7C"/>
    <w:multiLevelType w:val="hybridMultilevel"/>
    <w:lvl w:ilvl="0">
      <w:lvlJc w:val="left"/>
      <w:lvlText w:val="(%1)"/>
      <w:numFmt w:val="lowerRoman"/>
      <w:start w:val="1"/>
    </w:lvl>
  </w:abstractNum>
  <w:abstractNum w:abstractNumId="71">
    <w:nsid w:val="378D97C0"/>
    <w:multiLevelType w:val="hybridMultilevel"/>
    <w:lvl w:ilvl="0">
      <w:lvlJc w:val="left"/>
      <w:lvlText w:val="1"/>
      <w:numFmt w:val="bullet"/>
      <w:start w:val="1"/>
    </w:lvl>
  </w:abstractNum>
  <w:abstractNum w:abstractNumId="72">
    <w:nsid w:val="1D91467C"/>
    <w:multiLevelType w:val="hybridMultilevel"/>
    <w:lvl w:ilvl="0">
      <w:lvlJc w:val="left"/>
      <w:lvlText w:val="2"/>
      <w:numFmt w:val="bullet"/>
      <w:start w:val="1"/>
    </w:lvl>
  </w:abstractNum>
  <w:abstractNum w:abstractNumId="73">
    <w:nsid w:val="316032BB"/>
    <w:multiLevelType w:val="hybridMultilevel"/>
    <w:lvl w:ilvl="0">
      <w:lvlJc w:val="left"/>
      <w:lvlText w:val="3"/>
      <w:numFmt w:val="bullet"/>
      <w:start w:val="1"/>
    </w:lvl>
  </w:abstractNum>
  <w:abstractNum w:abstractNumId="74">
    <w:nsid w:val="44344C22"/>
    <w:multiLevelType w:val="hybridMultilevel"/>
    <w:lvl w:ilvl="0">
      <w:lvlJc w:val="left"/>
      <w:lvlText w:val="4"/>
      <w:numFmt w:val="bullet"/>
      <w:start w:val="1"/>
    </w:lvl>
  </w:abstractNum>
  <w:abstractNum w:abstractNumId="75">
    <w:nsid w:val="13CDFCFC"/>
    <w:multiLevelType w:val="hybridMultilevel"/>
    <w:lvl w:ilvl="0">
      <w:lvlJc w:val="left"/>
      <w:lvlText w:val="5"/>
      <w:numFmt w:val="bullet"/>
      <w:start w:val="1"/>
    </w:lvl>
    <w:lvl w:ilvl="1">
      <w:lvlJc w:val="left"/>
      <w:lvlText w:val="(%2)"/>
      <w:numFmt w:val="lowerLetter"/>
      <w:start w:val="1"/>
    </w:lvl>
  </w:abstractNum>
  <w:abstractNum w:abstractNumId="76">
    <w:nsid w:val="471745E4"/>
    <w:multiLevelType w:val="hybridMultilevel"/>
    <w:lvl w:ilvl="0">
      <w:lvlJc w:val="left"/>
      <w:lvlText w:val="6"/>
      <w:numFmt w:val="bullet"/>
      <w:start w:val="1"/>
    </w:lvl>
  </w:abstractNum>
  <w:abstractNum w:abstractNumId="77">
    <w:nsid w:val="1DDBC66"/>
    <w:multiLevelType w:val="hybridMultilevel"/>
    <w:lvl w:ilvl="0">
      <w:lvlJc w:val="left"/>
      <w:lvlText w:val="7"/>
      <w:numFmt w:val="bullet"/>
      <w:start w:val="1"/>
    </w:lvl>
  </w:abstractNum>
  <w:abstractNum w:abstractNumId="78">
    <w:nsid w:val="30AADFDA"/>
    <w:multiLevelType w:val="hybridMultilevel"/>
    <w:lvl w:ilvl="0">
      <w:lvlJc w:val="left"/>
      <w:lvlText w:val="8"/>
      <w:numFmt w:val="bullet"/>
      <w:start w:val="1"/>
    </w:lvl>
    <w:lvl w:ilvl="1">
      <w:lvlJc w:val="left"/>
      <w:lvlText w:val="(%2)"/>
      <w:numFmt w:val="lowerLetter"/>
      <w:start w:val="1"/>
    </w:lvl>
  </w:abstractNum>
  <w:abstractNum w:abstractNumId="79">
    <w:nsid w:val="30EADA61"/>
    <w:multiLevelType w:val="hybridMultilevel"/>
    <w:lvl w:ilvl="0">
      <w:lvlJc w:val="left"/>
      <w:lvlText w:val="9"/>
      <w:numFmt w:val="bullet"/>
      <w:start w:val="1"/>
    </w:lvl>
  </w:abstractNum>
  <w:abstractNum w:abstractNumId="80">
    <w:nsid w:val="27179C0B"/>
    <w:multiLevelType w:val="hybridMultilevel"/>
    <w:lvl w:ilvl="0">
      <w:lvlJc w:val="left"/>
      <w:lvlText w:val="1"/>
      <w:numFmt w:val="bullet"/>
      <w:start w:val="1"/>
    </w:lvl>
  </w:abstractNum>
  <w:abstractNum w:abstractNumId="81">
    <w:nsid w:val="5E636063"/>
    <w:multiLevelType w:val="hybridMultilevel"/>
    <w:lvl w:ilvl="0">
      <w:lvlJc w:val="left"/>
      <w:lvlText w:val="(%1)"/>
      <w:numFmt w:val="lowerLetter"/>
      <w:start w:val="1"/>
    </w:lvl>
  </w:abstractNum>
  <w:abstractNum w:abstractNumId="82">
    <w:nsid w:val="215641AF"/>
    <w:multiLevelType w:val="hybridMultilevel"/>
    <w:lvl w:ilvl="0">
      <w:lvlJc w:val="left"/>
      <w:lvlText w:val="(%1)"/>
      <w:numFmt w:val="lowerLetter"/>
      <w:start w:val="1"/>
    </w:lvl>
    <w:lvl w:ilvl="1">
      <w:lvlJc w:val="left"/>
      <w:lvlText w:val="(%2)"/>
      <w:numFmt w:val="lowerLetter"/>
      <w:start w:val="2"/>
    </w:lvl>
  </w:abstractNum>
  <w:abstractNum w:abstractNumId="83">
    <w:nsid w:val="53280662"/>
    <w:multiLevelType w:val="hybridMultilevel"/>
    <w:lvl w:ilvl="0">
      <w:lvlJc w:val="left"/>
      <w:lvlText w:val="(%1)"/>
      <w:numFmt w:val="lowerLetter"/>
      <w:start w:val="1"/>
    </w:lvl>
    <w:lvl w:ilvl="1">
      <w:lvlJc w:val="left"/>
      <w:lvlText w:val="(%2)"/>
      <w:numFmt w:val="lowerLetter"/>
      <w:start w:val="2"/>
    </w:lvl>
  </w:abstractNum>
  <w:abstractNum w:abstractNumId="84">
    <w:nsid w:val="46B24DBC"/>
    <w:multiLevelType w:val="hybridMultilevel"/>
    <w:lvl w:ilvl="0">
      <w:lvlJc w:val="left"/>
      <w:lvlText w:val="(%1)"/>
      <w:numFmt w:val="lowerLetter"/>
      <w:start w:val="1"/>
    </w:lvl>
    <w:lvl w:ilvl="1">
      <w:lvlJc w:val="left"/>
      <w:lvlText w:val="(%2)"/>
      <w:numFmt w:val="lowerLetter"/>
      <w:start w:val="2"/>
    </w:lvl>
  </w:abstractNum>
  <w:abstractNum w:abstractNumId="85">
    <w:nsid w:val="75B52783"/>
    <w:multiLevelType w:val="hybridMultilevel"/>
    <w:lvl w:ilvl="0">
      <w:lvlJc w:val="left"/>
      <w:lvlText w:val="(%1)"/>
      <w:numFmt w:val="lowerLetter"/>
      <w:start w:val="1"/>
    </w:lvl>
    <w:lvl w:ilvl="1">
      <w:lvlJc w:val="left"/>
      <w:lvlText w:val="(%2)"/>
      <w:numFmt w:val="lowerRoman"/>
      <w:start w:val="1"/>
    </w:lvl>
  </w:abstractNum>
  <w:abstractNum w:abstractNumId="86">
    <w:nsid w:val="57CE66B4"/>
    <w:multiLevelType w:val="hybridMultilevel"/>
    <w:lvl w:ilvl="0">
      <w:lvlJc w:val="left"/>
      <w:lvlText w:val="(%1)"/>
      <w:numFmt w:val="lowerLetter"/>
      <w:start w:val="2"/>
    </w:lvl>
  </w:abstractNum>
  <w:abstractNum w:abstractNumId="87">
    <w:nsid w:val="67A70B69"/>
    <w:multiLevelType w:val="hybridMultilevel"/>
    <w:lvl w:ilvl="0">
      <w:lvlJc w:val="left"/>
      <w:lvlText w:val="2"/>
      <w:numFmt w:val="bullet"/>
      <w:start w:val="1"/>
    </w:lvl>
  </w:abstractNum>
  <w:abstractNum w:abstractNumId="88">
    <w:nsid w:val="5953172F"/>
    <w:multiLevelType w:val="hybridMultilevel"/>
    <w:lvl w:ilvl="0">
      <w:lvlJc w:val="left"/>
      <w:lvlText w:val="(%1)"/>
      <w:numFmt w:val="lowerLetter"/>
      <w:start w:val="1"/>
    </w:lvl>
  </w:abstractNum>
  <w:abstractNum w:abstractNumId="89">
    <w:nsid w:val="27EDFE3A"/>
    <w:multiLevelType w:val="hybridMultilevel"/>
    <w:lvl w:ilvl="0">
      <w:lvlJc w:val="left"/>
      <w:lvlText w:val="(%1)"/>
      <w:numFmt w:val="lowerLetter"/>
      <w:start w:val="1"/>
    </w:lvl>
  </w:abstractNum>
  <w:abstractNum w:abstractNumId="90">
    <w:nsid w:val="52AC7DFF"/>
    <w:multiLevelType w:val="hybridMultilevel"/>
    <w:lvl w:ilvl="0">
      <w:lvlJc w:val="left"/>
      <w:lvlText w:val="(%1)"/>
      <w:numFmt w:val="lowerLetter"/>
      <w:start w:val="1"/>
    </w:lvl>
  </w:abstractNum>
  <w:abstractNum w:abstractNumId="91">
    <w:nsid w:val="C4C3AF"/>
    <w:multiLevelType w:val="hybridMultilevel"/>
    <w:lvl w:ilvl="0">
      <w:lvlJc w:val="left"/>
      <w:lvlText w:val="(%1)"/>
      <w:numFmt w:val="lowerLetter"/>
      <w:start w:val="1"/>
    </w:lvl>
  </w:abstractNum>
  <w:abstractNum w:abstractNumId="92">
    <w:nsid w:val="44380727"/>
    <w:multiLevelType w:val="hybridMultilevel"/>
    <w:lvl w:ilvl="0">
      <w:lvlJc w:val="left"/>
      <w:lvlText w:val="(%1)"/>
      <w:numFmt w:val="lowerLetter"/>
      <w:start w:val="1"/>
    </w:lvl>
  </w:abstractNum>
  <w:abstractNum w:abstractNumId="93">
    <w:nsid w:val="6C053B16"/>
    <w:multiLevelType w:val="hybridMultilevel"/>
    <w:lvl w:ilvl="0">
      <w:lvlJc w:val="left"/>
      <w:lvlText w:val="(%1)"/>
      <w:numFmt w:val="lowerLetter"/>
      <w:start w:val="1"/>
    </w:lvl>
    <w:lvl w:ilvl="1">
      <w:lvlJc w:val="left"/>
      <w:lvlText w:val="(%2)"/>
      <w:numFmt w:val="lowerRoman"/>
      <w:start w:val="1"/>
    </w:lvl>
  </w:abstractNum>
  <w:abstractNum w:abstractNumId="94">
    <w:nsid w:val="4F294393"/>
    <w:multiLevelType w:val="hybridMultilevel"/>
    <w:lvl w:ilvl="0">
      <w:lvlJc w:val="left"/>
      <w:lvlText w:val="(%1)"/>
      <w:numFmt w:val="lowerLetter"/>
      <w:start w:val="3"/>
    </w:lvl>
  </w:abstractNum>
  <w:abstractNum w:abstractNumId="95">
    <w:nsid w:val="5243BFAC"/>
    <w:multiLevelType w:val="hybridMultilevel"/>
    <w:lvl w:ilvl="0">
      <w:lvlJc w:val="left"/>
      <w:lvlText w:val="(%1)"/>
      <w:numFmt w:val="lowerLetter"/>
      <w:start w:val="1"/>
    </w:lvl>
  </w:abstractNum>
  <w:abstractNum w:abstractNumId="96">
    <w:nsid w:val="425EB207"/>
    <w:multiLevelType w:val="hybridMultilevel"/>
    <w:lvl w:ilvl="0">
      <w:lvlJc w:val="left"/>
      <w:lvlText w:val="(%1)"/>
      <w:numFmt w:val="lowerLetter"/>
      <w:start w:val="1"/>
    </w:lvl>
  </w:abstractNum>
  <w:abstractNum w:abstractNumId="97">
    <w:nsid w:val="334A6F1F"/>
    <w:multiLevelType w:val="hybridMultilevel"/>
    <w:lvl w:ilvl="0">
      <w:lvlJc w:val="left"/>
      <w:lvlText w:val="3"/>
      <w:numFmt w:val="bullet"/>
      <w:start w:val="1"/>
    </w:lvl>
  </w:abstractNum>
  <w:abstractNum w:abstractNumId="98">
    <w:nsid w:val="2E5B12B8"/>
    <w:multiLevelType w:val="hybridMultilevel"/>
    <w:lvl w:ilvl="0">
      <w:lvlJc w:val="left"/>
      <w:lvlText w:val="(%1)"/>
      <w:numFmt w:val="lowerLetter"/>
      <w:start w:val="1"/>
    </w:lvl>
  </w:abstractNum>
  <w:abstractNum w:abstractNumId="99">
    <w:nsid w:val="5C03D76D"/>
    <w:multiLevelType w:val="hybridMultilevel"/>
    <w:lvl w:ilvl="0">
      <w:lvlJc w:val="left"/>
      <w:lvlText w:val="(%1)"/>
      <w:numFmt w:val="lowerLetter"/>
      <w:start w:val="1"/>
    </w:lvl>
  </w:abstractNum>
  <w:abstractNum w:abstractNumId="100">
    <w:nsid w:val="66A48D11"/>
    <w:multiLevelType w:val="hybridMultilevel"/>
    <w:lvl w:ilvl="0">
      <w:lvlJc w:val="left"/>
      <w:lvlText w:val="4"/>
      <w:numFmt w:val="bullet"/>
      <w:start w:val="1"/>
    </w:lvl>
  </w:abstractNum>
  <w:abstractNum w:abstractNumId="101">
    <w:nsid w:val="56C28E34"/>
    <w:multiLevelType w:val="hybridMultilevel"/>
    <w:lvl w:ilvl="0">
      <w:lvlJc w:val="left"/>
      <w:lvlText w:val="(%1)"/>
      <w:numFmt w:val="lowerLetter"/>
      <w:start w:val="1"/>
    </w:lvl>
  </w:abstractNum>
  <w:abstractNum w:abstractNumId="102">
    <w:nsid w:val="13916F2D"/>
    <w:multiLevelType w:val="hybridMultilevel"/>
    <w:lvl w:ilvl="0">
      <w:lvlJc w:val="left"/>
      <w:lvlText w:val="(%1)"/>
      <w:numFmt w:val="lowerLetter"/>
      <w:start w:val="1"/>
    </w:lvl>
  </w:abstractNum>
  <w:abstractNum w:abstractNumId="103">
    <w:nsid w:val="435D38D"/>
    <w:multiLevelType w:val="hybridMultilevel"/>
    <w:lvl w:ilvl="0">
      <w:lvlJc w:val="left"/>
      <w:lvlText w:val="(%1)"/>
      <w:numFmt w:val="lowerLetter"/>
      <w:start w:val="1"/>
    </w:lvl>
  </w:abstractNum>
  <w:abstractNum w:abstractNumId="104">
    <w:nsid w:val="822C0EF"/>
    <w:multiLevelType w:val="hybridMultilevel"/>
    <w:lvl w:ilvl="0">
      <w:lvlJc w:val="left"/>
      <w:lvlText w:val="(%1)"/>
      <w:numFmt w:val="lowerLetter"/>
      <w:start w:val="2"/>
    </w:lvl>
  </w:abstractNum>
  <w:abstractNum w:abstractNumId="105">
    <w:nsid w:val="57C5BB4F"/>
    <w:multiLevelType w:val="hybridMultilevel"/>
    <w:lvl w:ilvl="0">
      <w:lvlJc w:val="left"/>
      <w:lvlText w:val="(%1)"/>
      <w:numFmt w:val="lowerLetter"/>
      <w:start w:val="1"/>
    </w:lvl>
  </w:abstractNum>
  <w:abstractNum w:abstractNumId="106">
    <w:nsid w:val="1803D089"/>
    <w:multiLevelType w:val="hybridMultilevel"/>
    <w:lvl w:ilvl="0">
      <w:lvlJc w:val="left"/>
      <w:lvlText w:val="5"/>
      <w:numFmt w:val="bullet"/>
      <w:start w:val="1"/>
    </w:lvl>
  </w:abstractNum>
  <w:abstractNum w:abstractNumId="107">
    <w:nsid w:val="4F3A06D4"/>
    <w:multiLevelType w:val="hybridMultilevel"/>
    <w:lvl w:ilvl="0">
      <w:lvlJc w:val="left"/>
      <w:lvlText w:val="(%1)"/>
      <w:numFmt w:val="lowerLetter"/>
      <w:start w:val="1"/>
    </w:lvl>
  </w:abstractNum>
  <w:abstractNum w:abstractNumId="108">
    <w:nsid w:val="59A377B6"/>
    <w:multiLevelType w:val="hybridMultilevel"/>
    <w:lvl w:ilvl="0">
      <w:lvlJc w:val="left"/>
      <w:lvlText w:val="(%1)"/>
      <w:numFmt w:val="lowerLetter"/>
      <w:start w:val="1"/>
    </w:lvl>
  </w:abstractNum>
  <w:abstractNum w:abstractNumId="109">
    <w:nsid w:val="48AEB063"/>
    <w:multiLevelType w:val="hybridMultilevel"/>
    <w:lvl w:ilvl="0">
      <w:lvlJc w:val="left"/>
      <w:lvlText w:val="(%1)"/>
      <w:numFmt w:val="lowerLetter"/>
      <w:start w:val="1"/>
    </w:lvl>
  </w:abstractNum>
  <w:abstractNum w:abstractNumId="110">
    <w:nsid w:val="24E135"/>
    <w:multiLevelType w:val="hybridMultilevel"/>
    <w:lvl w:ilvl="0">
      <w:lvlJc w:val="left"/>
      <w:lvlText w:val="(%1)"/>
      <w:numFmt w:val="lowerLetter"/>
      <w:start w:val="2"/>
    </w:lvl>
  </w:abstractNum>
  <w:abstractNum w:abstractNumId="111">
    <w:nsid w:val="BB13C1"/>
    <w:multiLevelType w:val="hybridMultilevel"/>
    <w:lvl w:ilvl="0">
      <w:lvlJc w:val="left"/>
      <w:lvlText w:val="(%1)"/>
      <w:numFmt w:val="lowerLetter"/>
      <w:start w:val="1"/>
    </w:lvl>
  </w:abstractNum>
  <w:abstractNum w:abstractNumId="112">
    <w:nsid w:val="271210C7"/>
    <w:multiLevelType w:val="hybridMultilevel"/>
    <w:lvl w:ilvl="0">
      <w:lvlJc w:val="left"/>
      <w:lvlText w:val="(%1)"/>
      <w:numFmt w:val="lowerLetter"/>
      <w:start w:val="1"/>
    </w:lvl>
    <w:lvl w:ilvl="1">
      <w:lvlJc w:val="left"/>
      <w:lvlText w:val="(%2)"/>
      <w:numFmt w:val="lowerRoman"/>
      <w:start w:val="1"/>
    </w:lvl>
  </w:abstractNum>
  <w:abstractNum w:abstractNumId="113">
    <w:nsid w:val="217B22E4"/>
    <w:multiLevelType w:val="hybridMultilevel"/>
    <w:lvl w:ilvl="0">
      <w:lvlJc w:val="left"/>
      <w:lvlText w:val="(%1)"/>
      <w:numFmt w:val="lowerLetter"/>
      <w:start w:val="1"/>
    </w:lvl>
  </w:abstractNum>
  <w:abstractNum w:abstractNumId="114">
    <w:nsid w:val="53E31A24"/>
    <w:multiLevelType w:val="hybridMultilevel"/>
    <w:lvl w:ilvl="0">
      <w:lvlJc w:val="left"/>
      <w:lvlText w:val="6"/>
      <w:numFmt w:val="bullet"/>
      <w:start w:val="1"/>
    </w:lvl>
  </w:abstractNum>
  <w:abstractNum w:abstractNumId="115">
    <w:nsid w:val="6DC45E83"/>
    <w:multiLevelType w:val="hybridMultilevel"/>
    <w:lvl w:ilvl="0">
      <w:lvlJc w:val="left"/>
      <w:lvlText w:val="(%1)"/>
      <w:numFmt w:val="lowerLetter"/>
      <w:start w:val="1"/>
    </w:lvl>
  </w:abstractNum>
  <w:abstractNum w:abstractNumId="116">
    <w:nsid w:val="17304A67"/>
    <w:multiLevelType w:val="hybridMultilevel"/>
    <w:lvl w:ilvl="0">
      <w:lvlJc w:val="left"/>
      <w:lvlText w:val="7"/>
      <w:numFmt w:val="bullet"/>
      <w:start w:val="1"/>
    </w:lvl>
  </w:abstractNum>
  <w:abstractNum w:abstractNumId="117">
    <w:nsid w:val="2BB180D8"/>
    <w:multiLevelType w:val="hybridMultilevel"/>
    <w:lvl w:ilvl="0">
      <w:lvlJc w:val="left"/>
      <w:lvlText w:val="(%1)"/>
      <w:numFmt w:val="lowerLetter"/>
      <w:start w:val="1"/>
    </w:lvl>
  </w:abstractNum>
  <w:abstractNum w:abstractNumId="118">
    <w:nsid w:val="556B69ED"/>
    <w:multiLevelType w:val="hybridMultilevel"/>
    <w:lvl w:ilvl="0">
      <w:lvlJc w:val="left"/>
      <w:lvlText w:val="(%1)"/>
      <w:numFmt w:val="lowerLetter"/>
      <w:start w:val="1"/>
    </w:lvl>
  </w:abstractNum>
  <w:abstractNum w:abstractNumId="119">
    <w:nsid w:val="70836196"/>
    <w:multiLevelType w:val="hybridMultilevel"/>
    <w:lvl w:ilvl="0">
      <w:lvlJc w:val="left"/>
      <w:lvlText w:val="(%1)"/>
      <w:numFmt w:val="lowerLetter"/>
      <w:start w:val="1"/>
    </w:lvl>
  </w:abstractNum>
  <w:abstractNum w:abstractNumId="120">
    <w:nsid w:val="539F7F12"/>
    <w:multiLevelType w:val="hybridMultilevel"/>
    <w:lvl w:ilvl="0">
      <w:lvlJc w:val="left"/>
      <w:lvlText w:val="8"/>
      <w:numFmt w:val="bullet"/>
      <w:start w:val="1"/>
    </w:lvl>
  </w:abstractNum>
  <w:abstractNum w:abstractNumId="121">
    <w:nsid w:val="2817E7EC"/>
    <w:multiLevelType w:val="hybridMultilevel"/>
    <w:lvl w:ilvl="0">
      <w:lvlJc w:val="left"/>
      <w:lvlText w:val="(%1)"/>
      <w:numFmt w:val="lowerLetter"/>
      <w:start w:val="1"/>
    </w:lvl>
  </w:abstractNum>
  <w:abstractNum w:abstractNumId="122">
    <w:nsid w:val="71482545"/>
    <w:multiLevelType w:val="hybridMultilevel"/>
    <w:lvl w:ilvl="0">
      <w:lvlJc w:val="left"/>
      <w:lvlText w:val="(%1)"/>
      <w:numFmt w:val="lowerLetter"/>
      <w:start w:val="1"/>
    </w:lvl>
  </w:abstractNum>
  <w:abstractNum w:abstractNumId="123">
    <w:nsid w:val="17D78639"/>
    <w:multiLevelType w:val="hybridMultilevel"/>
    <w:lvl w:ilvl="0">
      <w:lvlJc w:val="left"/>
      <w:lvlText w:val="9"/>
      <w:numFmt w:val="bullet"/>
      <w:start w:val="1"/>
    </w:lvl>
  </w:abstractNum>
  <w:abstractNum w:abstractNumId="124">
    <w:nsid w:val="141D2302"/>
    <w:multiLevelType w:val="hybridMultilevel"/>
    <w:lvl w:ilvl="0">
      <w:lvlJc w:val="left"/>
      <w:lvlText w:val="(%1)"/>
      <w:numFmt w:val="lowerLetter"/>
      <w:start w:val="1"/>
    </w:lvl>
  </w:abstractNum>
  <w:abstractNum w:abstractNumId="125">
    <w:nsid w:val="407168D8"/>
    <w:multiLevelType w:val="hybridMultilevel"/>
    <w:lvl w:ilvl="0">
      <w:lvlJc w:val="left"/>
      <w:lvlText w:val="(%1)"/>
      <w:numFmt w:val="lowerLetter"/>
      <w:start w:val="1"/>
    </w:lvl>
    <w:lvl w:ilvl="1">
      <w:lvlJc w:val="left"/>
      <w:lvlText w:val="(%2)"/>
      <w:numFmt w:val="lowerRoman"/>
      <w:start w:val="1"/>
    </w:lvl>
  </w:abstractNum>
  <w:abstractNum w:abstractNumId="126">
    <w:nsid w:val="6A1B45E5"/>
    <w:multiLevelType w:val="hybridMultilevel"/>
    <w:lvl w:ilvl="0">
      <w:lvlJc w:val="left"/>
      <w:lvlText w:val="%1"/>
      <w:numFmt w:val="decimal"/>
      <w:start w:val="10"/>
    </w:lvl>
  </w:abstractNum>
  <w:abstractNum w:abstractNumId="127">
    <w:nsid w:val="567BD50A"/>
    <w:multiLevelType w:val="hybridMultilevel"/>
    <w:lvl w:ilvl="0">
      <w:lvlJc w:val="left"/>
      <w:lvlText w:val="(%1)"/>
      <w:numFmt w:val="lowerLetter"/>
      <w:start w:val="1"/>
    </w:lvl>
  </w:abstractNum>
  <w:abstractNum w:abstractNumId="128">
    <w:nsid w:val="73BBD7F8"/>
    <w:multiLevelType w:val="hybridMultilevel"/>
    <w:lvl w:ilvl="0">
      <w:lvlJc w:val="left"/>
      <w:lvlText w:val="(%1)"/>
      <w:numFmt w:val="lowerLetter"/>
      <w:start w:val="1"/>
    </w:lvl>
  </w:abstractNum>
  <w:abstractNum w:abstractNumId="129">
    <w:nsid w:val="1876589D"/>
    <w:multiLevelType w:val="hybridMultilevel"/>
    <w:lvl w:ilvl="0">
      <w:lvlJc w:val="left"/>
      <w:lvlText w:val="(%1)"/>
      <w:numFmt w:val="lowerLetter"/>
      <w:start w:val="1"/>
    </w:lvl>
  </w:abstractNum>
  <w:abstractNum w:abstractNumId="130">
    <w:nsid w:val="327FAC77"/>
    <w:multiLevelType w:val="hybridMultilevel"/>
    <w:lvl w:ilvl="0">
      <w:lvlJc w:val="left"/>
      <w:lvlText w:val="(%1)"/>
      <w:numFmt w:val="lowerLetter"/>
      <w:start w:val="1"/>
    </w:lvl>
  </w:abstractNum>
  <w:abstractNum w:abstractNumId="131">
    <w:nsid w:val="5A606509"/>
    <w:multiLevelType w:val="hybridMultilevel"/>
    <w:lvl w:ilvl="0">
      <w:lvlJc w:val="left"/>
      <w:lvlText w:val="(%1)"/>
      <w:numFmt w:val="lowerLetter"/>
      <w:start w:val="3"/>
    </w:lvl>
  </w:abstractNum>
  <w:abstractNum w:abstractNumId="132">
    <w:nsid w:val="6F38E6D1"/>
    <w:multiLevelType w:val="hybridMultilevel"/>
    <w:lvl w:ilvl="0">
      <w:lvlJc w:val="left"/>
      <w:lvlText w:val="(%1)"/>
      <w:numFmt w:val="lowerLetter"/>
      <w:start w:val="1"/>
    </w:lvl>
  </w:abstractNum>
  <w:abstractNum w:abstractNumId="133">
    <w:nsid w:val="46111BA5"/>
    <w:multiLevelType w:val="hybridMultilevel"/>
    <w:lvl w:ilvl="0">
      <w:lvlJc w:val="left"/>
      <w:lvlText w:val="(%1)"/>
      <w:numFmt w:val="lowerLetter"/>
      <w:start w:val="1"/>
    </w:lvl>
  </w:abstractNum>
  <w:abstractNum w:abstractNumId="134">
    <w:nsid w:val="5E963896"/>
    <w:multiLevelType w:val="hybridMultilevel"/>
    <w:lvl w:ilvl="0">
      <w:lvlJc w:val="left"/>
      <w:lvlText w:val="(%1)"/>
      <w:numFmt w:val="lowerLetter"/>
      <w:start w:val="1"/>
    </w:lvl>
  </w:abstractNum>
  <w:abstractNum w:abstractNumId="135">
    <w:nsid w:val="775BA7C1"/>
    <w:multiLevelType w:val="hybridMultilevel"/>
    <w:lvl w:ilvl="0">
      <w:lvlJc w:val="left"/>
      <w:lvlText w:val="%1"/>
      <w:numFmt w:val="decimal"/>
      <w:start w:val="11"/>
    </w:lvl>
  </w:abstractNum>
  <w:abstractNum w:abstractNumId="136">
    <w:nsid w:val="1DD6D6F4"/>
    <w:multiLevelType w:val="hybridMultilevel"/>
    <w:lvl w:ilvl="0">
      <w:lvlJc w:val="left"/>
      <w:lvlText w:val="(%1)"/>
      <w:numFmt w:val="lowerLetter"/>
      <w:start w:val="1"/>
    </w:lvl>
  </w:abstractNum>
  <w:abstractNum w:abstractNumId="137">
    <w:nsid w:val="769A091F"/>
    <w:multiLevelType w:val="hybridMultilevel"/>
    <w:lvl w:ilvl="0">
      <w:lvlJc w:val="left"/>
      <w:lvlText w:val="(%1)"/>
      <w:numFmt w:val="lowerLetter"/>
      <w:start w:val="1"/>
    </w:lvl>
  </w:abstractNum>
  <w:abstractNum w:abstractNumId="138">
    <w:nsid w:val="4695AE95"/>
    <w:multiLevelType w:val="hybridMultilevel"/>
    <w:lvl w:ilvl="0">
      <w:lvlJc w:val="left"/>
      <w:lvlText w:val="(%1)"/>
      <w:numFmt w:val="lowerLetter"/>
      <w:start w:val="1"/>
    </w:lvl>
  </w:abstractNum>
  <w:abstractNum w:abstractNumId="139">
    <w:nsid w:val="777A4EAA"/>
    <w:multiLevelType w:val="hybridMultilevel"/>
    <w:lvl w:ilvl="0">
      <w:lvlJc w:val="left"/>
      <w:lvlText w:val="(%1)"/>
      <w:numFmt w:val="lowerLetter"/>
      <w:start w:val="1"/>
    </w:lvl>
  </w:abstractNum>
  <w:abstractNum w:abstractNumId="140">
    <w:nsid w:val="3F48B982"/>
    <w:multiLevelType w:val="hybridMultilevel"/>
    <w:lvl w:ilvl="0">
      <w:lvlJc w:val="left"/>
      <w:lvlText w:val="(%1)"/>
      <w:numFmt w:val="lowerLetter"/>
      <w:start w:val="1"/>
    </w:lvl>
  </w:abstractNum>
  <w:abstractNum w:abstractNumId="141">
    <w:nsid w:val="46BA8FCA"/>
    <w:multiLevelType w:val="hybridMultilevel"/>
    <w:lvl w:ilvl="0">
      <w:lvlJc w:val="left"/>
      <w:lvlText w:val="(%1)"/>
      <w:numFmt w:val="lowerLetter"/>
      <w:start w:val="1"/>
    </w:lvl>
    <w:lvl w:ilvl="1">
      <w:lvlJc w:val="left"/>
      <w:lvlText w:val="(%2)"/>
      <w:numFmt w:val="lowerLetter"/>
      <w:start w:val="9"/>
    </w:lvl>
  </w:abstractNum>
  <w:abstractNum w:abstractNumId="142">
    <w:nsid w:val="7835626C"/>
    <w:multiLevelType w:val="hybridMultilevel"/>
    <w:lvl w:ilvl="0">
      <w:lvlJc w:val="left"/>
      <w:lvlText w:val="%1"/>
      <w:numFmt w:val="lowerLetter"/>
      <w:start w:val="1"/>
    </w:lvl>
    <w:lvl w:ilvl="1">
      <w:lvlJc w:val="left"/>
      <w:lvlText w:val="(%2)"/>
      <w:numFmt w:val="lowerLetter"/>
      <w:start w:val="35"/>
    </w:lvl>
  </w:abstractNum>
  <w:abstractNum w:abstractNumId="143">
    <w:nsid w:val="665ACA49"/>
    <w:multiLevelType w:val="hybridMultilevel"/>
    <w:lvl w:ilvl="0">
      <w:lvlJc w:val="left"/>
      <w:lvlText w:val="(%1)"/>
      <w:numFmt w:val="lowerLetter"/>
      <w:start w:val="3"/>
    </w:lvl>
    <w:lvl w:ilvl="1">
      <w:lvlJc w:val="left"/>
      <w:lvlText w:val="%2"/>
      <w:numFmt w:val="lowerLetter"/>
      <w:start w:val="1"/>
    </w:lvl>
  </w:abstractNum>
  <w:abstractNum w:abstractNumId="144">
    <w:nsid w:val="6835B2AE"/>
    <w:multiLevelType w:val="hybridMultilevel"/>
    <w:lvl w:ilvl="0">
      <w:lvlJc w:val="left"/>
      <w:lvlText w:val="%1"/>
      <w:numFmt w:val="decimal"/>
      <w:start w:val="12"/>
    </w:lvl>
  </w:abstractNum>
  <w:abstractNum w:abstractNumId="145">
    <w:nsid w:val="4C187C90"/>
    <w:multiLevelType w:val="hybridMultilevel"/>
    <w:lvl w:ilvl="0">
      <w:lvlJc w:val="left"/>
      <w:lvlText w:val="(%1)"/>
      <w:numFmt w:val="lowerLetter"/>
      <w:start w:val="1"/>
    </w:lvl>
  </w:abstractNum>
  <w:abstractNum w:abstractNumId="146">
    <w:nsid w:val="541F28CD"/>
    <w:multiLevelType w:val="hybridMultilevel"/>
    <w:lvl w:ilvl="0">
      <w:lvlJc w:val="left"/>
      <w:lvlText w:val="(%1)"/>
      <w:numFmt w:val="lowerLetter"/>
      <w:start w:val="1"/>
    </w:lvl>
    <w:lvl w:ilvl="1">
      <w:lvlJc w:val="left"/>
      <w:lvlText w:val="(%2)"/>
      <w:numFmt w:val="lowerRoman"/>
      <w:start w:val="1"/>
    </w:lvl>
  </w:abstractNum>
  <w:abstractNum w:abstractNumId="147">
    <w:nsid w:val="7F65FD16"/>
    <w:multiLevelType w:val="hybridMultilevel"/>
    <w:lvl w:ilvl="0">
      <w:lvlJc w:val="left"/>
      <w:lvlText w:val="(%1)"/>
      <w:numFmt w:val="lowerRoman"/>
      <w:start w:val="2"/>
    </w:lvl>
  </w:abstractNum>
  <w:abstractNum w:abstractNumId="148">
    <w:nsid w:val="77C9FD68"/>
    <w:multiLevelType w:val="hybridMultilevel"/>
    <w:lvl w:ilvl="0">
      <w:lvlJc w:val="left"/>
      <w:lvlText w:val="(%1)"/>
      <w:numFmt w:val="lowerLetter"/>
      <w:start w:val="1"/>
    </w:lvl>
  </w:abstractNum>
  <w:abstractNum w:abstractNumId="149">
    <w:nsid w:val="298A92BA"/>
    <w:multiLevelType w:val="hybridMultilevel"/>
    <w:lvl w:ilvl="0">
      <w:lvlJc w:val="left"/>
      <w:lvlText w:val="%1"/>
      <w:numFmt w:val="decimal"/>
      <w:start w:val="13"/>
    </w:lvl>
  </w:abstractNum>
  <w:abstractNum w:abstractNumId="150">
    <w:nsid w:val="6FE95EAC"/>
    <w:multiLevelType w:val="hybridMultilevel"/>
    <w:lvl w:ilvl="0">
      <w:lvlJc w:val="left"/>
      <w:lvlText w:val="(%1)"/>
      <w:numFmt w:val="lowerLetter"/>
      <w:start w:val="1"/>
    </w:lvl>
  </w:abstractNum>
  <w:abstractNum w:abstractNumId="151">
    <w:nsid w:val="4B697C7A"/>
    <w:multiLevelType w:val="hybridMultilevel"/>
    <w:lvl w:ilvl="0">
      <w:lvlJc w:val="left"/>
      <w:lvlText w:val="%1"/>
      <w:numFmt w:val="decimal"/>
      <w:start w:val="15"/>
    </w:lvl>
  </w:abstractNum>
  <w:abstractNum w:abstractNumId="152">
    <w:nsid w:val="51A27AA6"/>
    <w:multiLevelType w:val="hybridMultilevel"/>
    <w:lvl w:ilvl="0">
      <w:lvlJc w:val="left"/>
      <w:lvlText w:val="(%1)"/>
      <w:numFmt w:val="lowerLetter"/>
      <w:start w:val="1"/>
    </w:lvl>
  </w:abstractNum>
  <w:abstractNum w:abstractNumId="153">
    <w:nsid w:val="613183F2"/>
    <w:multiLevelType w:val="hybridMultilevel"/>
    <w:lvl w:ilvl="0">
      <w:lvlJc w:val="left"/>
      <w:lvlText w:val="(%1)"/>
      <w:numFmt w:val="lowerLetter"/>
      <w:start w:val="1"/>
    </w:lvl>
  </w:abstractNum>
  <w:abstractNum w:abstractNumId="154">
    <w:nsid w:val="634102B4"/>
    <w:multiLevelType w:val="hybridMultilevel"/>
    <w:lvl w:ilvl="0">
      <w:lvlJc w:val="left"/>
      <w:lvlText w:val="(%1)"/>
      <w:numFmt w:val="lowerLetter"/>
      <w:start w:val="1"/>
    </w:lvl>
  </w:abstractNum>
  <w:abstractNum w:abstractNumId="155">
    <w:nsid w:val="65BF9DA8"/>
    <w:multiLevelType w:val="hybridMultilevel"/>
    <w:lvl w:ilvl="0">
      <w:lvlJc w:val="left"/>
      <w:lvlText w:val="(%1)"/>
      <w:numFmt w:val="lowerLetter"/>
      <w:start w:val="1"/>
    </w:lvl>
  </w:abstractNum>
  <w:abstractNum w:abstractNumId="156">
    <w:nsid w:val="21A2ECCA"/>
    <w:multiLevelType w:val="hybridMultilevel"/>
    <w:lvl w:ilvl="0">
      <w:lvlJc w:val="left"/>
      <w:lvlText w:val="(%1)"/>
      <w:numFmt w:val="lowerLetter"/>
      <w:start w:val="1"/>
    </w:lvl>
  </w:abstractNum>
  <w:abstractNum w:abstractNumId="157">
    <w:nsid w:val="4D5C4899"/>
    <w:multiLevelType w:val="hybridMultilevel"/>
    <w:lvl w:ilvl="0">
      <w:lvlJc w:val="left"/>
      <w:lvlText w:val="%1"/>
      <w:numFmt w:val="decimal"/>
      <w:start w:val="17"/>
    </w:lvl>
  </w:abstractNum>
  <w:abstractNum w:abstractNumId="158">
    <w:nsid w:val="3C3B72B2"/>
    <w:multiLevelType w:val="hybridMultilevel"/>
    <w:lvl w:ilvl="0">
      <w:lvlJc w:val="left"/>
      <w:lvlText w:val="(%1)"/>
      <w:numFmt w:val="lowerLetter"/>
      <w:start w:val="1"/>
    </w:lvl>
  </w:abstractNum>
  <w:abstractNum w:abstractNumId="159">
    <w:nsid w:val="155EC4C2"/>
    <w:multiLevelType w:val="hybridMultilevel"/>
    <w:lvl w:ilvl="0">
      <w:lvlJc w:val="left"/>
      <w:lvlText w:val="(%1)"/>
      <w:numFmt w:val="lowerLetter"/>
      <w:start w:val="1"/>
    </w:lvl>
    <w:lvl w:ilvl="1">
      <w:lvlJc w:val="left"/>
      <w:lvlText w:val="(%2)"/>
      <w:numFmt w:val="lowerRoman"/>
      <w:start w:val="1"/>
    </w:lvl>
  </w:abstractNum>
  <w:abstractNum w:abstractNumId="160">
    <w:nsid w:val="65D2A137"/>
    <w:multiLevelType w:val="hybridMultilevel"/>
    <w:lvl w:ilvl="0">
      <w:lvlJc w:val="left"/>
      <w:lvlText w:val="%1"/>
      <w:numFmt w:val="decimal"/>
      <w:start w:val="18"/>
    </w:lvl>
  </w:abstractNum>
  <w:abstractNum w:abstractNumId="161">
    <w:nsid w:val="6EBB1F2A"/>
    <w:multiLevelType w:val="hybridMultilevel"/>
    <w:lvl w:ilvl="0">
      <w:lvlJc w:val="left"/>
      <w:lvlText w:val="(%1)"/>
      <w:numFmt w:val="lowerLetter"/>
      <w:start w:val="1"/>
    </w:lvl>
  </w:abstractNum>
  <w:abstractNum w:abstractNumId="162">
    <w:nsid w:val="6FBF29CB"/>
    <w:multiLevelType w:val="hybridMultilevel"/>
    <w:lvl w:ilvl="0">
      <w:lvlJc w:val="left"/>
      <w:lvlText w:val="(%1)"/>
      <w:numFmt w:val="lowerLetter"/>
      <w:start w:val="1"/>
    </w:lvl>
  </w:abstractNum>
  <w:abstractNum w:abstractNumId="163">
    <w:nsid w:val="550B8808"/>
    <w:multiLevelType w:val="hybridMultilevel"/>
    <w:lvl w:ilvl="0">
      <w:lvlJc w:val="left"/>
      <w:lvlText w:val="%1"/>
      <w:numFmt w:val="decimal"/>
      <w:start w:val="20"/>
    </w:lvl>
  </w:abstractNum>
  <w:abstractNum w:abstractNumId="164">
    <w:nsid w:val="34CC3ACF"/>
    <w:multiLevelType w:val="hybridMultilevel"/>
    <w:lvl w:ilvl="0">
      <w:lvlJc w:val="left"/>
      <w:lvlText w:val="(%1)"/>
      <w:numFmt w:val="lowerLetter"/>
      <w:start w:val="1"/>
    </w:lvl>
    <w:lvl w:ilvl="1">
      <w:lvlJc w:val="left"/>
      <w:lvlText w:val="(%2)"/>
      <w:numFmt w:val="lowerRoman"/>
      <w:start w:val="1"/>
    </w:lvl>
  </w:abstractNum>
  <w:abstractNum w:abstractNumId="165">
    <w:nsid w:val="4E556261"/>
    <w:multiLevelType w:val="hybridMultilevel"/>
    <w:lvl w:ilvl="0">
      <w:lvlJc w:val="left"/>
      <w:lvlText w:val="(%1)"/>
      <w:numFmt w:val="lowerLetter"/>
      <w:start w:val="1"/>
    </w:lvl>
  </w:abstractNum>
  <w:abstractNum w:abstractNumId="166">
    <w:nsid w:val="4C672FC9"/>
    <w:multiLevelType w:val="hybridMultilevel"/>
    <w:lvl w:ilvl="0">
      <w:lvlJc w:val="left"/>
      <w:lvlText w:val="(%1)"/>
      <w:numFmt w:val="lowerLetter"/>
      <w:start w:val="1"/>
    </w:lvl>
  </w:abstractNum>
  <w:abstractNum w:abstractNumId="167">
    <w:nsid w:val="52A311C3"/>
    <w:multiLevelType w:val="hybridMultilevel"/>
    <w:lvl w:ilvl="0">
      <w:lvlJc w:val="left"/>
      <w:lvlText w:val="%1"/>
      <w:numFmt w:val="decimal"/>
      <w:start w:val="21"/>
    </w:lvl>
    <w:lvl w:ilvl="1">
      <w:lvlJc w:val="left"/>
      <w:lvlText w:val="(%2)"/>
      <w:numFmt w:val="lowerLetter"/>
      <w:start w:val="1"/>
    </w:lvl>
  </w:abstractNum>
  <w:abstractNum w:abstractNumId="168">
    <w:nsid w:val="44EF6B80"/>
    <w:multiLevelType w:val="hybridMultilevel"/>
    <w:lvl w:ilvl="0">
      <w:lvlJc w:val="left"/>
      <w:lvlText w:val="(%1)"/>
      <w:numFmt w:val="lowerLetter"/>
      <w:start w:val="1"/>
    </w:lvl>
  </w:abstractNum>
  <w:abstractNum w:abstractNumId="169">
    <w:nsid w:val="12FCDE5E"/>
    <w:multiLevelType w:val="hybridMultilevel"/>
    <w:lvl w:ilvl="0">
      <w:lvlJc w:val="left"/>
      <w:lvlText w:val="(%1)"/>
      <w:numFmt w:val="lowerLetter"/>
      <w:start w:val="1"/>
    </w:lvl>
  </w:abstractNum>
  <w:abstractNum w:abstractNumId="170">
    <w:nsid w:val="4A1D606E"/>
    <w:multiLevelType w:val="hybridMultilevel"/>
    <w:lvl w:ilvl="0">
      <w:lvlJc w:val="left"/>
      <w:lvlText w:val="(%1)"/>
      <w:numFmt w:val="lowerLetter"/>
      <w:start w:val="1"/>
    </w:lvl>
  </w:abstractNum>
  <w:abstractNum w:abstractNumId="171">
    <w:nsid w:val="4382503"/>
    <w:multiLevelType w:val="hybridMultilevel"/>
    <w:lvl w:ilvl="0">
      <w:lvlJc w:val="left"/>
      <w:lvlText w:val="(%1)"/>
      <w:numFmt w:val="lowerLetter"/>
      <w:start w:val="1"/>
    </w:lvl>
  </w:abstractNum>
  <w:abstractNum w:abstractNumId="172">
    <w:nsid w:val="59B76E28"/>
    <w:multiLevelType w:val="hybridMultilevel"/>
    <w:lvl w:ilvl="0">
      <w:lvlJc w:val="left"/>
      <w:lvlText w:val="(%1)"/>
      <w:numFmt w:val="lowerLetter"/>
      <w:start w:val="1"/>
    </w:lvl>
  </w:abstractNum>
  <w:abstractNum w:abstractNumId="173">
    <w:nsid w:val="4252C2DA"/>
    <w:multiLevelType w:val="hybridMultilevel"/>
    <w:lvl w:ilvl="0">
      <w:lvlJc w:val="left"/>
      <w:lvlText w:val="(%1)"/>
      <w:numFmt w:val="lowerLetter"/>
      <w:start w:val="1"/>
    </w:lvl>
  </w:abstractNum>
  <w:abstractNum w:abstractNumId="174">
    <w:nsid w:val="6A92EF4C"/>
    <w:multiLevelType w:val="hybridMultilevel"/>
    <w:lvl w:ilvl="0">
      <w:lvlJc w:val="left"/>
      <w:lvlText w:val="(%1)"/>
      <w:numFmt w:val="lowerLetter"/>
      <w:start w:val="3"/>
    </w:lvl>
  </w:abstractNum>
  <w:abstractNum w:abstractNumId="175">
    <w:nsid w:val="41ED20D7"/>
    <w:multiLevelType w:val="hybridMultilevel"/>
    <w:lvl w:ilvl="0">
      <w:lvlJc w:val="left"/>
      <w:lvlText w:val="(%1)"/>
      <w:numFmt w:val="lowerLetter"/>
      <w:start w:val="1"/>
    </w:lvl>
  </w:abstractNum>
  <w:abstractNum w:abstractNumId="176">
    <w:nsid w:val="E6B3F6A"/>
    <w:multiLevelType w:val="hybridMultilevel"/>
    <w:lvl w:ilvl="0">
      <w:lvlJc w:val="left"/>
      <w:lvlText w:val="(%1)"/>
      <w:numFmt w:val="lowerLetter"/>
      <w:start w:val="2"/>
    </w:lvl>
  </w:abstractNum>
  <w:abstractNum w:abstractNumId="177">
    <w:nsid w:val="3EB21819"/>
    <w:multiLevelType w:val="hybridMultilevel"/>
    <w:lvl w:ilvl="0">
      <w:lvlJc w:val="left"/>
      <w:lvlText w:val="%1"/>
      <w:numFmt w:val="decimal"/>
      <w:start w:val="26"/>
    </w:lvl>
  </w:abstractNum>
  <w:abstractNum w:abstractNumId="178">
    <w:nsid w:val="41531DED"/>
    <w:multiLevelType w:val="hybridMultilevel"/>
    <w:lvl w:ilvl="0">
      <w:lvlJc w:val="left"/>
      <w:lvlText w:val="(%1)"/>
      <w:numFmt w:val="lowerLetter"/>
      <w:start w:val="1"/>
    </w:lvl>
  </w:abstractNum>
  <w:abstractNum w:abstractNumId="179">
    <w:nsid w:val="6353CD2"/>
    <w:multiLevelType w:val="hybridMultilevel"/>
    <w:lvl w:ilvl="0">
      <w:lvlJc w:val="left"/>
      <w:lvlText w:val="(%1)"/>
      <w:numFmt w:val="lowerLetter"/>
      <w:start w:val="1"/>
    </w:lvl>
  </w:abstractNum>
  <w:abstractNum w:abstractNumId="180">
    <w:nsid w:val="683CAAD3"/>
    <w:multiLevelType w:val="hybridMultilevel"/>
    <w:lvl w:ilvl="0">
      <w:lvlJc w:val="left"/>
      <w:lvlText w:val="(%1)"/>
      <w:numFmt w:val="lowerLetter"/>
      <w:start w:val="1"/>
    </w:lvl>
  </w:abstractNum>
  <w:abstractNum w:abstractNumId="181">
    <w:nsid w:val="313C7C99"/>
    <w:multiLevelType w:val="hybridMultilevel"/>
    <w:lvl w:ilvl="0">
      <w:lvlJc w:val="left"/>
      <w:lvlText w:val="%1"/>
      <w:numFmt w:val="decimal"/>
      <w:start w:val="27"/>
    </w:lvl>
  </w:abstractNum>
  <w:abstractNum w:abstractNumId="182">
    <w:nsid w:val="519EB94C"/>
    <w:multiLevelType w:val="hybridMultilevel"/>
    <w:lvl w:ilvl="0">
      <w:lvlJc w:val="left"/>
      <w:lvlText w:val="(%1)"/>
      <w:numFmt w:val="lowerLetter"/>
      <w:start w:val="1"/>
    </w:lvl>
  </w:abstractNum>
  <w:abstractNum w:abstractNumId="183">
    <w:nsid w:val="39DF2579"/>
    <w:multiLevelType w:val="hybridMultilevel"/>
    <w:lvl w:ilvl="0">
      <w:lvlJc w:val="left"/>
      <w:lvlText w:val="(%1)"/>
      <w:numFmt w:val="lowerLetter"/>
      <w:start w:val="1"/>
    </w:lvl>
    <w:lvl w:ilvl="1">
      <w:lvlJc w:val="left"/>
      <w:lvlText w:val="(%2)"/>
      <w:numFmt w:val="lowerRoman"/>
      <w:start w:val="1"/>
    </w:lvl>
  </w:abstractNum>
  <w:abstractNum w:abstractNumId="184">
    <w:nsid w:val="126E008B"/>
    <w:multiLevelType w:val="hybridMultilevel"/>
    <w:lvl w:ilvl="0">
      <w:lvlJc w:val="left"/>
      <w:lvlText w:val="%1"/>
      <w:numFmt w:val="decimal"/>
      <w:start w:val="28"/>
    </w:lvl>
  </w:abstractNum>
  <w:abstractNum w:abstractNumId="185">
    <w:nsid w:val="34DFBC00"/>
    <w:multiLevelType w:val="hybridMultilevel"/>
    <w:lvl w:ilvl="0">
      <w:lvlJc w:val="left"/>
      <w:lvlText w:val="(%1)"/>
      <w:numFmt w:val="lowerLetter"/>
      <w:start w:val="1"/>
    </w:lvl>
  </w:abstractNum>
  <w:abstractNum w:abstractNumId="186">
    <w:nsid w:val="1F9EC322"/>
    <w:multiLevelType w:val="hybridMultilevel"/>
    <w:lvl w:ilvl="0">
      <w:lvlJc w:val="left"/>
      <w:lvlText w:val="(%1)"/>
      <w:numFmt w:val="lowerLetter"/>
      <w:start w:val="1"/>
    </w:lvl>
  </w:abstractNum>
  <w:abstractNum w:abstractNumId="187">
    <w:nsid w:val="3410ED56"/>
    <w:multiLevelType w:val="hybridMultilevel"/>
    <w:lvl w:ilvl="0">
      <w:lvlJc w:val="left"/>
      <w:lvlText w:val="%1"/>
      <w:numFmt w:val="decimal"/>
      <w:start w:val="29"/>
    </w:lvl>
  </w:abstractNum>
  <w:abstractNum w:abstractNumId="188">
    <w:nsid w:val="23C049A"/>
    <w:multiLevelType w:val="hybridMultilevel"/>
    <w:lvl w:ilvl="0">
      <w:lvlJc w:val="left"/>
      <w:lvlText w:val="(%1)"/>
      <w:numFmt w:val="lowerLetter"/>
      <w:start w:val="1"/>
    </w:lvl>
  </w:abstractNum>
  <w:abstractNum w:abstractNumId="189">
    <w:nsid w:val="5BDA35D4"/>
    <w:multiLevelType w:val="hybridMultilevel"/>
    <w:lvl w:ilvl="0">
      <w:lvlJc w:val="left"/>
      <w:lvlText w:val="(%1)"/>
      <w:numFmt w:val="lowerLetter"/>
      <w:start w:val="1"/>
    </w:lvl>
  </w:abstractNum>
  <w:abstractNum w:abstractNumId="190">
    <w:nsid w:val="496FB218"/>
    <w:multiLevelType w:val="hybridMultilevel"/>
    <w:lvl w:ilvl="0">
      <w:lvlJc w:val="left"/>
      <w:lvlText w:val="(%1)"/>
      <w:numFmt w:val="lowerLetter"/>
      <w:start w:val="1"/>
    </w:lvl>
  </w:abstractNum>
  <w:abstractNum w:abstractNumId="191">
    <w:nsid w:val="680EA5D1"/>
    <w:multiLevelType w:val="hybridMultilevel"/>
    <w:lvl w:ilvl="0">
      <w:lvlJc w:val="left"/>
      <w:lvlText w:val="(%1)"/>
      <w:numFmt w:val="lowerLetter"/>
      <w:start w:val="1"/>
    </w:lvl>
  </w:abstractNum>
  <w:abstractNum w:abstractNumId="192">
    <w:nsid w:val="4A9554FE"/>
    <w:multiLevelType w:val="hybridMultilevel"/>
    <w:lvl w:ilvl="0">
      <w:lvlJc w:val="left"/>
      <w:lvlText w:val="(%1)"/>
      <w:numFmt w:val="lowerLetter"/>
      <w:start w:val="1"/>
    </w:lvl>
  </w:abstractNum>
  <w:abstractNum w:abstractNumId="193">
    <w:nsid w:val="392EDBE4"/>
    <w:multiLevelType w:val="hybridMultilevel"/>
    <w:lvl w:ilvl="0">
      <w:lvlJc w:val="left"/>
      <w:lvlText w:val="%1"/>
      <w:numFmt w:val="decimal"/>
      <w:start w:val="31"/>
    </w:lvl>
  </w:abstractNum>
  <w:abstractNum w:abstractNumId="194">
    <w:nsid w:val="3D1A2DD9"/>
    <w:multiLevelType w:val="hybridMultilevel"/>
    <w:lvl w:ilvl="0">
      <w:lvlJc w:val="left"/>
      <w:lvlText w:val="(%1)"/>
      <w:numFmt w:val="lowerLetter"/>
      <w:start w:val="1"/>
    </w:lvl>
  </w:abstractNum>
  <w:abstractNum w:abstractNumId="195">
    <w:nsid w:val="7F618FCD"/>
    <w:multiLevelType w:val="hybridMultilevel"/>
    <w:lvl w:ilvl="0">
      <w:lvlJc w:val="left"/>
      <w:lvlText w:val="(%1)"/>
      <w:numFmt w:val="lowerLetter"/>
      <w:start w:val="2"/>
    </w:lvl>
  </w:abstractNum>
  <w:abstractNum w:abstractNumId="196">
    <w:nsid w:val="7843E45"/>
    <w:multiLevelType w:val="hybridMultilevel"/>
    <w:lvl w:ilvl="0">
      <w:lvlJc w:val="left"/>
      <w:lvlText w:val="%1"/>
      <w:numFmt w:val="decimal"/>
      <w:start w:val="32"/>
    </w:lvl>
  </w:abstractNum>
  <w:abstractNum w:abstractNumId="197">
    <w:nsid w:val="9815DA3"/>
    <w:multiLevelType w:val="hybridMultilevel"/>
    <w:lvl w:ilvl="0">
      <w:lvlJc w:val="left"/>
      <w:lvlText w:val="(%1)"/>
      <w:numFmt w:val="lowerLetter"/>
      <w:start w:val="1"/>
    </w:lvl>
  </w:abstractNum>
  <w:abstractNum w:abstractNumId="198">
    <w:nsid w:val="5204A191"/>
    <w:multiLevelType w:val="hybridMultilevel"/>
    <w:lvl w:ilvl="0">
      <w:lvlJc w:val="left"/>
      <w:lvlText w:val="%1"/>
      <w:numFmt w:val="decimal"/>
      <w:start w:val="33"/>
    </w:lvl>
  </w:abstractNum>
  <w:abstractNum w:abstractNumId="199">
    <w:nsid w:val="4C73A9C6"/>
    <w:multiLevelType w:val="hybridMultilevel"/>
    <w:lvl w:ilvl="0">
      <w:lvlJc w:val="left"/>
      <w:lvlText w:val="(%1)"/>
      <w:numFmt w:val="lowerLetter"/>
      <w:start w:val="1"/>
    </w:lvl>
  </w:abstractNum>
  <w:abstractNum w:abstractNumId="200">
    <w:nsid w:val="1C7E3C01"/>
    <w:multiLevelType w:val="hybridMultilevel"/>
    <w:lvl w:ilvl="0">
      <w:lvlJc w:val="left"/>
      <w:lvlText w:val="(%1)"/>
      <w:numFmt w:val="lowerLetter"/>
      <w:start w:val="1"/>
    </w:lvl>
  </w:abstractNum>
  <w:abstractNum w:abstractNumId="201">
    <w:nsid w:val="1C2201FF"/>
    <w:multiLevelType w:val="hybridMultilevel"/>
    <w:lvl w:ilvl="0">
      <w:lvlJc w:val="left"/>
      <w:lvlText w:val="(%1)"/>
      <w:numFmt w:val="lowerLetter"/>
      <w:start w:val="1"/>
    </w:lvl>
  </w:abstractNum>
  <w:abstractNum w:abstractNumId="202">
    <w:nsid w:val="50ABCEC9"/>
    <w:multiLevelType w:val="hybridMultilevel"/>
    <w:lvl w:ilvl="0">
      <w:lvlJc w:val="left"/>
      <w:lvlText w:val="(%1)"/>
      <w:numFmt w:val="lowerLetter"/>
      <w:start w:val="4"/>
    </w:lvl>
  </w:abstractNum>
  <w:abstractNum w:abstractNumId="203">
    <w:nsid w:val="7635AA2A"/>
    <w:multiLevelType w:val="hybridMultilevel"/>
    <w:lvl w:ilvl="0">
      <w:lvlJc w:val="left"/>
      <w:lvlText w:val="(%1)"/>
      <w:numFmt w:val="lowerLetter"/>
      <w:start w:val="1"/>
    </w:lvl>
  </w:abstractNum>
  <w:abstractNum w:abstractNumId="204">
    <w:nsid w:val="5E74C4D9"/>
    <w:multiLevelType w:val="hybridMultilevel"/>
    <w:lvl w:ilvl="0">
      <w:lvlJc w:val="left"/>
      <w:lvlText w:val="(%1)"/>
      <w:numFmt w:val="lowerLetter"/>
      <w:start w:val="1"/>
    </w:lvl>
  </w:abstractNum>
  <w:abstractNum w:abstractNumId="205">
    <w:nsid w:val="3B3EBE15"/>
    <w:multiLevelType w:val="hybridMultilevel"/>
    <w:lvl w:ilvl="0">
      <w:lvlJc w:val="left"/>
      <w:lvlText w:val="(%1)"/>
      <w:numFmt w:val="lowerLetter"/>
      <w:start w:val="1"/>
    </w:lvl>
    <w:lvl w:ilvl="1">
      <w:lvlJc w:val="left"/>
      <w:lvlText w:val="(%2)"/>
      <w:numFmt w:val="lowerRoman"/>
      <w:start w:val="1"/>
    </w:lvl>
  </w:abstractNum>
  <w:abstractNum w:abstractNumId="206">
    <w:nsid w:val="3822CB01"/>
    <w:multiLevelType w:val="hybridMultilevel"/>
    <w:lvl w:ilvl="0">
      <w:lvlJc w:val="left"/>
      <w:lvlText w:val="(%1)"/>
      <w:numFmt w:val="lowerRoman"/>
      <w:start w:val="5"/>
    </w:lvl>
  </w:abstractNum>
  <w:abstractNum w:abstractNumId="207">
    <w:nsid w:val="6CE00443"/>
    <w:multiLevelType w:val="hybridMultilevel"/>
    <w:lvl w:ilvl="0">
      <w:lvlJc w:val="left"/>
      <w:lvlText w:val="(%1)"/>
      <w:numFmt w:val="lowerLetter"/>
      <w:start w:val="3"/>
    </w:lvl>
  </w:abstractNum>
  <w:abstractNum w:abstractNumId="208">
    <w:nsid w:val="79F0D62F"/>
    <w:multiLevelType w:val="hybridMultilevel"/>
    <w:lvl w:ilvl="0">
      <w:lvlJc w:val="left"/>
      <w:lvlText w:val="(%1)"/>
      <w:numFmt w:val="lowerLetter"/>
      <w:start w:val="1"/>
    </w:lvl>
  </w:abstractNum>
  <w:abstractNum w:abstractNumId="209">
    <w:nsid w:val="7975E8EE"/>
    <w:multiLevelType w:val="hybridMultilevel"/>
    <w:lvl w:ilvl="0">
      <w:lvlJc w:val="left"/>
      <w:lvlText w:val="(%1)"/>
      <w:numFmt w:val="lowerLetter"/>
      <w:start w:val="4"/>
    </w:lvl>
  </w:abstractNum>
  <w:abstractNum w:abstractNumId="210">
    <w:nsid w:val="73154115"/>
    <w:multiLevelType w:val="hybridMultilevel"/>
    <w:lvl w:ilvl="0">
      <w:lvlJc w:val="left"/>
      <w:lvlText w:val="(%1)"/>
      <w:numFmt w:val="lowerLetter"/>
      <w:start w:val="1"/>
    </w:lvl>
  </w:abstractNum>
  <w:abstractNum w:abstractNumId="211">
    <w:nsid w:val="622D8102"/>
    <w:multiLevelType w:val="hybridMultilevel"/>
    <w:lvl w:ilvl="0">
      <w:lvlJc w:val="left"/>
      <w:lvlText w:val="(%1)"/>
      <w:numFmt w:val="lowerLetter"/>
      <w:start w:val="1"/>
    </w:lvl>
  </w:abstractNum>
  <w:abstractNum w:abstractNumId="212">
    <w:nsid w:val="2AB26587"/>
    <w:multiLevelType w:val="hybridMultilevel"/>
    <w:lvl w:ilvl="0">
      <w:lvlJc w:val="left"/>
      <w:lvlText w:val="(%1)"/>
      <w:numFmt w:val="lowerLetter"/>
      <w:start w:val="1"/>
    </w:lvl>
  </w:abstractNum>
  <w:abstractNum w:abstractNumId="213">
    <w:nsid w:val="44B3FA61"/>
    <w:multiLevelType w:val="hybridMultilevel"/>
    <w:lvl w:ilvl="0">
      <w:lvlJc w:val="left"/>
      <w:lvlText w:val="(%1)"/>
      <w:numFmt w:val="lowerLetter"/>
      <w:start w:val="2"/>
    </w:lvl>
  </w:abstractNum>
  <w:abstractNum w:abstractNumId="214">
    <w:nsid w:val="1C0CA67C"/>
    <w:multiLevelType w:val="hybridMultilevel"/>
    <w:lvl w:ilvl="0">
      <w:lvlJc w:val="left"/>
      <w:lvlText w:val="(%1)"/>
      <w:numFmt w:val="lowerLetter"/>
      <w:start w:val="1"/>
    </w:lvl>
  </w:abstractNum>
  <w:abstractNum w:abstractNumId="215">
    <w:nsid w:val="3D206613"/>
    <w:multiLevelType w:val="hybridMultilevel"/>
    <w:lvl w:ilvl="0">
      <w:lvlJc w:val="left"/>
      <w:lvlText w:val="(%1)"/>
      <w:numFmt w:val="lowerLetter"/>
      <w:start w:val="1"/>
    </w:lvl>
  </w:abstractNum>
  <w:abstractNum w:abstractNumId="216">
    <w:nsid w:val="7993B662"/>
    <w:multiLevelType w:val="hybridMultilevel"/>
    <w:lvl w:ilvl="0">
      <w:lvlJc w:val="left"/>
      <w:lvlText w:val="(%1)"/>
      <w:numFmt w:val="lowerLetter"/>
      <w:start w:val="1"/>
    </w:lvl>
  </w:abstractNum>
  <w:abstractNum w:abstractNumId="217">
    <w:nsid w:val="3BAB699E"/>
    <w:multiLevelType w:val="hybridMultilevel"/>
    <w:lvl w:ilvl="0">
      <w:lvlJc w:val="left"/>
      <w:lvlText w:val="(%1)"/>
      <w:numFmt w:val="lowerLetter"/>
      <w:start w:val="1"/>
    </w:lvl>
  </w:abstractNum>
  <w:abstractNum w:abstractNumId="218">
    <w:nsid w:val="71315369"/>
    <w:multiLevelType w:val="hybridMultilevel"/>
    <w:lvl w:ilvl="0">
      <w:lvlJc w:val="left"/>
      <w:lvlText w:val="(%1)"/>
      <w:numFmt w:val="lowerLetter"/>
      <w:start w:val="1"/>
    </w:lvl>
  </w:abstractNum>
  <w:abstractNum w:abstractNumId="219">
    <w:nsid w:val="7BCFBAFC"/>
    <w:multiLevelType w:val="hybridMultilevel"/>
    <w:lvl w:ilvl="0">
      <w:lvlJc w:val="left"/>
      <w:lvlText w:val="%1."/>
      <w:numFmt w:val="decimal"/>
      <w:start w:val="1"/>
    </w:lvl>
  </w:abstractNum>
  <w:abstractNum w:abstractNumId="220">
    <w:nsid w:val="17859F72"/>
    <w:multiLevelType w:val="hybridMultilevel"/>
    <w:lvl w:ilvl="0">
      <w:lvlJc w:val="left"/>
      <w:lvlText w:val="%1."/>
      <w:numFmt w:val="decimal"/>
      <w:start w:val="6"/>
    </w:lvl>
  </w:abstractNum>
  <w:abstractNum w:abstractNumId="221">
    <w:nsid w:val="3AA10581"/>
    <w:multiLevelType w:val="hybridMultilevel"/>
    <w:lvl w:ilvl="0">
      <w:lvlJc w:val="left"/>
      <w:lvlText w:val="%1."/>
      <w:numFmt w:val="decimal"/>
      <w:start w:val="1"/>
    </w:lvl>
    <w:lvl w:ilvl="1">
      <w:lvlJc w:val="left"/>
      <w:lvlText w:val="(%2)"/>
      <w:numFmt w:val="lowerLetter"/>
      <w:start w:val="1"/>
    </w:lvl>
  </w:abstractNum>
  <w:abstractNum w:abstractNumId="222">
    <w:nsid w:val="63DE60CD"/>
    <w:multiLevelType w:val="hybridMultilevel"/>
    <w:lvl w:ilvl="0">
      <w:lvlJc w:val="left"/>
      <w:lvlText w:val="%1"/>
      <w:numFmt w:val="decimal"/>
      <w:start w:val="1"/>
    </w:lvl>
    <w:lvl w:ilvl="1">
      <w:lvlJc w:val="left"/>
      <w:lvlText w:val="(%2)"/>
      <w:numFmt w:val="lowerLetter"/>
      <w:start w:val="2"/>
    </w:lvl>
  </w:abstractNum>
  <w:abstractNum w:abstractNumId="223">
    <w:nsid w:val="621AF471"/>
    <w:multiLevelType w:val="hybridMultilevel"/>
    <w:lvl w:ilvl="0">
      <w:lvlJc w:val="left"/>
      <w:lvlText w:val="%1."/>
      <w:numFmt w:val="decimal"/>
      <w:start w:val="3"/>
    </w:lvl>
    <w:lvl w:ilvl="1">
      <w:lvlJc w:val="left"/>
      <w:lvlText w:val="(%2)"/>
      <w:numFmt w:val="lowerLetter"/>
      <w:start w:val="1"/>
    </w:lvl>
  </w:abstractNum>
  <w:abstractNum w:abstractNumId="224">
    <w:nsid w:val="73CFE16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5">
    <w:nsid w:val="20F88EA6"/>
    <w:multiLevelType w:val="hybridMultilevel"/>
    <w:lvl w:ilvl="0">
      <w:lvlJc w:val="left"/>
      <w:lvlText w:val="%1"/>
      <w:numFmt w:val="decimal"/>
      <w:start w:val="1"/>
    </w:lvl>
    <w:lvl w:ilvl="1">
      <w:lvlJc w:val="left"/>
      <w:lvlText w:val="(%2)"/>
      <w:numFmt w:val="lowerLetter"/>
      <w:start w:val="3"/>
    </w:lvl>
  </w:abstractNum>
  <w:abstractNum w:abstractNumId="226">
    <w:nsid w:val="617C843E"/>
    <w:multiLevelType w:val="hybridMultilevel"/>
    <w:lvl w:ilvl="0">
      <w:lvlJc w:val="left"/>
      <w:lvlText w:val="%1."/>
      <w:numFmt w:val="decimal"/>
      <w:start w:val="7"/>
    </w:lvl>
    <w:lvl w:ilvl="1">
      <w:lvlJc w:val="left"/>
      <w:lvlText w:val="(%2)"/>
      <w:numFmt w:val="lowerLetter"/>
      <w:start w:val="1"/>
    </w:lvl>
  </w:abstractNum>
  <w:abstractNum w:abstractNumId="227">
    <w:nsid w:val="7B541FAB"/>
    <w:multiLevelType w:val="hybridMultilevel"/>
    <w:lvl w:ilvl="0">
      <w:lvlJc w:val="left"/>
      <w:lvlText w:val="%1."/>
      <w:numFmt w:val="decimal"/>
      <w:start w:val="8"/>
    </w:lvl>
    <w:lvl w:ilvl="1">
      <w:lvlJc w:val="left"/>
      <w:lvlText w:val="(%2)"/>
      <w:numFmt w:val="lowerLetter"/>
      <w:start w:val="1"/>
    </w:lvl>
  </w:abstractNum>
  <w:abstractNum w:abstractNumId="228">
    <w:nsid w:val="2A79EC49"/>
    <w:multiLevelType w:val="hybridMultilevel"/>
    <w:lvl w:ilvl="0">
      <w:lvlJc w:val="left"/>
      <w:lvlText w:val="%1"/>
      <w:numFmt w:val="decimal"/>
      <w:start w:val="1"/>
    </w:lvl>
    <w:lvl w:ilvl="1">
      <w:lvlJc w:val="left"/>
      <w:lvlText w:val="(%2)"/>
      <w:numFmt w:val="lowerLetter"/>
      <w:start w:val="4"/>
    </w:lvl>
  </w:abstractNum>
  <w:abstractNum w:abstractNumId="229">
    <w:nsid w:val="338125CF"/>
    <w:multiLevelType w:val="hybridMultilevel"/>
    <w:lvl w:ilvl="0">
      <w:lvlJc w:val="left"/>
      <w:lvlText w:val="%1."/>
      <w:numFmt w:val="decimal"/>
      <w:start w:val="9"/>
    </w:lvl>
    <w:lvl w:ilvl="1">
      <w:lvlJc w:val="left"/>
      <w:lvlText w:val="(%2)"/>
      <w:numFmt w:val="lowerLetter"/>
      <w:start w:val="2"/>
    </w:lvl>
  </w:abstractNum>
  <w:abstractNum w:abstractNumId="230">
    <w:nsid w:val="47C7C971"/>
    <w:multiLevelType w:val="hybridMultilevel"/>
    <w:lvl w:ilvl="0">
      <w:lvlJc w:val="left"/>
      <w:lvlText w:val="%1"/>
      <w:numFmt w:val="decimal"/>
      <w:start w:val="1"/>
    </w:lvl>
    <w:lvl w:ilvl="1">
      <w:lvlJc w:val="left"/>
      <w:lvlText w:val="(%2)"/>
      <w:numFmt w:val="lowerLetter"/>
      <w:start w:val="3"/>
    </w:lvl>
  </w:abstractNum>
  <w:abstractNum w:abstractNumId="231">
    <w:nsid w:val="46F8284B"/>
    <w:multiLevelType w:val="hybridMultilevel"/>
    <w:lvl w:ilvl="0">
      <w:lvlJc w:val="left"/>
      <w:lvlText w:val="%1."/>
      <w:numFmt w:val="decimal"/>
      <w:start w:val="10"/>
    </w:lvl>
    <w:lvl w:ilvl="1">
      <w:lvlJc w:val="left"/>
      <w:lvlText w:val="%2"/>
      <w:numFmt w:val="lowerLetter"/>
      <w:start w:val="1"/>
    </w:lvl>
  </w:abstractNum>
  <w:abstractNum w:abstractNumId="232">
    <w:nsid w:val="4FA327CE"/>
    <w:multiLevelType w:val="hybridMultilevel"/>
    <w:lvl w:ilvl="0">
      <w:lvlJc w:val="left"/>
      <w:lvlText w:val="%1."/>
      <w:numFmt w:val="decimal"/>
      <w:start w:val="12"/>
    </w:lvl>
    <w:lvl w:ilvl="1">
      <w:lvlJc w:val="left"/>
      <w:lvlText w:val="(%2)"/>
      <w:numFmt w:val="lowerLetter"/>
      <w:start w:val="1"/>
    </w:lvl>
  </w:abstractNum>
  <w:abstractNum w:abstractNumId="233">
    <w:nsid w:val="1873983A"/>
    <w:multiLevelType w:val="hybridMultilevel"/>
    <w:lvl w:ilvl="0">
      <w:lvlJc w:val="left"/>
      <w:lvlText w:val="(%1)"/>
      <w:numFmt w:val="lowerLetter"/>
      <w:start w:val="2"/>
    </w:lvl>
  </w:abstractNum>
  <w:abstractNum w:abstractNumId="234">
    <w:nsid w:val="3D2DD275"/>
    <w:multiLevelType w:val="hybridMultilevel"/>
    <w:lvl w:ilvl="0">
      <w:lvlJc w:val="left"/>
      <w:lvlText w:val="%1."/>
      <w:numFmt w:val="decimal"/>
      <w:start w:val="13"/>
    </w:lvl>
  </w:abstractNum>
  <w:abstractNum w:abstractNumId="235">
    <w:nsid w:val="2E17ECA7"/>
    <w:multiLevelType w:val="hybridMultilevel"/>
    <w:lvl w:ilvl="0">
      <w:lvlJc w:val="left"/>
      <w:lvlText w:val="%1."/>
      <w:numFmt w:val="decimal"/>
      <w:start w:val="14"/>
    </w:lvl>
  </w:abstractNum>
  <w:abstractNum w:abstractNumId="236">
    <w:nsid w:val="53B2564F"/>
    <w:multiLevelType w:val="hybridMultilevel"/>
    <w:lvl w:ilvl="0">
      <w:lvlJc w:val="left"/>
      <w:lvlText w:val="%1."/>
      <w:numFmt w:val="decimal"/>
      <w:start w:val="1"/>
    </w:lvl>
    <w:lvl w:ilvl="1">
      <w:lvlJc w:val="left"/>
      <w:lvlText w:val="(%2)"/>
      <w:numFmt w:val="lowerLetter"/>
      <w:start w:val="1"/>
    </w:lvl>
  </w:abstractNum>
  <w:abstractNum w:abstractNumId="237">
    <w:nsid w:val="75509D76"/>
    <w:multiLevelType w:val="hybridMultilevel"/>
    <w:lvl w:ilvl="0">
      <w:lvlJc w:val="left"/>
      <w:lvlText w:val="%1"/>
      <w:numFmt w:val="decimal"/>
      <w:start w:val="1"/>
    </w:lvl>
    <w:lvl w:ilvl="1">
      <w:lvlJc w:val="left"/>
      <w:lvlText w:val="(%2)"/>
      <w:numFmt w:val="lowerLetter"/>
      <w:start w:val="2"/>
    </w:lvl>
  </w:abstractNum>
  <w:abstractNum w:abstractNumId="238">
    <w:nsid w:val="1AF7F0EA"/>
    <w:multiLevelType w:val="hybridMultilevel"/>
    <w:lvl w:ilvl="0">
      <w:lvlJc w:val="left"/>
      <w:lvlText w:val="%1."/>
      <w:numFmt w:val="decimal"/>
      <w:start w:val="3"/>
    </w:lvl>
    <w:lvl w:ilvl="1">
      <w:lvlJc w:val="left"/>
      <w:lvlText w:val="(%2)"/>
      <w:numFmt w:val="lowerLetter"/>
      <w:start w:val="1"/>
    </w:lvl>
  </w:abstractNum>
  <w:abstractNum w:abstractNumId="239">
    <w:nsid w:val="4DA32C7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0">
    <w:nsid w:val="6EC68664"/>
    <w:multiLevelType w:val="hybridMultilevel"/>
    <w:lvl w:ilvl="0">
      <w:lvlJc w:val="left"/>
      <w:lvlText w:val="%1"/>
      <w:numFmt w:val="decimal"/>
      <w:start w:val="1"/>
    </w:lvl>
    <w:lvl w:ilvl="1">
      <w:lvlJc w:val="left"/>
      <w:lvlText w:val="(%2)"/>
      <w:numFmt w:val="lowerLetter"/>
      <w:start w:val="3"/>
    </w:lvl>
  </w:abstractNum>
  <w:abstractNum w:abstractNumId="241">
    <w:nsid w:val="E0D31FF"/>
    <w:multiLevelType w:val="hybridMultilevel"/>
    <w:lvl w:ilvl="0">
      <w:lvlJc w:val="left"/>
      <w:lvlText w:val="%1."/>
      <w:numFmt w:val="decimal"/>
      <w:start w:val="7"/>
    </w:lvl>
    <w:lvl w:ilvl="1">
      <w:lvlJc w:val="left"/>
      <w:lvlText w:val="(%2)"/>
      <w:numFmt w:val="lowerLetter"/>
      <w:start w:val="1"/>
    </w:lvl>
  </w:abstractNum>
  <w:abstractNum w:abstractNumId="242">
    <w:nsid w:val="2FD0AD81"/>
    <w:multiLevelType w:val="hybridMultilevel"/>
    <w:lvl w:ilvl="0">
      <w:lvlJc w:val="left"/>
      <w:lvlText w:val="%1."/>
      <w:numFmt w:val="decimal"/>
      <w:start w:val="8"/>
    </w:lvl>
    <w:lvl w:ilvl="1">
      <w:lvlJc w:val="left"/>
      <w:lvlText w:val="(%2)"/>
      <w:numFmt w:val="lowerLetter"/>
      <w:start w:val="1"/>
    </w:lvl>
  </w:abstractNum>
  <w:abstractNum w:abstractNumId="243">
    <w:nsid w:val="1978EBEB"/>
    <w:multiLevelType w:val="hybridMultilevel"/>
    <w:lvl w:ilvl="0">
      <w:lvlJc w:val="left"/>
      <w:lvlText w:val="%1"/>
      <w:numFmt w:val="decimal"/>
      <w:start w:val="1"/>
    </w:lvl>
    <w:lvl w:ilvl="1">
      <w:lvlJc w:val="left"/>
      <w:lvlText w:val="(%2)"/>
      <w:numFmt w:val="lowerLetter"/>
      <w:start w:val="4"/>
    </w:lvl>
  </w:abstractNum>
  <w:abstractNum w:abstractNumId="244">
    <w:nsid w:val="52C12C61"/>
    <w:multiLevelType w:val="hybridMultilevel"/>
    <w:lvl w:ilvl="0">
      <w:lvlJc w:val="left"/>
      <w:lvlText w:val="%1."/>
      <w:numFmt w:val="decimal"/>
      <w:start w:val="9"/>
    </w:lvl>
    <w:lvl w:ilvl="1">
      <w:lvlJc w:val="left"/>
      <w:lvlText w:val="(%2)"/>
      <w:numFmt w:val="lowerLetter"/>
      <w:start w:val="2"/>
    </w:lvl>
  </w:abstractNum>
  <w:abstractNum w:abstractNumId="245">
    <w:nsid w:val="4BDD53FD"/>
    <w:multiLevelType w:val="hybridMultilevel"/>
    <w:lvl w:ilvl="0">
      <w:lvlJc w:val="left"/>
      <w:lvlText w:val="%1"/>
      <w:numFmt w:val="decimal"/>
      <w:start w:val="1"/>
    </w:lvl>
    <w:lvl w:ilvl="1">
      <w:lvlJc w:val="left"/>
      <w:lvlText w:val="(%2)"/>
      <w:numFmt w:val="lowerLetter"/>
      <w:start w:val="3"/>
    </w:lvl>
  </w:abstractNum>
  <w:abstractNum w:abstractNumId="246">
    <w:nsid w:val="569951FE"/>
    <w:multiLevelType w:val="hybridMultilevel"/>
    <w:lvl w:ilvl="0">
      <w:lvlJc w:val="left"/>
      <w:lvlText w:val="%1."/>
      <w:numFmt w:val="decimal"/>
      <w:start w:val="10"/>
    </w:lvl>
    <w:lvl w:ilvl="1">
      <w:lvlJc w:val="left"/>
      <w:lvlText w:val="%2"/>
      <w:numFmt w:val="lowerLetter"/>
      <w:start w:val="1"/>
    </w:lvl>
  </w:abstractNum>
  <w:abstractNum w:abstractNumId="247">
    <w:nsid w:val="4C54E2C3"/>
    <w:multiLevelType w:val="hybridMultilevel"/>
    <w:lvl w:ilvl="0">
      <w:lvlJc w:val="left"/>
      <w:lvlText w:val="%1."/>
      <w:numFmt w:val="decimal"/>
      <w:start w:val="12"/>
    </w:lvl>
    <w:lvl w:ilvl="1">
      <w:lvlJc w:val="left"/>
      <w:lvlText w:val="(%2)"/>
      <w:numFmt w:val="lowerLetter"/>
      <w:start w:val="1"/>
    </w:lvl>
  </w:abstractNum>
  <w:abstractNum w:abstractNumId="248">
    <w:nsid w:val="788BD9B"/>
    <w:multiLevelType w:val="hybridMultilevel"/>
    <w:lvl w:ilvl="0">
      <w:lvlJc w:val="left"/>
      <w:lvlText w:val="%1."/>
      <w:numFmt w:val="decimal"/>
      <w:start w:val="1"/>
    </w:lvl>
    <w:lvl w:ilvl="1">
      <w:lvlJc w:val="left"/>
      <w:lvlText w:val="(%2)"/>
      <w:numFmt w:val="lowerLetter"/>
      <w:start w:val="1"/>
    </w:lvl>
  </w:abstractNum>
  <w:abstractNum w:abstractNumId="249">
    <w:nsid w:val="47CAA567"/>
    <w:multiLevelType w:val="hybridMultilevel"/>
    <w:lvl w:ilvl="0">
      <w:lvlJc w:val="left"/>
      <w:lvlText w:val="%1"/>
      <w:numFmt w:val="decimal"/>
      <w:start w:val="1"/>
    </w:lvl>
    <w:lvl w:ilvl="1">
      <w:lvlJc w:val="left"/>
      <w:lvlText w:val="(%2)"/>
      <w:numFmt w:val="lowerLetter"/>
      <w:start w:val="2"/>
    </w:lvl>
  </w:abstractNum>
  <w:abstractNum w:abstractNumId="250">
    <w:nsid w:val="48249DBF"/>
    <w:multiLevelType w:val="hybridMultilevel"/>
    <w:lvl w:ilvl="0">
      <w:lvlJc w:val="left"/>
      <w:lvlText w:val="%1."/>
      <w:numFmt w:val="decimal"/>
      <w:start w:val="3"/>
    </w:lvl>
    <w:lvl w:ilvl="1">
      <w:lvlJc w:val="left"/>
      <w:lvlText w:val="(%2)"/>
      <w:numFmt w:val="lowerLetter"/>
      <w:start w:val="1"/>
    </w:lvl>
  </w:abstractNum>
  <w:abstractNum w:abstractNumId="251">
    <w:nsid w:val="1F0E5D0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2">
    <w:nsid w:val="26BAAE9"/>
    <w:multiLevelType w:val="hybridMultilevel"/>
    <w:lvl w:ilvl="0">
      <w:lvlJc w:val="left"/>
      <w:lvlText w:val="%1."/>
      <w:numFmt w:val="decimal"/>
      <w:start w:val="7"/>
    </w:lvl>
    <w:lvl w:ilvl="1">
      <w:lvlJc w:val="left"/>
      <w:lvlText w:val="(%2)"/>
      <w:numFmt w:val="lowerLetter"/>
      <w:start w:val="1"/>
    </w:lvl>
  </w:abstractNum>
  <w:abstractNum w:abstractNumId="253">
    <w:nsid w:val="2C02FE8C"/>
    <w:multiLevelType w:val="hybridMultilevel"/>
    <w:lvl w:ilvl="0">
      <w:lvlJc w:val="left"/>
      <w:lvlText w:val="%1."/>
      <w:numFmt w:val="decimal"/>
      <w:start w:val="8"/>
    </w:lvl>
    <w:lvl w:ilvl="1">
      <w:lvlJc w:val="left"/>
      <w:lvlText w:val="(%2)"/>
      <w:numFmt w:val="lowerLetter"/>
      <w:start w:val="1"/>
    </w:lvl>
  </w:abstractNum>
  <w:abstractNum w:abstractNumId="254">
    <w:nsid w:val="129517E"/>
    <w:multiLevelType w:val="hybridMultilevel"/>
    <w:lvl w:ilvl="0">
      <w:lvlJc w:val="left"/>
      <w:lvlText w:val="%1"/>
      <w:numFmt w:val="decimal"/>
      <w:start w:val="1"/>
    </w:lvl>
    <w:lvl w:ilvl="1">
      <w:lvlJc w:val="left"/>
      <w:lvlText w:val="(%2)"/>
      <w:numFmt w:val="lowerLetter"/>
      <w:start w:val="4"/>
    </w:lvl>
  </w:abstractNum>
  <w:abstractNum w:abstractNumId="255">
    <w:nsid w:val="763B8C4E"/>
    <w:multiLevelType w:val="hybridMultilevel"/>
    <w:lvl w:ilvl="0">
      <w:lvlJc w:val="left"/>
      <w:lvlText w:val="%1."/>
      <w:numFmt w:val="decimal"/>
      <w:start w:val="9"/>
    </w:lvl>
    <w:lvl w:ilvl="1">
      <w:lvlJc w:val="left"/>
      <w:lvlText w:val="(%2)"/>
      <w:numFmt w:val="lowerLetter"/>
      <w:start w:val="2"/>
    </w:lvl>
  </w:abstractNum>
  <w:abstractNum w:abstractNumId="256">
    <w:nsid w:val="4CFB8D32"/>
    <w:multiLevelType w:val="hybridMultilevel"/>
    <w:lvl w:ilvl="0">
      <w:lvlJc w:val="left"/>
      <w:lvlText w:val="%1"/>
      <w:numFmt w:val="decimal"/>
      <w:start w:val="1"/>
    </w:lvl>
    <w:lvl w:ilvl="1">
      <w:lvlJc w:val="left"/>
      <w:lvlText w:val="(%2)"/>
      <w:numFmt w:val="lowerLetter"/>
      <w:start w:val="3"/>
    </w:lvl>
  </w:abstractNum>
  <w:abstractNum w:abstractNumId="257">
    <w:nsid w:val="62A5D5BD"/>
    <w:multiLevelType w:val="hybridMultilevel"/>
    <w:lvl w:ilvl="0">
      <w:lvlJc w:val="left"/>
      <w:lvlText w:val="%1."/>
      <w:numFmt w:val="decimal"/>
      <w:start w:val="10"/>
    </w:lvl>
    <w:lvl w:ilvl="1">
      <w:lvlJc w:val="left"/>
      <w:lvlText w:val="%2"/>
      <w:numFmt w:val="lowerLetter"/>
      <w:start w:val="1"/>
    </w:lvl>
  </w:abstractNum>
  <w:abstractNum w:abstractNumId="258">
    <w:nsid w:val="718FABF9"/>
    <w:multiLevelType w:val="hybridMultilevel"/>
    <w:lvl w:ilvl="0">
      <w:lvlJc w:val="left"/>
      <w:lvlText w:val="%1."/>
      <w:numFmt w:val="decimal"/>
      <w:start w:val="12"/>
    </w:lvl>
    <w:lvl w:ilvl="1">
      <w:lvlJc w:val="left"/>
      <w:lvlText w:val="(%2)"/>
      <w:numFmt w:val="lowerLetter"/>
      <w:start w:val="1"/>
    </w:lvl>
  </w:abstractNum>
  <w:abstractNum w:abstractNumId="259">
    <w:nsid w:val="7775797C"/>
    <w:multiLevelType w:val="hybridMultilevel"/>
    <w:lvl w:ilvl="0">
      <w:lvlJc w:val="left"/>
      <w:lvlText w:val="(%1)"/>
      <w:numFmt w:val="lowerLetter"/>
      <w:start w:val="2"/>
    </w:lvl>
  </w:abstractNum>
  <w:abstractNum w:abstractNumId="260">
    <w:nsid w:val="1626FB8C"/>
    <w:multiLevelType w:val="hybridMultilevel"/>
    <w:lvl w:ilvl="0">
      <w:lvlJc w:val="left"/>
      <w:lvlText w:val="%1."/>
      <w:numFmt w:val="decimal"/>
      <w:start w:val="13"/>
    </w:lvl>
  </w:abstractNum>
  <w:abstractNum w:abstractNumId="261">
    <w:nsid w:val="3957756A"/>
    <w:multiLevelType w:val="hybridMultilevel"/>
    <w:lvl w:ilvl="0">
      <w:lvlJc w:val="left"/>
      <w:lvlText w:val="%1."/>
      <w:numFmt w:val="decimal"/>
      <w:start w:val="14"/>
    </w:lvl>
  </w:abstractNum>
  <w:abstractNum w:abstractNumId="262">
    <w:nsid w:val="3E6DA1C7"/>
    <w:multiLevelType w:val="hybridMultilevel"/>
    <w:lvl w:ilvl="0">
      <w:lvlJc w:val="left"/>
      <w:lvlText w:val="%1."/>
      <w:numFmt w:val="decimal"/>
      <w:start w:val="18"/>
    </w:lvl>
  </w:abstractNum>
  <w:abstractNum w:abstractNumId="263">
    <w:nsid w:val="65CA235B"/>
    <w:multiLevelType w:val="hybridMultilevel"/>
    <w:lvl w:ilvl="0">
      <w:lvlJc w:val="left"/>
      <w:lvlText w:val="%1."/>
      <w:numFmt w:val="decimal"/>
      <w:start w:val="1"/>
    </w:lvl>
  </w:abstractNum>
  <w:abstractNum w:abstractNumId="264">
    <w:nsid w:val="51CB0DA4"/>
    <w:multiLevelType w:val="hybridMultilevel"/>
    <w:lvl w:ilvl="0">
      <w:lvlJc w:val="left"/>
      <w:lvlText w:val="%1."/>
      <w:numFmt w:val="upperLetter"/>
      <w:start w:val="1"/>
    </w:lvl>
  </w:abstractNum>
  <w:abstractNum w:abstractNumId="265">
    <w:nsid w:val="7B9B743C"/>
    <w:multiLevelType w:val="hybridMultilevel"/>
    <w:lvl w:ilvl="0">
      <w:lvlJc w:val="left"/>
      <w:lvlText w:val="%1."/>
      <w:numFmt w:val="decimal"/>
      <w:start w:val="1"/>
    </w:lvl>
  </w:abstractNum>
  <w:abstractNum w:abstractNumId="266">
    <w:nsid w:val="13E21002"/>
    <w:multiLevelType w:val="hybridMultilevel"/>
    <w:lvl w:ilvl="0">
      <w:lvlJc w:val="left"/>
      <w:lvlText w:val="(%1)"/>
      <w:numFmt w:val="lowerLetter"/>
      <w:start w:val="1"/>
    </w:lvl>
    <w:lvl w:ilvl="1">
      <w:lvlJc w:val="left"/>
      <w:lvlText w:val="(%2)"/>
      <w:numFmt w:val="lowerRoman"/>
      <w:start w:val="1"/>
    </w:lvl>
  </w:abstractNum>
  <w:abstractNum w:abstractNumId="267">
    <w:nsid w:val="257D63F4"/>
    <w:multiLevelType w:val="hybridMultilevel"/>
    <w:lvl w:ilvl="0">
      <w:lvlJc w:val="left"/>
      <w:lvlText w:val="(%1)"/>
      <w:numFmt w:val="lowerLetter"/>
      <w:start w:val="1"/>
    </w:lvl>
  </w:abstractNum>
  <w:abstractNum w:abstractNumId="268">
    <w:nsid w:val="70EC11B2"/>
    <w:multiLevelType w:val="hybridMultilevel"/>
    <w:lvl w:ilvl="0">
      <w:lvlJc w:val="left"/>
      <w:lvlText w:val="(%1)"/>
      <w:numFmt w:val="lowerLetter"/>
      <w:start w:val="1"/>
    </w:lvl>
  </w:abstractNum>
  <w:abstractNum w:abstractNumId="269">
    <w:nsid w:val="2EDA00ED"/>
    <w:multiLevelType w:val="hybridMultilevel"/>
    <w:lvl w:ilvl="0">
      <w:lvlJc w:val="left"/>
      <w:lvlText w:val="(%1)"/>
      <w:numFmt w:val="lowerRoman"/>
      <w:start w:val="1"/>
    </w:lvl>
  </w:abstractNum>
  <w:abstractNum w:abstractNumId="270">
    <w:nsid w:val="73209072"/>
    <w:multiLevelType w:val="hybridMultilevel"/>
    <w:lvl w:ilvl="0">
      <w:lvlJc w:val="left"/>
      <w:lvlText w:val="(%1)"/>
      <w:numFmt w:val="lowerLetter"/>
      <w:start w:val="1"/>
    </w:lvl>
  </w:abstractNum>
  <w:abstractNum w:abstractNumId="271">
    <w:nsid w:val="5FB29816"/>
    <w:multiLevelType w:val="hybridMultilevel"/>
    <w:lvl w:ilvl="0">
      <w:lvlJc w:val="left"/>
      <w:lvlText w:val="(%1)"/>
      <w:numFmt w:val="lowerRoman"/>
      <w:start w:val="1"/>
    </w:lvl>
  </w:abstractNum>
  <w:abstractNum w:abstractNumId="272">
    <w:nsid w:val="3CE732EC"/>
    <w:multiLevelType w:val="hybridMultilevel"/>
    <w:lvl w:ilvl="0">
      <w:lvlJc w:val="left"/>
      <w:lvlText w:val="(%1)"/>
      <w:numFmt w:val="lowerRoman"/>
      <w:start w:val="1"/>
    </w:lvl>
  </w:abstractNum>
  <w:abstractNum w:abstractNumId="273">
    <w:nsid w:val="22F13DF3"/>
    <w:multiLevelType w:val="hybridMultilevel"/>
    <w:lvl w:ilvl="0">
      <w:lvlJc w:val="left"/>
      <w:lvlText w:val="(%1)"/>
      <w:numFmt w:val="lowerLetter"/>
      <w:start w:val="1"/>
    </w:lvl>
  </w:abstractNum>
  <w:abstractNum w:abstractNumId="274">
    <w:nsid w:val="792B8401"/>
    <w:multiLevelType w:val="hybridMultilevel"/>
    <w:lvl w:ilvl="0">
      <w:lvlJc w:val="left"/>
      <w:lvlText w:val="(%1)"/>
      <w:numFmt w:val="lowerLetter"/>
      <w:start w:val="1"/>
    </w:lvl>
  </w:abstractNum>
  <w:abstractNum w:abstractNumId="275">
    <w:nsid w:val="FA85F4D"/>
    <w:multiLevelType w:val="hybridMultilevel"/>
    <w:lvl w:ilvl="0">
      <w:lvlJc w:val="left"/>
      <w:lvlText w:val="(%1)"/>
      <w:numFmt w:val="lowerLetter"/>
      <w:start w:val="1"/>
    </w:lvl>
  </w:abstractNum>
  <w:abstractNum w:abstractNumId="276">
    <w:nsid w:val="6ECE91F0"/>
    <w:multiLevelType w:val="hybridMultilevel"/>
    <w:lvl w:ilvl="0">
      <w:lvlJc w:val="left"/>
      <w:lvlText w:val="(%1)"/>
      <w:numFmt w:val="lowerLetter"/>
      <w:start w:val="6"/>
    </w:lvl>
  </w:abstractNum>
  <w:abstractNum w:abstractNumId="277">
    <w:nsid w:val="4FC4D600"/>
    <w:multiLevelType w:val="hybridMultilevel"/>
    <w:lvl w:ilvl="0">
      <w:lvlJc w:val="left"/>
      <w:lvlText w:val="(%1)"/>
      <w:numFmt w:val="lowerLetter"/>
      <w:start w:val="1"/>
    </w:lvl>
  </w:abstractNum>
  <w:abstractNum w:abstractNumId="278">
    <w:nsid w:val="5BFD4210"/>
    <w:multiLevelType w:val="hybridMultilevel"/>
    <w:lvl w:ilvl="0">
      <w:lvlJc w:val="left"/>
      <w:lvlText w:val="%1."/>
      <w:numFmt w:val="decimal"/>
      <w:start w:val="2"/>
    </w:lvl>
  </w:abstractNum>
  <w:abstractNum w:abstractNumId="279">
    <w:nsid w:val="76574F8B"/>
    <w:multiLevelType w:val="hybridMultilevel"/>
    <w:lvl w:ilvl="0">
      <w:lvlJc w:val="left"/>
      <w:lvlText w:val="(%1)"/>
      <w:numFmt w:val="lowerRoman"/>
      <w:start w:val="1"/>
    </w:lvl>
  </w:abstractNum>
  <w:abstractNum w:abstractNumId="280">
    <w:nsid w:val="178F7B67"/>
    <w:multiLevelType w:val="hybridMultilevel"/>
    <w:lvl w:ilvl="0">
      <w:lvlJc w:val="left"/>
      <w:lvlText w:val="(%1)"/>
      <w:numFmt w:val="lowerLetter"/>
      <w:start w:val="1"/>
    </w:lvl>
    <w:lvl w:ilvl="1">
      <w:lvlJc w:val="left"/>
      <w:lvlText w:val="(%2)"/>
      <w:numFmt w:val="lowerRoman"/>
      <w:start w:val="1"/>
    </w:lvl>
  </w:abstractNum>
  <w:abstractNum w:abstractNumId="281">
    <w:nsid w:val="2421DFCF"/>
    <w:multiLevelType w:val="hybridMultilevel"/>
    <w:lvl w:ilvl="0">
      <w:lvlJc w:val="left"/>
      <w:lvlText w:val="%1"/>
      <w:numFmt w:val="decimal"/>
      <w:start w:val="1"/>
    </w:lvl>
    <w:lvl w:ilvl="1">
      <w:lvlJc w:val="left"/>
      <w:lvlText w:val="(%2)"/>
      <w:numFmt w:val="lowerLetter"/>
      <w:start w:val="4"/>
    </w:lvl>
  </w:abstractNum>
  <w:abstractNum w:abstractNumId="282">
    <w:nsid w:val="1565AC99"/>
    <w:multiLevelType w:val="hybridMultilevel"/>
    <w:lvl w:ilvl="0">
      <w:lvlJc w:val="left"/>
      <w:lvlText w:val="%1."/>
      <w:numFmt w:val="decimal"/>
      <w:start w:val="3"/>
    </w:lvl>
    <w:lvl w:ilvl="1">
      <w:lvlJc w:val="left"/>
      <w:lvlText w:val="%2"/>
      <w:numFmt w:val="lowerLetter"/>
      <w:start w:val="1"/>
    </w:lvl>
  </w:abstractNum>
  <w:abstractNum w:abstractNumId="283">
    <w:nsid w:val="19FB2650"/>
    <w:multiLevelType w:val="hybridMultilevel"/>
    <w:lvl w:ilvl="0">
      <w:lvlJc w:val="left"/>
      <w:lvlText w:val="%1."/>
      <w:numFmt w:val="decimal"/>
      <w:start w:val="4"/>
    </w:lvl>
  </w:abstractNum>
  <w:abstractNum w:abstractNumId="284">
    <w:nsid w:val="5024DE5B"/>
    <w:multiLevelType w:val="hybridMultilevel"/>
    <w:lvl w:ilvl="0">
      <w:lvlJc w:val="left"/>
      <w:lvlText w:val="(%1)"/>
      <w:numFmt w:val="lowerLetter"/>
      <w:start w:val="1"/>
    </w:lvl>
    <w:lvl w:ilvl="1">
      <w:lvlJc w:val="left"/>
      <w:lvlText w:val="(%2)"/>
      <w:numFmt w:val="lowerRoman"/>
      <w:start w:val="1"/>
    </w:lvl>
  </w:abstractNum>
  <w:abstractNum w:abstractNumId="285">
    <w:nsid w:val="168EFE17"/>
    <w:multiLevelType w:val="hybridMultilevel"/>
    <w:lvl w:ilvl="0">
      <w:lvlJc w:val="left"/>
      <w:lvlText w:val="%1."/>
      <w:numFmt w:val="decimal"/>
      <w:start w:val="5"/>
    </w:lvl>
  </w:abstractNum>
  <w:abstractNum w:abstractNumId="286">
    <w:nsid w:val="1036B29F"/>
    <w:multiLevelType w:val="hybridMultilevel"/>
    <w:lvl w:ilvl="0">
      <w:lvlJc w:val="left"/>
      <w:lvlText w:val="(%1)"/>
      <w:numFmt w:val="lowerLetter"/>
      <w:start w:val="1"/>
    </w:lvl>
  </w:abstractNum>
  <w:abstractNum w:abstractNumId="287">
    <w:nsid w:val="1D206B8E"/>
    <w:multiLevelType w:val="hybridMultilevel"/>
    <w:lvl w:ilvl="0">
      <w:lvlJc w:val="left"/>
      <w:lvlText w:val="(%1)"/>
      <w:numFmt w:val="lowerLetter"/>
      <w:start w:val="1"/>
    </w:lvl>
    <w:lvl w:ilvl="1">
      <w:lvlJc w:val="left"/>
      <w:lvlText w:val="(%2)"/>
      <w:numFmt w:val="lowerRoman"/>
      <w:start w:val="1"/>
    </w:lvl>
  </w:abstractNum>
  <w:abstractNum w:abstractNumId="288">
    <w:nsid w:val="7934D3D4"/>
    <w:multiLevelType w:val="hybridMultilevel"/>
    <w:lvl w:ilvl="0">
      <w:lvlJc w:val="left"/>
      <w:lvlText w:val="(%1)"/>
      <w:numFmt w:val="lowerLetter"/>
      <w:start w:val="1"/>
    </w:lvl>
  </w:abstractNum>
  <w:abstractNum w:abstractNumId="289">
    <w:nsid w:val="1C65E98"/>
    <w:multiLevelType w:val="hybridMultilevel"/>
    <w:lvl w:ilvl="0">
      <w:lvlJc w:val="left"/>
      <w:lvlText w:val="(%1)"/>
      <w:numFmt w:val="lowerLetter"/>
      <w:start w:val="1"/>
    </w:lvl>
  </w:abstractNum>
  <w:abstractNum w:abstractNumId="290">
    <w:nsid w:val="1495E50A"/>
    <w:multiLevelType w:val="hybridMultilevel"/>
    <w:lvl w:ilvl="0">
      <w:lvlJc w:val="left"/>
      <w:lvlText w:val="(%1)"/>
      <w:numFmt w:val="lowerLetter"/>
      <w:start w:val="1"/>
    </w:lvl>
    <w:lvl w:ilvl="1">
      <w:lvlJc w:val="left"/>
      <w:lvlText w:val="(%2)"/>
      <w:numFmt w:val="lowerRoman"/>
      <w:start w:val="1"/>
    </w:lvl>
  </w:abstractNum>
  <w:abstractNum w:abstractNumId="291">
    <w:nsid w:val="F5BCF61"/>
    <w:multiLevelType w:val="hybridMultilevel"/>
    <w:lvl w:ilvl="0">
      <w:lvlJc w:val="left"/>
      <w:lvlText w:val="(%1)"/>
      <w:numFmt w:val="lowerLetter"/>
      <w:start w:val="3"/>
    </w:lvl>
    <w:lvl w:ilvl="1">
      <w:lvlJc w:val="left"/>
      <w:lvlText w:val="(%2)"/>
      <w:numFmt w:val="lowerRoman"/>
      <w:start w:val="1"/>
    </w:lvl>
  </w:abstractNum>
  <w:abstractNum w:abstractNumId="292">
    <w:nsid w:val="3B1DD403"/>
    <w:multiLevelType w:val="hybridMultilevel"/>
    <w:lvl w:ilvl="0">
      <w:lvlJc w:val="left"/>
      <w:lvlText w:val="%1"/>
      <w:numFmt w:val="decimal"/>
      <w:start w:val="1"/>
    </w:lvl>
    <w:lvl w:ilvl="1">
      <w:lvlJc w:val="left"/>
      <w:lvlText w:val="(%2)"/>
      <w:numFmt w:val="lowerLetter"/>
      <w:start w:val="1"/>
    </w:lvl>
  </w:abstractNum>
  <w:abstractNum w:abstractNumId="293">
    <w:nsid w:val="530386D1"/>
    <w:multiLevelType w:val="hybridMultilevel"/>
    <w:lvl w:ilvl="0">
      <w:lvlJc w:val="left"/>
      <w:lvlText w:val="%1."/>
      <w:numFmt w:val="decimal"/>
      <w:start w:val="6"/>
    </w:lvl>
    <w:lvl w:ilvl="1">
      <w:lvlJc w:val="left"/>
      <w:lvlText w:val="%2"/>
      <w:numFmt w:val="lowerLetter"/>
      <w:start w:val="1"/>
    </w:lvl>
  </w:abstractNum>
  <w:abstractNum w:abstractNumId="294">
    <w:nsid w:val="7525F2BC"/>
    <w:multiLevelType w:val="hybridMultilevel"/>
    <w:lvl w:ilvl="0">
      <w:lvlJc w:val="left"/>
      <w:lvlText w:val="%1."/>
      <w:numFmt w:val="decimal"/>
      <w:start w:val="7"/>
    </w:lvl>
  </w:abstractNum>
  <w:abstractNum w:abstractNumId="295">
    <w:nsid w:val="CE8E1A7"/>
    <w:multiLevelType w:val="hybridMultilevel"/>
    <w:lvl w:ilvl="0">
      <w:lvlJc w:val="left"/>
      <w:lvlText w:val="(%1)"/>
      <w:numFmt w:val="lowerLetter"/>
      <w:start w:val="1"/>
    </w:lvl>
    <w:lvl w:ilvl="1">
      <w:lvlJc w:val="left"/>
      <w:lvlText w:val="(%2)"/>
      <w:numFmt w:val="lowerRoman"/>
      <w:start w:val="1"/>
    </w:lvl>
  </w:abstractNum>
  <w:abstractNum w:abstractNumId="296">
    <w:nsid w:val="4E9EFB0D"/>
    <w:multiLevelType w:val="hybridMultilevel"/>
    <w:lvl w:ilvl="0">
      <w:lvlJc w:val="left"/>
      <w:lvlText w:val="(%1)"/>
      <w:numFmt w:val="lowerLetter"/>
      <w:start w:val="1"/>
    </w:lvl>
  </w:abstractNum>
  <w:abstractNum w:abstractNumId="297">
    <w:nsid w:val="90802BE"/>
    <w:multiLevelType w:val="hybridMultilevel"/>
    <w:lvl w:ilvl="0">
      <w:lvlJc w:val="left"/>
      <w:lvlText w:val="(%1)"/>
      <w:numFmt w:val="lowerLetter"/>
      <w:start w:val="1"/>
    </w:lvl>
    <w:lvl w:ilvl="1">
      <w:lvlJc w:val="left"/>
      <w:lvlText w:val="(%2)"/>
      <w:numFmt w:val="lowerRoman"/>
      <w:start w:val="1"/>
    </w:lvl>
  </w:abstractNum>
  <w:abstractNum w:abstractNumId="298">
    <w:nsid w:val="3266459B"/>
    <w:multiLevelType w:val="hybridMultilevel"/>
    <w:lvl w:ilvl="0">
      <w:lvlJc w:val="left"/>
      <w:lvlText w:val="(%1)"/>
      <w:numFmt w:val="lowerLetter"/>
      <w:start w:val="1"/>
    </w:lvl>
  </w:abstractNum>
  <w:abstractNum w:abstractNumId="299">
    <w:nsid w:val="3F8B0CBF"/>
    <w:multiLevelType w:val="hybridMultilevel"/>
    <w:lvl w:ilvl="0">
      <w:lvlJc w:val="left"/>
      <w:lvlText w:val="%1"/>
      <w:numFmt w:val="decimal"/>
      <w:start w:val="1"/>
    </w:lvl>
    <w:lvl w:ilvl="1">
      <w:lvlJc w:val="left"/>
      <w:lvlText w:val="(%2)"/>
      <w:numFmt w:val="lowerLetter"/>
      <w:start w:val="1"/>
    </w:lvl>
  </w:abstractNum>
  <w:abstractNum w:abstractNumId="300">
    <w:nsid w:val="37E203AB"/>
    <w:multiLevelType w:val="hybridMultilevel"/>
    <w:lvl w:ilvl="0">
      <w:lvlJc w:val="left"/>
      <w:lvlText w:val="%1."/>
      <w:numFmt w:val="decimal"/>
      <w:start w:val="8"/>
    </w:lvl>
    <w:lvl w:ilvl="1">
      <w:lvlJc w:val="left"/>
      <w:lvlText w:val="%2"/>
      <w:numFmt w:val="lowerLetter"/>
      <w:start w:val="1"/>
    </w:lvl>
  </w:abstractNum>
  <w:abstractNum w:abstractNumId="301">
    <w:nsid w:val="2586D60E"/>
    <w:multiLevelType w:val="hybridMultilevel"/>
    <w:lvl w:ilvl="0">
      <w:lvlJc w:val="left"/>
      <w:lvlText w:val="(%1)"/>
      <w:numFmt w:val="lowerLetter"/>
      <w:start w:val="1"/>
    </w:lvl>
  </w:abstractNum>
  <w:abstractNum w:abstractNumId="302">
    <w:nsid w:val="1F3DA4D5"/>
    <w:multiLevelType w:val="hybridMultilevel"/>
    <w:lvl w:ilvl="0">
      <w:lvlJc w:val="left"/>
      <w:lvlText w:val="(%1)"/>
      <w:numFmt w:val="lowerLetter"/>
      <w:start w:val="1"/>
    </w:lvl>
  </w:abstractNum>
  <w:abstractNum w:abstractNumId="303">
    <w:nsid w:val="74C93698"/>
    <w:multiLevelType w:val="hybridMultilevel"/>
    <w:lvl w:ilvl="0">
      <w:lvlJc w:val="left"/>
      <w:lvlText w:val="(%1)"/>
      <w:numFmt w:val="lowerLetter"/>
      <w:start w:val="1"/>
    </w:lvl>
  </w:abstractNum>
  <w:abstractNum w:abstractNumId="304">
    <w:nsid w:val="48781401"/>
    <w:multiLevelType w:val="hybridMultilevel"/>
    <w:lvl w:ilvl="0">
      <w:lvlJc w:val="left"/>
      <w:lvlText w:val="(%1)"/>
      <w:numFmt w:val="lowerLetter"/>
      <w:start w:val="1"/>
    </w:lvl>
  </w:abstractNum>
  <w:abstractNum w:abstractNumId="305">
    <w:nsid w:val="186928D6"/>
    <w:multiLevelType w:val="hybridMultilevel"/>
    <w:lvl w:ilvl="0">
      <w:lvlJc w:val="left"/>
      <w:lvlText w:val="%1."/>
      <w:numFmt w:val="decimal"/>
      <w:start w:val="9"/>
    </w:lvl>
  </w:abstractNum>
  <w:abstractNum w:abstractNumId="306">
    <w:nsid w:val="47195E5"/>
    <w:multiLevelType w:val="hybridMultilevel"/>
    <w:lvl w:ilvl="0">
      <w:lvlJc w:val="left"/>
      <w:lvlText w:val="(%1)"/>
      <w:numFmt w:val="lowerLetter"/>
      <w:start w:val="1"/>
    </w:lvl>
  </w:abstractNum>
  <w:abstractNum w:abstractNumId="307">
    <w:nsid w:val="3746A5F2"/>
    <w:multiLevelType w:val="hybridMultilevel"/>
    <w:lvl w:ilvl="0">
      <w:lvlJc w:val="left"/>
      <w:lvlText w:val="(%1)"/>
      <w:numFmt w:val="lowerLetter"/>
      <w:start w:val="5"/>
    </w:lvl>
  </w:abstractNum>
  <w:abstractNum w:abstractNumId="308">
    <w:nsid w:val="682DFED6"/>
    <w:multiLevelType w:val="hybridMultilevel"/>
    <w:lvl w:ilvl="0">
      <w:lvlJc w:val="left"/>
      <w:lvlText w:val="(%1)"/>
      <w:numFmt w:val="lowerLetter"/>
      <w:start w:val="1"/>
    </w:lvl>
    <w:lvl w:ilvl="1">
      <w:lvlJc w:val="left"/>
      <w:lvlText w:val="(%2)"/>
      <w:numFmt w:val="lowerRoman"/>
      <w:start w:val="1"/>
    </w:lvl>
  </w:abstractNum>
  <w:abstractNum w:abstractNumId="309">
    <w:nsid w:val="606ED7F6"/>
    <w:multiLevelType w:val="hybridMultilevel"/>
    <w:lvl w:ilvl="0">
      <w:lvlJc w:val="left"/>
      <w:lvlText w:val="%1."/>
      <w:numFmt w:val="decimal"/>
      <w:start w:val="10"/>
    </w:lvl>
  </w:abstractNum>
  <w:abstractNum w:abstractNumId="310">
    <w:nsid w:val="2D9DF57D"/>
    <w:multiLevelType w:val="hybridMultilevel"/>
    <w:lvl w:ilvl="0">
      <w:lvlJc w:val="left"/>
      <w:lvlText w:val="(%1)"/>
      <w:numFmt w:val="lowerLetter"/>
      <w:start w:val="1"/>
    </w:lvl>
  </w:abstractNum>
  <w:abstractNum w:abstractNumId="311">
    <w:nsid w:val="7FBD7A3E"/>
    <w:multiLevelType w:val="hybridMultilevel"/>
    <w:lvl w:ilvl="0">
      <w:lvlJc w:val="left"/>
      <w:lvlText w:val="(%1)"/>
      <w:numFmt w:val="lowerLetter"/>
      <w:start w:val="2"/>
    </w:lvl>
    <w:lvl w:ilvl="1">
      <w:lvlJc w:val="left"/>
      <w:lvlText w:val="(%2)"/>
      <w:numFmt w:val="lowerRoman"/>
      <w:start w:val="1"/>
    </w:lvl>
  </w:abstractNum>
  <w:abstractNum w:abstractNumId="312">
    <w:nsid w:val="490B7C5"/>
    <w:multiLevelType w:val="hybridMultilevel"/>
    <w:lvl w:ilvl="0">
      <w:lvlJc w:val="left"/>
      <w:lvlText w:val="(%1)"/>
      <w:numFmt w:val="lowerLetter"/>
      <w:start w:val="1"/>
    </w:lvl>
  </w:abstractNum>
  <w:abstractNum w:abstractNumId="313">
    <w:nsid w:val="4303A216"/>
    <w:multiLevelType w:val="hybridMultilevel"/>
    <w:lvl w:ilvl="0">
      <w:lvlJc w:val="left"/>
      <w:lvlText w:val="(%1)"/>
      <w:numFmt w:val="lowerLetter"/>
      <w:start w:val="1"/>
    </w:lvl>
    <w:lvl w:ilvl="1">
      <w:lvlJc w:val="left"/>
      <w:lvlText w:val="(%2)"/>
      <w:numFmt w:val="lowerRoman"/>
      <w:start w:val="1"/>
    </w:lvl>
  </w:abstractNum>
  <w:abstractNum w:abstractNumId="314">
    <w:nsid w:val="19B8A08E"/>
    <w:multiLevelType w:val="hybridMultilevel"/>
    <w:lvl w:ilvl="0">
      <w:lvlJc w:val="left"/>
      <w:lvlText w:val="%1."/>
      <w:numFmt w:val="decimal"/>
      <w:start w:val="12"/>
    </w:lvl>
  </w:abstractNum>
  <w:abstractNum w:abstractNumId="315">
    <w:nsid w:val="54B59621"/>
    <w:multiLevelType w:val="hybridMultilevel"/>
    <w:lvl w:ilvl="0">
      <w:lvlJc w:val="left"/>
      <w:lvlText w:val="(%1)"/>
      <w:numFmt w:val="lowerLetter"/>
      <w:start w:val="1"/>
    </w:lvl>
  </w:abstractNum>
  <w:abstractNum w:abstractNumId="316">
    <w:nsid w:val="5992A02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17">
    <w:nsid w:val="29EF532D"/>
    <w:multiLevelType w:val="hybridMultilevel"/>
    <w:lvl w:ilvl="0">
      <w:lvlJc w:val="left"/>
      <w:lvlText w:val="(%1)"/>
      <w:numFmt w:val="lowerLetter"/>
      <w:start w:val="1"/>
    </w:lvl>
  </w:abstractNum>
  <w:abstractNum w:abstractNumId="318">
    <w:nsid w:val="71D601AF"/>
    <w:multiLevelType w:val="hybridMultilevel"/>
    <w:lvl w:ilvl="0">
      <w:lvlJc w:val="left"/>
      <w:lvlText w:val="(%1)"/>
      <w:numFmt w:val="lowerLetter"/>
      <w:start w:val="4"/>
    </w:lvl>
  </w:abstractNum>
  <w:abstractNum w:abstractNumId="319">
    <w:nsid w:val="52C77402"/>
    <w:multiLevelType w:val="hybridMultilevel"/>
    <w:lvl w:ilvl="0">
      <w:lvlJc w:val="left"/>
      <w:lvlText w:val="(%1)"/>
      <w:numFmt w:val="lowerLetter"/>
      <w:start w:val="1"/>
    </w:lvl>
    <w:lvl w:ilvl="1">
      <w:lvlJc w:val="left"/>
      <w:lvlText w:val="(%2)"/>
      <w:numFmt w:val="lowerRoman"/>
      <w:start w:val="1"/>
    </w:lvl>
  </w:abstractNum>
  <w:abstractNum w:abstractNumId="320">
    <w:nsid w:val="2BB5B1C6"/>
    <w:multiLevelType w:val="hybridMultilevel"/>
    <w:lvl w:ilvl="0">
      <w:lvlJc w:val="left"/>
      <w:lvlText w:val="(%1)"/>
      <w:numFmt w:val="lowerLetter"/>
      <w:start w:val="1"/>
    </w:lvl>
  </w:abstractNum>
  <w:abstractNum w:abstractNumId="321">
    <w:nsid w:val="66BE6B9"/>
    <w:multiLevelType w:val="hybridMultilevel"/>
    <w:lvl w:ilvl="0">
      <w:lvlJc w:val="left"/>
      <w:lvlText w:val="(%1)"/>
      <w:numFmt w:val="lowerLetter"/>
      <w:start w:val="1"/>
    </w:lvl>
    <w:lvl w:ilvl="1">
      <w:lvlJc w:val="left"/>
      <w:lvlText w:val="(%2)"/>
      <w:numFmt w:val="lowerRoman"/>
      <w:start w:val="1"/>
    </w:lvl>
  </w:abstractNum>
  <w:abstractNum w:abstractNumId="322">
    <w:nsid w:val="62234363"/>
    <w:multiLevelType w:val="hybridMultilevel"/>
    <w:lvl w:ilvl="0">
      <w:lvlJc w:val="left"/>
      <w:lvlText w:val="%1."/>
      <w:numFmt w:val="decimal"/>
      <w:start w:val="16"/>
    </w:lvl>
  </w:abstractNum>
  <w:abstractNum w:abstractNumId="323">
    <w:nsid w:val="66D385C9"/>
    <w:multiLevelType w:val="hybridMultilevel"/>
    <w:lvl w:ilvl="0">
      <w:lvlJc w:val="left"/>
      <w:lvlText w:val="%1."/>
      <w:numFmt w:val="decimal"/>
      <w:start w:val="18"/>
    </w:lvl>
  </w:abstractNum>
  <w:abstractNum w:abstractNumId="324">
    <w:nsid w:val="596F6D8A"/>
    <w:multiLevelType w:val="hybridMultilevel"/>
    <w:lvl w:ilvl="0">
      <w:lvlJc w:val="left"/>
      <w:lvlText w:val="(%1)"/>
      <w:numFmt w:val="lowerLetter"/>
      <w:start w:val="1"/>
    </w:lvl>
  </w:abstractNum>
  <w:abstractNum w:abstractNumId="325">
    <w:nsid w:val="5749361F"/>
    <w:multiLevelType w:val="hybridMultilevel"/>
    <w:lvl w:ilvl="0">
      <w:lvlJc w:val="left"/>
      <w:lvlText w:val="(%1)"/>
      <w:numFmt w:val="lowerLetter"/>
      <w:start w:val="1"/>
    </w:lvl>
  </w:abstractNum>
  <w:abstractNum w:abstractNumId="326">
    <w:nsid w:val="73BC6770"/>
    <w:multiLevelType w:val="hybridMultilevel"/>
    <w:lvl w:ilvl="0">
      <w:lvlJc w:val="left"/>
      <w:lvlText w:val="%1."/>
      <w:numFmt w:val="decimal"/>
      <w:start w:val="19"/>
    </w:lvl>
  </w:abstractNum>
  <w:abstractNum w:abstractNumId="327">
    <w:nsid w:val="280E6897"/>
    <w:multiLevelType w:val="hybridMultilevel"/>
    <w:lvl w:ilvl="0">
      <w:lvlJc w:val="left"/>
      <w:lvlText w:val="(%1)"/>
      <w:numFmt w:val="decimal"/>
      <w:start w:val="1"/>
    </w:lvl>
  </w:abstractNum>
  <w:abstractNum w:abstractNumId="328">
    <w:nsid w:val="605138DE"/>
    <w:multiLevelType w:val="hybridMultilevel"/>
    <w:lvl w:ilvl="0">
      <w:lvlJc w:val="left"/>
      <w:lvlText w:val="%1"/>
      <w:numFmt w:val="decimal"/>
      <w:start w:val="1"/>
    </w:lvl>
    <w:lvl w:ilvl="1">
      <w:lvlJc w:val="left"/>
      <w:lvlText w:val="(%2)"/>
      <w:numFmt w:val="decimal"/>
      <w:start w:val="2"/>
    </w:lvl>
  </w:abstractNum>
  <w:abstractNum w:abstractNumId="329">
    <w:nsid w:val="2622AD0C"/>
    <w:multiLevelType w:val="hybridMultilevel"/>
    <w:lvl w:ilvl="0">
      <w:lvlJc w:val="left"/>
      <w:lvlText w:val="%1."/>
      <w:numFmt w:val="decimal"/>
      <w:start w:val="13"/>
    </w:lvl>
    <w:lvl w:ilvl="1">
      <w:lvlJc w:val="left"/>
      <w:lvlText w:val="%2"/>
      <w:numFmt w:val="decimal"/>
      <w:start w:val="1"/>
    </w:lvl>
  </w:abstractNum>
  <w:abstractNum w:abstractNumId="330">
    <w:nsid w:val="67997556"/>
    <w:multiLevelType w:val="hybridMultilevel"/>
    <w:lvl w:ilvl="0">
      <w:lvlJc w:val="left"/>
      <w:lvlText w:val="(%1)"/>
      <w:numFmt w:val="decimal"/>
      <w:start w:val="1"/>
    </w:lvl>
  </w:abstractNum>
  <w:abstractNum w:abstractNumId="331">
    <w:nsid w:val="18333C89"/>
    <w:multiLevelType w:val="hybridMultilevel"/>
    <w:lvl w:ilvl="0">
      <w:lvlJc w:val="left"/>
      <w:lvlText w:val="(%1)"/>
      <w:numFmt w:val="decimal"/>
      <w:start w:val="1"/>
    </w:lvl>
    <w:lvl w:ilvl="1">
      <w:lvlJc w:val="left"/>
      <w:lvlText w:val="(%2)"/>
      <w:numFmt w:val="decimal"/>
      <w:start w:val="1"/>
    </w:lvl>
  </w:abstractNum>
  <w:abstractNum w:abstractNumId="332">
    <w:nsid w:val="4BA9831A"/>
    <w:multiLevelType w:val="hybridMultilevel"/>
    <w:lvl w:ilvl="0">
      <w:lvlJc w:val="left"/>
      <w:lvlText w:val="%1"/>
      <w:numFmt w:val="decimal"/>
      <w:start w:val="1"/>
    </w:lvl>
    <w:lvl w:ilvl="1">
      <w:lvlJc w:val="left"/>
      <w:lvlText w:val="(%2)"/>
      <w:numFmt w:val="decimal"/>
      <w:start w:val="2"/>
    </w:lvl>
  </w:abstractNum>
  <w:abstractNum w:abstractNumId="333">
    <w:nsid w:val="6D71A2B"/>
    <w:multiLevelType w:val="hybridMultilevel"/>
    <w:lvl w:ilvl="0">
      <w:lvlJc w:val="left"/>
      <w:lvlText w:val="%1."/>
      <w:numFmt w:val="decimal"/>
      <w:start w:val="14"/>
    </w:lvl>
    <w:lvl w:ilvl="1">
      <w:lvlJc w:val="left"/>
      <w:lvlText w:val="%2"/>
      <w:numFmt w:val="decimal"/>
      <w:start w:val="1"/>
    </w:lvl>
  </w:abstractNum>
  <w:abstractNum w:abstractNumId="334">
    <w:nsid w:val="CFC7321"/>
    <w:multiLevelType w:val="hybridMultilevel"/>
    <w:lvl w:ilvl="0">
      <w:lvlJc w:val="left"/>
      <w:lvlText w:val="(%1)"/>
      <w:numFmt w:val="decimal"/>
      <w:start w:val="1"/>
    </w:lvl>
  </w:abstractNum>
  <w:abstractNum w:abstractNumId="335">
    <w:nsid w:val="1421971B"/>
    <w:multiLevelType w:val="hybridMultilevel"/>
    <w:lvl w:ilvl="0">
      <w:lvlJc w:val="left"/>
      <w:lvlText w:val="(%1)"/>
      <w:numFmt w:val="decimal"/>
      <w:start w:val="1"/>
    </w:lvl>
  </w:abstractNum>
  <w:abstractNum w:abstractNumId="336">
    <w:nsid w:val="1F404301"/>
    <w:multiLevelType w:val="hybridMultilevel"/>
    <w:lvl w:ilvl="0">
      <w:lvlJc w:val="left"/>
      <w:lvlText w:val="%1)"/>
      <w:numFmt w:val="lowerLetter"/>
      <w:start w:val="1"/>
    </w:lvl>
    <w:lvl w:ilvl="1">
      <w:lvlJc w:val="left"/>
      <w:lvlText w:val="(%2)"/>
      <w:numFmt w:val="decimal"/>
      <w:start w:val="1"/>
    </w:lvl>
  </w:abstractNum>
  <w:abstractNum w:abstractNumId="337">
    <w:nsid w:val="116E0907"/>
    <w:multiLevelType w:val="hybridMultilevel"/>
    <w:lvl w:ilvl="0">
      <w:lvlJc w:val="left"/>
      <w:lvlText w:val="(%1)"/>
      <w:numFmt w:val="decimal"/>
      <w:start w:val="1"/>
    </w:lvl>
  </w:abstractNum>
  <w:abstractNum w:abstractNumId="338">
    <w:nsid w:val="4B683D0D"/>
    <w:multiLevelType w:val="hybridMultilevel"/>
    <w:lvl w:ilvl="0">
      <w:lvlJc w:val="left"/>
      <w:lvlText w:val="%1."/>
      <w:numFmt w:val="decimal"/>
      <w:start w:val="1"/>
    </w:lvl>
    <w:lvl w:ilvl="1">
      <w:lvlJc w:val="left"/>
      <w:lvlText w:val="%2."/>
      <w:numFmt w:val="decimal"/>
      <w:start w:val="1"/>
    </w:lvl>
  </w:abstractNum>
  <w:abstractNum w:abstractNumId="339">
    <w:nsid w:val="76E41D8"/>
    <w:multiLevelType w:val="hybridMultilevel"/>
    <w:lvl w:ilvl="0">
      <w:lvlJc w:val="left"/>
      <w:lvlText w:val="%1"/>
      <w:numFmt w:val="decimal"/>
      <w:start w:val="1"/>
    </w:lvl>
    <w:lvl w:ilvl="1">
      <w:lvlJc w:val="left"/>
      <w:lvlText w:val="%2."/>
      <w:numFmt w:val="decimal"/>
      <w:start w:val="4"/>
    </w:lvl>
  </w:abstractNum>
  <w:abstractNum w:abstractNumId="340">
    <w:nsid w:val="71DCE0FD"/>
    <w:multiLevelType w:val="hybridMultilevel"/>
    <w:lvl w:ilvl="0">
      <w:lvlJc w:val="left"/>
      <w:lvlText w:val="%1."/>
      <w:numFmt w:val="decimal"/>
      <w:start w:val="3"/>
    </w:lvl>
    <w:lvl w:ilvl="1">
      <w:lvlJc w:val="left"/>
      <w:lvlText w:val="%2."/>
      <w:numFmt w:val="decimal"/>
      <w:start w:val="1"/>
    </w:lvl>
  </w:abstractNum>
  <w:abstractNum w:abstractNumId="341">
    <w:nsid w:val="7906328B"/>
    <w:multiLevelType w:val="hybridMultilevel"/>
    <w:lvl w:ilvl="0">
      <w:lvlJc w:val="left"/>
      <w:lvlText w:val="%1."/>
      <w:numFmt w:val="decimal"/>
      <w:start w:val="1"/>
    </w:lvl>
  </w:abstractNum>
  <w:abstractNum w:abstractNumId="342">
    <w:nsid w:val="72BBC16"/>
    <w:multiLevelType w:val="hybridMultilevel"/>
    <w:lvl w:ilvl="0">
      <w:lvlJc w:val="left"/>
      <w:lvlText w:val="%1."/>
      <w:numFmt w:val="decimal"/>
      <w:start w:val="2"/>
    </w:lvl>
  </w:abstractNum>
  <w:abstractNum w:abstractNumId="343">
    <w:nsid w:val="766D98C2"/>
    <w:multiLevelType w:val="hybridMultilevel"/>
    <w:lvl w:ilvl="0">
      <w:lvlJc w:val="left"/>
      <w:lvlText w:val="%1."/>
      <w:numFmt w:val="decimal"/>
      <w:start w:val="3"/>
    </w:lvl>
  </w:abstractNum>
  <w:abstractNum w:abstractNumId="344">
    <w:nsid w:val="3C09D4A1"/>
    <w:multiLevelType w:val="hybridMultilevel"/>
    <w:lvl w:ilvl="0">
      <w:lvlJc w:val="left"/>
      <w:lvlText w:val="%1."/>
      <w:numFmt w:val="decimal"/>
      <w:start w:val="4"/>
    </w:lvl>
  </w:abstractNum>
  <w:abstractNum w:abstractNumId="345">
    <w:nsid w:val="20E45CA4"/>
    <w:multiLevelType w:val="hybridMultilevel"/>
    <w:lvl w:ilvl="0">
      <w:lvlJc w:val="left"/>
      <w:lvlText w:val="%1."/>
      <w:numFmt w:val="decimal"/>
      <w:start w:val="5"/>
    </w:lvl>
  </w:abstractNum>
  <w:abstractNum w:abstractNumId="346">
    <w:nsid w:val="4B232EE3"/>
    <w:multiLevelType w:val="hybridMultilevel"/>
    <w:lvl w:ilvl="0">
      <w:lvlJc w:val="left"/>
      <w:lvlText w:val="%1."/>
      <w:numFmt w:val="decimal"/>
      <w:start w:val="6"/>
    </w:lvl>
  </w:abstractNum>
  <w:abstractNum w:abstractNumId="347">
    <w:nsid w:val="159C74CF"/>
    <w:multiLevelType w:val="hybridMultilevel"/>
    <w:lvl w:ilvl="0">
      <w:lvlJc w:val="left"/>
      <w:lvlText w:val="%1."/>
      <w:numFmt w:val="decimal"/>
      <w:start w:val="7"/>
    </w:lvl>
  </w:abstractNum>
  <w:abstractNum w:abstractNumId="348">
    <w:nsid w:val="4AD3AFD2"/>
    <w:multiLevelType w:val="hybridMultilevel"/>
    <w:lvl w:ilvl="0">
      <w:lvlJc w:val="left"/>
      <w:lvlText w:val="(%1)"/>
      <w:numFmt w:val="decimal"/>
      <w:start w:val="1"/>
    </w:lvl>
  </w:abstractNum>
  <w:abstractNum w:abstractNumId="349">
    <w:nsid w:val="3CF93092"/>
    <w:multiLevelType w:val="hybridMultilevel"/>
    <w:lvl w:ilvl="0">
      <w:lvlJc w:val="left"/>
      <w:lvlText w:val="(%1)"/>
      <w:numFmt w:val="decimal"/>
      <w:start w:val="1"/>
    </w:lvl>
  </w:abstractNum>
  <w:abstractNum w:abstractNumId="350">
    <w:nsid w:val="6863E8D2"/>
    <w:multiLevelType w:val="hybridMultilevel"/>
    <w:lvl w:ilvl="0">
      <w:lvlJc w:val="left"/>
      <w:lvlText w:val="%1."/>
      <w:numFmt w:val="decimal"/>
      <w:start w:val="8"/>
    </w:lvl>
  </w:abstractNum>
  <w:abstractNum w:abstractNumId="351">
    <w:nsid w:val="76896198"/>
    <w:multiLevelType w:val="hybridMultilevel"/>
    <w:lvl w:ilvl="0">
      <w:lvlJc w:val="left"/>
      <w:lvlText w:val="%1."/>
      <w:numFmt w:val="decimal"/>
      <w:start w:val="9"/>
    </w:lvl>
  </w:abstractNum>
  <w:abstractNum w:abstractNumId="352">
    <w:nsid w:val="4365174B"/>
    <w:multiLevelType w:val="hybridMultilevel"/>
    <w:lvl w:ilvl="0">
      <w:lvlJc w:val="left"/>
      <w:lvlText w:val="%1."/>
      <w:numFmt w:val="decimal"/>
      <w:start w:val="10"/>
    </w:lvl>
  </w:abstractNum>
  <w:abstractNum w:abstractNumId="353">
    <w:nsid w:val="4A872C35"/>
    <w:multiLevelType w:val="hybridMultilevel"/>
    <w:lvl w:ilvl="0">
      <w:lvlJc w:val="left"/>
      <w:lvlText w:val="(%1)"/>
      <w:numFmt w:val="decimal"/>
      <w:start w:val="1"/>
    </w:lvl>
  </w:abstractNum>
  <w:abstractNum w:abstractNumId="354">
    <w:nsid w:val="5D5CE761"/>
    <w:multiLevelType w:val="hybridMultilevel"/>
    <w:lvl w:ilvl="0">
      <w:lvlJc w:val="left"/>
      <w:lvlText w:val="%1."/>
      <w:numFmt w:val="decimal"/>
      <w:start w:val="11"/>
    </w:lvl>
  </w:abstractNum>
  <w:abstractNum w:abstractNumId="355">
    <w:nsid w:val="1CD484D5"/>
    <w:multiLevelType w:val="hybridMultilevel"/>
    <w:lvl w:ilvl="0">
      <w:lvlJc w:val="left"/>
      <w:lvlText w:val="(%1)"/>
      <w:numFmt w:val="decimal"/>
      <w:start w:val="1"/>
    </w:lvl>
  </w:abstractNum>
  <w:abstractNum w:abstractNumId="356">
    <w:nsid w:val="21D06255"/>
    <w:multiLevelType w:val="hybridMultilevel"/>
    <w:lvl w:ilvl="0">
      <w:lvlJc w:val="left"/>
      <w:lvlText w:val="%1."/>
      <w:numFmt w:val="decimal"/>
      <w:start w:val="1"/>
    </w:lvl>
  </w:abstractNum>
  <w:abstractNum w:abstractNumId="357">
    <w:nsid w:val="51194ED1"/>
    <w:multiLevelType w:val="hybridMultilevel"/>
    <w:lvl w:ilvl="0">
      <w:lvlJc w:val="left"/>
      <w:lvlText w:val="%1."/>
      <w:numFmt w:val="decimal"/>
      <w:start w:val="2"/>
    </w:lvl>
  </w:abstractNum>
  <w:abstractNum w:abstractNumId="358">
    <w:nsid w:val="44E2ED6C"/>
    <w:multiLevelType w:val="hybridMultilevel"/>
    <w:lvl w:ilvl="0">
      <w:lvlJc w:val="left"/>
      <w:lvlText w:val="%1."/>
      <w:numFmt w:val="decimal"/>
      <w:start w:val="4"/>
    </w:lvl>
  </w:abstractNum>
  <w:abstractNum w:abstractNumId="359">
    <w:nsid w:val="2219B33"/>
    <w:multiLevelType w:val="hybridMultilevel"/>
    <w:lvl w:ilvl="0">
      <w:lvlJc w:val="left"/>
      <w:lvlText w:val="%1."/>
      <w:numFmt w:val="decimal"/>
      <w:start w:val="6"/>
    </w:lvl>
  </w:abstractNum>
  <w:abstractNum w:abstractNumId="360">
    <w:nsid w:val="773BFBDD"/>
    <w:multiLevelType w:val="hybridMultilevel"/>
    <w:lvl w:ilvl="0">
      <w:lvlJc w:val="left"/>
      <w:lvlText w:val="%1."/>
      <w:numFmt w:val="decimal"/>
      <w:start w:val="7"/>
    </w:lvl>
  </w:abstractNum>
  <w:abstractNum w:abstractNumId="361">
    <w:nsid w:val="2C7C62C2"/>
    <w:multiLevelType w:val="hybridMultilevel"/>
    <w:lvl w:ilvl="0">
      <w:lvlJc w:val="left"/>
      <w:lvlText w:val="%1."/>
      <w:numFmt w:val="decimal"/>
      <w:start w:val="8"/>
    </w:lvl>
  </w:abstractNum>
  <w:abstractNum w:abstractNumId="362">
    <w:nsid w:val="1A54D7BC"/>
    <w:multiLevelType w:val="hybridMultilevel"/>
    <w:lvl w:ilvl="0">
      <w:lvlJc w:val="left"/>
      <w:lvlText w:val="%1."/>
      <w:numFmt w:val="decimal"/>
      <w:start w:val="9"/>
    </w:lvl>
  </w:abstractNum>
  <w:abstractNum w:abstractNumId="363">
    <w:nsid w:val="42E57EF7"/>
    <w:multiLevelType w:val="hybridMultilevel"/>
    <w:lvl w:ilvl="0">
      <w:lvlJc w:val="left"/>
      <w:lvlText w:val="(%1)"/>
      <w:numFmt w:val="decimal"/>
      <w:start w:val="1"/>
    </w:lvl>
  </w:abstractNum>
  <w:abstractNum w:abstractNumId="364">
    <w:nsid w:val="33537CED"/>
    <w:multiLevelType w:val="hybridMultilevel"/>
    <w:lvl w:ilvl="0">
      <w:lvlJc w:val="left"/>
      <w:lvlText w:val="%1."/>
      <w:numFmt w:val="decimal"/>
      <w:start w:val="10"/>
    </w:lvl>
  </w:abstractNum>
  <w:abstractNum w:abstractNumId="365">
    <w:nsid w:val="27514ADE"/>
    <w:multiLevelType w:val="hybridMultilevel"/>
    <w:lvl w:ilvl="0">
      <w:lvlJc w:val="left"/>
      <w:lvlText w:val="●"/>
      <w:numFmt w:val="bullet"/>
      <w:start w:val="1"/>
    </w:lvl>
  </w:abstractNum>
  <w:abstractNum w:abstractNumId="366">
    <w:nsid w:val="57071613"/>
    <w:multiLevelType w:val="hybridMultilevel"/>
    <w:lvl w:ilvl="0">
      <w:lvlJc w:val="left"/>
      <w:lvlText w:val="●"/>
      <w:numFmt w:val="bullet"/>
      <w:start w:val="1"/>
    </w:lvl>
  </w:abstractNum>
  <w:abstractNum w:abstractNumId="367">
    <w:nsid w:val="5293BFEF"/>
    <w:multiLevelType w:val="hybridMultilevel"/>
    <w:lvl w:ilvl="0">
      <w:lvlJc w:val="left"/>
      <w:lvlText w:val="●"/>
      <w:numFmt w:val="bullet"/>
      <w:start w:val="1"/>
    </w:lvl>
  </w:abstractNum>
  <w:abstractNum w:abstractNumId="368">
    <w:nsid w:val="38BF53E5"/>
    <w:multiLevelType w:val="hybridMultilevel"/>
    <w:lvl w:ilvl="0">
      <w:lvlJc w:val="left"/>
      <w:lvlText w:val="%1."/>
      <w:numFmt w:val="decimal"/>
      <w:start w:val="1"/>
    </w:lvl>
  </w:abstractNum>
  <w:abstractNum w:abstractNumId="369">
    <w:nsid w:val="226F5320"/>
    <w:multiLevelType w:val="hybridMultilevel"/>
    <w:lvl w:ilvl="0">
      <w:lvlJc w:val="left"/>
      <w:lvlText w:val="%1."/>
      <w:numFmt w:val="decimal"/>
      <w:start w:val="8"/>
    </w:lvl>
  </w:abstractNum>
  <w:abstractNum w:abstractNumId="370">
    <w:nsid w:val="5A0201C7"/>
    <w:multiLevelType w:val="hybridMultilevel"/>
    <w:lvl w:ilvl="0">
      <w:lvlJc w:val="left"/>
      <w:lvlText w:val="%1."/>
      <w:numFmt w:val="decimal"/>
      <w:start w:val="1"/>
    </w:lvl>
  </w:abstractNum>
  <w:abstractNum w:abstractNumId="371">
    <w:nsid w:val="2A9C34E2"/>
    <w:multiLevelType w:val="hybridMultilevel"/>
    <w:lvl w:ilvl="0">
      <w:lvlJc w:val="left"/>
      <w:lvlText w:val="%1."/>
      <w:numFmt w:val="decimal"/>
      <w:start w:val="3"/>
    </w:lvl>
  </w:abstractNum>
  <w:abstractNum w:abstractNumId="372">
    <w:nsid w:val="1B7585AB"/>
    <w:multiLevelType w:val="hybridMultilevel"/>
    <w:lvl w:ilvl="0">
      <w:lvlJc w:val="left"/>
      <w:lvlText w:val="%1."/>
      <w:numFmt w:val="decimal"/>
      <w:start w:val="1"/>
    </w:lvl>
  </w:abstractNum>
  <w:abstractNum w:abstractNumId="373">
    <w:nsid w:val="612DBDD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2019-12-08T17:39:01Z</dcterms:created>
  <dcterms:modified xsi:type="dcterms:W3CDTF">2019-12-08T17:39:01Z</dcterms:modified>
</cp:coreProperties>
</file>