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29, 2019</w:t>
      </w:r>
    </w:p>
    <w:p>
      <w:pPr>
        <w:spacing w:after="0" w:line="158" w:lineRule="exact"/>
        <w:rPr>
          <w:sz w:val="24"/>
          <w:szCs w:val="24"/>
          <w:color w:val="auto"/>
        </w:rPr>
      </w:pPr>
    </w:p>
    <w:p>
      <w:pPr>
        <w:ind w:left="92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jc w:val="center"/>
        <w:spacing w:after="0" w:line="231"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CLPS Incorporation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Cayman Islands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198"/>
        </w:trPr>
        <w:tc>
          <w:tcPr>
            <w:tcW w:w="5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Corporation Service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Telephone: (800) 927-9800</w:t>
      </w: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Ralph V. De Martino,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Alec Orudjev,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Schiff Hardin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901 K Street, NW, Suite 700, Washington, DC 20001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202-724-6848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Approximate date of commencement of proposed sale to the public: </w:t>
      </w:r>
      <w:r>
        <w:rPr>
          <w:rFonts w:ascii="Arial" w:cs="Arial" w:eastAsia="Arial" w:hAnsi="Arial"/>
          <w:sz w:val="17"/>
          <w:szCs w:val="17"/>
          <w:b w:val="1"/>
          <w:bCs w:val="1"/>
          <w:color w:val="auto"/>
        </w:rPr>
        <w:t>From time to time after the effective date of this registration statement.</w:t>
      </w:r>
    </w:p>
    <w:p>
      <w:pPr>
        <w:spacing w:after="0" w:line="8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1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115"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5"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5"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15"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25"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0" w:type="dxa"/>
            <w:vAlign w:val="bottom"/>
          </w:tcPr>
          <w:p>
            <w:pPr>
              <w:ind w:left="3980"/>
              <w:spacing w:after="0"/>
              <w:rPr>
                <w:sz w:val="20"/>
                <w:szCs w:val="20"/>
                <w:color w:val="auto"/>
              </w:rPr>
            </w:pPr>
            <w:r>
              <w:rPr>
                <w:rFonts w:ascii="Arial" w:cs="Arial" w:eastAsia="Arial" w:hAnsi="Arial"/>
                <w:sz w:val="18"/>
                <w:szCs w:val="18"/>
                <w:b w:val="1"/>
                <w:bCs w:val="1"/>
                <w:color w:val="auto"/>
              </w:rPr>
              <w:t>CALCULATION OF REGISTRATION FEE</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maximum</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aggregate</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offering</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registration</w:t>
            </w:r>
          </w:p>
        </w:tc>
      </w:tr>
      <w:tr>
        <w:trPr>
          <w:trHeight w:val="241"/>
        </w:trPr>
        <w:tc>
          <w:tcPr>
            <w:tcW w:w="8800" w:type="dxa"/>
            <w:vAlign w:val="bottom"/>
          </w:tcPr>
          <w:p>
            <w:pPr>
              <w:ind w:left="2640"/>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24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price(1)(2)(3)</w:t>
            </w: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fee(1)(4)</w:t>
            </w:r>
          </w:p>
        </w:tc>
      </w:tr>
      <w:tr>
        <w:trPr>
          <w:trHeight w:val="216"/>
        </w:trPr>
        <w:tc>
          <w:tcPr>
            <w:tcW w:w="8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Preferred Shares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Debt Securities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Rights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Depositary Shares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   40,000,000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4,848.00</w:t>
            </w:r>
          </w:p>
        </w:tc>
      </w:tr>
    </w:tbl>
    <w:p>
      <w:pPr>
        <w:spacing w:after="0" w:line="187" w:lineRule="exact"/>
        <w:rPr>
          <w:sz w:val="20"/>
          <w:szCs w:val="20"/>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is hereby registering such indeterminate number or amount, as the case may be, of the securities of each identified class as may from time to time be offered at indeterminate prices, with a total aggregate principal amount or initial purchase price not to exceed $40,000,000. Securities registered hereby may be offered for U.S. dollars or the equivalent thereof in foreign currencies. Securities registered hereby may be sold separately or in combination with other securities registered hereby.</w:t>
      </w:r>
    </w:p>
    <w:p>
      <w:pPr>
        <w:spacing w:after="0" w:line="186"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securities being registered hereby may be convertible into or exchangeable or exercisable for other securities of any identified class.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issued upon the conversion or exercise of, or in exchange for, other securities or that are issued in units.</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registration fee pursuant to Rule 457(o) under the Securities Act, and exclusive of accrued interest, distributions and dividends, if any. The proposed maximum offering price will be determined from time to time in connection with the issuance of the securities registered hereunder.</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6"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FF0000"/>
        </w:rPr>
        <w:t>SUBJECT TO COMPLETION, DATED</w:t>
      </w:r>
      <w:r>
        <w:rPr>
          <w:sz w:val="20"/>
          <w:szCs w:val="20"/>
          <w:color w:val="auto"/>
        </w:rPr>
        <w:tab/>
      </w:r>
      <w:r>
        <w:rPr>
          <w:rFonts w:ascii="Arial" w:cs="Arial" w:eastAsia="Arial" w:hAnsi="Arial"/>
          <w:sz w:val="15"/>
          <w:szCs w:val="15"/>
          <w:b w:val="1"/>
          <w:bCs w:val="1"/>
          <w:color w:val="FF0000"/>
        </w:rPr>
        <w:t>,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154940</wp:posOffset>
            </wp:positionV>
            <wp:extent cx="2358390" cy="1174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5839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US$40,000,000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Shares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Preferred Shares</w:t>
      </w:r>
    </w:p>
    <w:p>
      <w:pPr>
        <w:jc w:val="center"/>
        <w:spacing w:after="0" w:line="230" w:lineRule="auto"/>
        <w:rPr>
          <w:sz w:val="20"/>
          <w:szCs w:val="20"/>
          <w:color w:val="auto"/>
        </w:rPr>
      </w:pPr>
      <w:r>
        <w:rPr>
          <w:rFonts w:ascii="Arial" w:cs="Arial" w:eastAsia="Arial" w:hAnsi="Arial"/>
          <w:sz w:val="22"/>
          <w:szCs w:val="22"/>
          <w:b w:val="1"/>
          <w:bCs w:val="1"/>
          <w:color w:val="auto"/>
        </w:rPr>
        <w:t>Warrants</w:t>
      </w:r>
    </w:p>
    <w:p>
      <w:pPr>
        <w:jc w:val="center"/>
        <w:spacing w:after="0" w:line="236" w:lineRule="auto"/>
        <w:rPr>
          <w:sz w:val="20"/>
          <w:szCs w:val="20"/>
          <w:color w:val="auto"/>
        </w:rPr>
      </w:pPr>
      <w:r>
        <w:rPr>
          <w:rFonts w:ascii="Arial" w:cs="Arial" w:eastAsia="Arial" w:hAnsi="Arial"/>
          <w:sz w:val="22"/>
          <w:szCs w:val="22"/>
          <w:b w:val="1"/>
          <w:bCs w:val="1"/>
          <w:color w:val="auto"/>
        </w:rPr>
        <w:t>Debt Securities</w:t>
      </w:r>
    </w:p>
    <w:p>
      <w:pPr>
        <w:jc w:val="center"/>
        <w:spacing w:after="0"/>
        <w:rPr>
          <w:sz w:val="20"/>
          <w:szCs w:val="20"/>
          <w:color w:val="auto"/>
        </w:rPr>
      </w:pPr>
      <w:r>
        <w:rPr>
          <w:rFonts w:ascii="Arial" w:cs="Arial" w:eastAsia="Arial" w:hAnsi="Arial"/>
          <w:sz w:val="18"/>
          <w:szCs w:val="18"/>
          <w:b w:val="1"/>
          <w:bCs w:val="1"/>
          <w:color w:val="auto"/>
        </w:rPr>
        <w:t>Rights</w:t>
      </w:r>
    </w:p>
    <w:p>
      <w:pPr>
        <w:jc w:val="center"/>
        <w:spacing w:after="0" w:line="234" w:lineRule="auto"/>
        <w:rPr>
          <w:sz w:val="20"/>
          <w:szCs w:val="20"/>
          <w:color w:val="auto"/>
        </w:rPr>
      </w:pPr>
      <w:r>
        <w:rPr>
          <w:rFonts w:ascii="Arial" w:cs="Arial" w:eastAsia="Arial" w:hAnsi="Arial"/>
          <w:sz w:val="22"/>
          <w:szCs w:val="22"/>
          <w:b w:val="1"/>
          <w:bCs w:val="1"/>
          <w:color w:val="auto"/>
        </w:rPr>
        <w:t>Depositary Shares</w:t>
      </w:r>
    </w:p>
    <w:p>
      <w:pPr>
        <w:jc w:val="center"/>
        <w:spacing w:after="0"/>
        <w:rPr>
          <w:sz w:val="20"/>
          <w:szCs w:val="20"/>
          <w:color w:val="auto"/>
        </w:rPr>
      </w:pPr>
      <w:r>
        <w:rPr>
          <w:rFonts w:ascii="Arial" w:cs="Arial" w:eastAsia="Arial" w:hAnsi="Arial"/>
          <w:sz w:val="22"/>
          <w:szCs w:val="22"/>
          <w:b w:val="1"/>
          <w:bCs w:val="1"/>
          <w:color w:val="auto"/>
        </w:rPr>
        <w:t>Units</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CLPS Incorporation may offer and sell from time to time up to an aggregate of US$40,000,000 of common shares (issued separately or upon exercise of warrants), preferred shares, warrants, debt securities, rights, depositary shares and units of the Company’s securities. The specific terms of any securities offered will be described in supplements to this prospectus. You should read this prospectus and any applicable prospectus supplement carefully before you purchase our securities. This prospectus may not be used to offer securities unless accompanied by a prospectus supplement.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offer and sell these securities to or through one or more underwriters, dealers and agents, or directly to purchasers, on a continuous or delayed basis. The prospectus supplement for each offering of securities will describe in detail the plan of distribution. If underwriters, dealers and agents are used to sell these securities, we will name them and describe their compensation in a prospectus supplement.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outstanding shares are listed for trading on the NASDAQ Stock Market, or NASDAQ, under the symbol “CLPS”. On May 24, 2019, the closing price of our shares on the NASDAQ Stock Market was US$6.2 per share. </w:t>
      </w:r>
      <w:r>
        <w:rPr>
          <w:rFonts w:ascii="Arial" w:cs="Arial" w:eastAsia="Arial" w:hAnsi="Arial"/>
          <w:sz w:val="18"/>
          <w:szCs w:val="18"/>
          <w:b w:val="1"/>
          <w:bCs w:val="1"/>
          <w:color w:val="auto"/>
        </w:rPr>
        <w:t>There is currently no established trading market through which the 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other than the shares, may be sold and purchasers may not be able to resell the securities purchased under this prospectus. This may affect the pricing of the securities in the secondary market, the transparency and availability of trading prices, the liquidity of the securities and the extent of issuer regulation.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 long as the aggregate market value worldwide of our outstanding common equity held by non-affiliates, or public float, is less than US$75 million, the aggregate market value of securities sold by us under this prospectus during the period of 12 calendar months immediately preceding the date of sale may be no more than one-third of our public float. Our public float, as calculated in accordance with General Instruction I.B.5 of Form F-3, was approximately US$22.96 million as of May 24, 2019. We have not sold any securities pursuant to General Instruction I.B.5 of Form F-3 during the prior 12 calendar month period that ends on and includes the date of this prospectus.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Investing in our securities involves risks. Prior to purchasing our securities, you should carefully consider the risk factors that will be described in any applicable prospectus supplement and the risk factors described in our filings with the Securities and Exchange Commission, or the SEC, as explained under the heading “Risk Factors” on page 5 of this prospectus.</w:t>
      </w:r>
    </w:p>
    <w:p>
      <w:pPr>
        <w:spacing w:after="0" w:line="17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Neither the SEC, nor any securities commission of any state of the United States or any Canadian securities regulator has approved or disapproved the securities offered hereby or determined if this prospectus is truthful or complete. Any representation to the contrary is a criminal offence.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May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6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ABOUT THIS PROSPECTUS</w:t>
              </w:r>
            </w:hyperlink>
          </w:p>
        </w:tc>
        <w:tc>
          <w:tcPr>
            <w:tcW w:w="8040" w:type="dxa"/>
            <w:vAlign w:val="bottom"/>
            <w:tcBorders>
              <w:bottom w:val="single" w:sz="8" w:color="CCEEFF"/>
            </w:tcBorders>
            <w:gridSpan w:val="13"/>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DOCUMENTS INCORPORATED BY REFERENCE</w:t>
              </w:r>
            </w:hyperlink>
          </w:p>
        </w:tc>
        <w:tc>
          <w:tcPr>
            <w:tcW w:w="6360" w:type="dxa"/>
            <w:vAlign w:val="bottom"/>
            <w:tcBorders>
              <w:bottom w:val="single" w:sz="8" w:color="CCEEFF"/>
            </w:tcBorders>
            <w:gridSpan w:val="3"/>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RISK FACTORS</w:t>
              </w:r>
            </w:hyperlink>
          </w:p>
        </w:tc>
        <w:tc>
          <w:tcPr>
            <w:tcW w:w="9020" w:type="dxa"/>
            <w:vAlign w:val="bottom"/>
            <w:tcBorders>
              <w:bottom w:val="single" w:sz="8" w:color="CCEEFF"/>
            </w:tcBorders>
            <w:gridSpan w:val="19"/>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CAUTIONARY STATEMENT REGARDING FORWARD-LOOKING STATEMENTS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EXCHANGE RATE INFORMATION</w:t>
              </w:r>
            </w:hyperlink>
          </w:p>
        </w:tc>
        <w:tc>
          <w:tcPr>
            <w:tcW w:w="7500" w:type="dxa"/>
            <w:vAlign w:val="bottom"/>
            <w:tcBorders>
              <w:bottom w:val="single" w:sz="8" w:color="CCEEFF"/>
            </w:tcBorders>
            <w:gridSpan w:val="11"/>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2"/>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PRICE RANGE OF COMMON SHARES AND TRADING MARKETS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COMMON SHARES</w:t>
              </w:r>
            </w:hyperlink>
          </w:p>
        </w:tc>
        <w:tc>
          <w:tcPr>
            <w:tcW w:w="502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DESCRIPTION OF PREFERRED SHARES</w:t>
              </w:r>
            </w:hyperlink>
          </w:p>
        </w:tc>
        <w:tc>
          <w:tcPr>
            <w:tcW w:w="702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WARRANTS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DESCRIPTION OF DEBT SECURITIES</w:t>
              </w:r>
            </w:hyperlink>
          </w:p>
        </w:tc>
        <w:tc>
          <w:tcPr>
            <w:tcW w:w="7240" w:type="dxa"/>
            <w:vAlign w:val="bottom"/>
            <w:tcBorders>
              <w:bottom w:val="single" w:sz="8" w:color="CCEEFF"/>
            </w:tcBorders>
            <w:gridSpan w:val="10"/>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RIGHTS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2"/>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DEPOSITARY SHARES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UNITS</w:t>
              </w:r>
            </w:hyperlink>
          </w:p>
        </w:tc>
        <w:tc>
          <w:tcPr>
            <w:tcW w:w="6960" w:type="dxa"/>
            <w:vAlign w:val="bottom"/>
            <w:tcBorders>
              <w:top w:val="single" w:sz="8" w:color="CCEEFF"/>
            </w:tcBorders>
            <w:gridSpan w:val="6"/>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PLAN OF DISTRIBUTION</w:t>
              </w:r>
            </w:hyperlink>
          </w:p>
        </w:tc>
        <w:tc>
          <w:tcPr>
            <w:tcW w:w="8220" w:type="dxa"/>
            <w:vAlign w:val="bottom"/>
            <w:tcBorders>
              <w:bottom w:val="single" w:sz="8" w:color="CCEEFF"/>
            </w:tcBorders>
            <w:gridSpan w:val="1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CERTAIN INCOME TAX CONSIDERATIONS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ENFORCEMENT OF CIVIL LIABILITIES</w:t>
              </w:r>
            </w:hyperlink>
          </w:p>
        </w:tc>
        <w:tc>
          <w:tcPr>
            <w:tcW w:w="7060" w:type="dxa"/>
            <w:vAlign w:val="bottom"/>
            <w:tcBorders>
              <w:bottom w:val="single" w:sz="8" w:color="CCEEFF"/>
            </w:tcBorders>
            <w:gridSpan w:val="8"/>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42175" cy="5655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2175" cy="565531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firstLine="648"/>
        <w:spacing w:after="0" w:line="272" w:lineRule="auto"/>
        <w:rPr>
          <w:sz w:val="20"/>
          <w:szCs w:val="20"/>
          <w:color w:val="auto"/>
        </w:rPr>
      </w:pPr>
      <w:r>
        <w:rPr>
          <w:rFonts w:ascii="Arial" w:cs="Arial" w:eastAsia="Arial" w:hAnsi="Arial"/>
          <w:sz w:val="17"/>
          <w:szCs w:val="17"/>
          <w:color w:val="auto"/>
        </w:rPr>
        <w:t>This prospectus is a part of a registration statement that we have filed with the SEC utilizing a “shelf” registration process. Under this shelf registration process, we may sell the securities described in this prospectus in one or more offerings up to a total dollar amount of initial aggregate offering price of US$40,000,000. This prospectus provides you with a general description of the securities that we may offer. Each time we sell securities under this process, we will provide a prospectus supplement that will contain specific information about the terms of that offering, including a description of any risks relating to the offering if those terms and risks are not described in this prospectus. A prospectus supplement may also add, update, or change information contained in this prospectus. If there is any inconsistency between the information in this prospectus and the applicable prospectus supplement, you should rely on the information in the prospectus supplement.</w:t>
      </w:r>
    </w:p>
    <w:p>
      <w:pPr>
        <w:spacing w:after="0" w:line="178" w:lineRule="exact"/>
        <w:rPr>
          <w:sz w:val="20"/>
          <w:szCs w:val="20"/>
          <w:color w:val="auto"/>
        </w:rPr>
      </w:pPr>
    </w:p>
    <w:p>
      <w:pPr>
        <w:jc w:val="both"/>
        <w:ind w:left="120" w:firstLine="648"/>
        <w:spacing w:after="0" w:line="264" w:lineRule="auto"/>
        <w:rPr>
          <w:sz w:val="20"/>
          <w:szCs w:val="20"/>
          <w:color w:val="auto"/>
        </w:rPr>
      </w:pPr>
      <w:r>
        <w:rPr>
          <w:rFonts w:ascii="Arial" w:cs="Arial" w:eastAsia="Arial" w:hAnsi="Arial"/>
          <w:sz w:val="18"/>
          <w:szCs w:val="18"/>
          <w:color w:val="auto"/>
        </w:rPr>
        <w:t>Before investing in our securities, please carefully read both this prospectus and any prospectus supplement together with the documents incorporated by reference into this prospectus, as listed under “Documents Incorporated by Reference,” and the additional information described below under “Where You Can Find More Information.”</w:t>
      </w:r>
    </w:p>
    <w:p>
      <w:pPr>
        <w:spacing w:after="0" w:line="181" w:lineRule="exact"/>
        <w:rPr>
          <w:sz w:val="20"/>
          <w:szCs w:val="20"/>
          <w:color w:val="auto"/>
        </w:rPr>
      </w:pPr>
    </w:p>
    <w:p>
      <w:pPr>
        <w:jc w:val="both"/>
        <w:ind w:left="120" w:firstLine="648"/>
        <w:spacing w:after="0" w:line="279" w:lineRule="auto"/>
        <w:rPr>
          <w:sz w:val="20"/>
          <w:szCs w:val="20"/>
          <w:color w:val="auto"/>
        </w:rPr>
      </w:pPr>
      <w:r>
        <w:rPr>
          <w:rFonts w:ascii="Arial" w:cs="Arial" w:eastAsia="Arial" w:hAnsi="Arial"/>
          <w:sz w:val="17"/>
          <w:szCs w:val="17"/>
          <w:color w:val="auto"/>
        </w:rPr>
        <w:t>We may sell securities to or through underwriters or dealers, and we may also sell securities directly to other purchasers or through agents. To the extent not described in this prospectus, the names of any underwriters, dealers, or agents employed by us in the sale of the securities covered by this prospectus, the principal amounts or number of shares or other securities, if any, to be purchased by such underwriters or dealers, and the compensation, if any, of such underwriters, dealers, or agents will be described in a prospectus supplement.</w:t>
      </w:r>
    </w:p>
    <w:p>
      <w:pPr>
        <w:spacing w:after="0" w:line="167" w:lineRule="exact"/>
        <w:rPr>
          <w:sz w:val="20"/>
          <w:szCs w:val="20"/>
          <w:color w:val="auto"/>
        </w:rPr>
      </w:pPr>
    </w:p>
    <w:p>
      <w:pPr>
        <w:jc w:val="both"/>
        <w:ind w:left="120" w:firstLine="648"/>
        <w:spacing w:after="0" w:line="289" w:lineRule="auto"/>
        <w:rPr>
          <w:sz w:val="20"/>
          <w:szCs w:val="20"/>
          <w:color w:val="auto"/>
        </w:rPr>
      </w:pPr>
      <w:r>
        <w:rPr>
          <w:rFonts w:ascii="Arial" w:cs="Arial" w:eastAsia="Arial" w:hAnsi="Arial"/>
          <w:sz w:val="17"/>
          <w:szCs w:val="17"/>
          <w:b w:val="1"/>
          <w:bCs w:val="1"/>
          <w:color w:val="auto"/>
        </w:rPr>
        <w:t>Owning securities may subject you to tax consequences in the United States. This prospectus or any applicable prospectus supplement may not describe these tax consequences fully. You should read the tax discussion in any prospectus supplement with respect to a particular offering and consult your own tax advisor with respect to your own particular circumstances.</w:t>
      </w:r>
    </w:p>
    <w:p>
      <w:pPr>
        <w:spacing w:after="0" w:line="162"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or a prospectus supplement. We have not authorized anyone to provide you with different information. If anyone provides you with different or inconsistent information, you should not rely on it. The distribution or possession of this prospectus in or from certain jurisdictions may be restricted by law. This prospectus is not an offer to sell the securities and is not soliciting an offer to buy the securities in any jurisdiction where the offer or sale is not permitted or where the person making the offer or sale is not qualified to do so or to any person to whom it is not permitted to make such offer or sale. You should assume that the information contained in this prospectus and in any applicable prospectus supplement is accurate only as of the date on the front cover of this prospectus or prospectus supplement, as applicable, and the information incorporated by reference into this prospectus or any prospectus supplement is accurate only as of the date of the document incorporated by reference. Our business, financial condition, results of operations and prospects may have changed since that date.</w:t>
      </w:r>
    </w:p>
    <w:p>
      <w:pPr>
        <w:spacing w:after="0" w:line="166" w:lineRule="exact"/>
        <w:rPr>
          <w:sz w:val="20"/>
          <w:szCs w:val="20"/>
          <w:color w:val="auto"/>
        </w:rPr>
      </w:pPr>
    </w:p>
    <w:p>
      <w:pPr>
        <w:jc w:val="both"/>
        <w:ind w:left="120" w:firstLine="648"/>
        <w:spacing w:after="0" w:line="276" w:lineRule="auto"/>
        <w:rPr>
          <w:sz w:val="20"/>
          <w:szCs w:val="20"/>
          <w:color w:val="auto"/>
        </w:rPr>
      </w:pPr>
      <w:r>
        <w:rPr>
          <w:rFonts w:ascii="Arial" w:cs="Arial" w:eastAsia="Arial" w:hAnsi="Arial"/>
          <w:sz w:val="17"/>
          <w:szCs w:val="17"/>
          <w:color w:val="auto"/>
        </w:rPr>
        <w:t>This prospectus and the documents incorporated by reference into this prospectus contain company names, product names, trade names, trademarks and service marks of CLPS and other organizations, all of which are the property of their respective owners. We own or have rights to trademarks, service marks or trade names that we use in connection with the operation of our business. Solely for convenience, the trademarks, service marks, tradenames and copyrights referred to in this prospectus are listed without the ©, ® and TM symbols, but we will assert, to the fullest extent under applicable law, our rights or the rights of the applicable licensors to these trademarks, service marks and tradenames.</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 this prospectus, unless the context otherwise requires, references to “CLPS,” the “company,” “we,” “us” or “our” refer to CLPS Incorporation.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42175" cy="3734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2175" cy="373443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firstLine="648"/>
        <w:spacing w:after="0" w:line="312" w:lineRule="auto"/>
        <w:rPr>
          <w:sz w:val="20"/>
          <w:szCs w:val="20"/>
          <w:color w:val="auto"/>
        </w:rPr>
      </w:pPr>
      <w:r>
        <w:rPr>
          <w:rFonts w:ascii="Arial" w:cs="Arial" w:eastAsia="Arial" w:hAnsi="Arial"/>
          <w:sz w:val="16"/>
          <w:szCs w:val="16"/>
          <w:color w:val="auto"/>
        </w:rPr>
        <w:t>We have filed with the SEC a registration statement on Form F-3, of which this prospectus forms a part. This prospectus does not contain all the information set out in the registration statement. For further information about us and the securities, please refer to the registration statement, including the exhibits to the registration statement. The exhibits to the registration statement provide more details of the matters discussed in this prospectus.</w:t>
      </w:r>
    </w:p>
    <w:p>
      <w:pPr>
        <w:spacing w:after="0" w:line="147" w:lineRule="exact"/>
        <w:rPr>
          <w:sz w:val="20"/>
          <w:szCs w:val="20"/>
          <w:color w:val="auto"/>
        </w:rPr>
      </w:pPr>
    </w:p>
    <w:p>
      <w:pPr>
        <w:jc w:val="both"/>
        <w:ind w:left="120" w:firstLine="648"/>
        <w:spacing w:after="0" w:line="257" w:lineRule="auto"/>
        <w:rPr>
          <w:sz w:val="20"/>
          <w:szCs w:val="20"/>
          <w:color w:val="auto"/>
        </w:rPr>
      </w:pPr>
      <w:r>
        <w:rPr>
          <w:rFonts w:ascii="Arial" w:cs="Arial" w:eastAsia="Arial" w:hAnsi="Arial"/>
          <w:sz w:val="18"/>
          <w:szCs w:val="18"/>
          <w:color w:val="auto"/>
        </w:rPr>
        <w:t xml:space="preserve">We are subject to the informational requirements of the Securities Exchange Act of 1934, or the Exchange Act, and we file reports and other information with the SEC. You may read and copy any of our reports and other information at, and obtain copies upon payment of prescribed fees from, the Public Reference Room maintained by the SEC at 100 F Street, N.E., Washington, DC 20549. In addition, the SEC maintains a web site that contains reports and other information regarding registrants that file electronically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 The public may obtain information on the operation of the Public Reference Room by calling the SEC at 1-800-SEC-0330.</w:t>
      </w:r>
    </w:p>
    <w:p>
      <w:pPr>
        <w:spacing w:after="0" w:line="188" w:lineRule="exact"/>
        <w:rPr>
          <w:sz w:val="20"/>
          <w:szCs w:val="20"/>
          <w:color w:val="auto"/>
        </w:rPr>
      </w:pPr>
    </w:p>
    <w:p>
      <w:pPr>
        <w:jc w:val="both"/>
        <w:ind w:left="120" w:firstLine="648"/>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certain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jc w:val="both"/>
        <w:ind w:left="120" w:firstLine="648"/>
        <w:spacing w:after="0" w:line="259" w:lineRule="auto"/>
        <w:rPr>
          <w:sz w:val="20"/>
          <w:szCs w:val="20"/>
          <w:color w:val="auto"/>
        </w:rPr>
      </w:pPr>
      <w:r>
        <w:rPr>
          <w:rFonts w:ascii="Arial" w:cs="Arial" w:eastAsia="Arial" w:hAnsi="Arial"/>
          <w:sz w:val="18"/>
          <w:szCs w:val="18"/>
          <w:color w:val="auto"/>
        </w:rPr>
        <w:t xml:space="preserve">We are also subject to the full informational requirements of the securities commissions in all provinces of Canada, and you are also invited to read and copy any reports, statements or other information, other than confidential filings, that we file with the Canadian provincial securities commissions. These filings are also electronically available from the Canadian System for Electronic Document Analysis and Retrieval at </w:t>
      </w:r>
      <w:r>
        <w:rPr>
          <w:rFonts w:ascii="Arial" w:cs="Arial" w:eastAsia="Arial" w:hAnsi="Arial"/>
          <w:sz w:val="18"/>
          <w:szCs w:val="18"/>
          <w:i w:val="1"/>
          <w:iCs w:val="1"/>
          <w:color w:val="auto"/>
        </w:rPr>
        <w:t>www.sedar.com</w:t>
      </w:r>
      <w:r>
        <w:rPr>
          <w:rFonts w:ascii="Arial" w:cs="Arial" w:eastAsia="Arial" w:hAnsi="Arial"/>
          <w:sz w:val="18"/>
          <w:szCs w:val="18"/>
          <w:color w:val="auto"/>
        </w:rPr>
        <w:t>, the Canadian equivalent of the SEC’s electronic document gathering and retrieval system.</w:t>
      </w:r>
    </w:p>
    <w:p>
      <w:pPr>
        <w:spacing w:after="0" w:line="187" w:lineRule="exact"/>
        <w:rPr>
          <w:sz w:val="20"/>
          <w:szCs w:val="20"/>
          <w:color w:val="auto"/>
        </w:rPr>
      </w:pPr>
    </w:p>
    <w:p>
      <w:pPr>
        <w:jc w:val="both"/>
        <w:ind w:left="120" w:firstLine="648"/>
        <w:spacing w:after="0" w:line="264" w:lineRule="auto"/>
        <w:rPr>
          <w:sz w:val="20"/>
          <w:szCs w:val="20"/>
          <w:color w:val="auto"/>
        </w:rPr>
      </w:pPr>
      <w:r>
        <w:rPr>
          <w:rFonts w:ascii="Arial" w:cs="Arial" w:eastAsia="Arial" w:hAnsi="Arial"/>
          <w:sz w:val="18"/>
          <w:szCs w:val="18"/>
          <w:color w:val="auto"/>
        </w:rPr>
        <w:t xml:space="preserve">Our principal executive office is located at the 2nd Floor, Building 18, Shanghai Pudong Software Park, 498 Guoshoujing Road, Pudong, Shanghai 201203, PRC. Our telephone number is (+86)21-31268010. Our website is as follows www.clpsglobal.com. </w:t>
      </w:r>
      <w:r>
        <w:rPr>
          <w:rFonts w:ascii="Arial" w:cs="Arial" w:eastAsia="Arial" w:hAnsi="Arial"/>
          <w:sz w:val="18"/>
          <w:szCs w:val="18"/>
          <w:b w:val="1"/>
          <w:bCs w:val="1"/>
          <w:color w:val="auto"/>
        </w:rPr>
        <w:t>The information on our website is</w:t>
      </w:r>
      <w:r>
        <w:rPr>
          <w:rFonts w:ascii="Arial" w:cs="Arial" w:eastAsia="Arial" w:hAnsi="Arial"/>
          <w:sz w:val="18"/>
          <w:szCs w:val="18"/>
          <w:color w:val="auto"/>
        </w:rPr>
        <w:t xml:space="preserve"> </w:t>
      </w:r>
      <w:r>
        <w:rPr>
          <w:rFonts w:ascii="Arial" w:cs="Arial" w:eastAsia="Arial" w:hAnsi="Arial"/>
          <w:sz w:val="18"/>
          <w:szCs w:val="18"/>
          <w:b w:val="1"/>
          <w:bCs w:val="1"/>
          <w:color w:val="auto"/>
        </w:rPr>
        <w:t>not part of this prospectus.</w:t>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42175" cy="4420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2175" cy="442087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left="120" w:firstLine="648"/>
        <w:spacing w:after="0" w:line="259" w:lineRule="auto"/>
        <w:rPr>
          <w:sz w:val="20"/>
          <w:szCs w:val="20"/>
          <w:color w:val="auto"/>
        </w:rPr>
      </w:pPr>
      <w:r>
        <w:rPr>
          <w:rFonts w:ascii="Arial" w:cs="Arial" w:eastAsia="Arial" w:hAnsi="Arial"/>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7" w:lineRule="exact"/>
        <w:rPr>
          <w:sz w:val="20"/>
          <w:szCs w:val="20"/>
          <w:color w:val="auto"/>
        </w:rPr>
      </w:pPr>
    </w:p>
    <w:p>
      <w:pPr>
        <w:ind w:left="1100" w:hanging="327"/>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7">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June 30, 2018;</w:t>
      </w:r>
    </w:p>
    <w:p>
      <w:pPr>
        <w:spacing w:after="0" w:line="225" w:lineRule="exact"/>
        <w:rPr>
          <w:rFonts w:ascii="Arial" w:cs="Arial" w:eastAsia="Arial" w:hAnsi="Arial"/>
          <w:sz w:val="18"/>
          <w:szCs w:val="18"/>
          <w:color w:val="auto"/>
        </w:rPr>
      </w:pPr>
    </w:p>
    <w:p>
      <w:pPr>
        <w:jc w:val="both"/>
        <w:ind w:left="1100" w:hanging="327"/>
        <w:spacing w:after="0" w:line="264"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shares set forth in our registration statement on </w:t>
      </w:r>
      <w:hyperlink r:id="rId28">
        <w:r>
          <w:rPr>
            <w:rFonts w:ascii="Arial" w:cs="Arial" w:eastAsia="Arial" w:hAnsi="Arial"/>
            <w:sz w:val="18"/>
            <w:szCs w:val="18"/>
            <w:u w:val="single" w:color="auto"/>
            <w:color w:val="0000EE"/>
          </w:rPr>
          <w:t>Form 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333-223956) filed with the SEC on March 27, 2018 and declared effective on May 23, 2018, and our </w:t>
      </w:r>
      <w:hyperlink r:id="rId2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22, 2018, including any amendment or report filed for the purpose of updating that description; and</w:t>
      </w:r>
    </w:p>
    <w:p>
      <w:pPr>
        <w:spacing w:after="0" w:line="181" w:lineRule="exact"/>
        <w:rPr>
          <w:rFonts w:ascii="Arial" w:cs="Arial" w:eastAsia="Arial" w:hAnsi="Arial"/>
          <w:sz w:val="18"/>
          <w:szCs w:val="18"/>
          <w:color w:val="auto"/>
        </w:rPr>
      </w:pPr>
    </w:p>
    <w:p>
      <w:pPr>
        <w:ind w:left="1100" w:hanging="327"/>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Report of Foreign Private Issuer on Form 6-K furnished to the SEC on </w:t>
      </w:r>
      <w:hyperlink r:id="rId30">
        <w:r>
          <w:rPr>
            <w:rFonts w:ascii="Arial" w:cs="Arial" w:eastAsia="Arial" w:hAnsi="Arial"/>
            <w:sz w:val="18"/>
            <w:szCs w:val="18"/>
            <w:u w:val="single" w:color="auto"/>
            <w:color w:val="0000EE"/>
          </w:rPr>
          <w:t>November 28, 2018</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January 7</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February 20</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March 6</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March 26</w:t>
        </w:r>
      </w:hyperlink>
      <w:r>
        <w:rPr>
          <w:rFonts w:ascii="Arial" w:cs="Arial" w:eastAsia="Arial" w:hAnsi="Arial"/>
          <w:sz w:val="18"/>
          <w:szCs w:val="18"/>
          <w:color w:val="auto"/>
        </w:rPr>
        <w:t xml:space="preserve"> and </w:t>
      </w:r>
      <w:hyperlink r:id="rId35">
        <w:r>
          <w:rPr>
            <w:rFonts w:ascii="Arial" w:cs="Arial" w:eastAsia="Arial" w:hAnsi="Arial"/>
            <w:sz w:val="18"/>
            <w:szCs w:val="18"/>
            <w:u w:val="single" w:color="auto"/>
            <w:color w:val="0000EE"/>
          </w:rPr>
          <w:t>April 22, 2019</w:t>
        </w:r>
      </w:hyperlink>
      <w:r>
        <w:rPr>
          <w:rFonts w:ascii="Arial" w:cs="Arial" w:eastAsia="Arial" w:hAnsi="Arial"/>
          <w:sz w:val="18"/>
          <w:szCs w:val="18"/>
          <w:color w:val="auto"/>
        </w:rPr>
        <w:t>, respectively.</w:t>
      </w:r>
    </w:p>
    <w:p>
      <w:pPr>
        <w:spacing w:after="0" w:line="170" w:lineRule="exact"/>
        <w:rPr>
          <w:rFonts w:ascii="Arial" w:cs="Arial" w:eastAsia="Arial" w:hAnsi="Arial"/>
          <w:sz w:val="18"/>
          <w:szCs w:val="18"/>
          <w:color w:val="auto"/>
        </w:rPr>
      </w:pPr>
    </w:p>
    <w:p>
      <w:pPr>
        <w:jc w:val="both"/>
        <w:ind w:left="120" w:firstLine="648"/>
        <w:spacing w:after="0" w:line="279" w:lineRule="auto"/>
        <w:rPr>
          <w:sz w:val="20"/>
          <w:szCs w:val="20"/>
          <w:color w:val="auto"/>
        </w:rPr>
      </w:pPr>
      <w:r>
        <w:rPr>
          <w:rFonts w:ascii="Arial" w:cs="Arial" w:eastAsia="Arial" w:hAnsi="Arial"/>
          <w:sz w:val="17"/>
          <w:szCs w:val="17"/>
          <w:color w:val="auto"/>
        </w:rPr>
        <w:t>All documents filed by us pursuant to Sections 13(a), 13(c), 14 or 15(d) of the Exchange Act subsequent to the date of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71" w:lineRule="exact"/>
        <w:rPr>
          <w:rFonts w:ascii="Arial" w:cs="Arial" w:eastAsia="Arial" w:hAnsi="Arial"/>
          <w:sz w:val="18"/>
          <w:szCs w:val="18"/>
          <w:color w:val="auto"/>
        </w:rPr>
      </w:pPr>
    </w:p>
    <w:p>
      <w:pPr>
        <w:jc w:val="both"/>
        <w:ind w:left="120" w:firstLine="648"/>
        <w:spacing w:after="0" w:line="302" w:lineRule="auto"/>
        <w:rPr>
          <w:sz w:val="20"/>
          <w:szCs w:val="20"/>
          <w:color w:val="auto"/>
        </w:rPr>
      </w:pPr>
      <w:r>
        <w:rPr>
          <w:rFonts w:ascii="Arial" w:cs="Arial" w:eastAsia="Arial" w:hAnsi="Arial"/>
          <w:sz w:val="16"/>
          <w:szCs w:val="16"/>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54" w:lineRule="exact"/>
        <w:rPr>
          <w:rFonts w:ascii="Arial" w:cs="Arial" w:eastAsia="Arial" w:hAnsi="Arial"/>
          <w:sz w:val="18"/>
          <w:szCs w:val="18"/>
          <w:color w:val="auto"/>
        </w:rPr>
      </w:pPr>
    </w:p>
    <w:p>
      <w:pPr>
        <w:jc w:val="both"/>
        <w:ind w:left="120" w:firstLine="648"/>
        <w:spacing w:after="0" w:line="259" w:lineRule="auto"/>
        <w:rPr>
          <w:sz w:val="20"/>
          <w:szCs w:val="20"/>
          <w:color w:val="auto"/>
        </w:rPr>
      </w:pPr>
      <w:r>
        <w:rPr>
          <w:rFonts w:ascii="Arial" w:cs="Arial" w:eastAsia="Arial" w:hAnsi="Arial"/>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 incorporated by reference into those documents. Requests should be directed to our principal executive office, 2nd Floor, Building 18, Shanghai Pudong Software Park, 498 Guoshoujing Road, Pudong, Shanghai 201203, PRC.</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22"/>
          <w:szCs w:val="22"/>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42175" cy="4283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242175" cy="428371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140"/>
        <w:spacing w:after="0" w:line="312" w:lineRule="auto"/>
        <w:rPr>
          <w:sz w:val="20"/>
          <w:szCs w:val="20"/>
          <w:color w:val="auto"/>
        </w:rPr>
      </w:pPr>
      <w:r>
        <w:rPr>
          <w:rFonts w:ascii="Arial" w:cs="Arial" w:eastAsia="Arial" w:hAnsi="Arial"/>
          <w:sz w:val="16"/>
          <w:szCs w:val="16"/>
          <w:i w:val="1"/>
          <w:iCs w:val="1"/>
          <w:color w:val="auto"/>
        </w:rPr>
        <w:t>This summary does not contain all of the information about our company that may be important to you and your investment decision. You should carefully read the entire prospectus and the applicable prospectus supplement, including the section entitled “Risk Factors” as well as the risk factors described in the documents incorporated by reference into this prospectus and the applicable prospectus supplement, before making an investment decision.</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left="140" w:firstLine="630"/>
        <w:spacing w:after="0" w:line="259"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w:t>
      </w:r>
    </w:p>
    <w:p>
      <w:pPr>
        <w:spacing w:after="0" w:line="187" w:lineRule="exact"/>
        <w:rPr>
          <w:sz w:val="20"/>
          <w:szCs w:val="20"/>
          <w:color w:val="auto"/>
        </w:rPr>
      </w:pPr>
    </w:p>
    <w:p>
      <w:pPr>
        <w:jc w:val="both"/>
        <w:ind w:left="140" w:firstLine="630"/>
        <w:spacing w:after="0" w:line="288" w:lineRule="auto"/>
        <w:rPr>
          <w:sz w:val="20"/>
          <w:szCs w:val="20"/>
          <w:color w:val="auto"/>
        </w:rPr>
      </w:pPr>
      <w:r>
        <w:rPr>
          <w:rFonts w:ascii="Arial" w:cs="Arial" w:eastAsia="Arial" w:hAnsi="Arial"/>
          <w:sz w:val="16"/>
          <w:szCs w:val="16"/>
          <w:color w:val="auto"/>
        </w:rPr>
        <w:t>CLPS Incorporation was incorporated under the laws of the Cayman Islands on May 11, 2017. Since our inception, we have aimed to build one of the largest sales and service delivery platforms for IT services and solutions in China. The nature of the Company’s services is such that it provides a majority of services to its banking and credit card clients in order to build new or modify existing clients’ own proprietary systems. We maintain ten delivery and or research &amp; development centers to serve different customers in various geographic locations. Seven centers are located in China including cities of Shanghai, Beijing, Dalian, Tianjin, Chengdu, Guangzhou and Shenzhen. The remaining three centers are located in Hong Kong, Singapore and Australia.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left="140" w:firstLine="630"/>
        <w:spacing w:after="0" w:line="264" w:lineRule="auto"/>
        <w:rPr>
          <w:sz w:val="20"/>
          <w:szCs w:val="20"/>
          <w:color w:val="auto"/>
        </w:rPr>
      </w:pPr>
      <w:r>
        <w:rPr>
          <w:rFonts w:ascii="Arial" w:cs="Arial" w:eastAsia="Arial" w:hAnsi="Arial"/>
          <w:sz w:val="18"/>
          <w:szCs w:val="18"/>
          <w:color w:val="auto"/>
        </w:rPr>
        <w:t xml:space="preserve">Our principal executive office is located at the 2nd Floor, Building 18, Shanghai Pudong Software Park, 498 Guoshoujing Road, Pudong, Shanghai 201203, PRC. Our telephone number is (+86)21-31268010. Our website is as follows www.clpsglobal.com. </w:t>
      </w:r>
      <w:r>
        <w:rPr>
          <w:rFonts w:ascii="Arial" w:cs="Arial" w:eastAsia="Arial" w:hAnsi="Arial"/>
          <w:sz w:val="18"/>
          <w:szCs w:val="18"/>
          <w:b w:val="1"/>
          <w:bCs w:val="1"/>
          <w:color w:val="auto"/>
        </w:rPr>
        <w:t>The information on our website is</w:t>
      </w:r>
      <w:r>
        <w:rPr>
          <w:rFonts w:ascii="Arial" w:cs="Arial" w:eastAsia="Arial" w:hAnsi="Arial"/>
          <w:sz w:val="18"/>
          <w:szCs w:val="18"/>
          <w:color w:val="auto"/>
        </w:rPr>
        <w:t xml:space="preserve"> </w:t>
      </w:r>
      <w:r>
        <w:rPr>
          <w:rFonts w:ascii="Arial" w:cs="Arial" w:eastAsia="Arial" w:hAnsi="Arial"/>
          <w:sz w:val="18"/>
          <w:szCs w:val="18"/>
          <w:b w:val="1"/>
          <w:bCs w:val="1"/>
          <w:color w:val="auto"/>
        </w:rPr>
        <w:t>not part of this filing.</w:t>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 investment in our securities involves a high degree of risk and should be considered speculative. An investment in our securities should only be undertaken by those persons who can afford the total loss of their investment. In addition to the risk factors below, you should carefully consider the risks and uncertainties described under “Item 3D. Risk Factors” in our Annual Report on Form 20-F for the fiscal year ended June 30, 2018 and under “Risk Factors” in our registration statement on Form F-1 (File No. 333-223956) filed with the SEC on March 27, 2018 and declared effective on May 23, 2018, which sections are incorporated by reference herein, and the other information contained in this prospectus, as updated by our subsequent filings under the Exchange Act and the risk factors and other information contained in any applicable prospectus supplement, before purchasing any of our securities. Additional risks and uncertainties not presently known to us or that we believe to be immaterial may also adversely affect our business. If any of these risks actually occur, our business, financial condition, prospects, results of operations or cash flow could be materially and adversely affected and you could lose all or a part of the value of your investment.</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general economic conditions, geopolitical conditions, U.S.-China trade relations and other factors beyond the Company’s control may adversely impact our business and operating results.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181" w:lineRule="exact"/>
        <w:rPr>
          <w:sz w:val="20"/>
          <w:szCs w:val="20"/>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20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intergovernmental conflicts or actions, including but not limited to armed conflict, trade wars, retaliatory tariffs, and acts of terrorism or war; and</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74"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color w:val="auto"/>
        </w:rPr>
        <w:t>Any of the foregoing or similar factors could result in reduced demand for our services which, in turn, could have material adverse effects on our business and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prospectus, including the documents incorporated by reference herein, contains information that may be forward-looking statements within the meaning of applicable securities laws.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on the success of our business.</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conducted in China and majority of our revenues is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information concerning exchange rates between the RMB and the U.S. dollar for the periods indicated. On May 17, 2019, the buying rate announced by the Federal Reserve Statistical Release was RMB 6.9182 to $1.00.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Spot Exchange Rate</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490"/>
              <w:spacing w:after="0" w:line="198" w:lineRule="exact"/>
              <w:rPr>
                <w:sz w:val="20"/>
                <w:szCs w:val="20"/>
                <w:color w:val="auto"/>
              </w:rPr>
            </w:pPr>
            <w:r>
              <w:rPr>
                <w:rFonts w:ascii="Arial" w:cs="Arial" w:eastAsia="Arial" w:hAnsi="Arial"/>
                <w:sz w:val="18"/>
                <w:szCs w:val="18"/>
                <w:b w:val="1"/>
                <w:bCs w:val="1"/>
                <w:color w:val="auto"/>
              </w:rPr>
              <w:t>Period</w:t>
            </w:r>
          </w:p>
        </w:tc>
        <w:tc>
          <w:tcPr>
            <w:tcW w:w="1440" w:type="dxa"/>
            <w:vAlign w:val="bottom"/>
          </w:tcPr>
          <w:p>
            <w:pPr>
              <w:jc w:val="right"/>
              <w:ind w:right="470"/>
              <w:spacing w:after="0" w:line="198" w:lineRule="exact"/>
              <w:rPr>
                <w:sz w:val="20"/>
                <w:szCs w:val="20"/>
                <w:color w:val="auto"/>
              </w:rPr>
            </w:pPr>
            <w:r>
              <w:rPr>
                <w:rFonts w:ascii="Arial" w:cs="Arial" w:eastAsia="Arial" w:hAnsi="Arial"/>
                <w:sz w:val="18"/>
                <w:szCs w:val="18"/>
                <w:b w:val="1"/>
                <w:bCs w:val="1"/>
                <w:color w:val="auto"/>
              </w:rPr>
              <w:t>Average</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Ended</w:t>
            </w:r>
          </w:p>
        </w:tc>
        <w:tc>
          <w:tcPr>
            <w:tcW w:w="1440" w:type="dxa"/>
            <w:vAlign w:val="bottom"/>
          </w:tcPr>
          <w:p>
            <w:pPr>
              <w:ind w:left="460"/>
              <w:spacing w:after="0"/>
              <w:rPr>
                <w:sz w:val="20"/>
                <w:szCs w:val="20"/>
                <w:color w:val="auto"/>
              </w:rPr>
            </w:pPr>
            <w:r>
              <w:rPr>
                <w:rFonts w:ascii="Arial" w:cs="Arial" w:eastAsia="Arial" w:hAnsi="Arial"/>
                <w:sz w:val="18"/>
                <w:szCs w:val="18"/>
                <w:b w:val="1"/>
                <w:bCs w:val="1"/>
                <w:color w:val="auto"/>
              </w:rPr>
              <w:t>(1)</w:t>
            </w: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Low</w:t>
            </w: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High</w:t>
            </w: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40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(RMB per US$1.00)</w:t>
            </w: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6.9430</w:t>
            </w:r>
          </w:p>
        </w:tc>
        <w:tc>
          <w:tcPr>
            <w:tcW w:w="14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6.6400</w:t>
            </w:r>
          </w:p>
        </w:tc>
        <w:tc>
          <w:tcPr>
            <w:tcW w:w="13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6.4480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6.5063</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6.7569</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6.4773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6.9575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6.8755</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6.6090</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6.2649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6.9737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January</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6.6958</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6.7863</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6.6958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6.8708</w:t>
            </w: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February</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6.6912</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6.7367</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6.6822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6.7907</w:t>
            </w: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6.7112</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6.7119</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6.6916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6.7381</w:t>
            </w: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April</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6.7347</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6.7161</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6.6870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6.7418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Source: https://www.federalreserve.gov/releases/h10/hist/default.htm.</w:t>
      </w:r>
    </w:p>
    <w:p>
      <w:pPr>
        <w:spacing w:after="0" w:line="225"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averages, lows, and highs are calculated from month-end rates. Monthly averages, lows, and highs are calculated using the average of the daily rates during the relevant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Unless otherwise indicated in a prospectus supplement, the net proceeds that we receive from the sale of the securities offered by this prospectus will be used by us for working capital and general corporate purposes. We have not allocated any portion of the net proceeds for any particular use as of the date of this prospectus. The net proceeds may be invested temporarily until they are used for their stated purpose. Specific information concerning the use of proceeds from the sale of any securities will be included in the prospectus supplement relating to such securities.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SHARES AND TRADING MARKETS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Since May 24, 2018, our shares have been listed on the NASDAQ under the ticker symbol CLPS. The following tables set forth, for the periods indicated, the high and low market prices of our shares as reported on the NASDAQ.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ind w:left="860"/>
              <w:spacing w:after="0"/>
              <w:rPr>
                <w:sz w:val="20"/>
                <w:szCs w:val="20"/>
                <w:color w:val="auto"/>
              </w:rPr>
            </w:pPr>
            <w:r>
              <w:rPr>
                <w:rFonts w:ascii="Arial" w:cs="Arial" w:eastAsia="Arial" w:hAnsi="Arial"/>
                <w:sz w:val="18"/>
                <w:szCs w:val="18"/>
                <w:b w:val="1"/>
                <w:bCs w:val="1"/>
                <w:color w:val="auto"/>
              </w:rPr>
              <w:t>NASDAQ</w:t>
            </w: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w:t>
            </w:r>
          </w:p>
        </w:tc>
        <w:tc>
          <w:tcPr>
            <w:tcW w:w="13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High US$</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Low US$</w:t>
            </w:r>
          </w:p>
        </w:tc>
        <w:tc>
          <w:tcPr>
            <w:tcW w:w="100" w:type="dxa"/>
            <w:vAlign w:val="bottom"/>
          </w:tcPr>
          <w:p>
            <w:pPr>
              <w:spacing w:after="0"/>
              <w:rPr>
                <w:sz w:val="20"/>
                <w:szCs w:val="20"/>
                <w:color w:val="auto"/>
              </w:rPr>
            </w:pPr>
          </w:p>
        </w:tc>
      </w:tr>
      <w:tr>
        <w:trPr>
          <w:trHeight w:val="216"/>
        </w:trPr>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2018</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r>
      <w:tr>
        <w:trPr>
          <w:trHeight w:val="453"/>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4"/>
          </w:tcPr>
          <w:p>
            <w:pPr>
              <w:ind w:left="860"/>
              <w:spacing w:after="0"/>
              <w:rPr>
                <w:sz w:val="20"/>
                <w:szCs w:val="20"/>
                <w:color w:val="auto"/>
              </w:rPr>
            </w:pPr>
            <w:r>
              <w:rPr>
                <w:rFonts w:ascii="Arial" w:cs="Arial" w:eastAsia="Arial" w:hAnsi="Arial"/>
                <w:sz w:val="18"/>
                <w:szCs w:val="18"/>
                <w:b w:val="1"/>
                <w:bCs w:val="1"/>
                <w:color w:val="auto"/>
              </w:rPr>
              <w:t>NASDAQ</w:t>
            </w: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High US$</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Low US$</w:t>
            </w:r>
          </w:p>
        </w:tc>
        <w:tc>
          <w:tcPr>
            <w:tcW w:w="100" w:type="dxa"/>
            <w:vAlign w:val="bottom"/>
          </w:tcPr>
          <w:p>
            <w:pPr>
              <w:spacing w:after="0"/>
              <w:rPr>
                <w:sz w:val="20"/>
                <w:szCs w:val="20"/>
                <w:color w:val="auto"/>
              </w:rPr>
            </w:pPr>
          </w:p>
        </w:tc>
      </w:tr>
      <w:tr>
        <w:trPr>
          <w:trHeight w:val="216"/>
        </w:trPr>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1st Quarter ended September 30, 2018</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2nd Quarter ended December 31, 2018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ended March 31, 2019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holders of common shares are entitled to vote at all meetings of our shareholders. The holders of common shares are entitled to receive dividends as and when declared by the board, if 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a Cayman Islands company and our affairs are governed by our Memorandum and Articles of Association and Companies Law of the Cayman Islands, which we refer to as the Companies Law below. As of the date hereof, our authorized share capital consists of 100,000,000 common shares with a par value of US$0.0001 per share. As of May 24, 2019, there were 13,913,201 shares issued and outstanding. The following are summaries of material provisions of our memorandum and articles of association and the Companies Law insofar as they relate to the material terms of our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All of our outstanding common shares are fully paid and non-assessable. Certificates representing the common shares are issued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form. Our shareholders, whether or not they are non-residents of the Cayman Islands, may freely hold and transfer their common shares in accordance with the Memorandum and Articles of Association.</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holders of our common shares are entitled to such dividends as may be declared by our board of directors. Our articles of association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our board of directors may declare and pay dividends if justified by our financial position and permitted by law.</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In respect of all matters subject to a shareholders’ vote, each common share is entitled to one vote. Voting at any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Transfer of Common Shares. </w:t>
      </w:r>
      <w:r>
        <w:rPr>
          <w:rFonts w:ascii="Arial" w:cs="Arial" w:eastAsia="Arial" w:hAnsi="Arial"/>
          <w:sz w:val="17"/>
          <w:szCs w:val="17"/>
          <w:color w:val="auto"/>
        </w:rPr>
        <w:t>Subject to the restrictions set out below, any of our shareholders may transfer all or any of his or her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Calls on Common Shares and Forfeiture of Common Shares. </w:t>
      </w:r>
      <w:r>
        <w:rPr>
          <w:rFonts w:ascii="Arial" w:cs="Arial" w:eastAsia="Arial" w:hAnsi="Arial"/>
          <w:sz w:val="18"/>
          <w:szCs w:val="18"/>
          <w:color w:val="auto"/>
        </w:rPr>
        <w:t>Our board of directors may from time to time make calls upon shareholders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unpaid on their common shares in a notice served to such shareholders at least 14 clear days prior to the specified time of payment. The common shares that have been called upon and remain unpaid are subject to forfeiture.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Redemption of Common Shares. </w:t>
      </w:r>
      <w:r>
        <w:rPr>
          <w:rFonts w:ascii="Arial" w:cs="Arial" w:eastAsia="Arial" w:hAnsi="Arial"/>
          <w:sz w:val="17"/>
          <w:szCs w:val="17"/>
          <w:color w:val="auto"/>
        </w:rPr>
        <w:t>The Companies Law and our memorandum of association permit us to purchase our own shares.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Law have been satisfied, including out of capital, as may be determined by our board of directors.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common shares have no general right under our articles of association to inspect or obtain copies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memorandum of association authorizes our board of directors to issue additional common shares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as our board of directors shall determine, to the extent of available authorized but unissued shares. 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8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designation of the series to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common shares.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memorandum and articles of association may discourage, delay or prevent a change of control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 Exclusive Forum Provision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Law,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Companies Law is modeled after that of English law but does not follow many recent English law statutory enactments. In addition, the Companies Law differs from laws applicable to United States corporations and their shareholders. Set forth below is a summary of some of the significant differences between the provisions of the Companies Law applicable to us and the laws applicable to companies incorporated in the State of Delaware.</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Mergers and Similar Arrangements. </w:t>
      </w:r>
      <w:r>
        <w:rPr>
          <w:rFonts w:ascii="Arial" w:cs="Arial" w:eastAsia="Arial" w:hAnsi="Arial"/>
          <w:sz w:val="18"/>
          <w:szCs w:val="18"/>
          <w:color w:val="auto"/>
        </w:rPr>
        <w:t>The Companies Law permits mergers and consolidations between Cayman Islands companies and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consolidated company and the vesting of the undertaking, property and liabilities of such companies to the consolidated company.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under the Companies Law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arrangement is such that an intelligent and honest man of that class acting in respect of his interest would reasonably approve;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When a take-over offer is made and accepted by holders of not less than 90% of the shares within four months, the offer, or may, within a two-month period conversing on the expiration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 and is therefore incapable of ratification by the shareholders;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duly effected if authorized by more than a simple majority vote that has not been obtained;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Indemnification of Directors and Executive Officers and Limitation of Liability. </w:t>
      </w:r>
      <w:r>
        <w:rPr>
          <w:rFonts w:ascii="Arial" w:cs="Arial" w:eastAsia="Arial" w:hAnsi="Arial"/>
          <w:sz w:val="16"/>
          <w:szCs w:val="16"/>
          <w:color w:val="auto"/>
        </w:rPr>
        <w:t>The Companies Law does not limit the extent to which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courts are moving towards an objective standard with regard to the required skill and care and these authorities are likely to be followed in the Cayman Islands.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Shareholder Action by Written Consent. </w:t>
      </w:r>
      <w:r>
        <w:rPr>
          <w:rFonts w:ascii="Arial" w:cs="Arial" w:eastAsia="Arial" w:hAnsi="Arial"/>
          <w:sz w:val="18"/>
          <w:szCs w:val="18"/>
          <w:color w:val="auto"/>
        </w:rPr>
        <w:t>Under the Delaware General Corporation Law, a corporation may eliminate the right of shareholders to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Law provides shareholders with only limited rights to requisition a general meeting and does not provide shareholders with any right to put any proposal before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Law but our articles of association do not provide for cumulative voting.</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Removal of Directors. </w:t>
      </w:r>
      <w:r>
        <w:rPr>
          <w:rFonts w:ascii="Arial" w:cs="Arial" w:eastAsia="Arial" w:hAnsi="Arial"/>
          <w:sz w:val="18"/>
          <w:szCs w:val="18"/>
          <w:color w:val="auto"/>
        </w:rPr>
        <w:t>Under the Delaware General Corporation Law, a director of a corporation with a may be removed with the approval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outstanding shares entitled to vote, unless the certificate of incorporation provides otherwise. Under our articles of association, directors may be removed with or without cause, by an ordinary resolution of our shareholders.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 Delaware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 dissolution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articles of association, our company may be dissolved, liquidated or wound up by a special resolution of our shareholders.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the Companies Law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Amendment of Governing Documents. </w:t>
      </w:r>
      <w:r>
        <w:rPr>
          <w:rFonts w:ascii="Arial" w:cs="Arial" w:eastAsia="Arial" w:hAnsi="Arial"/>
          <w:sz w:val="17"/>
          <w:szCs w:val="17"/>
          <w:color w:val="auto"/>
        </w:rPr>
        <w:t>Under the Delaware General Corporation Law, a corporation’s governing documents may be amended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approval of a majority of the outstanding shares entitled to vote, unless the certificate of incorporation provides otherwise. As permitted by the Companies Law, our memorandum and articles of association may only be amended with a special resolution of our shareholders.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Rights of Non-resident or Foreign Shareholders. </w:t>
      </w:r>
      <w:r>
        <w:rPr>
          <w:rFonts w:ascii="Arial" w:cs="Arial" w:eastAsia="Arial" w:hAnsi="Arial"/>
          <w:sz w:val="18"/>
          <w:szCs w:val="18"/>
          <w:color w:val="auto"/>
        </w:rPr>
        <w:t>There are no limitations imposed by our memorandum and articles of association on the rights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non-resident or foreign shareholders to hold or exercise voting rights on our shares. In addition, there are no provisions in our memorandum and articles of association governing the ownership threshold above which shareholder ownership must be disclosed.</w:t>
      </w:r>
    </w:p>
    <w:p>
      <w:pPr>
        <w:sectPr>
          <w:pgSz w:w="11900" w:h="16838" w:orient="portrait"/>
          <w:cols w:equalWidth="0" w:num="1">
            <w:col w:w="11420"/>
          </w:cols>
          <w:pgMar w:left="240" w:top="226" w:right="2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PREFERRED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stock of each series will be fixed by the certificate of designation relating to that series.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has the authority, without stockholder approval, subject to limitations prescribed by law, to provide for the issuance of the shares of preferred stock in one or more series,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spacing w:after="0" w:line="18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shares constituting that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 rights and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conversion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rights and terms of redemption (including sinking fund provisions);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rights of the series in the event of liquidation, dissolution or winding up.</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All shares of preferred stock offered hereby will, when issued, be fully paid and nonassessable and will not have any preemptive or similar rights. 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set forth in a prospectus supplement relating to the series of preferred stock being offered the following items:</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and stated value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shares of the preferred stock offered, the liquidation preference per share and the offering price of the preferred stock;</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applicable to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dividends are cumulative or non-cumulative and, if cumulative, the date from which dividends on the preferred stock will accumulate;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for a sinking fund, if any, for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 for redemption, if applicable,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will be convertible into common stock, including the conversion price (or manner of calculation) and conversion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discussion of any material and/or special United States federal income tax considerations applicable to the preferred stock;</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the liquidation, dissolution or winding up of our affairs;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of preferred stock will be set forth in the applicable prospectus supplement.</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may issue warrants for the purchase of common shares. Warrants may be offered separately or together with other securities offered by this prospectus, as the case may be. Unless the applicable prospectus supplement otherwise indicates, each series of warrants will be issued under a separate warrant agreement to be entered into between us and one or more banks or trust companies acting as warrant agent. The applicable prospectus supplement will include details of the warrant agreements covering the warrants being offered. The warrant agent will act solely as our agent and will not assume a relationship of agency with any holders of warrant certificates or beneficial owners of warrants.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sets forth certain general terms and provisions of the warrants offered under this prospectus. The specific terms of the warrants, and the extent to which the general terms described in this section apply to those warrants, will be set forth in the applicable prospectus supplement. The terms of any warrants offered under a prospectus supplement may differ from the terms described below.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particular terms of each issue of warrants will be described in the related prospectus supplement. This description will include some or all of the following:</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at which the warrants will be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currency or currencies in which the warrants will be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terms of our common shares purchasable upon exercise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common shares that may be purchased upon exercise of each warrant and the price at which and currency or currencies in which our common shares may be purchased upon exercise of each warrant;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will be offered, if any, and the number of the warrants that will be offered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if any, on or after which the warrants and the related securities will be transferable separately;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whether the warrants will be subject to redemption or call and, if so, the terms of such redemption or call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 United States and Canadian tax consequences of owning the warrants;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material terms or conditions of the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warrant will entitle the holder to purchase common shares, as specified in the applicable prospectus supplement at the exercise price that we describe therein.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spacing w:after="0" w:line="18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the principal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if any, the date interest will accrue, the interest payment dates and the regular record 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mandatory or optional redemption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applicable, the method for determining how the principal, premium, if any, or interest will be calculated by reference to an index or formula;</w:t>
      </w:r>
    </w:p>
    <w:p>
      <w:pPr>
        <w:spacing w:after="0" w:line="248"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the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portion of the principal amount that will be payable upon acceleration of stated maturity, if other than the entire principal amount;</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defeasance provisions if different from those described below under “Satisfaction and Discharge; Defeasance”;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obligation to redeem or purchase the debt securities pursuant to a sinking fund;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subordination provisions, if different from those described below under “Subordination”;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or covenants;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potential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registered in the name of a depositary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event of default is continuing;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executes and delivers to the trustee an officers’ certificate stating that the global security is exchangeable.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18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not be entitled to physical delivery of certificated debt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not be considered to be holders of those debt securities under the indentures.</w:t>
      </w:r>
    </w:p>
    <w:p>
      <w:pPr>
        <w:spacing w:after="0" w:line="225" w:lineRule="exact"/>
        <w:rPr>
          <w:sz w:val="20"/>
          <w:szCs w:val="20"/>
          <w:color w:val="auto"/>
        </w:rPr>
      </w:pPr>
    </w:p>
    <w:p>
      <w:pPr>
        <w:jc w:val="both"/>
        <w:ind w:firstLine="308"/>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jc w:val="both"/>
        <w:ind w:firstLine="308"/>
        <w:spacing w:after="0" w:line="286" w:lineRule="auto"/>
        <w:rPr>
          <w:sz w:val="20"/>
          <w:szCs w:val="20"/>
          <w:color w:val="auto"/>
        </w:rPr>
      </w:pPr>
      <w:r>
        <w:rPr>
          <w:rFonts w:ascii="Arial" w:cs="Arial" w:eastAsia="Arial" w:hAnsi="Arial"/>
          <w:sz w:val="17"/>
          <w:szCs w:val="17"/>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Payments, transfers and exchanges relating to beneficial interests in a global security will be subject to policies and procedures of the depositary.</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depositary policies and procedures may change from time to time. Neither we nor the trustee will have any responsibility or liability for the depositary’s or any participant’s records with respect to beneficial interests in a global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moneys paid by us to a paying agent for payment on any debt security which remain unclaimed at the end of two years after such payment was due will be repaid to us. Thereafter, the holder may look only to us for such payment.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spacing w:after="0" w:line="14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successor, if any, is a U.S. corporation, limited liability company, partnership, trust or other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successor assumes our obligations on the debt securities and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inform you otherwise in the prospectus supplement, the indenture will define an event of default with respect to any series of debt securities as one or more of the following events:</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any interest on any debt security of that series for 30 days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deposit any sinking fund payment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continued for 90 days after being given the notice required in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bankruptcy, insolvency or reorganization;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event of default specified in the prospectus supplement.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event of default of one series of debt securities is not necessarily an event of default for any other series of debt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holder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960" w:hanging="304"/>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holder has previously given to the trustee written notice of a continuing event of default with respect to the debt securities of that series;</w:t>
      </w:r>
    </w:p>
    <w:p>
      <w:pPr>
        <w:spacing w:after="0" w:line="236" w:lineRule="exact"/>
        <w:rPr>
          <w:rFonts w:ascii="Arial" w:cs="Arial" w:eastAsia="Arial" w:hAnsi="Arial"/>
          <w:sz w:val="17"/>
          <w:szCs w:val="17"/>
          <w:color w:val="auto"/>
        </w:rPr>
      </w:pPr>
    </w:p>
    <w:p>
      <w:pPr>
        <w:ind w:left="960" w:hanging="30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960" w:hanging="304"/>
        <w:spacing w:after="0" w:line="308" w:lineRule="auto"/>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Holders may, however, sue to enforce the payment of principal or interest on any debt security on or after the due date without following the procedures listed in (1) through (3)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However, neither we nor the trustee may make any amendment or waiver without the consent of the holder of each outstanding security of that series affected by the amendment or waiver if such amendment or waiver would, among other things:</w:t>
      </w:r>
    </w:p>
    <w:p>
      <w:pPr>
        <w:spacing w:after="0" w:line="170" w:lineRule="exact"/>
        <w:rPr>
          <w:sz w:val="20"/>
          <w:szCs w:val="20"/>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amount of securities whose holders must consent to an amendment, supplement or waiver;</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on any debt security or reduce the amount of, or postpone the date fixed for, the payment of any sinking fund;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on acceleration of maturity;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rate of interest or extend the time for payment of interest on any debt security;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 principal or interest payment on any debt security in any currency other than that stated in the debt security;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60" w:hanging="304"/>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any default or event of default in payment of the principal of, premium or interest on any debt security (except certain rescissions of acceleration); or</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 redemption payment or modify any of the redemption provisions of any debt security;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the preceding, without the consent of any holder of outstanding securities, we and the trustee may amend or supplement the indentures:</w:t>
      </w:r>
    </w:p>
    <w:p>
      <w:pPr>
        <w:spacing w:after="0" w:line="170" w:lineRule="exact"/>
        <w:rPr>
          <w:sz w:val="20"/>
          <w:szCs w:val="20"/>
          <w:color w:val="auto"/>
        </w:rPr>
      </w:pPr>
    </w:p>
    <w:p>
      <w:pPr>
        <w:ind w:left="960" w:hanging="304"/>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48" w:lineRule="exact"/>
        <w:rPr>
          <w:rFonts w:ascii="Arial" w:cs="Arial" w:eastAsia="Arial" w:hAnsi="Arial"/>
          <w:sz w:val="16"/>
          <w:szCs w:val="16"/>
          <w:color w:val="auto"/>
        </w:rPr>
      </w:pPr>
    </w:p>
    <w:p>
      <w:pPr>
        <w:ind w:left="960" w:hanging="30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960" w:hanging="304"/>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the assumption of our obligations to holders of any debt security in the case of a merger, consolidation, transfer or sale of all or substantially all of our assets;</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legal rights under the indenture of any such holder;</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an indenture under the Trust Indenture Act; or</w:t>
      </w:r>
    </w:p>
    <w:p>
      <w:pPr>
        <w:spacing w:after="0" w:line="248" w:lineRule="exact"/>
        <w:rPr>
          <w:rFonts w:ascii="Arial" w:cs="Arial" w:eastAsia="Arial" w:hAnsi="Arial"/>
          <w:sz w:val="16"/>
          <w:szCs w:val="16"/>
          <w:color w:val="auto"/>
        </w:rPr>
      </w:pPr>
    </w:p>
    <w:p>
      <w:pPr>
        <w:jc w:val="both"/>
        <w:ind w:left="960" w:hanging="304"/>
        <w:spacing w:after="0" w:line="264"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consent of holders is not necessary under the indentures to approve the particular form of any proposed amendment. It is sufficient if such consent approves the substance of the proposed amendment.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w:t>
      </w:r>
    </w:p>
    <w:p>
      <w:pPr>
        <w:spacing w:after="0" w:line="225" w:lineRule="exact"/>
        <w:rPr>
          <w:sz w:val="20"/>
          <w:szCs w:val="20"/>
          <w:color w:val="auto"/>
        </w:rPr>
      </w:pPr>
    </w:p>
    <w:p>
      <w:pPr>
        <w:ind w:left="960" w:hanging="304"/>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be discharged from all of our obligations, subject to limited exceptions, with respect to any series of debt securities then outstanding; and/or</w:t>
      </w:r>
    </w:p>
    <w:p>
      <w:pPr>
        <w:spacing w:after="0" w:line="248" w:lineRule="exact"/>
        <w:rPr>
          <w:rFonts w:ascii="Arial" w:cs="Arial" w:eastAsia="Arial" w:hAnsi="Arial"/>
          <w:sz w:val="16"/>
          <w:szCs w:val="16"/>
          <w:color w:val="auto"/>
        </w:rPr>
      </w:pPr>
    </w:p>
    <w:p>
      <w:pPr>
        <w:ind w:left="960" w:hanging="30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be released from our obligations under the following covenants and from the consequences of an event of default resulting from a breach of certain covenants, including covenants as to payment of taxes and maintenance of corporate existence.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and the debt securities will be governed by, and construed under, the law of the State of New York.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limits the right of the trustee, should it become a creditor of us,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not make any payment on subordinated debt securities, including upon redemption at the option of the holder of any subordinated debt securities or at our option, if:</w:t>
      </w:r>
    </w:p>
    <w:p>
      <w:pPr>
        <w:spacing w:after="0" w:line="170" w:lineRule="exact"/>
        <w:rPr>
          <w:sz w:val="20"/>
          <w:szCs w:val="20"/>
          <w:color w:val="auto"/>
        </w:rPr>
      </w:pPr>
    </w:p>
    <w:p>
      <w:pPr>
        <w:ind w:left="960" w:hanging="30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the payment of the principal, premium, if any, interest, rent or other obligations in respect of designated senior indebtedness occurs and is continuing beyond any applicable period of grace (called a “payment default”); or</w:t>
      </w:r>
    </w:p>
    <w:p>
      <w:pPr>
        <w:spacing w:after="0" w:line="170" w:lineRule="exact"/>
        <w:rPr>
          <w:rFonts w:ascii="Arial" w:cs="Arial" w:eastAsia="Arial" w:hAnsi="Arial"/>
          <w:sz w:val="18"/>
          <w:szCs w:val="18"/>
          <w:color w:val="auto"/>
        </w:rPr>
      </w:pPr>
    </w:p>
    <w:p>
      <w:pPr>
        <w:jc w:val="both"/>
        <w:ind w:left="960" w:hanging="304"/>
        <w:spacing w:after="0" w:line="264"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prohibited from incurring debt, including senior indebtedness, under the indenture. We may from time to time incur additional debt, including senior indebtedness.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“indebtedness” means:</w:t>
      </w:r>
    </w:p>
    <w:p>
      <w:pPr>
        <w:spacing w:after="0" w:line="225" w:lineRule="exact"/>
        <w:rPr>
          <w:sz w:val="20"/>
          <w:szCs w:val="20"/>
          <w:color w:val="auto"/>
        </w:rPr>
      </w:pPr>
    </w:p>
    <w:p>
      <w:pPr>
        <w:jc w:val="both"/>
        <w:ind w:firstLine="656"/>
        <w:spacing w:after="0" w:line="259" w:lineRule="auto"/>
        <w:tabs>
          <w:tab w:leader="none" w:pos="9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reimbursement obligations and other liabilities with respect to letters of credit, bank guarantees or bankers’ acceptances;</w:t>
      </w:r>
    </w:p>
    <w:p>
      <w:pPr>
        <w:spacing w:after="0" w:line="225" w:lineRule="exact"/>
        <w:rPr>
          <w:rFonts w:ascii="Arial" w:cs="Arial" w:eastAsia="Arial" w:hAnsi="Arial"/>
          <w:sz w:val="18"/>
          <w:szCs w:val="18"/>
          <w:color w:val="auto"/>
        </w:rPr>
      </w:pPr>
    </w:p>
    <w:p>
      <w:pPr>
        <w:ind w:firstLine="656"/>
        <w:spacing w:after="0" w:line="277" w:lineRule="auto"/>
        <w:tabs>
          <w:tab w:leader="none" w:pos="9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obligations and liabilities in respect of leases required in conformity with generally accepted accounting principles to be accounted for as capitalized lease obligations on our balance sheet;</w:t>
      </w:r>
    </w:p>
    <w:p>
      <w:pPr>
        <w:spacing w:after="0" w:line="170" w:lineRule="exact"/>
        <w:rPr>
          <w:rFonts w:ascii="Arial" w:cs="Arial" w:eastAsia="Arial" w:hAnsi="Arial"/>
          <w:sz w:val="18"/>
          <w:szCs w:val="18"/>
          <w:color w:val="auto"/>
        </w:rPr>
      </w:pPr>
    </w:p>
    <w:p>
      <w:pPr>
        <w:jc w:val="both"/>
        <w:ind w:firstLine="656"/>
        <w:spacing w:after="0" w:line="312" w:lineRule="auto"/>
        <w:tabs>
          <w:tab w:leader="none" w:pos="91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spacing w:after="0" w:line="146" w:lineRule="exact"/>
        <w:rPr>
          <w:rFonts w:ascii="Arial" w:cs="Arial" w:eastAsia="Arial" w:hAnsi="Arial"/>
          <w:sz w:val="16"/>
          <w:szCs w:val="16"/>
          <w:color w:val="auto"/>
        </w:rPr>
      </w:pPr>
    </w:p>
    <w:p>
      <w:pPr>
        <w:ind w:firstLine="656"/>
        <w:spacing w:after="0" w:line="277" w:lineRule="auto"/>
        <w:tabs>
          <w:tab w:leader="none" w:pos="9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obligations with respect to an interest rate or other swap, cap or collar agreement or other similar instrument or agreement or foreign currency hedge, exchange, purchase or other similar instrument or agreement;</w:t>
      </w:r>
    </w:p>
    <w:p>
      <w:pPr>
        <w:spacing w:after="0" w:line="170" w:lineRule="exact"/>
        <w:rPr>
          <w:rFonts w:ascii="Arial" w:cs="Arial" w:eastAsia="Arial" w:hAnsi="Arial"/>
          <w:sz w:val="18"/>
          <w:szCs w:val="18"/>
          <w:color w:val="auto"/>
        </w:rPr>
      </w:pPr>
    </w:p>
    <w:p>
      <w:pPr>
        <w:ind w:right="20" w:firstLine="656"/>
        <w:spacing w:after="0" w:line="308" w:lineRule="auto"/>
        <w:tabs>
          <w:tab w:leader="none" w:pos="917"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spacing w:after="0" w:line="146" w:lineRule="exact"/>
        <w:rPr>
          <w:rFonts w:ascii="Arial" w:cs="Arial" w:eastAsia="Arial" w:hAnsi="Arial"/>
          <w:sz w:val="17"/>
          <w:szCs w:val="17"/>
          <w:color w:val="auto"/>
        </w:rPr>
      </w:pPr>
    </w:p>
    <w:p>
      <w:pPr>
        <w:ind w:firstLine="656"/>
        <w:spacing w:after="0" w:line="277" w:lineRule="auto"/>
        <w:tabs>
          <w:tab w:leader="none" w:pos="9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indebtedness or other obligations described in (1) through (6) above secured by any mortgage, pledge, lien or other encumbrance existing on property which is owned or held by us; and</w:t>
      </w:r>
    </w:p>
    <w:p>
      <w:pPr>
        <w:spacing w:after="0" w:line="170" w:lineRule="exact"/>
        <w:rPr>
          <w:rFonts w:ascii="Arial" w:cs="Arial" w:eastAsia="Arial" w:hAnsi="Arial"/>
          <w:sz w:val="18"/>
          <w:szCs w:val="18"/>
          <w:color w:val="auto"/>
        </w:rPr>
      </w:pPr>
    </w:p>
    <w:p>
      <w:pPr>
        <w:ind w:firstLine="656"/>
        <w:spacing w:after="0" w:line="277" w:lineRule="auto"/>
        <w:tabs>
          <w:tab w:leader="none" w:pos="9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and all refinancings, replacements, deferrals, renewals, extensions and refundings of, or amendments, modifications or supplements to, any indebtedness, obligation or liability of the kind described in clauses (1) through (7) above.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spacing w:after="0" w:line="187" w:lineRule="exact"/>
        <w:rPr>
          <w:sz w:val="20"/>
          <w:szCs w:val="20"/>
          <w:color w:val="auto"/>
        </w:rPr>
      </w:pPr>
    </w:p>
    <w:p>
      <w:pPr>
        <w:ind w:left="980" w:right="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that expressly provides that it shall not be senior in right of payment to subordinated debt securities or expressly provides that it is on the same basis or junior to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indebtedness to any of our majority-owned subsidiaries;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subordinated debt securities.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RIGHTS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section describes the general terms and provisions of the rights to purchase certain of our securities that we may issue to holders of our securities by this prospectus. The applicable prospectus supplement will describe the specific terms of the rights then issued, and the terms and provisions described in this section will apply only to the extent not superseded by the terms of the applicable prospectus supplement.</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issue, as a dividend at no cost, to holders of record of our securities or any class or series thereof on the applicable record date, rights to purchase common shares or preferred shares, to purchase warrants exercisable for common shares, preferred shares, depositary shares, debt securities or units, to purchase debt securities, to purchase depositary shares or to purchase units consisting of two or more of the foregoing. In this prospectus, we refer to such rights as “stockholder rights.” If stockholder rights are so issued to existing holders of securities, each stockholder right will entitle the registered holder thereof to purchase the securities issuable upon exercise of the rights pursuant to the terms set forth in the applicable prospectus supplement.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stockholder rights are issued, the applicable prospectus supplement will describe the terms of such stockholder rights including the following where applicable:</w:t>
      </w:r>
    </w:p>
    <w:p>
      <w:pPr>
        <w:spacing w:after="0" w:line="17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subscription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subscription agent;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number of common shares, preferred shares, warrants, depositary shares or units, or principal amount of debt securities, purchasable upon exercise of such stockholder rights;</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case of stockholder rights for preferred shares, preferred share warrants, depositary shares or depositary share warrants, the designation, aggregate number, and terms of the class or series of preferred shares purchasable upon exercise of such stockholder rights or warrants;</w:t>
      </w:r>
    </w:p>
    <w:p>
      <w:pPr>
        <w:spacing w:after="0" w:line="123"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stockholder rights for debt securities or debt security warrants, the principal amount of debt securities purchasable upon exercise of such stockholder rights or warrants and the price at, and currency in which, this principal amount of debt securities may be purchased upon such exercise;</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date on which the right to exercise such stockholder rights shall commence and the expiration date on which such right shall expire;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income tax considerations;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material terms of such stockholder rights.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terms of the stockholder rights and the securities issuable upon exercise thereof, the prospectus supplement may describe, for a holder of such stockholder rights who validly exercises all stockholder rights issued to such holder, how to subscribe for unsubscribed securities, issuable pursuant to unexercised stockholder rights issued to other holders, to the extent such stockholder rights have not been exercised.</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Holders of stockholder rights will not be entitled by virtue of being such holders, to vote, to consent, to receive dividends, to receive notice with respect to any meeting of stockholders for the election of our directors or any other matter, or to exercise any rights whatsoever as stockholders of the Company, except to the extent described in the related prospectus supplement. In addition, holders of stockholder rights to purchase debt security warrants will not be entitled by virtue of being such holders, to receive payments of principal of, or premium, if any, or interest on, the debt securities purchasable upon exercise or to enforce covenants in the applicable indenture, except to the extent described in the related prospectus supplement.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We may, at our option, elect to offer fractional shares rather than full shares of the preferred shares of a series. In the event that we determine to do so, we will issue receipts for depositary shares, each of which will represent a fraction (to be set forth in the prospectus supplement relating to a particular series of preferred shares) of a share of a particular series of preferred shares as more fully described below.</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 The amount distributed in any of the foregoing cases will be reduced by any amounts required to be withheld by us or the depositary on account of taxes or other governmental charges.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Preferred Shares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 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 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depositary will forward to the holders of depositary shares all reports and communications from us that are delivered to the depositary and which we are required to furnish to the holders of the related preferred stock. 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units comprised of one or more of the other securities that may be offered under this prospectus, in any combination. The following information, together with the additional information we may include in any applicable prospectus supplements, summarizes the material terms and provisions of any such the units that we may offer under this prospectus. While the information below will apply generally to any units that we may offer under this prospectus, we will describe the particular terms of any series of units in detail in the applicable prospectus supplement. The terms of any units offered under a prospectus supplement may differ from the general terms described below.</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will file the form of unit agreement, if any, between us and a unit agent that describes the terms and conditions of the series of units we are offering, and any supplemental agreements, concurrently with the filing of the applicable prospectus supplement under which such series of units are offered. This summary is subject to, and qualified in their entirety by reference to, all the provisions of the unit agreement, if any, and any supplemental agreements applicable to a particular series of units. We urge you to read the applicable prospectus supplements related to the particular series of units that we sell under this prospectus, as well as the complete unit agreement, if any, and any supplemental agreements that contain the terms of the units.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issue units comprising one or more of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may be issued, if any, may provide that the securities included in the unit may not be held or transferred separately, at any time or at any time before a specified date. We will describe in the applicable prospectus supplement the terms of the series of units.</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provisions described in this section, as well as those described under “Description of Share Capital” and “Description of Warrants” will apply to each unit and to any share or warrant included in each unit, respectively. We may issue units in such amounts and in numerous distinct series as we determine.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sell the securities offered by this prospectus to or through underwriters or dealers, and also may sell those securities to one or more other purchasers directly or through agents, including sales pursuant to ordinary brokerage transactions and transactions in which a broker-dealer solicits purchasers, or if indicated in a prospectus supplement, pursuant to delayed delivery contracts, by remarketing firms or by other means. Underwriters may sell securities to or through dealers. Each prospectus supplement will set forth the terms of the offering, including the name or names of any underwriters, dealers or agents and any fees or compensation payable to them in connection with the offering and sale of a particular series or issue of securities, the public offering price or prices of the securities and the proceeds from the sale of the securities.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including sales made directly on the NASDAQ or other existing trading markets for the securities. The prices at which the securities may be offered may vary as between purchasers and during the period of distribution. If, in connection with the offering of securities at a fixed price or prices, the underwriters have made a bona fide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us.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Underwriters, dealers and agents who participate in the distribution of the securities may be entitled under agreements to be entered into with us to indemnification by us against certain liabilities, including liabilities under the Securities Act, or to contribution with respect to payments which such underwriters, dealers or agents may be required to make in respect thereof. Such underwriters, dealers and agents may be customers of, engage in transactions with, or perform services for us in the ordinary course of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any offering of securities, the underwriters may over-allot or effect transactions which stabilize or maintain the market price of the securities offered at a level above that which might otherwise prevail in the open market. Such transactions, if commenced, may be discontinued at any time. Any underwriters, dealers or agents to or through which securities other than our common shares are sold by us for public offering and sale may make a market in such securities, but such underwriters, dealers or agents will not be obligated to do so and may discontinue any such market making at any time and without notice. No assurance can be given that a market for trading in securities of any series or issue will develop or as to the liquidity of any such market, whether or not such securities are listed on a securities exchange.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place, time of delivery, and other terms of the offered securities will be described in the applicable prospectus supplement.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INCOME TAX CONSIDERATIONS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applicable prospectus supplement may describe certain United States federal income tax consequences of the acquisition, ownership and disposition of securities offered by this prospectus by an initial investor who is subject to United States federal income taxation. The applicable prospectus supplement may also describe certain Canadian federal income tax consequences to investors described therein of acquiring securities offered by the 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incorporated in the Cayman Islands in order to enjoy the following benefits: (1) political and economic stability; (2) an effective judicial system; (3) a favorable tax system; (4) the absence of exchange control or currency restrictions; and (5) the availability of professional and support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46" w:lineRule="exact"/>
        <w:rPr>
          <w:sz w:val="20"/>
          <w:szCs w:val="20"/>
          <w:color w:val="auto"/>
        </w:rPr>
      </w:pPr>
    </w:p>
    <w:p>
      <w:pPr>
        <w:jc w:val="both"/>
        <w:ind w:firstLine="8"/>
        <w:spacing w:after="0" w:line="254" w:lineRule="auto"/>
        <w:tabs>
          <w:tab w:leader="none" w:pos="2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and (2) Cayman Islands companies may not have standing to sue before the federal courts of the United States. Our constitutional documents do not contain provisions requiring that disputes, including those arising under the securities laws of the United States, between us, our officers, directors and shareholders, be arbitrated.</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of our operations are conducted outside the United States, and all of our assets are located outside the United States. A substantial number of our officers are nationals or residents of jurisdictions other than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appointed Corporation Service Company, 251 Little Falls Drive, Wilmington, DE 19808, as our agent upon whom process may be served in any action brought against us under the securities laws of the United States.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Ogier, our counsel as to Cayman Islands law, and Hansen &amp; Partners, our counsel as to PRC law, have advised us, respectively, that there is uncertainty as to whether the courts of the Cayman Islands and China, respectively, would:</w:t>
      </w:r>
    </w:p>
    <w:p>
      <w:pPr>
        <w:spacing w:after="0" w:line="170"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Hansen &amp; Partners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statements as of June 30, 2018 and 2017, respectively, and for the years then ended appearing in this prospectus, have been included herein and in the registration statement in reliance upon the report of Friedman LLP, an independent registered public accounting firm appearing elsewhere herein, and upon the authority of that firm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matters as to U.S. federal law in connection with this offering will be passed upon for us by Schiff Hardin LLP. The validity of the shares and certain legal matters relating to the offering as to Cayman Islands law will be passed upon for us by Ogier. Certain legal matters relating to the offering as to Chinese law will be passed upon for us by Hansen &amp; Partners of People’s Republic of China. In addition, certain legal matters in connection with any offering of securities under this prospectus will be passed upon for any underwriters, dealers or agents by counsel to be designated at the time of the offering by such underwriters, dealers or agents with respect to matters of applicable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260" w:type="dxa"/>
            <w:vAlign w:val="bottom"/>
            <w:tcBorders>
              <w:bottom w:val="single" w:sz="8" w:color="0000EE"/>
            </w:tcBorders>
            <w:gridSpan w:val="4"/>
          </w:tcPr>
          <w:p>
            <w:pPr>
              <w:spacing w:after="0" w:line="176" w:lineRule="exact"/>
              <w:rPr>
                <w:rFonts w:ascii="Arial" w:cs="Arial" w:eastAsia="Arial" w:hAnsi="Arial"/>
                <w:sz w:val="18"/>
                <w:szCs w:val="18"/>
                <w:color w:val="0000EE"/>
                <w:w w:val="96"/>
              </w:rPr>
            </w:pPr>
            <w:hyperlink r:id="rId63">
              <w:r>
                <w:rPr>
                  <w:rFonts w:ascii="Arial" w:cs="Arial" w:eastAsia="Arial" w:hAnsi="Arial"/>
                  <w:sz w:val="18"/>
                  <w:szCs w:val="18"/>
                  <w:color w:val="0000EE"/>
                  <w:w w:val="96"/>
                </w:rPr>
                <w:t>Specimen Certificate for Common Shares (incorporated by reference to Exhibit 4.1 from Registration Statement on F-1 (File No. 333-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4"/>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223956) filed with the SEC on March 27, 2018).</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rPr>
              <w:t>Form of Indenture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rPr>
              <w:t>Form of Debt Security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Form of Deposit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Opinion of Ogier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rPr>
              <w:t>Opinion of Schiff Hardin LLP</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5"/>
                <w:szCs w:val="15"/>
                <w:color w:val="auto"/>
              </w:rPr>
            </w:pPr>
          </w:p>
        </w:tc>
        <w:tc>
          <w:tcPr>
            <w:tcW w:w="10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Consent of Friedman LLP</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rPr>
              <w:t>Consent of Ogier (included in Exhibit 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Consent of Schiff Hardin LLP (included in Exhibit 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5"/>
                <w:szCs w:val="15"/>
                <w:color w:val="auto"/>
              </w:rPr>
            </w:pPr>
          </w:p>
        </w:tc>
        <w:tc>
          <w:tcPr>
            <w:tcW w:w="10260" w:type="dxa"/>
            <w:vAlign w:val="bottom"/>
            <w:gridSpan w:val="4"/>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Powers of Attorney (included on the signature pages to this registration statement)</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2420" w:type="dxa"/>
            <w:vAlign w:val="bottom"/>
            <w:tcBorders>
              <w:top w:val="single" w:sz="8" w:color="0000EE"/>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Statement of Eligibility on Form 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80" w:hanging="318"/>
        <w:spacing w:after="0" w:line="258"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be filed as an exhibit to a post-effective amendment to this registration statement or as an exhibit to a report filed on Form 6-K under the Exchange Act and incorporated herein by reference.</w:t>
      </w:r>
    </w:p>
    <w:p>
      <w:pPr>
        <w:spacing w:after="0" w:line="1"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be filed as a 305B2 filing in connection with an offering of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sz w:val="20"/>
          <w:szCs w:val="20"/>
          <w:color w:val="auto"/>
        </w:rPr>
      </w:pPr>
    </w:p>
    <w:p>
      <w:pPr>
        <w:jc w:val="both"/>
        <w:ind w:firstLine="656"/>
        <w:spacing w:after="0" w:line="273" w:lineRule="auto"/>
        <w:tabs>
          <w:tab w:leader="none" w:pos="93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jc w:val="both"/>
        <w:ind w:firstLine="656"/>
        <w:spacing w:after="0" w:line="297" w:lineRule="auto"/>
        <w:tabs>
          <w:tab w:leader="none" w:pos="966"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undertakings set forth in paragraphs (a)(1)(i), (a)(1)(ii) and (a)(1)(iii) above do not apply if the information required to be included in a post-effective amendment by those paragraphs is contained in reports filed with or furnished to the SEC by the registrant pursuant to Section 13 or Section 15(d) of the Securities Exchange Act of 1934, or the Exchange Act, that are incorporated by reference into the registration statement, or is contained in a form of prospectus filed pursuant to Rule 424(b) that is part of the registration statement.</w:t>
      </w:r>
    </w:p>
    <w:p>
      <w:pPr>
        <w:sectPr>
          <w:pgSz w:w="11900" w:h="16838" w:orient="portrait"/>
          <w:cols w:equalWidth="0" w:num="1">
            <w:col w:w="11420"/>
          </w:cols>
          <w:pgMar w:left="240" w:top="226" w:right="23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3" w:name="page34"/>
    <w:bookmarkEnd w:id="3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56"/>
        <w:spacing w:after="0" w:line="264" w:lineRule="auto"/>
        <w:tabs>
          <w:tab w:leader="none" w:pos="9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656"/>
        <w:spacing w:after="0" w:line="277" w:lineRule="auto"/>
        <w:tabs>
          <w:tab w:leader="none" w:pos="9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71" w:lineRule="auto"/>
        <w:tabs>
          <w:tab w:leader="none" w:pos="904"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 need not be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registrant includes in the prospectus, by means of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Rule 3-19 of Regulation S-K if such financial statements and information are contained in periodic reports filed with or furnished to the SEC by the registrant pursuant to Section 13 or Section 15(d) of the Exchange Act that are incorporated by reference into the registration statement.</w:t>
      </w:r>
    </w:p>
    <w:p>
      <w:pPr>
        <w:spacing w:after="0" w:line="178" w:lineRule="exact"/>
        <w:rPr>
          <w:rFonts w:ascii="Arial" w:cs="Arial" w:eastAsia="Arial" w:hAnsi="Arial"/>
          <w:sz w:val="17"/>
          <w:szCs w:val="17"/>
          <w:color w:val="auto"/>
        </w:rPr>
      </w:pPr>
    </w:p>
    <w:p>
      <w:pPr>
        <w:ind w:left="920" w:hanging="264"/>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sz w:val="20"/>
          <w:szCs w:val="20"/>
          <w:color w:val="auto"/>
        </w:rPr>
      </w:pPr>
    </w:p>
    <w:p>
      <w:pPr>
        <w:jc w:val="both"/>
        <w:ind w:firstLine="656"/>
        <w:spacing w:after="0" w:line="269" w:lineRule="auto"/>
        <w:tabs>
          <w:tab w:leader="none" w:pos="947"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 (B)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0" w:lineRule="exact"/>
        <w:rPr>
          <w:sz w:val="20"/>
          <w:szCs w:val="20"/>
          <w:color w:val="auto"/>
        </w:rPr>
      </w:pPr>
    </w:p>
    <w:p>
      <w:pPr>
        <w:jc w:val="both"/>
        <w:ind w:firstLine="656"/>
        <w:spacing w:after="0" w:line="302" w:lineRule="auto"/>
        <w:tabs>
          <w:tab w:leader="none" w:pos="9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right="20" w:firstLine="656"/>
        <w:spacing w:after="0" w:line="277" w:lineRule="auto"/>
        <w:tabs>
          <w:tab w:leader="none" w:pos="9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firstLine="656"/>
        <w:spacing w:after="0" w:line="277" w:lineRule="auto"/>
        <w:tabs>
          <w:tab w:leader="none" w:pos="9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656"/>
        <w:spacing w:after="0" w:line="259" w:lineRule="auto"/>
        <w:tabs>
          <w:tab w:leader="none" w:pos="9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jc w:val="both"/>
        <w:ind w:firstLine="656"/>
        <w:spacing w:after="0" w:line="291" w:lineRule="auto"/>
        <w:tabs>
          <w:tab w:leader="none" w:pos="909"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20"/>
          </w:cols>
          <w:pgMar w:left="240" w:top="226" w:right="2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4" w:name="page35"/>
    <w:bookmarkEnd w:id="3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the People’s Republic of China, on May 29, 2019.</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Each person whose signature appears below constitutes and appoints Raymond Ming Hui Lin and Xiao Feng Yang, or any of them, as his or her true and lawful attorneys-in-fact and agents, each of whom may act alone, with full powers of substitution and resubstitution, for him or her and in his or her name, place and stead, in any and all capacities, to sign any or all amendments to this registration statement, including post-effective amendments, and to file the same, with all exhibits thereto, and other documents and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or her said attorneys-in-fact and agents or any of them or his or her substitute or substitutes may lawfully do or cause to be done by virtue hereof. This Power of Attorney may be executed in multiple counterparts, each of which shall be deemed an original, but which taken together shall constitute one instrument. Pursuant to the requirements of the Securities Act of 1933, this registration statement has been signed by the following persons in the capacities indicated on May 29, 2019.</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2"/>
                <w:szCs w:val="22"/>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Xiao Feng Yang</w:t>
            </w:r>
          </w:p>
        </w:tc>
        <w:tc>
          <w:tcPr>
            <w:tcW w:w="2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Chairman, President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29, 2019</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Xiao Feng Yang</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2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c>
          <w:tcPr>
            <w:tcW w:w="2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29, 2019</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Raymond Ming Hui Lin</w:t>
            </w:r>
          </w:p>
        </w:tc>
        <w:tc>
          <w:tcPr>
            <w:tcW w:w="220" w:type="dxa"/>
            <w:vAlign w:val="bottom"/>
          </w:tcPr>
          <w:p>
            <w:pPr>
              <w:spacing w:after="0"/>
              <w:rPr>
                <w:sz w:val="20"/>
                <w:szCs w:val="20"/>
                <w:color w:val="auto"/>
              </w:rPr>
            </w:pPr>
          </w:p>
        </w:tc>
        <w:tc>
          <w:tcPr>
            <w:tcW w:w="456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280" w:type="dxa"/>
            <w:vAlign w:val="bottom"/>
          </w:tcPr>
          <w:p>
            <w:pPr>
              <w:spacing w:after="0"/>
              <w:rPr>
                <w:sz w:val="20"/>
                <w:szCs w:val="20"/>
                <w:color w:val="auto"/>
              </w:rPr>
            </w:pPr>
          </w:p>
        </w:tc>
      </w:tr>
      <w:tr>
        <w:trPr>
          <w:trHeight w:val="42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Tian van Acken</w:t>
            </w:r>
          </w:p>
        </w:tc>
        <w:tc>
          <w:tcPr>
            <w:tcW w:w="2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29, 2019</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Tian van Acken</w:t>
            </w:r>
          </w:p>
        </w:tc>
        <w:tc>
          <w:tcPr>
            <w:tcW w:w="220" w:type="dxa"/>
            <w:vAlign w:val="bottom"/>
          </w:tcPr>
          <w:p>
            <w:pPr>
              <w:spacing w:after="0"/>
              <w:rPr>
                <w:sz w:val="20"/>
                <w:szCs w:val="20"/>
                <w:color w:val="auto"/>
              </w:rPr>
            </w:pPr>
          </w:p>
        </w:tc>
        <w:tc>
          <w:tcPr>
            <w:tcW w:w="4560" w:type="dxa"/>
            <w:vAlign w:val="bottom"/>
            <w:gridSpan w:val="2"/>
          </w:tcPr>
          <w:p>
            <w:pPr>
              <w:spacing w:after="0" w:line="203" w:lineRule="exact"/>
              <w:rPr>
                <w:sz w:val="20"/>
                <w:szCs w:val="20"/>
                <w:color w:val="auto"/>
              </w:rPr>
            </w:pPr>
            <w:r>
              <w:rPr>
                <w:rFonts w:ascii="Arial" w:cs="Arial" w:eastAsia="Arial" w:hAnsi="Arial"/>
                <w:sz w:val="18"/>
                <w:szCs w:val="18"/>
                <w:color w:val="auto"/>
              </w:rPr>
              <w:t>(Principal Accounting and Financial Officer)</w:t>
            </w:r>
          </w:p>
        </w:tc>
        <w:tc>
          <w:tcPr>
            <w:tcW w:w="2280" w:type="dxa"/>
            <w:vAlign w:val="bottom"/>
          </w:tcPr>
          <w:p>
            <w:pPr>
              <w:spacing w:after="0"/>
              <w:rPr>
                <w:sz w:val="20"/>
                <w:szCs w:val="20"/>
                <w:color w:val="auto"/>
              </w:rPr>
            </w:pPr>
          </w:p>
        </w:tc>
      </w:tr>
      <w:tr>
        <w:trPr>
          <w:trHeight w:val="42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 He Shao</w:t>
            </w:r>
          </w:p>
        </w:tc>
        <w:tc>
          <w:tcPr>
            <w:tcW w:w="2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29, 2019</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Jin He Shao</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2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Kewei Huang</w:t>
            </w:r>
          </w:p>
        </w:tc>
        <w:tc>
          <w:tcPr>
            <w:tcW w:w="2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29, 2019</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Kewei Huang</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2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Amooi</w:t>
            </w:r>
          </w:p>
        </w:tc>
        <w:tc>
          <w:tcPr>
            <w:tcW w:w="2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29, 2019</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Kathryn Amooi</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154940</wp:posOffset>
            </wp:positionV>
            <wp:extent cx="2975610" cy="4546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29756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F-3 of CLPS Incorporation of our report dated September 25, 2018 with respect to the consolidated financial statements of CLPS Incorporation and subsidiaries included in its Annual Report on Form 20-F for the fiscal year ended June 30, 2018, filed with the Securities and Exchange Commission on September 25, 2018. We also consent to the reference to our firm under the wording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280035</wp:posOffset>
            </wp:positionV>
            <wp:extent cx="5531485" cy="3771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531485" cy="3771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9"/>
    </w:lvl>
  </w:abstractNum>
  <w:abstractNum w:abstractNumId="32">
    <w:nsid w:val="440BADFC"/>
    <w:multiLevelType w:val="hybridMultilevel"/>
    <w:lvl w:ilvl="0">
      <w:lvlJc w:val="left"/>
      <w:lvlText w:val="(%1)"/>
      <w:numFmt w:val="lowerRoman"/>
      <w:start w:val="2"/>
    </w:lvl>
  </w:abstractNum>
  <w:abstractNum w:abstractNumId="33">
    <w:nsid w:val="5072367"/>
    <w:multiLevelType w:val="hybridMultilevel"/>
    <w:lvl w:ilvl="0">
      <w:lvlJc w:val="left"/>
      <w:lvlText w:val="(%1)"/>
      <w:numFmt w:val="decimal"/>
      <w:start w:val="2"/>
    </w:lvl>
  </w:abstractNum>
  <w:abstractNum w:abstractNumId="34">
    <w:nsid w:val="3804823E"/>
    <w:multiLevelType w:val="hybridMultilevel"/>
    <w:lvl w:ilvl="0">
      <w:lvlJc w:val="left"/>
      <w:lvlText w:val="(%1)"/>
      <w:numFmt w:val="upperLetter"/>
      <w:start w:val="1"/>
    </w:lvl>
  </w:abstractNum>
  <w:abstractNum w:abstractNumId="35">
    <w:nsid w:val="77465F01"/>
    <w:multiLevelType w:val="hybridMultilevel"/>
    <w:lvl w:ilvl="0">
      <w:lvlJc w:val="left"/>
      <w:lvlText w:val="(%1)"/>
      <w:numFmt w:val="decimal"/>
      <w:start w:val="6"/>
    </w:lvl>
  </w:abstractNum>
  <w:abstractNum w:abstractNumId="36">
    <w:nsid w:val="7724C67E"/>
    <w:multiLevelType w:val="hybridMultilevel"/>
    <w:lvl w:ilvl="0">
      <w:lvlJc w:val="left"/>
      <w:lvlText w:val="(%1)"/>
      <w:numFmt w:val="lowerRoman"/>
      <w:start w:val="1"/>
    </w:lvl>
  </w:abstractNum>
  <w:abstractNum w:abstractNumId="37">
    <w:nsid w:val="5C482A9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jpeg"/><Relationship Id="rId69" Type="http://schemas.openxmlformats.org/officeDocument/2006/relationships/image" Target="media/image52.jpeg"/><Relationship Id="rId27" Type="http://schemas.openxmlformats.org/officeDocument/2006/relationships/hyperlink" Target="http://www.sec.gov/Archives/edgar/data/1724542/000121390018012977/f20f2018_clpsincorporation.htm" TargetMode="External"/><Relationship Id="rId28" Type="http://schemas.openxmlformats.org/officeDocument/2006/relationships/hyperlink" Target="http://www.sec.gov/Archives/edgar/data/1724542/000121390018003524/ff12018_clpsincorporation.htm" TargetMode="External"/><Relationship Id="rId29" Type="http://schemas.openxmlformats.org/officeDocument/2006/relationships/hyperlink" Target="http://www.sec.gov/Archives/edgar/data/1724542/000121390018006724/f8a12b0518_clpsincorporation.htm" TargetMode="External"/><Relationship Id="rId30" Type="http://schemas.openxmlformats.org/officeDocument/2006/relationships/hyperlink" Target="http://www.sec.gov/Archives/edgar/data/1724542/000121390018016651/f6k112818_clpsincorp.htm" TargetMode="External"/><Relationship Id="rId31" Type="http://schemas.openxmlformats.org/officeDocument/2006/relationships/hyperlink" Target="http://www.sec.gov/Archives/edgar/data/1724542/000121390019000288/f6k1218_clpsincorporation.htm" TargetMode="External"/><Relationship Id="rId32" Type="http://schemas.openxmlformats.org/officeDocument/2006/relationships/hyperlink" Target="http://www.sec.gov/Archives/edgar/data/1724542/000121390019002895/f6k0219_clpsincorp.htm" TargetMode="External"/><Relationship Id="rId33" Type="http://schemas.openxmlformats.org/officeDocument/2006/relationships/hyperlink" Target="http://www.sec.gov/Archives/edgar/data/1724542/000121390019003658/f6k030619_clpsincorp.htm" TargetMode="External"/><Relationship Id="rId34" Type="http://schemas.openxmlformats.org/officeDocument/2006/relationships/hyperlink" Target="http://www.sec.gov/Archives/edgar/data/1724542/000121390019004849/f6k0319_clpsincorporation.htm" TargetMode="External"/><Relationship Id="rId35" Type="http://schemas.openxmlformats.org/officeDocument/2006/relationships/hyperlink" Target="http://www.sec.gov/Archives/edgar/data/1724542/000121390019006864/f6k041619_clpsincorporation.htm" TargetMode="External"/><Relationship Id="rId63" Type="http://schemas.openxmlformats.org/officeDocument/2006/relationships/hyperlink" Target="http://www.sec.gov/Archives/edgar/data/1724542/000121390018003524/ff12018ex4-1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2019-12-02T07:57:18Z</dcterms:created>
  <dcterms:modified xsi:type="dcterms:W3CDTF">2019-12-02T07:57:18Z</dcterms:modified>
</cp:coreProperties>
</file>