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10247-sc13da7huilin_clps.htm"/>
      <w:bookmarkStart w:id="1" w:name="ksea0210247sc13da7huilin_clps"/>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13D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CLPS Incorporation</w:t>
      </w:r>
    </w:p>
    <w:p>
      <w:pPr>
        <w:pStyle w:val="TextBody"/>
        <w:bidi w:val="0"/>
        <w:jc w:val="center"/>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jc w:val="center"/>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G31642</w:t>
      </w:r>
    </w:p>
    <w:p>
      <w:pPr>
        <w:pStyle w:val="TextBody"/>
        <w:bidi w:val="0"/>
        <w:jc w:val="center"/>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Raymond Ming Hui Lin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Unit 1000, 10th Floor, Millennium City III</w:t>
        <w:br/>
        <w:t>370 Kwun Tong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Kwun Tong, Kowloon</w:t>
        <w:br/>
        <w:t>Hong Kong SAR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+852 37073600</w:t>
      </w:r>
    </w:p>
    <w:p>
      <w:pPr>
        <w:pStyle w:val="TextBody"/>
        <w:bidi w:val="0"/>
        <w:ind w:left="0" w:right="0" w:hanging="0"/>
        <w:jc w:val="center"/>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Person Authorized to Receive Notices and Communications)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11, 2024</w:t>
      </w:r>
    </w:p>
    <w:p>
      <w:pPr>
        <w:pStyle w:val="TextBody"/>
        <w:bidi w:val="0"/>
        <w:jc w:val="center"/>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filing person has previously filed a statement on Schedule 13G to report the acquisition which is the subject of this Schedule 13D, and is filing this schedule because of Rule 13d-1(b)(3) or (4),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Schedules filed in paper format shall include a signed original and five copies of the schedule, including all exhibits. See §240.13d-7 for other parties to whom copies are to be sent.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tbl>
      <w:tblPr>
        <w:tblW w:w="3750" w:type="dxa"/>
        <w:jc w:val="left"/>
        <w:tblInd w:w="-15" w:type="dxa"/>
        <w:tblLayout w:type="fixed"/>
        <w:tblCellMar>
          <w:top w:w="40" w:type="dxa"/>
          <w:left w:w="40" w:type="dxa"/>
          <w:bottom w:w="40" w:type="dxa"/>
          <w:right w:w="40" w:type="dxa"/>
        </w:tblCellMar>
      </w:tblPr>
      <w:tblGrid>
        <w:gridCol w:w="1820"/>
        <w:gridCol w:w="365"/>
        <w:gridCol w:w="1565"/>
      </w:tblGrid>
      <w:tr>
        <w:trPr/>
        <w:tc>
          <w:tcPr>
            <w:tcW w:w="182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w:t>
            </w:r>
            <w:r>
              <w:rPr>
                <w:rFonts w:ascii="Times New Roman;Times;Serif" w:hAnsi="Times New Roman;Times;Serif"/>
                <w:sz w:val="20"/>
              </w:rPr>
              <w:t>CUSIP No. G31642  </w:t>
            </w:r>
          </w:p>
        </w:tc>
        <w:tc>
          <w:tcPr>
            <w:tcW w:w="36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13D</w:t>
            </w:r>
          </w:p>
        </w:tc>
        <w:tc>
          <w:tcPr>
            <w:tcW w:w="156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pPr>
            <w:r>
              <w:rPr/>
              <w:t>  </w:t>
            </w:r>
            <w:r>
              <w:rPr>
                <w:rFonts w:ascii="Times New Roman;Times;Serif" w:hAnsi="Times New Roman;Times;Serif"/>
                <w:sz w:val="20"/>
              </w:rPr>
              <w:t>Page 2 of 5 Pages</w:t>
            </w:r>
          </w:p>
        </w:tc>
      </w:tr>
    </w:tbl>
    <w:p>
      <w:pPr>
        <w:pStyle w:val="TextBody"/>
        <w:bidi w:val="0"/>
        <w:spacing w:before="0" w:after="0"/>
        <w:ind w:left="0" w:right="0" w:hanging="0"/>
        <w:jc w:val="both"/>
        <w:rPr>
          <w:caps w:val="false"/>
          <w:smallCaps w:val="false"/>
        </w:rPr>
      </w:pPr>
      <w:r>
        <w:rPr>
          <w:caps w:val="false"/>
          <w:smallCaps w:val="false"/>
        </w:rPr>
        <w:t> </w:t>
      </w:r>
    </w:p>
    <w:tbl>
      <w:tblPr>
        <w:tblW w:w="9341" w:type="dxa"/>
        <w:jc w:val="left"/>
        <w:tblInd w:w="-15" w:type="dxa"/>
        <w:tblLayout w:type="fixed"/>
        <w:tblCellMar>
          <w:top w:w="28" w:type="dxa"/>
          <w:left w:w="28" w:type="dxa"/>
          <w:bottom w:w="28" w:type="dxa"/>
          <w:right w:w="28" w:type="dxa"/>
        </w:tblCellMar>
      </w:tblPr>
      <w:tblGrid>
        <w:gridCol w:w="140"/>
        <w:gridCol w:w="9201"/>
      </w:tblGrid>
      <w:tr>
        <w:trPr/>
        <w:tc>
          <w:tcPr>
            <w:tcW w:w="1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201"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ind w:left="45" w:right="3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bidi w:val="0"/>
              <w:spacing w:before="0" w:after="0"/>
              <w:ind w:left="45" w:right="31" w:hanging="0"/>
              <w:jc w:val="left"/>
              <w:rPr>
                <w:caps w:val="false"/>
                <w:smallCaps w:val="false"/>
              </w:rPr>
            </w:pPr>
            <w:r>
              <w:rPr>
                <w:caps w:val="false"/>
                <w:smallCaps w:val="false"/>
              </w:rPr>
              <w:t> </w:t>
            </w:r>
          </w:p>
          <w:p>
            <w:pPr>
              <w:pStyle w:val="TableContents"/>
              <w:bidi w:val="0"/>
              <w:spacing w:before="0" w:after="0"/>
              <w:ind w:left="405" w:right="31"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Raymond Ming Hui Lin</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9201"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45" w:right="3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45" w:right="31"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w:t>
            </w:r>
          </w:p>
          <w:p>
            <w:pPr>
              <w:pStyle w:val="TableContents"/>
              <w:bidi w:val="0"/>
              <w:spacing w:before="0" w:after="0"/>
              <w:ind w:left="45" w:right="31"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9201" w:type="dxa"/>
            <w:tcBorders>
              <w:bottom w:val="single" w:sz="12" w:space="0" w:color="000000"/>
              <w:right w:val="single" w:sz="12" w:space="0" w:color="000000"/>
            </w:tcBorders>
            <w:tcMar>
              <w:top w:w="0" w:type="dxa"/>
              <w:left w:w="0" w:type="dxa"/>
              <w:right w:w="31" w:type="dxa"/>
            </w:tcMar>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SEC USE ONLY</w:t>
            </w:r>
          </w:p>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9201"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76" w:right="76"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SOURCE OF FUNDS*</w:t>
            </w:r>
          </w:p>
          <w:p>
            <w:pPr>
              <w:pStyle w:val="TableContents"/>
              <w:bidi w:val="0"/>
              <w:spacing w:before="0" w:after="0"/>
              <w:ind w:left="76" w:right="76" w:hanging="0"/>
              <w:jc w:val="left"/>
              <w:rPr>
                <w:caps w:val="false"/>
                <w:smallCaps w:val="false"/>
              </w:rPr>
            </w:pPr>
            <w:r>
              <w:rPr>
                <w:caps w:val="false"/>
                <w:smallCaps w:val="false"/>
              </w:rPr>
              <w:t> </w:t>
            </w:r>
          </w:p>
          <w:p>
            <w:pPr>
              <w:pStyle w:val="TableContents"/>
              <w:bidi w:val="0"/>
              <w:spacing w:before="0" w:after="0"/>
              <w:ind w:left="360" w:right="76"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PF/OO</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9201"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45" w:right="3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ITEMS 2(d) OR 2(e)</w:t>
            </w:r>
          </w:p>
          <w:p>
            <w:pPr>
              <w:pStyle w:val="TableContents"/>
              <w:bidi w:val="0"/>
              <w:spacing w:before="0" w:after="0"/>
              <w:ind w:left="45" w:right="31" w:hanging="0"/>
              <w:jc w:val="right"/>
              <w:rPr>
                <w:caps w:val="false"/>
                <w:smallCaps w:val="false"/>
              </w:rPr>
            </w:pPr>
            <w:r>
              <w:rPr>
                <w:caps w:val="false"/>
                <w:smallCaps w:val="false"/>
              </w:rPr>
              <w:t>  ☐  </w:t>
            </w:r>
          </w:p>
        </w:tc>
      </w:tr>
      <w:tr>
        <w:trPr/>
        <w:tc>
          <w:tcPr>
            <w:tcW w:w="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9201"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45" w:right="3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45" w:right="31" w:hanging="0"/>
              <w:jc w:val="left"/>
              <w:rPr>
                <w:caps w:val="false"/>
                <w:smallCaps w:val="false"/>
              </w:rPr>
            </w:pPr>
            <w:r>
              <w:rPr>
                <w:caps w:val="false"/>
                <w:smallCaps w:val="false"/>
              </w:rPr>
              <w:t> </w:t>
            </w:r>
          </w:p>
          <w:p>
            <w:pPr>
              <w:pStyle w:val="TableContents"/>
              <w:bidi w:val="0"/>
              <w:spacing w:before="0" w:after="0"/>
              <w:ind w:left="405" w:right="31"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 Special Administrative Region of the People’s Republic of China</w:t>
            </w:r>
          </w:p>
        </w:tc>
      </w:tr>
    </w:tbl>
    <w:tbl>
      <w:tblPr>
        <w:tblW w:w="4350" w:type="dxa"/>
        <w:jc w:val="left"/>
        <w:tblInd w:w="-15" w:type="dxa"/>
        <w:tblLayout w:type="fixed"/>
        <w:tblCellMar>
          <w:top w:w="0" w:type="dxa"/>
          <w:left w:w="28" w:type="dxa"/>
          <w:bottom w:w="28" w:type="dxa"/>
          <w:right w:w="28" w:type="dxa"/>
        </w:tblCellMar>
      </w:tblPr>
      <w:tblGrid>
        <w:gridCol w:w="1415"/>
        <w:gridCol w:w="230"/>
        <w:gridCol w:w="2705"/>
      </w:tblGrid>
      <w:tr>
        <w:trPr/>
        <w:tc>
          <w:tcPr>
            <w:tcW w:w="1415" w:type="dxa"/>
            <w:vMerge w:val="restart"/>
            <w:tcBorders>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 WITH</w:t>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2705" w:type="dxa"/>
            <w:tcBorders>
              <w:bottom w:val="single" w:sz="12" w:space="0" w:color="000000"/>
              <w:right w:val="single" w:sz="12" w:space="0" w:color="000000"/>
            </w:tcBorders>
            <w:tcMar>
              <w:left w:w="0" w:type="dxa"/>
            </w:tcMar>
            <w:vAlign w:val="center"/>
          </w:tcPr>
          <w:p>
            <w:pPr>
              <w:pStyle w:val="TableContents"/>
              <w:bidi w:val="0"/>
              <w:spacing w:before="0" w:after="0"/>
              <w:ind w:left="45"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45" w:right="0" w:hanging="0"/>
              <w:jc w:val="left"/>
              <w:rPr>
                <w:caps w:val="false"/>
                <w:smallCaps w:val="false"/>
              </w:rPr>
            </w:pPr>
            <w:r>
              <w:rPr>
                <w:caps w:val="false"/>
                <w:smallCaps w:val="false"/>
              </w:rPr>
              <w:t> </w:t>
            </w:r>
          </w:p>
          <w:p>
            <w:pPr>
              <w:pStyle w:val="TableContents"/>
              <w:bidi w:val="0"/>
              <w:spacing w:before="0" w:after="0"/>
              <w:ind w:left="225"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8,141,873 common shares</w:t>
            </w:r>
          </w:p>
        </w:tc>
      </w:tr>
      <w:tr>
        <w:trPr/>
        <w:tc>
          <w:tcPr>
            <w:tcW w:w="1415" w:type="dxa"/>
            <w:vMerge w:val="continue"/>
            <w:tcBorders>
              <w:left w:val="single" w:sz="12" w:space="0" w:color="000000"/>
              <w:bottom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2705" w:type="dxa"/>
            <w:tcBorders>
              <w:bottom w:val="single" w:sz="12" w:space="0" w:color="000000"/>
              <w:right w:val="single" w:sz="12" w:space="0" w:color="000000"/>
            </w:tcBorders>
            <w:tcMar>
              <w:left w:w="0" w:type="dxa"/>
            </w:tcMar>
            <w:vAlign w:val="center"/>
          </w:tcPr>
          <w:p>
            <w:pPr>
              <w:pStyle w:val="TableContents"/>
              <w:bidi w:val="0"/>
              <w:spacing w:before="0" w:after="0"/>
              <w:ind w:left="45"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45" w:right="0" w:hanging="0"/>
              <w:jc w:val="left"/>
              <w:rPr>
                <w:caps w:val="false"/>
                <w:smallCaps w:val="false"/>
              </w:rPr>
            </w:pPr>
            <w:r>
              <w:rPr>
                <w:caps w:val="false"/>
                <w:smallCaps w:val="false"/>
              </w:rPr>
              <w:t> </w:t>
            </w:r>
          </w:p>
          <w:p>
            <w:pPr>
              <w:pStyle w:val="TableContents"/>
              <w:bidi w:val="0"/>
              <w:spacing w:before="0" w:after="0"/>
              <w:ind w:left="225"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r>
        <w:trPr/>
        <w:tc>
          <w:tcPr>
            <w:tcW w:w="1415" w:type="dxa"/>
            <w:vMerge w:val="continue"/>
            <w:tcBorders>
              <w:left w:val="single" w:sz="12" w:space="0" w:color="000000"/>
              <w:bottom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2705" w:type="dxa"/>
            <w:tcBorders>
              <w:bottom w:val="single" w:sz="12" w:space="0" w:color="000000"/>
              <w:right w:val="single" w:sz="12" w:space="0" w:color="000000"/>
            </w:tcBorders>
            <w:tcMar>
              <w:left w:w="0" w:type="dxa"/>
            </w:tcMar>
            <w:vAlign w:val="center"/>
          </w:tcPr>
          <w:p>
            <w:pPr>
              <w:pStyle w:val="TableContents"/>
              <w:bidi w:val="0"/>
              <w:spacing w:before="0" w:after="0"/>
              <w:ind w:left="45"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45" w:right="0" w:hanging="0"/>
              <w:jc w:val="left"/>
              <w:rPr>
                <w:caps w:val="false"/>
                <w:smallCaps w:val="false"/>
              </w:rPr>
            </w:pPr>
            <w:r>
              <w:rPr>
                <w:caps w:val="false"/>
                <w:smallCaps w:val="false"/>
              </w:rPr>
              <w:t> </w:t>
            </w:r>
          </w:p>
          <w:p>
            <w:pPr>
              <w:pStyle w:val="TableContents"/>
              <w:bidi w:val="0"/>
              <w:spacing w:before="0" w:after="0"/>
              <w:ind w:left="225"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8,141,873 common shares</w:t>
            </w:r>
          </w:p>
        </w:tc>
      </w:tr>
      <w:tr>
        <w:trPr/>
        <w:tc>
          <w:tcPr>
            <w:tcW w:w="1415" w:type="dxa"/>
            <w:vMerge w:val="continue"/>
            <w:tcBorders>
              <w:left w:val="single" w:sz="12" w:space="0" w:color="000000"/>
              <w:bottom w:val="single" w:sz="12" w:space="0" w:color="000000"/>
              <w:right w:val="single" w:sz="12" w:space="0" w:color="000000"/>
            </w:tcBorders>
            <w:vAlign w:val="center"/>
          </w:tcPr>
          <w:p>
            <w:pPr>
              <w:pStyle w:val="Normal"/>
              <w:bidi w:val="0"/>
              <w:jc w:val="left"/>
              <w:rPr/>
            </w:pPr>
            <w:r>
              <w:rPr/>
            </w:r>
          </w:p>
        </w:tc>
        <w:tc>
          <w:tcPr>
            <w:tcW w:w="230" w:type="dxa"/>
            <w:tcBorders>
              <w:bottom w:val="single" w:sz="12" w:space="0" w:color="000000"/>
              <w:right w:val="single" w:sz="12"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2705" w:type="dxa"/>
            <w:tcBorders>
              <w:bottom w:val="single" w:sz="12" w:space="0" w:color="000000"/>
              <w:right w:val="single" w:sz="12" w:space="0" w:color="000000"/>
            </w:tcBorders>
            <w:tcMar>
              <w:left w:w="0" w:type="dxa"/>
            </w:tcMar>
            <w:vAlign w:val="center"/>
          </w:tcPr>
          <w:p>
            <w:pPr>
              <w:pStyle w:val="TableContents"/>
              <w:bidi w:val="0"/>
              <w:spacing w:before="0" w:after="0"/>
              <w:ind w:left="45"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45" w:right="0" w:hanging="0"/>
              <w:jc w:val="left"/>
              <w:rPr>
                <w:caps w:val="false"/>
                <w:smallCaps w:val="false"/>
              </w:rPr>
            </w:pPr>
            <w:r>
              <w:rPr>
                <w:caps w:val="false"/>
                <w:smallCaps w:val="false"/>
              </w:rPr>
              <w:t> </w:t>
            </w:r>
          </w:p>
          <w:p>
            <w:pPr>
              <w:pStyle w:val="TableContents"/>
              <w:bidi w:val="0"/>
              <w:spacing w:before="0" w:after="0"/>
              <w:ind w:left="225"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r>
    </w:tbl>
    <w:tbl>
      <w:tblPr>
        <w:tblW w:w="9400" w:type="dxa"/>
        <w:jc w:val="left"/>
        <w:tblInd w:w="-15" w:type="dxa"/>
        <w:tblLayout w:type="fixed"/>
        <w:tblCellMar>
          <w:top w:w="0" w:type="dxa"/>
          <w:left w:w="28" w:type="dxa"/>
          <w:bottom w:w="28" w:type="dxa"/>
          <w:right w:w="28" w:type="dxa"/>
        </w:tblCellMar>
      </w:tblPr>
      <w:tblGrid>
        <w:gridCol w:w="245"/>
        <w:gridCol w:w="9155"/>
      </w:tblGrid>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c>
          <w:tcPr>
            <w:tcW w:w="9155" w:type="dxa"/>
            <w:tcBorders>
              <w:bottom w:val="single" w:sz="12" w:space="0" w:color="000000"/>
              <w:right w:val="single" w:sz="12" w:space="0" w:color="000000"/>
            </w:tcBorders>
            <w:tcMar>
              <w:left w:w="0" w:type="dxa"/>
            </w:tcMar>
            <w:vAlign w:val="center"/>
          </w:tcPr>
          <w:p>
            <w:pPr>
              <w:pStyle w:val="TableContents"/>
              <w:bidi w:val="0"/>
              <w:spacing w:before="0" w:after="0"/>
              <w:ind w:left="45"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45" w:right="0" w:hanging="0"/>
              <w:jc w:val="left"/>
              <w:rPr>
                <w:caps w:val="false"/>
                <w:smallCaps w:val="false"/>
              </w:rPr>
            </w:pPr>
            <w:r>
              <w:rPr>
                <w:caps w:val="false"/>
                <w:smallCaps w:val="false"/>
              </w:rPr>
              <w:t> </w:t>
            </w:r>
          </w:p>
          <w:p>
            <w:pPr>
              <w:pStyle w:val="TableContents"/>
              <w:bidi w:val="0"/>
              <w:spacing w:before="0" w:after="0"/>
              <w:ind w:left="405" w:right="11"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8,141,873 common shares</w:t>
            </w:r>
          </w:p>
        </w:tc>
      </w:tr>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9155" w:type="dxa"/>
            <w:tcBorders>
              <w:bottom w:val="single" w:sz="12" w:space="0" w:color="000000"/>
              <w:right w:val="single" w:sz="12" w:space="0" w:color="000000"/>
            </w:tcBorders>
            <w:tcMar>
              <w:left w:w="0" w:type="dxa"/>
            </w:tcMar>
            <w:vAlign w:val="center"/>
          </w:tcPr>
          <w:p>
            <w:pPr>
              <w:pStyle w:val="TableContents"/>
              <w:bidi w:val="0"/>
              <w:spacing w:before="0" w:after="0"/>
              <w:ind w:left="45"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 Not Applicable*</w:t>
            </w:r>
          </w:p>
          <w:p>
            <w:pPr>
              <w:pStyle w:val="TableContents"/>
              <w:bidi w:val="0"/>
              <w:spacing w:before="0" w:after="0"/>
              <w:ind w:left="45" w:right="0" w:hanging="0"/>
              <w:jc w:val="right"/>
              <w:rPr>
                <w:caps w:val="false"/>
                <w:smallCaps w:val="false"/>
              </w:rPr>
            </w:pPr>
            <w:r>
              <w:rPr>
                <w:caps w:val="false"/>
                <w:smallCaps w:val="false"/>
              </w:rPr>
              <w:t>  ☐  </w:t>
            </w:r>
          </w:p>
        </w:tc>
      </w:tr>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13</w:t>
            </w:r>
          </w:p>
        </w:tc>
        <w:tc>
          <w:tcPr>
            <w:tcW w:w="9155" w:type="dxa"/>
            <w:tcBorders>
              <w:bottom w:val="single" w:sz="12" w:space="0" w:color="000000"/>
              <w:right w:val="single" w:sz="12" w:space="0" w:color="000000"/>
            </w:tcBorders>
            <w:tcMar>
              <w:left w:w="0" w:type="dxa"/>
            </w:tcMar>
            <w:vAlign w:val="center"/>
          </w:tcPr>
          <w:p>
            <w:pPr>
              <w:pStyle w:val="TableContents"/>
              <w:bidi w:val="0"/>
              <w:spacing w:before="0" w:after="0"/>
              <w:ind w:left="45"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spacing w:before="0" w:after="0"/>
              <w:ind w:left="45" w:right="0" w:hanging="0"/>
              <w:jc w:val="left"/>
              <w:rPr>
                <w:caps w:val="false"/>
                <w:smallCaps w:val="false"/>
              </w:rPr>
            </w:pPr>
            <w:r>
              <w:rPr>
                <w:caps w:val="false"/>
                <w:smallCaps w:val="false"/>
              </w:rPr>
              <w:t> </w:t>
            </w:r>
          </w:p>
          <w:p>
            <w:pPr>
              <w:pStyle w:val="TableContents"/>
              <w:bidi w:val="0"/>
              <w:spacing w:before="0" w:after="0"/>
              <w:ind w:left="405" w:right="11"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29.25% of the Company’s outstanding common shares</w:t>
            </w:r>
          </w:p>
        </w:tc>
      </w:tr>
      <w:tr>
        <w:trPr/>
        <w:tc>
          <w:tcPr>
            <w:tcW w:w="245" w:type="dxa"/>
            <w:tcBorders>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14</w:t>
            </w:r>
          </w:p>
        </w:tc>
        <w:tc>
          <w:tcPr>
            <w:tcW w:w="9155" w:type="dxa"/>
            <w:tcBorders>
              <w:bottom w:val="single" w:sz="12" w:space="0" w:color="000000"/>
              <w:right w:val="single" w:sz="12" w:space="0" w:color="000000"/>
            </w:tcBorders>
            <w:tcMar>
              <w:left w:w="0" w:type="dxa"/>
            </w:tcMar>
            <w:vAlign w:val="center"/>
          </w:tcPr>
          <w:p>
            <w:pPr>
              <w:pStyle w:val="TableContents"/>
              <w:bidi w:val="0"/>
              <w:spacing w:before="0" w:after="0"/>
              <w:ind w:left="45"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45" w:right="0" w:hanging="0"/>
              <w:jc w:val="left"/>
              <w:rPr>
                <w:caps w:val="false"/>
                <w:smallCaps w:val="false"/>
              </w:rPr>
            </w:pPr>
            <w:r>
              <w:rPr>
                <w:caps w:val="false"/>
                <w:smallCaps w:val="false"/>
              </w:rPr>
              <w:t> </w:t>
            </w:r>
          </w:p>
          <w:p>
            <w:pPr>
              <w:pStyle w:val="TableContents"/>
              <w:bidi w:val="0"/>
              <w:spacing w:before="0" w:after="0"/>
              <w:ind w:left="405"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tbl>
      <w:tblPr>
        <w:tblW w:w="3750" w:type="dxa"/>
        <w:jc w:val="left"/>
        <w:tblInd w:w="-15" w:type="dxa"/>
        <w:tblLayout w:type="fixed"/>
        <w:tblCellMar>
          <w:top w:w="40" w:type="dxa"/>
          <w:left w:w="40" w:type="dxa"/>
          <w:bottom w:w="40" w:type="dxa"/>
          <w:right w:w="40" w:type="dxa"/>
        </w:tblCellMar>
      </w:tblPr>
      <w:tblGrid>
        <w:gridCol w:w="1820"/>
        <w:gridCol w:w="365"/>
        <w:gridCol w:w="1565"/>
      </w:tblGrid>
      <w:tr>
        <w:trPr/>
        <w:tc>
          <w:tcPr>
            <w:tcW w:w="182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w:t>
            </w:r>
            <w:r>
              <w:rPr>
                <w:rFonts w:ascii="Times New Roman;Times;Serif" w:hAnsi="Times New Roman;Times;Serif"/>
                <w:sz w:val="20"/>
              </w:rPr>
              <w:t>CUSIP No. G31642  </w:t>
            </w:r>
          </w:p>
        </w:tc>
        <w:tc>
          <w:tcPr>
            <w:tcW w:w="36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13D</w:t>
            </w:r>
          </w:p>
        </w:tc>
        <w:tc>
          <w:tcPr>
            <w:tcW w:w="156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pPr>
            <w:r>
              <w:rPr/>
              <w:t>  </w:t>
            </w:r>
            <w:r>
              <w:rPr>
                <w:rFonts w:ascii="Times New Roman;Times;Serif" w:hAnsi="Times New Roman;Times;Serif"/>
                <w:sz w:val="20"/>
              </w:rPr>
              <w:t>Page 3 of 5 Pages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7 to Schedule 13D amends the Amendment No. 6 to Schedule 13D filed on February 14, 2022 (the “Original 13D”). This Amendment and the Original 13D are hereby referred to as the “Schedule 13D.”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specifically amended below, all other provisions of the Schedule 13D remain in effect. Capitalized terms used and not defined in this Amendment are used as defined in the Original 13D. This Amendment is being filed to reflect the acquisition of 536,000 shares by Mr. Raymond Ming Hui Lin, a Reporting Person, by the vesting of award shares under the 2023 Equity Incentive Plan. This Amendment is being filed voluntarily and is not being filed as required by Rule 13d-1 of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0"/>
        </w:rPr>
        <w:t>Item 1.</w:t>
      </w:r>
      <w:r>
        <w:rPr>
          <w:rFonts w:ascii="Times New Roman;Times;Serif" w:hAnsi="Times New Roman;Times;Serif"/>
          <w:b w:val="false"/>
          <w:i w:val="false"/>
          <w:caps w:val="false"/>
          <w:smallCaps w:val="false"/>
          <w:sz w:val="22"/>
        </w:rPr>
        <w:t xml:space="preserve"> </w:t>
      </w:r>
      <w:r>
        <w:rPr>
          <w:rFonts w:ascii="Times New Roman;Times;Serif" w:hAnsi="Times New Roman;Times;Serif"/>
          <w:b/>
          <w:i w:val="false"/>
          <w:caps w:val="false"/>
          <w:smallCaps w:val="false"/>
          <w:sz w:val="20"/>
        </w:rPr>
        <w:t xml:space="preserve">Security and Issuer.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and class of equity securities to which this Schedule 13D relates is the common shares, par value $0.0001 per share (“Common Shares”), of CLPS Incorporation, a Cayman Islands corporation (the “Company”). The Company’s principal executive office is located at Unit 1000, 10th Floor, Millennium City III, 370 Kwun Tong Road, Kwun Tong, Kowloon, Hong Kong SAR.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Identity and 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This report is being filed by Raymond Ming Hui Lin (the “Reporting Person”). Raymond Ming Hui Lin is the Chief Executive Officer and a director of the Company. This business address is Unit 1000, 10th Floor, Millennium City III, 370 Kwun Tong Road, Kwun Tong, Kowloon, Hong Kong SAR.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Qinhui Ltd. is a holding company formed under the laws of the British Virgin Islands. The principal business of Qinhui Ltd. is managing Raymond Ming Hui Lin’s personal assets and investments. Qinhui Ltd.’s mailing address is c/o Ogier Global (BVI) Ltd., Ritter House, Wickham’s Cay II, Road Town, Tortola, VG 1110, British Virgin Islands. Raymond Ming Hui Lin has the sole control of Qinhui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 Neither Raymond Ming Hui Lin nor Qinhui Ltd. has, during the last five years,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activities subject to, federal or state securities laws or finding any violation of such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Raymond Ming Hui Lin is a citizen of Hong Kong Special Administrative Region of the People’s Republic of China. Qinhui Ltd. is a British Virgin Islands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Source and Amount of Funds and Other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11, 2024, the Board of Directors of the Company authorized the award of 536,000 shares of restricted stock (the “Shares”) to Mr. Lin under the Company’s 2023 Equity Incentive Plan, which were vested on the same date. Mr. Lin did not pay any additional consideration for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tbl>
      <w:tblPr>
        <w:tblW w:w="3750" w:type="dxa"/>
        <w:jc w:val="left"/>
        <w:tblInd w:w="-15" w:type="dxa"/>
        <w:tblLayout w:type="fixed"/>
        <w:tblCellMar>
          <w:top w:w="40" w:type="dxa"/>
          <w:left w:w="40" w:type="dxa"/>
          <w:bottom w:w="40" w:type="dxa"/>
          <w:right w:w="40" w:type="dxa"/>
        </w:tblCellMar>
      </w:tblPr>
      <w:tblGrid>
        <w:gridCol w:w="1820"/>
        <w:gridCol w:w="365"/>
        <w:gridCol w:w="1565"/>
      </w:tblGrid>
      <w:tr>
        <w:trPr/>
        <w:tc>
          <w:tcPr>
            <w:tcW w:w="182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w:t>
            </w:r>
            <w:r>
              <w:rPr>
                <w:rFonts w:ascii="Times New Roman;Times;Serif" w:hAnsi="Times New Roman;Times;Serif"/>
                <w:sz w:val="20"/>
              </w:rPr>
              <w:t>CUSIP No. G31642  </w:t>
            </w:r>
          </w:p>
        </w:tc>
        <w:tc>
          <w:tcPr>
            <w:tcW w:w="36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13D</w:t>
            </w:r>
          </w:p>
        </w:tc>
        <w:tc>
          <w:tcPr>
            <w:tcW w:w="156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pPr>
            <w:r>
              <w:rPr/>
              <w:t>  </w:t>
            </w:r>
            <w:r>
              <w:rPr>
                <w:rFonts w:ascii="Times New Roman;Times;Serif" w:hAnsi="Times New Roman;Times;Serif"/>
                <w:sz w:val="20"/>
              </w:rPr>
              <w:t>Page 4 of 5 Pages</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Purpose of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Lin was awarded the Shares under the Company’s 2023 Equity Incentive Plan stated above. Mr. Lin is currently the Chief Executive Officer and a director of the Company and therefore will continue to participate in and receive awards under the Company’s incentive programs for as long as he is an employee of the Company. These share awards did not result in a material change in Mr. Lin’s ownership of the Company’s common shares as defined by Rule 13d-1 of the Securities Exchange Act of 1934, as amended. Mr. Lin files this Schedule 13D voluntarily.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 in Securities of the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 The calculations in this Item are based upon 27,840,056 common shares issued and outstanding as of July 18, 2024. The foregoing calculation is made pursuant to Rule 13d-3 promulgated under the Securities Act of 1933, as amended to date.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64"/>
        <w:gridCol w:w="60"/>
        <w:gridCol w:w="1522"/>
        <w:gridCol w:w="60"/>
        <w:gridCol w:w="116"/>
        <w:gridCol w:w="1100"/>
        <w:gridCol w:w="215"/>
        <w:gridCol w:w="60"/>
        <w:gridCol w:w="1333"/>
        <w:gridCol w:w="60"/>
        <w:gridCol w:w="1333"/>
        <w:gridCol w:w="60"/>
        <w:gridCol w:w="1460"/>
        <w:gridCol w:w="60"/>
        <w:gridCol w:w="1402"/>
      </w:tblGrid>
      <w:tr>
        <w:trPr/>
        <w:tc>
          <w:tcPr>
            <w:tcW w:w="1364" w:type="dxa"/>
            <w:tcBorders>
              <w:bottom w:val="single" w:sz="12" w:space="0" w:color="000000"/>
            </w:tcBorders>
            <w:vAlign w:val="center"/>
          </w:tcPr>
          <w:p>
            <w:pPr>
              <w:pStyle w:val="TableContents"/>
              <w:bidi w:val="0"/>
              <w:spacing w:before="0" w:after="283"/>
              <w:jc w:val="left"/>
              <w:rPr>
                <w:b/>
              </w:rPr>
            </w:pPr>
            <w:r>
              <w:rPr>
                <w:b/>
              </w:rPr>
              <w:t>Reporting Person</w:t>
            </w:r>
          </w:p>
        </w:tc>
        <w:tc>
          <w:tcPr>
            <w:tcW w:w="60" w:type="dxa"/>
            <w:tcBorders/>
            <w:tcMar>
              <w:bottom w:w="0" w:type="dxa"/>
            </w:tcMar>
            <w:vAlign w:val="center"/>
          </w:tcPr>
          <w:p>
            <w:pPr>
              <w:pStyle w:val="TableContents"/>
              <w:bidi w:val="0"/>
              <w:spacing w:before="0" w:after="283"/>
              <w:jc w:val="left"/>
              <w:rPr/>
            </w:pPr>
            <w:r>
              <w:rPr/>
              <w:t> </w:t>
            </w:r>
          </w:p>
        </w:tc>
        <w:tc>
          <w:tcPr>
            <w:tcW w:w="1522" w:type="dxa"/>
            <w:tcBorders>
              <w:bottom w:val="single" w:sz="12" w:space="0" w:color="000000"/>
            </w:tcBorders>
            <w:vAlign w:val="center"/>
          </w:tcPr>
          <w:p>
            <w:pPr>
              <w:pStyle w:val="TableContents"/>
              <w:bidi w:val="0"/>
              <w:spacing w:before="0" w:after="283"/>
              <w:jc w:val="center"/>
              <w:rPr>
                <w:b/>
              </w:rPr>
            </w:pPr>
            <w:r>
              <w:rPr>
                <w:b/>
              </w:rPr>
              <w:t>Amount of</w:t>
              <w:br/>
              <w:t>Securities</w:t>
              <w:br/>
              <w:t>Beneficially</w:t>
              <w:br/>
              <w:t>Owned</w:t>
            </w:r>
          </w:p>
        </w:tc>
        <w:tc>
          <w:tcPr>
            <w:tcW w:w="60" w:type="dxa"/>
            <w:tcBorders/>
            <w:tcMar>
              <w:bottom w:w="0" w:type="dxa"/>
            </w:tcMar>
            <w:vAlign w:val="center"/>
          </w:tcPr>
          <w:p>
            <w:pPr>
              <w:pStyle w:val="TableContents"/>
              <w:bidi w:val="0"/>
              <w:spacing w:before="0" w:after="283"/>
              <w:jc w:val="left"/>
              <w:rPr/>
            </w:pPr>
            <w:r>
              <w:rPr/>
              <w:t> </w:t>
            </w:r>
          </w:p>
        </w:tc>
        <w:tc>
          <w:tcPr>
            <w:tcW w:w="1216" w:type="dxa"/>
            <w:gridSpan w:val="2"/>
            <w:tcBorders>
              <w:bottom w:val="single" w:sz="12" w:space="0" w:color="000000"/>
            </w:tcBorders>
            <w:vAlign w:val="center"/>
          </w:tcPr>
          <w:p>
            <w:pPr>
              <w:pStyle w:val="TableContents"/>
              <w:bidi w:val="0"/>
              <w:spacing w:before="0" w:after="283"/>
              <w:jc w:val="center"/>
              <w:rPr>
                <w:b/>
              </w:rPr>
            </w:pPr>
            <w:r>
              <w:rPr>
                <w:b/>
              </w:rPr>
              <w:t xml:space="preserve">Percentage of </w:t>
              <w:br/>
              <w:t>Class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33" w:type="dxa"/>
            <w:tcBorders>
              <w:bottom w:val="single" w:sz="12" w:space="0" w:color="000000"/>
            </w:tcBorders>
            <w:vAlign w:val="center"/>
          </w:tcPr>
          <w:p>
            <w:pPr>
              <w:pStyle w:val="TableContents"/>
              <w:bidi w:val="0"/>
              <w:spacing w:before="0" w:after="283"/>
              <w:jc w:val="center"/>
              <w:rPr>
                <w:b/>
              </w:rPr>
            </w:pPr>
            <w:r>
              <w:rPr>
                <w:b/>
              </w:rPr>
              <w:t xml:space="preserve">Sole Power to </w:t>
              <w:br/>
              <w:t>Vote or Direct</w:t>
              <w:br/>
              <w:t>the Vote</w:t>
            </w:r>
          </w:p>
        </w:tc>
        <w:tc>
          <w:tcPr>
            <w:tcW w:w="60" w:type="dxa"/>
            <w:tcBorders/>
            <w:tcMar>
              <w:bottom w:w="0" w:type="dxa"/>
            </w:tcMar>
            <w:vAlign w:val="center"/>
          </w:tcPr>
          <w:p>
            <w:pPr>
              <w:pStyle w:val="TableContents"/>
              <w:bidi w:val="0"/>
              <w:spacing w:before="0" w:after="283"/>
              <w:jc w:val="left"/>
              <w:rPr/>
            </w:pPr>
            <w:r>
              <w:rPr/>
              <w:t> </w:t>
            </w:r>
          </w:p>
        </w:tc>
        <w:tc>
          <w:tcPr>
            <w:tcW w:w="1333" w:type="dxa"/>
            <w:tcBorders>
              <w:bottom w:val="single" w:sz="12" w:space="0" w:color="000000"/>
            </w:tcBorders>
            <w:vAlign w:val="center"/>
          </w:tcPr>
          <w:p>
            <w:pPr>
              <w:pStyle w:val="TableContents"/>
              <w:bidi w:val="0"/>
              <w:spacing w:before="0" w:after="283"/>
              <w:jc w:val="center"/>
              <w:rPr>
                <w:b/>
              </w:rPr>
            </w:pPr>
            <w:r>
              <w:rPr>
                <w:b/>
              </w:rPr>
              <w:t xml:space="preserve">Shared Power </w:t>
              <w:br/>
              <w:t>to Vote or</w:t>
              <w:br/>
              <w:t>Direct the Vote</w:t>
            </w:r>
          </w:p>
        </w:tc>
        <w:tc>
          <w:tcPr>
            <w:tcW w:w="60" w:type="dxa"/>
            <w:tcBorders/>
            <w:tcMar>
              <w:bottom w:w="0" w:type="dxa"/>
            </w:tcMar>
            <w:vAlign w:val="center"/>
          </w:tcPr>
          <w:p>
            <w:pPr>
              <w:pStyle w:val="TableContents"/>
              <w:bidi w:val="0"/>
              <w:spacing w:before="0" w:after="283"/>
              <w:jc w:val="left"/>
              <w:rPr/>
            </w:pPr>
            <w:r>
              <w:rPr/>
              <w:t> </w:t>
            </w:r>
          </w:p>
        </w:tc>
        <w:tc>
          <w:tcPr>
            <w:tcW w:w="1460" w:type="dxa"/>
            <w:tcBorders>
              <w:bottom w:val="single" w:sz="12" w:space="0" w:color="000000"/>
            </w:tcBorders>
            <w:vAlign w:val="center"/>
          </w:tcPr>
          <w:p>
            <w:pPr>
              <w:pStyle w:val="TableContents"/>
              <w:bidi w:val="0"/>
              <w:spacing w:before="0" w:after="283"/>
              <w:jc w:val="center"/>
              <w:rPr>
                <w:b/>
              </w:rPr>
            </w:pPr>
            <w:r>
              <w:rPr>
                <w:b/>
              </w:rPr>
              <w:t xml:space="preserve">Sole Power to </w:t>
              <w:br/>
              <w:t xml:space="preserve">Dispose or to </w:t>
              <w:br/>
              <w:t>Direct the</w:t>
              <w:br/>
              <w:t>Disposition</w:t>
            </w:r>
          </w:p>
        </w:tc>
        <w:tc>
          <w:tcPr>
            <w:tcW w:w="60" w:type="dxa"/>
            <w:tcBorders/>
            <w:tcMar>
              <w:bottom w:w="0" w:type="dxa"/>
            </w:tcMar>
            <w:vAlign w:val="center"/>
          </w:tcPr>
          <w:p>
            <w:pPr>
              <w:pStyle w:val="TableContents"/>
              <w:bidi w:val="0"/>
              <w:spacing w:before="0" w:after="283"/>
              <w:jc w:val="left"/>
              <w:rPr/>
            </w:pPr>
            <w:r>
              <w:rPr/>
              <w:t> </w:t>
            </w:r>
          </w:p>
        </w:tc>
        <w:tc>
          <w:tcPr>
            <w:tcW w:w="1402" w:type="dxa"/>
            <w:tcBorders>
              <w:bottom w:val="single" w:sz="12" w:space="0" w:color="000000"/>
            </w:tcBorders>
            <w:vAlign w:val="center"/>
          </w:tcPr>
          <w:p>
            <w:pPr>
              <w:pStyle w:val="TableContents"/>
              <w:bidi w:val="0"/>
              <w:spacing w:before="0" w:after="283"/>
              <w:ind w:left="0" w:right="0" w:hanging="100"/>
              <w:jc w:val="center"/>
              <w:rPr>
                <w:b/>
              </w:rPr>
            </w:pPr>
            <w:r>
              <w:rPr>
                <w:b/>
              </w:rPr>
              <w:t>Shared Power</w:t>
              <w:br/>
              <w:t>to Dispose or to</w:t>
              <w:br/>
              <w:t>Direct the</w:t>
              <w:br/>
              <w:t>Disposition</w:t>
            </w:r>
          </w:p>
        </w:tc>
      </w:tr>
      <w:tr>
        <w:trPr/>
        <w:tc>
          <w:tcPr>
            <w:tcW w:w="1364" w:type="dxa"/>
            <w:tcBorders/>
            <w:shd w:fill="CCEEFF" w:val="clear"/>
            <w:tcMar>
              <w:bottom w:w="0" w:type="dxa"/>
            </w:tcMar>
            <w:vAlign w:val="center"/>
          </w:tcPr>
          <w:p>
            <w:pPr>
              <w:pStyle w:val="TableContents"/>
              <w:bidi w:val="0"/>
              <w:spacing w:before="0" w:after="283"/>
              <w:jc w:val="left"/>
              <w:rPr/>
            </w:pPr>
            <w:r>
              <w:rPr/>
              <w:t>Raymond Ming Hui Lin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2" w:type="dxa"/>
            <w:tcBorders/>
            <w:shd w:fill="CCEEFF" w:val="clear"/>
            <w:tcMar>
              <w:bottom w:w="0" w:type="dxa"/>
            </w:tcMar>
            <w:vAlign w:val="center"/>
          </w:tcPr>
          <w:p>
            <w:pPr>
              <w:pStyle w:val="TableContents"/>
              <w:bidi w:val="0"/>
              <w:spacing w:before="0" w:after="283"/>
              <w:jc w:val="center"/>
              <w:rPr/>
            </w:pPr>
            <w:r>
              <w:rPr/>
              <w:t>8,141,873 common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29.25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center"/>
              <w:rPr/>
            </w:pPr>
            <w:r>
              <w:rPr/>
              <w:t>8,141,873 common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center"/>
              <w:rPr/>
            </w:pPr>
            <w:r>
              <w:rPr/>
              <w:t>8,141,873 common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2" w:type="dxa"/>
            <w:tcBorders/>
            <w:shd w:fill="CCEEFF" w:val="clear"/>
            <w:tcMar>
              <w:bottom w:w="0" w:type="dxa"/>
            </w:tcMar>
            <w:vAlign w:val="center"/>
          </w:tcPr>
          <w:p>
            <w:pPr>
              <w:pStyle w:val="TableContents"/>
              <w:bidi w:val="0"/>
              <w:spacing w:before="0" w:after="283"/>
              <w:jc w:val="center"/>
              <w:rPr/>
            </w:pPr>
            <w:r>
              <w:rPr/>
              <w:t>-</w:t>
            </w:r>
          </w:p>
        </w:tc>
      </w:tr>
      <w:tr>
        <w:trPr/>
        <w:tc>
          <w:tcPr>
            <w:tcW w:w="1364" w:type="dxa"/>
            <w:tcBorders/>
            <w:shd w:fill="FFFFFF" w:val="clear"/>
            <w:tcMar>
              <w:bottom w:w="0" w:type="dxa"/>
            </w:tcMar>
            <w:vAlign w:val="center"/>
          </w:tcPr>
          <w:p>
            <w:pPr>
              <w:pStyle w:val="TableContents"/>
              <w:bidi w:val="0"/>
              <w:spacing w:before="0" w:after="283"/>
              <w:jc w:val="left"/>
              <w:rPr/>
            </w:pPr>
            <w:r>
              <w:rPr/>
              <w:t>Qinhui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2" w:type="dxa"/>
            <w:tcBorders/>
            <w:shd w:fill="FFFFFF" w:val="clear"/>
            <w:tcMar>
              <w:bottom w:w="0" w:type="dxa"/>
            </w:tcMar>
            <w:vAlign w:val="center"/>
          </w:tcPr>
          <w:p>
            <w:pPr>
              <w:pStyle w:val="TableContents"/>
              <w:bidi w:val="0"/>
              <w:spacing w:before="0" w:after="283"/>
              <w:jc w:val="center"/>
              <w:rPr/>
            </w:pPr>
            <w:r>
              <w:rPr/>
              <w:t>4,999,996 common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17.96</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center"/>
              <w:rPr/>
            </w:pPr>
            <w:r>
              <w:rPr/>
              <w:t>4,999,996 common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2" w:type="dxa"/>
            <w:tcBorders/>
            <w:shd w:fill="FFFFFF" w:val="clear"/>
            <w:tcMar>
              <w:bottom w:w="0" w:type="dxa"/>
            </w:tcMar>
            <w:vAlign w:val="center"/>
          </w:tcPr>
          <w:p>
            <w:pPr>
              <w:pStyle w:val="TableContents"/>
              <w:bidi w:val="0"/>
              <w:spacing w:before="0" w:after="283"/>
              <w:jc w:val="center"/>
              <w:rPr/>
            </w:pPr>
            <w:r>
              <w:rPr/>
              <w:t>4,999,996 common shares</w:t>
            </w:r>
          </w:p>
        </w:tc>
      </w:tr>
    </w:tbl>
    <w:p>
      <w:pPr>
        <w:pStyle w:val="TextBody"/>
        <w:bidi w:val="0"/>
        <w:spacing w:before="0" w:after="0"/>
        <w:ind w:left="0" w:right="0" w:hanging="0"/>
        <w:jc w:val="both"/>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140"/>
        <w:gridCol w:w="680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the vested portion of the restricted stock granted dated as of July 11,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Mr. Lin controls all of the voting and disposition interests of Qinhui Ltd. with respect to the securities, he may be deemed to have indirect beneficial ownership of the common shares directly beneficially owned by Qinhui Ltd. Neither Raymond Ming Hui Lin nor Qinhui Ltd. has effected any transactions in the securities of the Company in the past sixty days. The Reporting Persons affirm that no other person has the right to receive or the power to direct the receipt of dividends from, or the proceeds from the sale of, the common shares beneficially owned by the Reporting Persons reported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Contracts, Arrangements, Understandings or Relationships with Respect to Securities of the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described above, there are no contracts, arrangements, understandings or relationships (legal or otherwise) between the Reporting Persons and any other person with respect to any securities of the Company, including, but not limited to, the transfer or voting of any of the securities, finder’s fees, joint ventures, loan or option arrangements, puts or calls, guarantees of profits, division of profits or loss, or the giving or withholding of proxies or any pledge or contingency, the occurrence of which would give another person voting or investment power over the securities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Materials to be Filed as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tbl>
      <w:tblPr>
        <w:tblW w:w="3750" w:type="dxa"/>
        <w:jc w:val="left"/>
        <w:tblInd w:w="-15" w:type="dxa"/>
        <w:tblLayout w:type="fixed"/>
        <w:tblCellMar>
          <w:top w:w="40" w:type="dxa"/>
          <w:left w:w="40" w:type="dxa"/>
          <w:bottom w:w="40" w:type="dxa"/>
          <w:right w:w="40" w:type="dxa"/>
        </w:tblCellMar>
      </w:tblPr>
      <w:tblGrid>
        <w:gridCol w:w="1820"/>
        <w:gridCol w:w="365"/>
        <w:gridCol w:w="1565"/>
      </w:tblGrid>
      <w:tr>
        <w:trPr/>
        <w:tc>
          <w:tcPr>
            <w:tcW w:w="182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w:t>
            </w:r>
            <w:r>
              <w:rPr>
                <w:rFonts w:ascii="Times New Roman;Times;Serif" w:hAnsi="Times New Roman;Times;Serif"/>
                <w:sz w:val="20"/>
              </w:rPr>
              <w:t>CUSIP No. G31642  </w:t>
            </w:r>
          </w:p>
        </w:tc>
        <w:tc>
          <w:tcPr>
            <w:tcW w:w="36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13D</w:t>
            </w:r>
          </w:p>
        </w:tc>
        <w:tc>
          <w:tcPr>
            <w:tcW w:w="156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pPr>
            <w:r>
              <w:rPr/>
              <w:t>  </w:t>
            </w:r>
            <w:r>
              <w:rPr>
                <w:rFonts w:ascii="Times New Roman;Times;Serif" w:hAnsi="Times New Roman;Times;Serif"/>
                <w:sz w:val="20"/>
              </w:rPr>
              <w:t>Page 5 of 5 Pages</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the undersigned certify that the information set forth in this Schedule 13D is true, complete and correct.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30, 2024</w:t>
      </w:r>
    </w:p>
    <w:p>
      <w:pPr>
        <w:pStyle w:val="TextBody"/>
        <w:bidi w:val="0"/>
        <w:spacing w:before="0" w:after="0"/>
        <w:ind w:left="0" w:right="0" w:hanging="0"/>
        <w:jc w:val="left"/>
        <w:rPr>
          <w:caps w:val="false"/>
          <w:smallCaps w:val="false"/>
        </w:rPr>
      </w:pPr>
      <w:r>
        <w:rPr>
          <w:caps w:val="false"/>
          <w:smallCaps w:val="false"/>
        </w:rPr>
        <w:t> </w:t>
      </w:r>
    </w:p>
    <w:tbl>
      <w:tblPr>
        <w:tblW w:w="2315" w:type="dxa"/>
        <w:jc w:val="left"/>
        <w:tblInd w:w="0" w:type="dxa"/>
        <w:tblLayout w:type="fixed"/>
        <w:tblCellMar>
          <w:top w:w="0" w:type="dxa"/>
          <w:left w:w="0" w:type="dxa"/>
          <w:bottom w:w="0" w:type="dxa"/>
          <w:right w:w="0" w:type="dxa"/>
        </w:tblCellMar>
      </w:tblPr>
      <w:tblGrid>
        <w:gridCol w:w="75"/>
        <w:gridCol w:w="2240"/>
      </w:tblGrid>
      <w:tr>
        <w:trPr/>
        <w:tc>
          <w:tcPr>
            <w:tcW w:w="75" w:type="dxa"/>
            <w:tcBorders/>
            <w:vAlign w:val="center"/>
          </w:tcPr>
          <w:p>
            <w:pPr>
              <w:pStyle w:val="TableContents"/>
              <w:bidi w:val="0"/>
              <w:spacing w:before="0" w:after="283"/>
              <w:jc w:val="left"/>
              <w:rPr/>
            </w:pPr>
            <w:r>
              <w:rPr/>
              <w:t> </w:t>
            </w:r>
          </w:p>
        </w:tc>
        <w:tc>
          <w:tcPr>
            <w:tcW w:w="22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Raymond Ming Hui Lin</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Raymond Ming Hui Lin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1337</Words>
  <Characters>6674</Characters>
  <CharactersWithSpaces>8028</CharactersWithSpaces>
  <Paragraphs>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