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125730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1"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51435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4"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REPORT OF FOREIGN PRIVATE ISSUER</w:t>
      </w:r>
    </w:p>
    <w:p>
      <w:pPr>
        <w:spacing w:after="0" w:line="63"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For the month of June 2018</w:t>
      </w:r>
    </w:p>
    <w:p>
      <w:pPr>
        <w:spacing w:after="0" w:line="32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CLPS INCORPORATION</w:t>
      </w:r>
    </w:p>
    <w:p>
      <w:pPr>
        <w:spacing w:after="0" w:line="63"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333"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c/o 2nd Floor, Building 18, Shanghai Pudong Software</w:t>
      </w:r>
    </w:p>
    <w:p>
      <w:pPr>
        <w:spacing w:after="0" w:line="63"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Park, 498 Guoshoujing Road, Pudong, Shanghai,</w:t>
      </w:r>
    </w:p>
    <w:p>
      <w:pPr>
        <w:spacing w:after="0" w:line="63"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201203, People’s Republic of China</w:t>
      </w:r>
    </w:p>
    <w:p>
      <w:pPr>
        <w:spacing w:after="0" w:line="63"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140"/>
        <w:spacing w:after="0" w:line="207" w:lineRule="exact"/>
        <w:tabs>
          <w:tab w:leader="none" w:pos="62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680"/>
        <w:spacing w:after="0" w:line="207" w:lineRule="exact"/>
        <w:tabs>
          <w:tab w:leader="none" w:pos="63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001-38505.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553" w:right="10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8, 2018, CLPS Incorporation (the “Company”) closed on the exercise in full of the over-allotment option to purchase an additional 300,000 common shares of the Company by The Benchmark Company, LLC, the representative of the underwriters in connection with and the book running manager of the Company’s U.S. firm commitment underwritten initial public offering (“IPO”) (“Benchmark”), at the IPO price of $5.25 per share. As a result, the Company has raised gross proceeds of approximately $1.58 million, in addition to the IPO gross proceeds of approximately $10.5 million, or combined gross proceeds in this IPO of approximately $12.08 million, before underwriting discounts and commissions and offering expenses. The Company’s shares trade on The Nasdaq Capital Market under the trading symbol “CLPS.”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the Company and Benchmark entered into a certain agreement dated as of June 8, 2018 pursuant to which the right of first refusal provision (Section 7.2) of the Underwriting Agreement (dated as of May 23, 2018 and entered into by the parties in connection with the IPO) is terminated in its entirety and will be of no legal force or effect.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CLPS INCORPORATION</w:t>
      </w:r>
    </w:p>
    <w:p>
      <w:pPr>
        <w:spacing w:after="0" w:line="200" w:lineRule="exact"/>
        <w:rPr>
          <w:sz w:val="20"/>
          <w:szCs w:val="20"/>
          <w:color w:val="auto"/>
        </w:rPr>
      </w:pPr>
    </w:p>
    <w:p>
      <w:pPr>
        <w:spacing w:after="0" w:line="241"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8"/>
          <w:szCs w:val="18"/>
          <w:color w:val="auto"/>
        </w:rPr>
        <w:t>By:</w:t>
        <w:tab/>
        <w:t xml:space="preserve">/s/ </w:t>
      </w:r>
      <w:r>
        <w:rPr>
          <w:rFonts w:ascii="Arial" w:cs="Arial" w:eastAsia="Arial" w:hAnsi="Arial"/>
          <w:sz w:val="18"/>
          <w:szCs w:val="18"/>
          <w:i w:val="1"/>
          <w:iCs w:val="1"/>
          <w:color w:val="auto"/>
        </w:rPr>
        <w:t>Raymond Ming Hui Lin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2018</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2019-12-08T18:24:40Z</dcterms:created>
  <dcterms:modified xsi:type="dcterms:W3CDTF">2019-12-08T18:24:40Z</dcterms:modified>
</cp:coreProperties>
</file>