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1080" w:hanging="204"/>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REGISTRATION STATEMENT PURSUANT TO SECTION 12(b) OR (g) OF THE SECURITIES EXCHANGE ACT OF 1934</w:t>
      </w:r>
    </w:p>
    <w:p>
      <w:pPr>
        <w:spacing w:after="0" w:line="200" w:lineRule="exact"/>
        <w:rPr>
          <w:sz w:val="24"/>
          <w:szCs w:val="24"/>
          <w:color w:val="auto"/>
        </w:rPr>
      </w:pPr>
    </w:p>
    <w:p>
      <w:pPr>
        <w:spacing w:after="0" w:line="228" w:lineRule="exact"/>
        <w:rPr>
          <w:sz w:val="24"/>
          <w:szCs w:val="24"/>
          <w:color w:val="auto"/>
        </w:rPr>
      </w:pPr>
    </w:p>
    <w:p>
      <w:pPr>
        <w:ind w:left="1540" w:hanging="206"/>
        <w:spacing w:after="0"/>
        <w:tabs>
          <w:tab w:leader="none" w:pos="1540"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June 30, 2022</w:t>
      </w:r>
    </w:p>
    <w:p>
      <w:pPr>
        <w:spacing w:after="0" w:line="22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ind w:left="1380" w:hanging="206"/>
        <w:spacing w:after="0"/>
        <w:tabs>
          <w:tab w:leader="none" w:pos="13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jc w:val="center"/>
        <w:ind w:left="3380" w:right="960" w:hanging="2410"/>
        <w:spacing w:after="0" w:line="500" w:lineRule="auto"/>
        <w:tabs>
          <w:tab w:leader="none" w:pos="11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SHELL COMPANY REPORT PURSUANT TO SECTION 13 OR 15(d) OF THE SECURITIES EXCHANGE ACT OF 1934 for the transition period from ____________to 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001-38505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Millennium City III</w:t>
      </w: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Raymond Ming Hui Lin, Chief Executive Officer</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c/o Unit 1102,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Millennium City III</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CLPS</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for which there is a reporting obligation pursuant to Section 15(d)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On September 24, 2022, the issuer had 22,446,822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96"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33"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3"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33" w:lineRule="exact"/>
        <w:rPr>
          <w:sz w:val="20"/>
          <w:szCs w:val="20"/>
          <w:color w:val="auto"/>
        </w:rPr>
      </w:pPr>
    </w:p>
    <w:p>
      <w:pPr>
        <w:spacing w:after="0" w:line="207" w:lineRule="exact"/>
        <w:tabs>
          <w:tab w:leader="none" w:pos="4380" w:val="left"/>
          <w:tab w:leader="none" w:pos="7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Non-accelerated filer</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77" w:right="339" w:bottom="1440" w:gutter="0" w:footer="0" w:header="0"/>
        </w:sectPr>
      </w:pPr>
    </w:p>
    <w:p>
      <w:pPr>
        <w:spacing w:after="0" w:line="196"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US GAAP</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160" w:hanging="559"/>
        <w:spacing w:after="0" w:line="282"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Other</w:t>
      </w:r>
    </w:p>
    <w:p>
      <w:pPr>
        <w:spacing w:after="0" w:line="480" w:lineRule="exact"/>
        <w:rPr>
          <w:sz w:val="20"/>
          <w:szCs w:val="20"/>
          <w:color w:val="auto"/>
        </w:rPr>
      </w:pPr>
    </w:p>
    <w:p>
      <w:pPr>
        <w:sectPr>
          <w:pgSz w:w="11900" w:h="16838" w:orient="portrait"/>
          <w:cols w:equalWidth="0" w:num="3">
            <w:col w:w="2100" w:space="720"/>
            <w:col w:w="5460" w:space="720"/>
            <w:col w:w="2240"/>
          </w:cols>
          <w:pgMar w:left="320" w:top="87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33" w:lineRule="exact"/>
        <w:rPr>
          <w:sz w:val="20"/>
          <w:szCs w:val="20"/>
          <w:color w:val="auto"/>
        </w:rPr>
      </w:pPr>
    </w:p>
    <w:p>
      <w:pPr>
        <w:ind w:left="9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96" w:lineRule="exact"/>
        <w:rPr>
          <w:sz w:val="20"/>
          <w:szCs w:val="20"/>
          <w:color w:val="auto"/>
        </w:rPr>
      </w:pPr>
    </w:p>
    <w:p>
      <w:pPr>
        <w:ind w:left="10160"/>
        <w:spacing w:after="0" w:line="207" w:lineRule="exact"/>
        <w:tabs>
          <w:tab w:leader="none" w:pos="10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0" w:type="dxa"/>
            <w:vAlign w:val="bottom"/>
            <w:gridSpan w:val="1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114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560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3840" w:type="dxa"/>
            <w:vAlign w:val="bottom"/>
            <w:tcBorders>
              <w:top w:val="single" w:sz="8" w:color="CCEEFF"/>
            </w:tcBorders>
            <w:gridSpan w:val="6"/>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KEY INFORMATION</w:t>
            </w:r>
          </w:p>
        </w:tc>
        <w:tc>
          <w:tcPr>
            <w:tcW w:w="7780" w:type="dxa"/>
            <w:vAlign w:val="bottom"/>
            <w:tcBorders>
              <w:bottom w:val="single" w:sz="8" w:color="CCEEFF"/>
            </w:tcBorders>
            <w:gridSpan w:val="2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94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22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7180" w:type="dxa"/>
            <w:vAlign w:val="bottom"/>
            <w:tcBorders>
              <w:bottom w:val="single" w:sz="8" w:color="CCEEFF"/>
            </w:tcBorders>
            <w:gridSpan w:val="2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113</w:t>
            </w:r>
          </w:p>
        </w:tc>
      </w:tr>
      <w:tr>
        <w:trPr>
          <w:trHeight w:val="176"/>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4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4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50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442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4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122</w:t>
            </w:r>
          </w:p>
        </w:tc>
      </w:tr>
      <w:tr>
        <w:trPr>
          <w:trHeight w:val="176"/>
        </w:trPr>
        <w:tc>
          <w:tcPr>
            <w:tcW w:w="114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26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840" w:type="dxa"/>
            <w:vAlign w:val="bottom"/>
            <w:tcBorders>
              <w:top w:val="single" w:sz="8" w:color="CCEEFF"/>
            </w:tcBorders>
            <w:gridSpan w:val="17"/>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34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AUDIT COMMITTEE FINANCIAL EXPERT.</w:t>
            </w:r>
          </w:p>
        </w:tc>
        <w:tc>
          <w:tcPr>
            <w:tcW w:w="6000" w:type="dxa"/>
            <w:vAlign w:val="bottom"/>
            <w:tcBorders>
              <w:bottom w:val="single" w:sz="8" w:color="CCEEFF"/>
            </w:tcBorders>
            <w:gridSpan w:val="1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40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PRINCIPAL ACCOUNTANT FEES AND SERVICES.</w:t>
            </w:r>
          </w:p>
        </w:tc>
        <w:tc>
          <w:tcPr>
            <w:tcW w:w="5420" w:type="dxa"/>
            <w:vAlign w:val="bottom"/>
            <w:tcBorders>
              <w:bottom w:val="single" w:sz="8" w:color="CCEEFF"/>
            </w:tcBorders>
            <w:gridSpan w:val="1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720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224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CHANGES IN REGISTRANT’S CERTIFYING ACCOUNTANT.</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2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7100" w:type="dxa"/>
            <w:vAlign w:val="bottom"/>
            <w:tcBorders>
              <w:bottom w:val="single" w:sz="8" w:color="CCEEFF"/>
            </w:tcBorders>
            <w:gridSpan w:val="1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6"/>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21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7280" w:type="dxa"/>
            <w:vAlign w:val="bottom"/>
            <w:tcBorders>
              <w:bottom w:val="single" w:sz="8" w:color="CCEEFF"/>
            </w:tcBorders>
            <w:gridSpan w:val="21"/>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175"/>
        </w:trPr>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94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w:t>
      </w:r>
    </w:p>
    <w:p>
      <w:pPr>
        <w:spacing w:after="0" w:line="225"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context, the terms “we,” “us,” “our company,” and “our” refer to CLPS Incorporation, a Cayman Islands company, and its subsidiary and affiliated companies: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“Qinheng” refers to Qinheng Co., Limited, a Hong Kong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“Qiner” refers to Qiner Co., Limited, a Hong Kong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QC (WOFE)” refers to Shanghai Qincheng Information Technology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Shanghai” refers to ChinaLink Professional Services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Dalian” refers to CLPS Dalian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RC” refers to CLPS Ruicheng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Beijing” refers to CLPS Beijing Hengtong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“JAJI China” refers to JAJI (Shanghai) Co., Ltd., formerly Judge (Shanghai)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“JAJI HR” refers to JAJI (Shanghai) Human Resource Co., Ltd. formerly Judge (Shanghai) Human Resource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“CLPS-Ridik AU” refers to CLPS-Ridik Technology (Australia) Pty. Ltd., an Australian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SG” refers to CLPS Technology (Singapore) Pte. Ltd., a Singaporean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Hong Kong” refers to CLPS Technology (HK) Co., Limited, a Hong Kong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Shenzhen” refers to CLPS Shenzhen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“Huanyu” refers to Tianjin Huanyu Qinshang Network Technology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Guangzhou” refers to CLPS Guangzhou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US” refers to CLPS Technology (US) Ltd., a Delaware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California” refers to CLPS Technology (California) Inc., a California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Lihong” refers to CLPS Lihong Financial Information Services Co., Ltd., formerly Lihong Financial Information Services Co., Ltd. before the investment, a PRC company.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“Infogain” refers to Infogain Solutions PTE. Ltd., a Singaporean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“EMIT” refers to Economic Modeling Information Technology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Hangzhou” refers to CLPS Hangzhou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Guangdong Zhichuang” refers to CLPS Guangdong Zhichuang Software Technology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Shenzhen Robotics” refers to CLPS Shenzhen Robotics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Pte.” refers to Ridik Pte. Ltd., a Singaporean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Consulting” refers to Ridik Consulting Private Limited, an Indian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Sdn.” refers to Ridik Sdn. Bhd., a Malaysian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Software Pte.” refers to Ridik Software Solutions Pte. Ltd., a Singaporean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Software” refers to Ridik Software Solutions Ltd., a UK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“Suzhou Ridik” refers to Suzhou Ridik Information Technology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Japan” refers to CLPS Technology Japan, a Japanese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“Qinson” refers to Qinson Credit Card Services Limited, a Hong Kong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Hainan” refers to Hainan Qincheng Software Technology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“SSIT” refers to Shanghai Shier Information Technology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“CareerWin” refers to CareerWin Executive Search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Xi’an” refers to CLPS Xi’an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Ring” refers to Growth Ring Ltd., a British Virgin Islands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“Arabian Jasmine” refers to Arabian Jasmine Ltd., a British Virgin Islands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Chenqin” refers to Shanghai Chenqin Information Technology Services Co., Ltd., a PRC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 Singapore” refers to Noni (Singapore) Pte. Ltd., a Singaporean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“CLPS-Beefinance” refers to CLPS-Beefinance Holding Limited, a British Virgin Islands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“Qinson Ltd.” refers to Qinson Ltd., a British Virgin Islands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“LQE” refers to LQE Ltd., a British Virgin Islands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“LinkCrypto” refers to LinkCrypto Finance Technology Limited, a Hong Kong company.</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5" w:name="page6"/>
    <w:bookmarkEnd w:id="5"/>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“MNYC” refers to MNYC HOLDINGS (HK) LIMITED, a Hong Kong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“MSCT” refers to MSCT Investment Holdings Limited, a British Virgin Islands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Philippines” refers to CLPS TECHNOLOGY (PHILIPPINES) CORP., a Philippine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Bozhuo”refers to Beijing Bozhuo Education Technology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“Haikou Huaqin” refers to Haikou Huaqin Minshang Software Development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“UniDev” refers to Beijing UniDev Software Co., Ltd., a PRC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“Fuson” refers to Fuson Group Limited, a Hong Kong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“RMB,” “yuan” and “Renminbi” are to the legal currency of China, and all references to “USD,” and “U.S. dollars” are to the legal currency of the United States.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“Common Shares” refer to our shares, $0.0001 par value per share;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 to the People’s Republic of China;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margin” refers to earnings before interest and taxes margin.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6.6981 to USD1.00, the noon buying rate on June 30, 2022,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for the success of our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should be read in conjunction with our audited financial statements and the accompanying notes thereto, which are included in Item 18 of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131"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financial data</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selected consolidated financial data as of and for the years ended June 30, 2022, 2021 and 2020 have been derived from the audited consolidated financial statements of the Company included in this Annual Report. This information is only a summary and should be read together with the consolidated financial statements, the related notes, the section entitled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other financial information included in this Annual Report. The Company’s results of operations in any period may not necessarily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indicative of the results that may be expected for any future period. See “Risk Factors” included elsewhere in this Annual Report.</w:t>
      </w:r>
    </w:p>
    <w:p>
      <w:pPr>
        <w:spacing w:after="0" w:line="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table presents our summary consolidated statements of comprehensive income for the fiscal years ended June 30, 2022, 2021 and 2020, respectively.</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Statement of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8"/>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152,022,381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126,061,693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89,415,798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revenues</w:t>
            </w:r>
          </w:p>
        </w:tc>
        <w:tc>
          <w:tcPr>
            <w:tcW w:w="14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(111,033,345)</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(85,890,757)</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(58,296,097)</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40,989,036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40,170,936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7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(4,103,066)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(3,753,236)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(3,059,877)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(7,971,145)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(13,337,913)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(10,436,975)</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(23,045,664)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(16,784,688)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(16,343,936)</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Subsidies and other operating income</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1,536,394</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2,080,087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1,927,230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(33,583,481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(31,795,750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(27,913,558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8,375,186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854,250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296,319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608,638</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(575,605)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(351,045)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(107,322)</w:t>
            </w:r>
          </w:p>
        </w:tc>
        <w:tc>
          <w:tcPr>
            <w:tcW w:w="0" w:type="dxa"/>
            <w:vAlign w:val="bottom"/>
          </w:tcPr>
          <w:p>
            <w:pPr>
              <w:spacing w:after="0"/>
              <w:rPr>
                <w:sz w:val="1"/>
                <w:szCs w:val="1"/>
                <w:color w:val="auto"/>
              </w:rPr>
            </w:pPr>
          </w:p>
        </w:tc>
      </w:tr>
      <w:tr>
        <w:trPr>
          <w:trHeight w:val="122"/>
        </w:trPr>
        <w:tc>
          <w:tcPr>
            <w:tcW w:w="73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 and share of income in equity investees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7,684,200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8,320,460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3,707,459</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3,045,992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1,257,124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835,444</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share of income in equity investees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4,638,208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7,063,336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 of (loss) income in equity investees, net of tax</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(50,297</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(44,121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207,363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4,587,911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7,019,215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202,643</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141,139</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attributable to CLPS Incorporation’s shareholders</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4,455,428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6,816,572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2,938,239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7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(1,828,542)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2,695,223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(571,943)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Foreign currency translation (loss) income attributable to noncontrolling interest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(48,211)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102,475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attributable to CLPS Incorporation’s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(1,780,331)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2,592,748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(549,015)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CLPS Incorporation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2,675,097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9,409,320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2,389,224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84,272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305,118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118,211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2,759,369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9,714,438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2,507,435</w:t>
            </w:r>
          </w:p>
        </w:tc>
        <w:tc>
          <w:tcPr>
            <w:tcW w:w="0" w:type="dxa"/>
            <w:vAlign w:val="bottom"/>
          </w:tcPr>
          <w:p>
            <w:pPr>
              <w:spacing w:after="0"/>
              <w:rPr>
                <w:sz w:val="1"/>
                <w:szCs w:val="1"/>
                <w:color w:val="auto"/>
              </w:rPr>
            </w:pPr>
          </w:p>
        </w:tc>
      </w:tr>
      <w:tr>
        <w:trPr>
          <w:trHeight w:val="122"/>
        </w:trPr>
        <w:tc>
          <w:tcPr>
            <w:tcW w:w="7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20,924,683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17,279,443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14,689,224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21,057,063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17,569,440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14,692,299</w:t>
            </w:r>
          </w:p>
        </w:tc>
        <w:tc>
          <w:tcPr>
            <w:tcW w:w="0" w:type="dxa"/>
            <w:vAlign w:val="bottom"/>
          </w:tcPr>
          <w:p>
            <w:pPr>
              <w:spacing w:after="0"/>
              <w:rPr>
                <w:sz w:val="1"/>
                <w:szCs w:val="1"/>
                <w:color w:val="auto"/>
              </w:rPr>
            </w:pPr>
          </w:p>
        </w:tc>
      </w:tr>
      <w:tr>
        <w:trPr>
          <w:trHeight w:val="122"/>
        </w:trPr>
        <w:tc>
          <w:tcPr>
            <w:tcW w:w="7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income before income tax and share of income of equity investees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14,869,062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13,449,156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7,711,539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11,772,773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12,147,911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7,083,458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net income attributable to CLPS Incorporation’s shareholders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11,640,290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11,945,268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6,942,319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basic earnings per common share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20,924,683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17,279,443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14,689,224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diluted earnings per common share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21,057,063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17,569,440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14,692,299</w:t>
            </w:r>
          </w:p>
        </w:tc>
        <w:tc>
          <w:tcPr>
            <w:tcW w:w="0" w:type="dxa"/>
            <w:vAlign w:val="bottom"/>
          </w:tcPr>
          <w:p>
            <w:pPr>
              <w:spacing w:after="0"/>
              <w:rPr>
                <w:sz w:val="1"/>
                <w:szCs w:val="1"/>
                <w:color w:val="auto"/>
              </w:rPr>
            </w:pPr>
          </w:p>
        </w:tc>
      </w:tr>
      <w:tr>
        <w:trPr>
          <w:trHeight w:val="560"/>
        </w:trPr>
        <w:tc>
          <w:tcPr>
            <w:tcW w:w="73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9" w:right="339" w:bottom="487"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color w:val="auto"/>
        </w:rPr>
        <w:t>The following table presents our consolidated balance sheet data as of June 30, 2022 and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18,396,987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24,739,382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4,158,535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53,769,887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44,138,997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4,215,414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2,530,458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377,642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546,128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76,759,930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76,113,500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20,601,098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600,791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970,044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1,050,499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2,363,841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2,444,950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610,386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1,014,784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896,145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327,040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607,773</w:t>
            </w: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101,880,795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82,728,442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14,474,363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7,536,839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343,597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559,450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352,402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2,355,066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1,715,009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587,140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12,203,933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12,466,921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66,884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183,148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30,383,385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23,033,687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155,033</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3,546,263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1,799,383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34,080,195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24,997,747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22,444,822 shares issued and outstanding as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2022; 20,293,552 shares issued and outstanding as of June 30, 2021</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55,705,209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48,516,695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5,071,876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4,214,075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6,323,792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2,726,165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(550,248)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1,230,083</w:t>
            </w: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CLPS Incorporation’s Shareholders’ Equity</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66,552,873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1,247,727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1,041,648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67,800,600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57,730,695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101,880,795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82,728,442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86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 w:name="page10"/>
    <w:bookmarkEnd w:id="9"/>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exchange rates between the RMB and the U.S. dollar for the periods indicated. On September 30, 2022, the buying rate announced by the Federal Reserve Statistical Release was RMB 7.1135 to $1.00.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Spot Exchange Rate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Average (1)</w:t>
            </w: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Low</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6.9618</w:t>
            </w:r>
          </w:p>
        </w:tc>
        <w:tc>
          <w:tcPr>
            <w:tcW w:w="14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6.9081</w:t>
            </w: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6.6822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6.5250</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6.9043</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6.5208</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7.1681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6.3726</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6.4382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6.3640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6.3610</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6.3556</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6.3206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6.3822</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6.3084</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6.3436</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6.3084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6.3660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6.3393</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6.3446</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6.3116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6.3720</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April</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6.6080</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6.4310</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6.3590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6.6243</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6.6715</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6.6990</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6.6079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6.7880</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6.6981</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6.6952</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6.6534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6.7530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6.7433</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6.7352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6.6945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6.7655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6.8890</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6.8007</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6.7230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7.1135</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7.0195</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6.8985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7.1990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https://www.federalreserve.gov/releases/h10/hist/default.htm</w:t>
      </w:r>
    </w:p>
    <w:p>
      <w:pPr>
        <w:spacing w:after="0" w:line="225" w:lineRule="exact"/>
        <w:rPr>
          <w:sz w:val="20"/>
          <w:szCs w:val="20"/>
          <w:color w:val="auto"/>
        </w:rPr>
      </w:pPr>
    </w:p>
    <w:p>
      <w:pPr>
        <w:ind w:left="660" w:right="1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lows, and highs are calculated from month-end rates. Monthly averages, lows, and highs are calculated using the average of the daily rates during the relevant period.</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7"/>
          <w:szCs w:val="17"/>
          <w:b w:val="1"/>
          <w:bCs w:val="1"/>
          <w:color w:val="auto"/>
        </w:rPr>
        <w:t>Capitalization and 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ind w:left="1300" w:hanging="644"/>
        <w:spacing w:after="0"/>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A summary of risk factors is provided concisely below: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Manage Our Business and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Adverse Economic Conditions Affecting Our Clients’ Purchase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Intense Competition from Other Service Provider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Lack of Skilled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Lack of Diverse Clients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Collection of Account Receivables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Inability to Develop New Technology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Inability to Continue Mergers and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Inability to Post-merger Integration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Inability to Generate New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Complexity to Evaluate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Lack of Full Utilization of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Underestimate of Cap on Our Service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Exposure to Wage-related High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Pricing Pressure due to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Unauthorized Disclosure of Confidential Client Information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Unauthorized Use of Our Intellectual Property by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Inability to Raise Additional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Business Interruptions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COVID-19 Pandemic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Fluctuation of Renminbi to US dollar Exchange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Lack of Effective Internal Control in Our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b w:val="1"/>
          <w:bCs w:val="1"/>
          <w:color w:val="auto"/>
        </w:rPr>
        <w:t>Risks Related to Corporate Structure</w:t>
      </w:r>
    </w:p>
    <w:p>
      <w:pPr>
        <w:spacing w:after="0" w:line="229" w:lineRule="exact"/>
        <w:rPr>
          <w:sz w:val="20"/>
          <w:szCs w:val="20"/>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Refusal to Declare Dividends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Subsidiaries’ Bankruptcy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Subsidiaries’ Lack of Regulatory Approval by Chinese Authorities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Subsidiaries’ Chops Being Lost or Stolen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Non-compliance with PRC regulations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Adverse Economic Conditions in China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Lack of Permission to Do Business in China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Uncertainty on Compliance with Cybersecurity Law of China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Regulations on US-listed Chinese Companies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US Regulator’s Inability to Conduct Investigation in China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Tax Reporting Obligations in China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PRC Regulations Governing Offshore Special Purpose Companies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PRC Regulations Governing Inter-company Loans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Control on Currency Conversion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Complex M&amp;A Rules Governing Our Acquisitions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PRC Regulations Governing Registration of Employee Stock Ownership</w:t>
      </w:r>
    </w:p>
    <w:p>
      <w:pPr>
        <w:spacing w:after="0" w:line="236"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Subsidiaries’ Ability to Pay Dividends to Us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PRC Labor Law’s Restriction on Our Employment Practice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PCAOB’s Inability to Inspect Our Independent Auditors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Uncertainty as to the Cooperation between PCAOB and CSRC of China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Possible Delisting under HFCAA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Accelerated Compliance Schedule under HFCAA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Exposure to Direct Scrutiny by US Regulators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Regulations by Cyberspace Administration of China</w:t>
      </w:r>
    </w:p>
    <w:p>
      <w:pPr>
        <w:spacing w:after="0" w:line="200" w:lineRule="exact"/>
        <w:rPr>
          <w:sz w:val="20"/>
          <w:szCs w:val="20"/>
          <w:color w:val="auto"/>
        </w:rPr>
      </w:pPr>
    </w:p>
    <w:p>
      <w:pPr>
        <w:spacing w:after="0" w:line="241" w:lineRule="exact"/>
        <w:rPr>
          <w:sz w:val="20"/>
          <w:szCs w:val="20"/>
          <w:color w:val="auto"/>
        </w:rPr>
      </w:pPr>
    </w:p>
    <w:p>
      <w:pPr>
        <w:jc w:val="center"/>
        <w:ind w:right="-44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873"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15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We have significantly grown and expanded our business recently. Our revenues grew from $89.4 million in fiscal 2020 to $126.1 million in fiscal 2021 and to $152.0 million in fiscal 2022. We maintain nineteen delivery and/or R&amp;D centers, of which ten are located in Mainland China (Shanghai, Beijing, Dalian, Tianjin, Xi’an, Chengdu, Guangzhou, Shenzhen, Hangzhou, and Hainan) and nine are located globally (Hong Kong SAR, the United States of America, Japan, Singapore, Australia, Malaysia, India, the Philippines, and Vietnam), to serve different customers in various geographic locations. The number of our total employees grew from 2,746 in fiscal 2020 to 3,352 in fiscal 2021. As of June 30, 2022 we had 3,824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7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developing and retaining sufficient IT talent and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capitalizing upon economies of scale;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number of clients in a greater number of industries and locations;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oversight of personnel and offices;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work among offices and project teams and maintaining high resource utilization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new management personnel and expanded operations while preserving our culture and core values;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adhering to and further improving our high quality and process execution standards and maintaining high levels of client satisfaction.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delay their IT spending or change their IT outsourcing strategy, and reduce their purchases from us. The recent global economic slowdown and any future economic slowdown, and the resulting reduction in IT spending, could also lead to increased pricing pressure from our clients. The occurrence of any of these events could materially and adversely affect our revenues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in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annual voluntarily attrition rates were 16.6% and 15% in fiscal 2020 and fiscal 2021, respectively; in fiscal 2022, this rate was 15.4%.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Talent Creation Program (“TCP”) and Talent Development Program (“TDP”)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future success heavily depends upon the continued services of our senior executives and other key employees. In particular, we rely on the expertise, experience, client relationships and reputation of Xiao Feng Yang, our Chairman of the Board. We currently do not maintain key-man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in light of the uncertainties with China’s legal system.</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in the foreseeable future we will continue to derive a significant portion of our revenues from a small number of major clients. For the years ended June 30, 2022, 2021 and 2020, Citibank and its affiliates accounted for 20.6%, 19.1% and 21.5% of the Company’s total revenues, respectively. For fiscal 2022 and 2021, substantially all the service provided by the Company to Citibank was IT consulting services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one and three years. A major client in one year may not provide the same level of revenues for us in any subsequent year. The IT services we provide to our clients, and the revenues and income from those services, may decline or vary as the type and quantity of IT services we provide change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our receivables from our clients, our results of operations and cash flows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our ability to successfully obtain payment from our clients of the amounts they owe us for work performed. As of June 30, 2022 and 2021, our accounts receivable balance, net of allowance, amounted to approximately $53.8 million and $44.1 million, respectively. As of the years ended June 30, 2022 and 2021, Citibank accounted for 30.2% and 23.1% of the Company’s total accounts receivable balance.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services is characterized by rapid technological changes, evolving industry standards, changing client preferences and new product and service introductions. Our future growth and success depend significantly on our ability to anticipate developments in IT services,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76" w:lineRule="exact"/>
        <w:rPr>
          <w:sz w:val="20"/>
          <w:szCs w:val="20"/>
          <w:color w:val="auto"/>
        </w:rPr>
      </w:pPr>
    </w:p>
    <w:p>
      <w:pPr>
        <w:ind w:left="5580" w:right="4580" w:hanging="4924"/>
        <w:spacing w:after="0" w:line="783" w:lineRule="auto"/>
        <w:tabs>
          <w:tab w:leader="none" w:pos="9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operations, services and personnel in a timely and efficient manner;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or undisclosed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revenue and net income to offset acquisition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or harm to, employee or client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structuring our acquisition consideration and any related post-acquisition earn-outs and successfully monitoring any earn-out calculations and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senior management and key sales and marketing and research and development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incompatibility of solutions, services and technology or corporate cultures;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rationalizing corporate, information technology and administrative infrastructures;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documenting processes and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unfamiliar markets;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from potentially operating additional geographically dispersed sites, particularly if we acquire a company or business with facilities or operations outside of China.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89" w:lineRule="exact"/>
        <w:rPr>
          <w:sz w:val="20"/>
          <w:szCs w:val="20"/>
          <w:color w:val="auto"/>
        </w:rPr>
      </w:pPr>
    </w:p>
    <w:p>
      <w:pPr>
        <w:ind w:left="5540" w:right="3520" w:hanging="4884"/>
        <w:spacing w:after="0" w:line="783" w:lineRule="auto"/>
        <w:tabs>
          <w:tab w:leader="none" w:pos="9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our ability to continue our growth and maintain profitability;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competitive position in the IT services industry in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consistent and high-quality services to retain and attract clients;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our strategy and modifying it from time to time to respond effectively to competition and changes in client preferences;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expanding operations and successfully expanding our solution and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in a timely manner to technological or other changes in the IT services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risks associated with intellectual property;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developing and retaining qualified managerial and other personnel.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unsuccessful in addressing any of these risks or challenges, our business may be materially and adversely affected.</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will suffer if we are not able to maintain our resource utilization levels and continue to improve our productivity levels.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wages for professionals in China could prevent us from sustaining our competitive advantage and could reduce our profit margins.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nature of our business exposes us to risks that could adversely affect our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currency fluctuations between the Renminbi and the U.S. dollar and other currencies in which we transact business;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such as scrutiny of transfer pricing arrangements by authorities in the countries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tariffs and other trade barriers, including restrictions on technology and data transfers;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other acts of violence or war.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revenues and results of operations are affected by seasonal trends.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and/or reductions in our costs. Furthermore, we may be forced to reduce the prices of our services in response to offerings made by our competitors. Finally, we may not have the same level of bargaining power we have enjoyed in the past when it comes to negotiating the prices of our services.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89"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and demand for, securities of technology services outsourcing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the U.S. and other capital markets in which we may seek to raise funds;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regulation of foreign investment in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conditions in China;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policies relating to the borrowing and remittance outside China of foreign currency.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resulting from business interruptions resulting from occurrence of natural disasters, health epidemics and other outbreaks or events.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operational facilities may be damaged in natural disasters such as earthquakes, floods, heavy rains, 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negatively impacted by the COVID-19 pandemic.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2019, the 2019 novel coronavirus (COVID-19) surfaced in Wuhan, China. The World Health Organization declared a global emergency on January 30, 2020 with respect to the outbreak then characterized it as a pandemic on March 11, 2020. The outbreak has spread throughout Europe and the Middle East, and there have been many cases of COVID-19 in Canada and the United States, causing companies and various international jurisdictions to impose restrictions, such as quarantines, closures, cancellations and travel restrictions. While these effects are expected to be temporary, the duration of the business disruptions internationally and related operational impact are expected to last until the end of fiscal 2023 and beyond. Similarly, we cannot estimate whether or to what extent this outbreak and potential financial impact may extend to countries outside of those currently impacted. At this point, the extent to which the coronavirus has slowed down our projected revenue growth is reflected in our fiscal 2022 financial statements and may continue to slow down our growth for fiscal 2023 and beyond.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 in the value of the Renminbi and other currencies may have a material adverse effect on the value of your investment.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Australian dollar, Indian rupee, Malaysian ringgit and Japanese yen in certain of our operating subsidiaries.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adversely affect our business and the value of our securities.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in certain countries in which we have clients may restrict companies in those countries from outsourcing work to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computer networks may be vulnerable to security risks that could disrupt our services and adversely affect our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not conducted an audit of our internal control over financial reporting. It is possible that, had our independent registered public accounting firm conducted an audit of our internal control over financial reporting, such firm might have identified additional material weaknesses and deficiencies.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Our management concluded that our internal control over financial reporting is effective as of June 30, 2022. In addition, once we cease to be an “emerging growth company” on June 30, 2023 as such term is defined in the JOBS Act, we need to assess whether we are an accelerated filer. If we meet the definition of an accelerated filer, our independent registered public accounting firm must attest to and report on the effectiveness of our internal control over financial reporting. If we are a non-accelerated filer, we will be exempt from Section 404 requirement to have auditor attestation on our internal control over financial reporting, therefore affording investors less statutory protection.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protect us against losses.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17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likely not pay dividends in the foreseeable future.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 We may experience difficulties in completing the administrative procedures necessary to obtain and remit foreign currency. Furthermore, if our subsidiaries in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Company Law of P.R. China (2018 Revision), Foreign Investment Law of the People’s Republic of China (2020) and Implementing Regulations of the Foreign Investment Law of the People’s Republic of China (2020),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8, 2006, six Chinese regulatory agencies, including the Ministry of Commerce of the People’s Republic of China (“MOFCOM”), jointly issued the Regulations on Mergers and Acquisitions of Domestic Enterprises by Foreign Investors, which was amended on June 22, 2009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Issuance and Listing of Securities by Domestic Companies (Draft for Comments) (the “Administrative Provisions”) and the draft Measures for the Record-Filing of Overseas Issuance and Listing of Securities by Domestic Companies (Draft for Comments) (the “Filing Measures”) for public comments till January 23, 2022. Pursuant to these drafts, a filing-based regulatory system will be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As of the date of this Form 20-F, it remains uncertain when the final Administrative Provisions and Filing Measures will be adopted and whether they will be adopted in the current draft form. If the Administrative Provisions and Filing Measures are adopted in the current form, we may be required to file the relevant documents with the CSRC within three business days after submitting our listing application documents to the relevant regulator in the place of intended listing, and complete the filing procedures with the CSRC in connection with such future offshore securities offering. Failure to complete the filing under the Administrative Provisions and Filing Measures may subject a PRC domestic company to a warning and a fine of RMB1 million to RMB10 million. In the event of a serious violation of the Administrative Provisions, the PRC domestic company may be ordered to discontinue the related business or suspend its operations for rectification, and its permits or business licenses may be revoked.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on April 2, 2022, the CSRC published the draft Provisions on Strengthening the Confidentiality and Archives Management Related to Overseas Issuance and Listing of Securities by Domestic Companies (Draft for Comments), or the Draft Confidentiality and Archives Management Provisions, for public comments. Pursuant to the Draft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of the date of this Form 20-F, the Draft Confidentiality and Archives Management Provisions were released for public comments only and the final version and effective date of such regulations are subject to change with substantial uncertainty.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CSRC or other PRC regulatory authorities subsequently determine that we need to obtain their approval or complete the required filing or other administrative procedures for any future offshore securities offering or other financing activities,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Catalogue of Industries for Encouraging Foreign Investment (2020)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If and to the extent we fail to maintain compliance with such applicable rules and regulations, our operations and financial results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to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Cyber Security Law as well as any impact it may have on our business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 2015, the Standing Committee of the National People’s Congress issued the National Security Law, which came into effect on the same day. The National Security Law provides that the state shall safeguard its sovereignty, security and cybersecurity development interests, and that the government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of the People’s Republic of China issued the Regulations on Security Protection of Critical Information Infrastructures, which came into effect on September 1, 2021. The Regulations on Security Protection of Critical Information Infrastructures provides that “critical information infrastructure” shall be identified by the “protection work departments” (the competent departments and supervision and administration departments of the important industries and fields, such as public communication and information service, energy, transportation, water resources, finance, public services, e-government affairs, science, technology and industry for national defense as well as other important network facilities and information system, etc. of which the destruction, loss of function and data divulgence may seriously endanger national security, people’s livelihood and public interests). A “protection work department” shall, in light of the actualities of the industry or field concerned, formulate the rules for identification of “critical information infrastructure” and submit the same to the public security department of the State Council for record-filing, and shall take the following factors into consideration in the rule formulating work: 1) Degree of importance of the network facilities and information system to the critical and core business of the industry or field concerned; 2) Extent of harm likely to be caused once the network facilities and information system, etc. are destroyed, lose functions or divulge data; and; 3) Correlation effect on other industries and fields. However, no official guidelines as to the scope of “critical information infrastructure” or identification rules of the “critical information infrastructure” of our industry or field have been formally issued.</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believe that we are an operator of “critical information infrastructure” as defined in the Cyber Security Law and the Regulations on Security Protection of Critical Information Infrastructures. However, there is no assurance that we may not be considered an operator of “critical information infrastructure” in the future as the definition is not precise, and there are substantial uncertainties as to the ultimate interpretation and implementation of the Cyber Security Law and the Regulations on Security Protection of Critical Information Infrastructures. If we are identified as an operator of “critical information infrastructure” accordingly, it could cause us to incur substantial costs or require us to change our business practices in a manner materially adverse to our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14, 2021, CAC published Regulations for the Administration of Network Data Security (Draft for public comment, hereinafter the “Draft”). Article 2 of the Draft stipulates that “these Regulations apply to data processing activities carried out through networks as well as the supervision and regulation of network data security within the territory of the People's Republic of China. We do not believe the current business of CLPS involves any “data processing activities”. In the foreseeable future, it is our understanding that CLPS will not engage in "data process activities". Therefore, we believe that the Draft does not apply to CLPS. The Draft has no substantial impact on the business of CLPS.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20-F,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20-F, the current applicable PRC laws on cybersecurity would have a material adverse impact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could have a material adverse effect on 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regulators’ ability to conduct investigations or enforce rules in China is limited.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As a result, recognition and enforcement in China of these judgments in relation to any matter, including U.S. securities laws and the laws of the Cayman Islands, may be difficult or impossible.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regarding the PRC tax reporting obligations and consequences for certain indirect transfers of the stock of our operating company.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April 23, 2019,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2015, SAFE promulgated Circular 19, a notice regulating the conversion by a foreign-invested enterprise of foreign currency into Renminbi by restricting how the converted Renminbi may be used. Circular 19 requires that Renminbi converted from the foreign currency-denominated capital of a foreign-invested enterprise shall be truthfully used for the enterprise’s own operational purposes within the scope of business and only the foreign-invested enterprise whose main business is investment (including a foreign-invested investment company, foreign-invested venture capital enterprise or foreign-invested equity investment enterprise) is allowed to directly settle its foreign exchange capital or transfer the RMB funds under its Account for Foreign Exchange Settlement Pending Payment to the account of an invested enterprise according to the actual amount of investment, provided that the relevant domestic investment project is real and compliant.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and Circular 7, and may be required to expend valuable resources to comply with Circular 59 and Circular 7 or to establish that we and our non-resident enterprises should not be taxed under these circulars, which may have a material adverse effect on our financial condition and results of operations.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tax authorities have the discretion under SAT Circular 59,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7, our income tax costs associated with such potential acquisitions will be increased, which may have an adverse effect on our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holding company, we conduct substantially all of our business through our consolidated subsidiaries incorporated in Mainland China, Hong Kong SAR, and Singapore.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employment practices may be restricted under the PRC Labor Contract Law and our labor costs may increase as a result.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annual report is prepared by an auditor who is not inspected by the Public Company Accounting Oversight Board, and as such, you are deprived of the benefits of such inspection.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 included in this annual report, as auditors of companies that are traded publicly in the United States and a firm registered with the Public Company Accounting Oversight Board, or the PCAOB, is required by the laws of the United States to undergo 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the SEC and PCAOB will take to address the problem.</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restricted by China’s own law,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NYSE of issuers included on the SEC’s list for three consecutive years. Enactment of this legislation or other efforts to increase U.S. regulatory access to audit information could cause investor uncertainty for affected issuers, including us, and the market price of our shares could be adversely affected. It is unclear if this proposed legislation would be enacted. Furthermore, there has been recent media reports on deliberations within the U.S. government regarding potentially limiting or restricting China-based companies from accessing U.S. capital markets. If any such deliberations should materialize, the resulting legislation may have material and adverse impact on the stock performance of China-based issuers listed in the United States including us.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and practices of accounting firms in China with respect to their audit work of U.S. reporting companies. Inspections of other accounting firms that the PCAOB has conducted have identified deficiencies in those firms’ audit procedures and quality control procedures, which may be addressed as part of the inspection process to improve future audit quality. The lack of PCAOB inspections of audit work undertaken in China prevents the PCAOB from regularly evaluating our auditor’s audits and its quality control procedures. As a result, investors of our ordinary shares do not derive the benefits of PCAOB inspections, and may lose confidence in our reported financial information and procedures and the quality of our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is now required to reassess its determinations with regard to inspecting and investigating in Mainland China and Hong Kong by the end of 2022. We have noted the positive progress and will closely follow the development under the Statement of Protocol. However, there are uncertainties with respect to regulatory cooperation between the PCAOB and the Chinese regulators.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an independent auditor’s settlement with the SEC on September 29, 2022 for allegedly asking its clients to select their own samples for testing and to prepare audit documentation to show that the independent auditor itself had gotten and evaluated the supporting evidence for certain clients’ accounting entries, our independent auditor has never asked us to select our own samples for testing or to prepare audit documentation to show that our independent auditor itself had gotten and evaluated the supporting evidence for our accounting entries.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the PCAOB reassesses its determinations by the end of 2022, it could determine that it is still unable to inspect and investigate completely audit firms based in Mainland China and Hong Kong; as a result, we may be delisted by Nasdaq in accordance with HFCAA.</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Holding Foreign Companies Accountable Act could result in delisting of our common stock from Nasdaq Capital Market and lack of a readily available market for our common stock.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18, 2020, the Holding Foreign Companies Accountable Act (“HFCAA”) became law. Among other things, the HFCAA requires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to identify public companies that have retained a registered public accounting firm to issue an audit report where that firm has a branch or office that:</w:t>
      </w:r>
    </w:p>
    <w:p>
      <w:pPr>
        <w:spacing w:after="0" w:line="9" w:lineRule="exact"/>
        <w:rPr>
          <w:sz w:val="20"/>
          <w:szCs w:val="20"/>
          <w:color w:val="auto"/>
        </w:rPr>
      </w:pPr>
    </w:p>
    <w:p>
      <w:pPr>
        <w:jc w:val="both"/>
        <w:ind w:firstLine="8"/>
        <w:spacing w:after="0" w:line="251"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Mainland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is a Listed Auditor subject to the determinations announced by the PCAOB on December 16, 2021. Our Auditor is located in China.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Accordingly, under the current law this could happen in 2024.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being 2021, 2022 and 2023, then the SEC will impose an initial trading ban on the publicly traded securities of the Commission Identified Issuer in early 2024,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is not currently audited or inspected completely by the PCAOB and is consequently a Listed Auditor.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inability of the PCAOB to conduct unfettered inspections of public accounting firms in Mainland China and Hong Kong SAR, including our Auditor, prevents the PCAOB from fully evaluating audits and quality control procedures of our Auditor. This lack of full audit and inspection effectively deprives investors in our Common Stock of the benefits of PCAOB oversight and inspections. The inability of the PCAOB to conduct inspections of auditors in Mainland China and Hong Kong SAR makes it more difficult to evaluate the effectiveness of our Auditor’s audit procedures or quality control procedures as compared to auditors outside of Mainland China and Hong Kong SAR that are subject to complete audit and investigation by the PCAOB. This limitation on PCAOB audit and inspection could cause investors and potential investors in our Common Stock to lose confidence in our audit procedures and reported financial information and the quality of our financial statements. This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determines that it cannot inspect or investigate completely our Auditor, and that as a result, Nasdaq may determine to delist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Under the current version of HFCAA, an SEC ban on trading shares of Common Stock in the U.S. could take place in early 2024 if we have a Listed Auditor (a public auditor that cannot be completely audited and investigated by the PCAOB for three consecutive fiscal years (being 2021, 2022 and 2023)).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HFCAA or other efforts to increase U.S. regulatory access to audit information could cause investor uncertainty for affected issuers, like our company, and the market price of the shares could be adversely affected. Additionally, whether the PCAOB will be able to conduct inspections of our Auditor before the issuance of our financial statements to be included in our Form 20-F for the fiscal year 2023 or at all, is subject to substantial uncertainty and depends on factors out of our control and our Auditor’s control. If our Auditor is unable to be inspected in time, and we do not engage a public auditor who is not a Listed Auditor prior to the 2023 annual audit, we could be delisted from the Nasdaq Capital Market in 2024 and not eligible for trading on other tiers of the over the counter markets.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intends to engage an auditor who is audited and investigated completely by the PCAOB in prior to fiscal year 2023, the Company has not engaged such an auditor as of the date of this annual report. The Company, as a smaller reporting company, may experience delays or difficulties in engaging a public auditor who can be audited and investigated completely by the PCAOB and also audit our operations, which operations are located in Mainland China and Hong Kong SAR.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Efforts to increase U.S. Regulatory access to information about companies in Mainland China or Hong Kong SAR in order to enhance transparency for investors in U.S. corporations traded on U.S. stock markets but with substantial operations in Mainland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potential enactment of the Accelerating Holding Foreign Companies Accountable Act, if it is enacted into law in the U.S., would decrease the number of non-inspection years from three to two years under HFCAA, thus reducing the time period before our shares of Common Stock may be banned from being traded in the U.S. If this bill were enacted as proposed, and we have a Listed Auditor for fiscal years 2021 and 2022, our shares may be banned from trading in the U.S. in early 2023, not early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a bill known as the Accelerating Holding Foreign Companies Accountable Act, to amend Section 104(i) of the Sarbanes-Oxley Act of 2002 (15 U.S.C. 7214(i)) (“Proposed Law”) to prohibit securities of any registrant from being listed on any of the U.S. securities exchanges or traded over-the-counter if the auditor of the registrant’s financial statements is not subject to PCAOB investigation and inspection completely for two consecutive years, instead of three consecutive years as currently provided in the HFCAA.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4, 2022, the U.S. House of Representatives passed the America Competes Act of 2022 which includes the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currently passed, or when the U.S. President will sign the bill to make the amendment into law, if at all. In the case that the bill becomes the law, it may reduce the time period before our shares could be prohibited from trading in the U.S. from 2024 to 2023. Company is not certain as of the date of this annual report of when and if the Proposed Law will become law and applicable to public companies like our company.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annual report.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government regulation of business activities of U.S.-listed Chinese companies may negatively impact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annual report, there is no known regulatory involvement of the nature described in this paragraph and there is no discernible immediate impact on our company under the recent regulatory developments described in this paragraph.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legal system is based on written statutes and court decisions that have limited precedential value. The PRC legal system is evolving rapidly, and therefore the interpretations and enforcement of many laws, regulations and rules may contain inconsistencies and uncertainties.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Permissions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China are governed by PRC laws and regulations. As of the date of this annual report,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PRC laws, regulations and regulatory rules, as of the date of this annual report, we, our PRC subsidiaries, (i) are not required to obtain permissions from the China Securities Regulatory Commission, or the CSRC, (ii) are not required to go through cybersecurity review by the Cyberspace Administration of China, or the CAC, and (iii) have not been asked to obtain such permissions by any PRC authority.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the PRC government has recently indicated an intent to exert more oversight and control over offerings that are conducted overseas and/or foreign investment in China-based issuers.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Issuance and Listing of Securities by Domestic Companies (Draft for Comments) (the “Administrative Provisions”) and the draft Measures for the Record-Filing of Overseas Issuance and Listing of Securities by Domestic Companies (Draft for Comments) (the “Filing Measures”) for public comments till January 23, 2022. Pursuant to these drafts, a filing-based regulatory system will be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As of the date of this annual report, it remains uncertain when the final Administrative Provisions and Filing Measures will be adopted and whether they will be adopted in the current draft form. If the Administrative Provisions and Filing Measures are adopted in the current form, we may be required to file the relevant documents with the CSRC within three business days after submitting our listing application documents to the relevant regulator in the place of intended listing, and complete the filing procedures with the CSRC in connection with such future offshore securities offering. Failure to complete the filing under the Administrative Provisions and Filing Measures may subject a PRC domestic company to a warning and a fine of RMB1 million to RMB10 million. In the event of a serious violation of the Administrative Provisions, the PRC domestic company may be ordered to discontinue the related business or suspend its operations for rectification, and its permits or business licenses may be revoked.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on April 2, 2022, the CSRC published the draft Provisions on Strengthening the Confidentiality and Archives Management Related to Overseas Issuance and Listing of Securities by Domestic Companies (Draft for Comments), or the Draft Confidentiality and Archives Management Provisions, for public comments. Pursuant to the Draft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of the date of this annual report, the Draft Confidentiality and Archives Management Provisions were released for public comments only and the final version and effective date of such regulations are subject to change with substantial uncertainty.</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CSRC or other PRC regulatory authorities subsequently determine that we need to obtain their approval or complete the required filing or other administrative procedures for any future offshore securities offering or other financing activities,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in Mainland China are subject to restrictions on paying dividends and making other payments to our holding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subsidiaries have not declared or paid any cash dividends to the holding company. CLPS Incorporation has not declared or paid any cash dividends to pay any cash dividends on its ordinary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annual report, we have not been involved in any investigations on cybersecurity review made by the CAC on such basis, and we have not received any inquiry, notice, warning, or sanctions in such respect. Based on the foregoing, we and our PRC legal counsel do not expect that, as of the date of this annual report, the current applicable PRC laws on cybersecurity would have a material adverse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meet continued listing standards on the NASDAQ Global Market.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shares are delisted from the NASDAQ Global Market at some later date, our shareholders could find it difficult to sell our shares. In addition, if our common shares are delisted from the NASDAQ Global Market at some later date, we may apply to have our common shares quoted in the OTC Markets, otherwise they would automatically begin Quotation or in the “pink sheets” maintained by the National Quotation Bureau, Inc. The OTC Markets and the “pink sheets” are less efficient markets than the NASDAQ Global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Global Market at some later date or become subject to the penny stock regulations, it is likely that the price of our shares would decline and that our shareholders would find it difficult to sell their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shares may be volatile.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9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users,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uncertainties with regard to our variable interest entity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our service offerings or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common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common shares.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obtained against us by our shareholders may not be enforceable.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62" w:lineRule="exact"/>
        <w:rPr>
          <w:sz w:val="20"/>
          <w:szCs w:val="20"/>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that regulate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our status as a foreign private issuer is made annually on the last business day of our most recently completed second fiscal quarter and, accordingly, the next determination will be made with respect to us on or after December 31, 2022.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risks relating to evaluations of controls required by Sarbanes-Oxley Act of 2002.</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an “emerging growth company” under the JOBS Act, we are permitted to, and intend to, rely on exemptions from certain disclosure requirements. We are an emerging growth company until the earliest of:</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we have total annual gross revenues of $1.07 billion or more;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our IPO;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3-year period, issued more than $1 billion in non-convertible debt;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a “large accelerated issuer” as defined under the federal securities laws.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the IPO.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structure, together with applicable law, may impede shareholders from asserting claims against us and our principals.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geopolitical conditions, U.S.-China trade relations and other factors beyond the Company’s control may adversely impact our business and operating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76" w:lineRule="exact"/>
        <w:rPr>
          <w:sz w:val="20"/>
          <w:szCs w:val="20"/>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including but not limited to armed conflict, trade wars, retaliatory tariffs, and acts of terrorism or war;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or similar factors could result in reduced demand for our services which, in turn, could have material adverse effects on our business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Southeast Asia, and Hong Kong and their PRC-based IT centers.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nineteen delivery and/or R&amp;D centers, of which ten are located in Mainland China (Shanghai, Beijing, Dalian, Tianjin, Xi’an, Chengdu, Guangzhou, Shenzhen, Hangzhou, and Hainan) and nine are located globally (Hong Kong SAR, the United States of America, Japan, Singapore, Malaysia, Australia, Malaysia, and India, the Philippines, and Vietnam), to serve different customers in various geographic locations.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 and Background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23, 2005, CLPS Shanghai increased its registered capital to RMB1,000,000 (approximately US$123,671). Jingsu Pan and Xiaochun Deng respectively made full payment for their subscribed capital to RMB500,000 (approximately US$61,835) on December 21, 2005.</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March 29, 2010, Yan Pan entered into a </w:t>
      </w: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xml:space="preserve"> with Jingsu Pan to purchase all of Jingsu Pan’s shares in CLPS Shanghai. Pursuant to the </w:t>
      </w: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Yan Pan paid RMB500,000 (approximately US$61,835) for 50% shares of CLPS Shanghai. After this share transfer, Yan Pan and Xiaochun Deng respectively held 50% shares of CLPS Shanghai.</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October 19, 2010, Raymond Ming Hui Lin entered into a </w:t>
      </w: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xml:space="preserve"> with Xiaochun Deng to purchase all of Xiaochun Deng’s shares in CLPS Shanghai. Pursuant to the </w:t>
      </w: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October 30, 2013, Xiao Feng Yang entered into a </w:t>
      </w: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xml:space="preserve"> with Yan Pan to purchase all of Yan Pan’s shares in CLPS Shanghai. Pursuant to the </w:t>
      </w:r>
      <w:r>
        <w:rPr>
          <w:rFonts w:ascii="Times New Roman" w:cs="Times New Roman" w:eastAsia="Times New Roman" w:hAnsi="Times New Roman"/>
          <w:sz w:val="18"/>
          <w:szCs w:val="18"/>
          <w:i w:val="1"/>
          <w:iCs w:val="1"/>
          <w:color w:val="auto"/>
        </w:rPr>
        <w:t>Share Purchase Agreement</w:t>
      </w:r>
      <w:r>
        <w:rPr>
          <w:rFonts w:ascii="Times New Roman" w:cs="Times New Roman" w:eastAsia="Times New Roman" w:hAnsi="Times New Roman"/>
          <w:sz w:val="18"/>
          <w:szCs w:val="18"/>
          <w:color w:val="auto"/>
        </w:rPr>
        <w:t>, Xiao Feng Yang paid RMB2,500,000 (approximately US$399,993) for 50% shares of CLPS Shanghai. After this share transfer, Xiao Feng Yang and Raymond Ming Hui Lin respectively held 50% shares of CLPS Shanghai.</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23, 2015, Raymond Ming Hui Lin paid RMB6,163,560 (approximately US$994,523) for the capital contribution that he has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27, 2015, Raymond Ming Hui Lin paid RMB3,391,883 (approximately US$546,980) for the capital contribution that he has made.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29, 2015, Xiao Feng Yang paid RMB4,400,000 (approximately US$709,906), plus with his cash dividends for the capital contribution that he has made.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5, 2015, Raymond Ming Hui Lin paid RMB3,894,060 (approximately US$627,103) for the capital contribution that he has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27, 2015, Raymond Ming Hui Lin paid RMB42,377 (approximately US$6,615) for the capital contribution that he has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14, 2015, Xiao Feng Yang paid RMB8,000,000 (approximately US$1,251,799), plus with his cash dividends for the capital contribution that he has made.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40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PLACE OF REGISTRATION</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Qinyao Investment Partnership (LLP)</w:t>
            </w: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1,700,000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Qinzhi Investment Partnership (LLP)</w:t>
            </w: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PRC</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1,270,000</w:t>
            </w:r>
          </w:p>
        </w:tc>
        <w:tc>
          <w:tcPr>
            <w:tcW w:w="80" w:type="dxa"/>
            <w:vAlign w:val="bottom"/>
          </w:tcPr>
          <w:p>
            <w:pPr>
              <w:spacing w:after="0"/>
              <w:rPr>
                <w:sz w:val="18"/>
                <w:szCs w:val="18"/>
                <w:color w:val="auto"/>
              </w:rPr>
            </w:pPr>
          </w:p>
        </w:tc>
      </w:tr>
      <w:tr>
        <w:trPr>
          <w:trHeight w:val="249"/>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Qinshang Software Technology Counsel Partnership (LLP)</w:t>
            </w: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33,870,000</w:t>
            </w:r>
          </w:p>
        </w:tc>
        <w:tc>
          <w:tcPr>
            <w:tcW w:w="8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2017, Qiner entered into three </w:t>
      </w:r>
      <w:r>
        <w:rPr>
          <w:rFonts w:ascii="Times New Roman" w:cs="Times New Roman" w:eastAsia="Times New Roman" w:hAnsi="Times New Roman"/>
          <w:sz w:val="18"/>
          <w:szCs w:val="18"/>
          <w:i w:val="1"/>
          <w:iCs w:val="1"/>
          <w:color w:val="auto"/>
        </w:rPr>
        <w:t>Share Purchase Agreements</w:t>
      </w:r>
      <w:r>
        <w:rPr>
          <w:rFonts w:ascii="Times New Roman" w:cs="Times New Roman" w:eastAsia="Times New Roman" w:hAnsi="Times New Roman"/>
          <w:sz w:val="18"/>
          <w:szCs w:val="18"/>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On October 31, 2017, CLPS Incorporation entered into a </w:t>
      </w:r>
      <w:r>
        <w:rPr>
          <w:rFonts w:ascii="Times New Roman" w:cs="Times New Roman" w:eastAsia="Times New Roman" w:hAnsi="Times New Roman"/>
          <w:sz w:val="18"/>
          <w:szCs w:val="18"/>
          <w:i w:val="1"/>
          <w:iCs w:val="1"/>
          <w:color w:val="auto"/>
        </w:rPr>
        <w:t>SOLD NOTE</w:t>
      </w:r>
      <w:r>
        <w:rPr>
          <w:rFonts w:ascii="Times New Roman" w:cs="Times New Roman" w:eastAsia="Times New Roman" w:hAnsi="Times New Roman"/>
          <w:sz w:val="18"/>
          <w:szCs w:val="18"/>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October 2017, all Chinese individual shareholders of CLPS Shanghai completed the procedures for foreign exchange registration of overseas investments in accordance with the </w:t>
      </w:r>
      <w:r>
        <w:rPr>
          <w:rFonts w:ascii="Times New Roman" w:cs="Times New Roman" w:eastAsia="Times New Roman" w:hAnsi="Times New Roman"/>
          <w:sz w:val="18"/>
          <w:szCs w:val="18"/>
          <w:i w:val="1"/>
          <w:iCs w:val="1"/>
          <w:color w:val="auto"/>
        </w:rPr>
        <w:t>Circular of the State Administration of Foreign Exchange on Issues concerning Foreign Exchange Administration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Overseas Investment and Financing and Round-trip Investment by Domestic Residents via Special Purpose Vehicles </w:t>
      </w:r>
      <w:r>
        <w:rPr>
          <w:rFonts w:ascii="Times New Roman" w:cs="Times New Roman" w:eastAsia="Times New Roman" w:hAnsi="Times New Roman"/>
          <w:sz w:val="18"/>
          <w:szCs w:val="18"/>
          <w:color w:val="auto"/>
        </w:rPr>
        <w:t>(SAFE 2014 No. 37). After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registrations, CLPS QC (WOFE) entered into 46 </w:t>
      </w:r>
      <w:r>
        <w:rPr>
          <w:rFonts w:ascii="Times New Roman" w:cs="Times New Roman" w:eastAsia="Times New Roman" w:hAnsi="Times New Roman"/>
          <w:sz w:val="18"/>
          <w:szCs w:val="18"/>
          <w:i w:val="1"/>
          <w:iCs w:val="1"/>
          <w:color w:val="auto"/>
        </w:rPr>
        <w:t>Share Purchase Agreements</w:t>
      </w:r>
      <w:r>
        <w:rPr>
          <w:rFonts w:ascii="Times New Roman" w:cs="Times New Roman" w:eastAsia="Times New Roman" w:hAnsi="Times New Roman"/>
          <w:sz w:val="18"/>
          <w:szCs w:val="18"/>
          <w:color w:val="auto"/>
        </w:rPr>
        <w:t xml:space="preserve"> with all 46 Chinese individual shareholders of which the 46 Chinese individual shareholders in total held 18,731,261 shares of CLPS Shanghai. The aforementioned share transfer was part of a reorganization of the group.</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2, 2017, the transfer between the 46 Chinese individual shareholders and CLPS QC (WOFE) has completed the record-filing of changes of Foreign-invested Company and got the record receipt.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15, 2020, Shanghai Qincheng Information Technology Co., Ltd. and Qiner Co., Limited subscribed new shares issued by CLPS Shanghai. After the above-mentioned subscription, the shareholding structure of CLPS Shanghai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40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PLACE OF REGISTRATION</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Qincheng Information 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Qiner Co., Limited</w:t>
            </w: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22,348,301</w:t>
            </w:r>
          </w:p>
        </w:tc>
        <w:tc>
          <w:tcPr>
            <w:tcW w:w="100" w:type="dxa"/>
            <w:vAlign w:val="bottom"/>
            <w:tcBorders>
              <w:bottom w:val="single" w:sz="8" w:color="CCEEFF"/>
            </w:tcBorders>
          </w:tcPr>
          <w:p>
            <w:pPr>
              <w:spacing w:after="0"/>
              <w:rPr>
                <w:sz w:val="20"/>
                <w:szCs w:val="20"/>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CLPS Shanghai has three wholly-owned subsidiaries: CLPS RC, Huanyu, and CLPS Hangzhou. Besides the three wholly-owned subsidiaries, CLPS Shanghai participated in the following investments:</w:t>
      </w:r>
    </w:p>
    <w:p>
      <w:pPr>
        <w:spacing w:after="0" w:line="158"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CLPS Beijing </w:t>
      </w:r>
      <w:r>
        <w:rPr>
          <w:rFonts w:ascii="Times New Roman" w:cs="Times New Roman" w:eastAsia="Times New Roman" w:hAnsi="Times New Roman"/>
          <w:sz w:val="18"/>
          <w:szCs w:val="18"/>
          <w:color w:val="auto"/>
        </w:rPr>
        <w:t>— CLPS Shanghai holds 49% of equity interest in CLPS Beijing, a PRC limited liability company</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CLPS Shenzhen </w:t>
      </w:r>
      <w:r>
        <w:rPr>
          <w:rFonts w:ascii="Times New Roman" w:cs="Times New Roman" w:eastAsia="Times New Roman" w:hAnsi="Times New Roman"/>
          <w:sz w:val="18"/>
          <w:szCs w:val="18"/>
          <w:color w:val="auto"/>
        </w:rPr>
        <w:t>— CLPS Shanghai holds 70% of equity interest in CLPS Shenzhen, a PRC limited liability company.</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CLPS Guangzhou </w:t>
      </w:r>
      <w:r>
        <w:rPr>
          <w:rFonts w:ascii="Times New Roman" w:cs="Times New Roman" w:eastAsia="Times New Roman" w:hAnsi="Times New Roman"/>
          <w:sz w:val="18"/>
          <w:szCs w:val="18"/>
          <w:color w:val="auto"/>
        </w:rPr>
        <w:t>— CLPS Shanghai holds 51% of equity interest in CLPS Guangzhou, a PRC limited liability company.</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CLPS Dalian </w:t>
      </w:r>
      <w:r>
        <w:rPr>
          <w:rFonts w:ascii="Times New Roman" w:cs="Times New Roman" w:eastAsia="Times New Roman" w:hAnsi="Times New Roman"/>
          <w:sz w:val="18"/>
          <w:szCs w:val="18"/>
          <w:color w:val="auto"/>
        </w:rPr>
        <w:t>— CLPS Shanghai holds 49% of equity interest in CLPS Dalian, a PRC limited liability company.</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CLPS Shenzhen Robotics — </w:t>
      </w:r>
      <w:r>
        <w:rPr>
          <w:rFonts w:ascii="Times New Roman" w:cs="Times New Roman" w:eastAsia="Times New Roman" w:hAnsi="Times New Roman"/>
          <w:sz w:val="18"/>
          <w:szCs w:val="18"/>
          <w:color w:val="auto"/>
        </w:rPr>
        <w:t>CLPS Shanghai holds 10% of equity interest in CLPS Shenzhen Robotics, a PRC limited liability company.</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SSIT </w:t>
      </w:r>
      <w:r>
        <w:rPr>
          <w:rFonts w:ascii="Times New Roman" w:cs="Times New Roman" w:eastAsia="Times New Roman" w:hAnsi="Times New Roman"/>
          <w:sz w:val="18"/>
          <w:szCs w:val="18"/>
          <w:color w:val="auto"/>
        </w:rPr>
        <w:t>— CLPS Shanghai holds 35% of equity interest in SSIT, a PRC limited liability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UniDev </w:t>
      </w:r>
      <w:r>
        <w:rPr>
          <w:rFonts w:ascii="Times New Roman" w:cs="Times New Roman" w:eastAsia="Times New Roman" w:hAnsi="Times New Roman"/>
          <w:sz w:val="18"/>
          <w:szCs w:val="18"/>
          <w:color w:val="auto"/>
        </w:rPr>
        <w:t>— CLPS Shanghai holds 15% of equity interest in UniDev, a PRC limited liability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spacing w:after="0" w:line="8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Dalian provides both consulting and solution services. CLPS Dalian services clients in China’s north east region, including Dalian.</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RC provides consulting services. CLPS RC focuses on small and medium domestic financial institutions.</w:t>
      </w:r>
    </w:p>
    <w:p>
      <w:pPr>
        <w:spacing w:after="0" w:line="13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Beijing provides both consulting and solution services. CLPS Beijing services clients in China’s central east region, including Beijing and Tianjin.</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CLPS-Ridik AU currently only provides consulting services. CLPS-Ridik AU services clients in Australia.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SG currently only provides consulting services. CLPS SG services clients in South East Asia region, including Singapore.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JAJI China is a joint venture with The Judge Group in the US. JAJI China continues to service The Judge Group’s clients in China. JAJI China focuses on expanding its client bases with collaboration efforts with The Judge Group. On April 2, 2021, as part of business strategy, the Company changed the English entity name of its majority-owned subsidiary, Judge (Shanghai) Co., Ltd. and its wholly-owned subsidiary Judge (Shanghai) Human Resource Co., Ltd., to JAJI (Shanghai) Co., Ltd. (“JAJI China”) and JAJI (Shanghai) Human Resource Co., Ltd. (“JAJI HR”), respectively.</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Hong Kong provides both consulting and solution services. CLPS Hong Kong services clients in East Asia region, including Hong Kong.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Shenzhen currently only provides consulting services. CLPS Shenzhen services clients in Shenzhen.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Guangzhou currently only provides consulting services. CLPS Guangzhou services clients in Guangzhou.</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Pte. provides both consulting and solution services. Ridik Pte. services in South East Asia region, including Singapore.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Software Pte. currently only provides consulting services. Ridik Software Pte. services in South East Asia region, including Singapore.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Ridik Sdn. currently only provides consulting services. Ridik Sdn. services in South East Asia region, including Malaysia.</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CLPS Shanghai holds 100% of equity interest in Huanyu which was incorporated in September 2017 for the purposes of providing Internet technology services and products to clients. CLPS Shanghai, CLPS Dalian, CLPS Guangzhou, CLPS Beijing, JAJI China, Ridik Pte., and CLPS HK all contribute material amounts of the Company’s total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Information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Unit 1102, 11th Floor, Millennium City III, 370 Kwun Tong Road, Kwun Tong, Kowloon, Hong Kong SAR. Our telephone number is (852)3707-3600. Our website is as follows www.clpsglobal.com. The information on our website is not part of this Annual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154305</wp:posOffset>
            </wp:positionV>
            <wp:extent cx="5915025" cy="4406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502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85"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The Initial Public Offering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spacing w:after="0" w:line="17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Southeast Asia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nineteen delivery and/or R&amp;D centers, of which ten are located in China (Shanghai, Beijing, Dalian, Tianjin, Xi’an, Chengdu, Guangzhou, Shenzhen, Hangzhou, and Hainan) and nine are located globally (Hong Kong SAR, the United States of America, Japan, Singapore, Australia, Malaysia, India, the Philippines, and Vietnam), to serve different customers in various geographic locations.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Background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China’s Banking Industry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2021 annual report of China Banking and Insurance Regulatory Commission (CBIRC), China’s banking financial institutions had total assets of RMB 337.7 trillion (USD 53.0 trillion) at the end of 2021, a year-on-year increase of RMB 25.0 trillion (USD 3.9 trillion), or 8.0%. Total liabilities were RMB 308.4 trillion (USD 48.4 trillion), a year-on-year increase of RMB 22.1 trillion (USD 3.5 trillion), or 7.7%. The total assets of banking financial institutions were RMB 94.3 trillion (USD 14.8 trillion) in 2010. Over the past 10 years, the total assets of China’s banking financial institutions grew at a compound annual growth rate of more than 10%. However, the banking industry has faced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CBIRC continued the policies to open China’s banking industry for entry by foreign competitors to promote healthy competition in the industry. Since 2018, the CBIRC has announced three rounds of 34 new measures to further open up China to the outside world, such as abolishing or relaxing restrictions on foreign ownership, relaxing access conditions for foreign institutions and businesses, expanding the business scope of foreign institutions, optimizing regulatory rules for foreign institutions and simplifying administrative licensing procedures. By the end of May 2022, foreign banks had set up 41 foreign legal entities, 116 branches of foreign banks and 134 representative offices in China, with a total of 919 business institutions.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i w:val="1"/>
          <w:iCs w:val="1"/>
          <w:color w:val="auto"/>
        </w:rPr>
        <w:t>Software and Information Technology Service Industry in China</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2021 Economic Performance of the Software Industry report of Ministry of Industry and Information Technology (MIIT), China’s software and information technology service industry has maintained a good performance, with robust revenue growth in software business, sustained profitability improvement, growth in software export, and increase in number of employees.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China’s software and information technology services industry has rapidly developed and grown in recent years. The MIIT data showed that the industry’s revenue reached RMB 9.5 trillion (USD 1.5 trillion) in 2021, an increase of 17.7% compared to 2020, a CAGR of 15.5% over the two-year period. There has been a sustained improvement in profitability. In 2021, the industry achieved a total profit of RMB 1.2 trillion (USD 0.2 trillion), an increase of 7.6% over the previous year. Software export continued to grow. In 2021, the software-related exports were USD 52.1 billion, an increase of 8.8% over the previous year. Of which, the export of software outsourcing services was USD 14.9 billion, an increase of 8.6% over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4697730" cy="2529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9773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Data Source: The Ministry of Industry and Information Technology, National Bureau of Statistics of China.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development of China’s software and IT service industry is generally characterized by:</w:t>
      </w:r>
    </w:p>
    <w:p>
      <w:pPr>
        <w:spacing w:after="0" w:line="223" w:lineRule="exact"/>
        <w:rPr>
          <w:sz w:val="20"/>
          <w:szCs w:val="20"/>
          <w:color w:val="auto"/>
        </w:rPr>
      </w:pPr>
    </w:p>
    <w:p>
      <w:pPr>
        <w:jc w:val="both"/>
        <w:ind w:left="980" w:hanging="324"/>
        <w:spacing w:after="0" w:line="267"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products </w:t>
      </w:r>
      <w:r>
        <w:rPr>
          <w:rFonts w:ascii="Times New Roman" w:cs="Times New Roman" w:eastAsia="Times New Roman" w:hAnsi="Times New Roman"/>
          <w:sz w:val="18"/>
          <w:szCs w:val="18"/>
          <w:color w:val="auto"/>
        </w:rPr>
        <w:t>—In 2021, the industry’s revenue from software products reached RMB 2.44 trillion (USD 0.4 trillion),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12.3% over the previous year, accounting for 25.7% of the industry’s revenue. Of which, the revenues from industrial software products increased by 24.8% to RMB 241.4 billion (USD 37.9 billion). The growth rate was 7.1% higher than the industry average.</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technology services </w:t>
      </w:r>
      <w:r>
        <w:rPr>
          <w:rFonts w:ascii="Times New Roman" w:cs="Times New Roman" w:eastAsia="Times New Roman" w:hAnsi="Times New Roman"/>
          <w:sz w:val="18"/>
          <w:szCs w:val="18"/>
          <w:color w:val="auto"/>
        </w:rPr>
        <w:t>—In 2021, the industry’s revenue from information technology services increased by 20.0% to RMB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trillion (USD 0.9 trillion). The growth rate was 2.3% higher than the industry average. It accounted for 63.5% of the industry’s total revenue. Of which, the aggregate revenues from cloud and big data services were RMB 776.8 billion (USD 121.9 billion), up by 21.2% year-on-year. It accounted for 12.9% of the information technology services total revenue. Integrated circuit design services revenues reached RMB 217.4 billion (USD 34.1 billion), an increase of 21.3% over the previous year. E-commerce platform technical services revenues reached RMB 1.0 trillion (USD 0.2 trillion), an increase of 33.0% over the previous year.</w:t>
      </w:r>
    </w:p>
    <w:p>
      <w:pPr>
        <w:spacing w:after="0" w:line="182"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security products and services – </w:t>
      </w:r>
      <w:r>
        <w:rPr>
          <w:rFonts w:ascii="Times New Roman" w:cs="Times New Roman" w:eastAsia="Times New Roman" w:hAnsi="Times New Roman"/>
          <w:sz w:val="18"/>
          <w:szCs w:val="18"/>
          <w:color w:val="auto"/>
        </w:rPr>
        <w:t>In 2021, the revenue of information security products and services reached RMB 182.5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(USD 28.6 billion), an increase of 13.0% over the previous year.</w:t>
      </w:r>
    </w:p>
    <w:p>
      <w:pPr>
        <w:spacing w:after="0" w:line="158"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Embedded system software – </w:t>
      </w:r>
      <w:r>
        <w:rPr>
          <w:rFonts w:ascii="Times New Roman" w:cs="Times New Roman" w:eastAsia="Times New Roman" w:hAnsi="Times New Roman"/>
          <w:sz w:val="18"/>
          <w:szCs w:val="18"/>
          <w:color w:val="auto"/>
        </w:rPr>
        <w:t>In 2021, the revenue of embedded system software reached RMB 842.5 billion (USD 132.2 billion),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19.0% over the previous year.</w:t>
      </w:r>
    </w:p>
    <w:p>
      <w:pPr>
        <w:spacing w:after="0" w:line="158" w:lineRule="exact"/>
        <w:rPr>
          <w:rFonts w:ascii="Times New Roman" w:cs="Times New Roman" w:eastAsia="Times New Roman" w:hAnsi="Times New Roman"/>
          <w:sz w:val="18"/>
          <w:szCs w:val="18"/>
          <w:i w:val="1"/>
          <w:iCs w:val="1"/>
          <w:color w:val="auto"/>
        </w:rPr>
      </w:pPr>
    </w:p>
    <w:p>
      <w:pPr>
        <w:jc w:val="both"/>
        <w:ind w:left="980" w:hanging="324"/>
        <w:spacing w:after="0" w:line="257"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Development on regional level </w:t>
      </w:r>
      <w:r>
        <w:rPr>
          <w:rFonts w:ascii="Times New Roman" w:cs="Times New Roman" w:eastAsia="Times New Roman" w:hAnsi="Times New Roman"/>
          <w:sz w:val="18"/>
          <w:szCs w:val="18"/>
          <w:color w:val="auto"/>
        </w:rPr>
        <w:t>— The eastern region maintained its rapid growth, while the central and western regions showed remarkable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2021, revenues from software business completed in eastern, central, western and northeastern regions were RMB 7.6 trillion (USD 1.2 trillion), RMB 461.8 billion (USD 72.5 billion), RMB 1.1 trillion (USD 0.2 trillion) and RMB 262.7 billion (USD 41.2 billion), respectively. The growth rates were 17.6%, 18.9%, 19.4% and 12.1% year-on-year, respectively, accounted for 80.2%,4.9%, 12.2% and 2.8% of the national software industry, respectively. Central and western regions achieved higher growth rates compared to the national average, at 1.2% and 1.7%,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institutions/banking IT solutions refer to the software or IT related services provided by professional IT service providers who use their own experience and technology to meet each bank’s needs in business development, strategic development, and management efficiency. The market share of China’s Banking IT Solution Industry from 2011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123190</wp:posOffset>
            </wp:positionV>
            <wp:extent cx="4697730" cy="2537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9773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Source: IDC data</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IDC’s 2021 China Banking IT Solution Market Share report, as the pandemic normalized, interest rate liberalization reform advanced, relevant policies were implemented, innovation of IT technology application increased, and the commercial scale expanded, banks continued to invest in fintech, the market demand for bank IT solutions expanded, and the market size maintained a sustained growth trend, showing characteristics of accelerated competition and differentiation.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2021, the overall market size of China’s banking IT solution market reached RMB 58.93 billion (USD 9.2 billion), an increase of 17.3% over 2020. IDC predicts that by 2026, the IT solution market for China’s banking industry will reach RMB 131.29 billion (USD 20.6 billion).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IDC research found that the overall banking IT solution market presents the following characteristics:</w:t>
      </w:r>
    </w:p>
    <w:p>
      <w:pPr>
        <w:spacing w:after="0" w:line="221" w:lineRule="exact"/>
        <w:rPr>
          <w:sz w:val="20"/>
          <w:szCs w:val="20"/>
          <w:color w:val="auto"/>
        </w:rPr>
      </w:pPr>
    </w:p>
    <w:p>
      <w:pPr>
        <w:jc w:val="both"/>
        <w:ind w:left="980" w:hanging="324"/>
        <w:spacing w:after="0" w:line="259"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to strengthen the promotion of digital transformation and improved the level of digital operation. </w:t>
      </w:r>
      <w:r>
        <w:rPr>
          <w:rFonts w:ascii="Times New Roman" w:cs="Times New Roman" w:eastAsia="Times New Roman" w:hAnsi="Times New Roman"/>
          <w:sz w:val="18"/>
          <w:szCs w:val="18"/>
          <w:color w:val="auto"/>
        </w:rPr>
        <w:t>In 2021, due to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pandemic and the downward pressure of the economy, the digital transformation of banks entered a stage of in-depth integration of business and technology, scenarios and services. Banking institutions supported the mainstream of business innovation and transformation through technological innovation and digital capability building. Banking institutions have significantly increased their investment in digital infrastructure, digital business development and digital channel development.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to strengthen the independent innovation of emerging technologies and deepened scenario application</w:t>
      </w:r>
      <w:r>
        <w:rPr>
          <w:rFonts w:ascii="Times New Roman" w:cs="Times New Roman" w:eastAsia="Times New Roman" w:hAnsi="Times New Roman"/>
          <w:sz w:val="18"/>
          <w:szCs w:val="18"/>
          <w:color w:val="auto"/>
        </w:rPr>
        <w:t>. In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and fintech service providers remained focus on technologies such as distributed core system, cloud native, AI, blockchain, and cloud architecture featuring high performance, distributed, and agile delivery. They continued to strengthen their R&amp;D investment and application tests in emerging technologies, as well as in data migration to cloud or blockchain platforms to achieve automation and intelligent upgrade to their business and enhance their operation capability and service efficiency.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 an accelerated development of credit services, banks achieved remarkable results in inclusive finance</w:t>
      </w:r>
      <w:r>
        <w:rPr>
          <w:rFonts w:ascii="Times New Roman" w:cs="Times New Roman" w:eastAsia="Times New Roman" w:hAnsi="Times New Roman"/>
          <w:sz w:val="18"/>
          <w:szCs w:val="18"/>
          <w:color w:val="auto"/>
        </w:rPr>
        <w:t>. In 2021, China’s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sector continued to increase credit support for key areas and weak links. The People’s Bank of China and other government agencies emphasized the “increased quantity, reduced price, improved quality and broader in scope” for small and micro credit services. In addition, they issued policies reducing service fees for small and micro businesses, as well as continuing the implementation of market-oriented loan interest rate mechanism. During this period, many commercial banks expanded credit services distribution and developed inclusive finance to further support and serve the real economy, and stabilize economic growth.</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Outstanding benefit of data elements and evident market demand for data management</w:t>
      </w:r>
      <w:r>
        <w:rPr>
          <w:rFonts w:ascii="Times New Roman" w:cs="Times New Roman" w:eastAsia="Times New Roman" w:hAnsi="Times New Roman"/>
          <w:sz w:val="18"/>
          <w:szCs w:val="18"/>
          <w:color w:val="auto"/>
        </w:rPr>
        <w:t>. In 2021, the marketization of data elements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became a hot trend. With the development of digital business in the banking industry, data elements are becoming more important. Many banks built data infrastructures, such as data lakes, data warehouses, and data middle platform in order to solve the problems in data quality and supply.</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greater emphasis on financial security and a continued focus on risk management and regulatory compliance. </w:t>
      </w:r>
      <w:r>
        <w:rPr>
          <w:rFonts w:ascii="Times New Roman" w:cs="Times New Roman" w:eastAsia="Times New Roman" w:hAnsi="Times New Roman"/>
          <w:sz w:val="18"/>
          <w:szCs w:val="18"/>
          <w:color w:val="auto"/>
        </w:rPr>
        <w:t>In 2021, while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pandemic persisted, banks accelerated their digital transformation initiative. The People’s Bank of China, China Banking and Insurance Regulatory Commission and other regulatory agencies placed a lot of emphasis on bank financial security and put forth a number of clear and specific regulatory requirements. As such, financial security became more important to banks. By leveraging digital technology, banks have strengthened the level of digital and intelligent risk management, regulatory compliance and regulatory reporting, which resulted in a significant growth in the related solution market.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09"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Our primary focus is in the following key operational areas: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Providing professional IT consulting and solutions for the banking industry is one of the traditional competitive advantages of CLPS. With more than 15 years of experience in helping leading global banks to implement banking systems, CLPS is committed to innovating and optimizing traditional banking system by utilizing cutting-edge fintech technology to enable institutions embrace banking.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CLPS has formed strategic partnerships with several global financial MNCs to provide banking IT services, help leading global banks to implement banking system and to enable them to test and enhance multiple functions such as loans, saving, deposit, general ledger, account management, anti-money-laundering, risk control and credit card system. Whether traditional or online banking, CLPS has a wide array of business modules at its disposal.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CLPS has a deep understanding of the market supply and demand buoyed by its more than a decade experience in traditional banking business. CLPS provides IT services in the banking industry, including but not limited to bank channel services such as mobile banking and online banking; business services such as marketing and risk control, among others; management services such as customer relationship management, business intelligence, and information security management, to name a few.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integrating its internal resources, CLPS has been able to continue to invest and develop series of R&amp;D products, including credit card system, integrated transaction acquiring platform, reward points terminal, and virtual bank training platform, among others. These products have achieved positive feedback from the market.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our banking area were approximately $67.7 million, $60.0 million, and $44.5 million for the years ended June 30, 2022, 2021, and 2020, respectively. Revenues from our banking area accounted for 44.5%, 47.6%, and 49.8% of our total revenues in fiscal years 2022, 2021, and 2020,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portion of our services caters the banking clients.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Card Area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 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service in the credit card area. The IT consulting professional teams provides service in the credit card area from Shanghai, Dalian and Hong Kong. We offer this experience and expertise in various currencies, across different geographical regions, including, but not limited to China, Singapore, UK, the Philippines, Indonesia, and Latin America. In addition, we have developed a series of credit card solutions in order to meet the needs of our clients better.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our credit card area were approximately $6.6 million, $11.2 million, and $9.5 million for the years ended June 30, 2022, 2021, and 2020, respectively. Revenues from our credit card area accounted for 9.7%, 18.7%, and 21.3% of our banking revenues in fiscal years 2022, 2021, and 2020,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i w:val="1"/>
          <w:iCs w:val="1"/>
          <w:color w:val="auto"/>
        </w:rPr>
        <w:t>Core Banking Area</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integrated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our core banking area were approximately $61.1 million, $48.8 million, and $35.0 million for the years ended June 30,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Wealth Management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this annual report, “wealth management” refers to the segments of financial industry except banking, including but not limited to investment banking, funds, insurance, securities, futures, clearing, consumer financing, online financing, and supply chain financing. CLPS has in-depth industry knowledge and solutions in the field of wealth management, and constantly develops and innovates according to the needs of clients.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past years, we have successfully developed and managed a variety of IT systems for Chinese and global clients, including the development of asset management system, core insurance system, pension system for well-known international investment bank, large international insurance group, and leading asset management corporation. We also provided development, operation, and maintenance for data analysis and business management systems of China’s national financial information platform, China’s national clearing house, stock exchange, and several large security institutions in China. In addition, we have developed mobile terminal for multiple comprehensive financial service providers and consumer finance platforms both in China and globally.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our wealth management area were approximately $32.1 million, $25.2 million, and $19.2 million for the years ended June 30, 2022, 2021, and 2020, respectively. Revenues from our wealth management area accounted for 21.1%, 20.0%, 21.5% of our total revenues in fiscal years 2022,2021, and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By constantly improving our capabilities, we have gradually extended our main service offerings from banking and financial institutions to e-Commerce industry. We have rapidly developed and accumulated certain skills in online platforms, cross-border e-commerce, logistics, and back-end technology such as big data analysis, and intelligent decision-making among others. In the past years, we have successfully provided IT system development delivery for domestic and international clients, including a global online trading project for a top US e-Commerce company. We have also developed the global terminal, payment, and risk control system for a well-known online ticketing website. In addition, CLPS has developed the website and product market data analysis for a leading and international travel e-commerce platform, and the e-Commerce platform for a large investment holding group in China.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our e-Commerce area were approximately $29.4 million, $19.2 million, and $11.1 million for the years ended June 30, 2022, 2021, and 2020, respectively. Revenues from our e-Commerce area accounted for 19.4%, 15.2%, 12.4% of our total revenues in fiscal years 2022, 2021, and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the extensive experience of CLPS in the IT services application in the financial and e-commerce industries, and its innovative implementation of cutting-edge technology such as big data, artificial intelligence and robotic process automation (RPA), it has also extended its business to automotive industry.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a high demand of intelligent technology application in automobile industry in the recent years. Aside from providing internal management system development for several international automobile enterprises, we also get deeply involved in the development of autonomous driving, automatic control, and other AI-driven technology projects with several major clients. This includes the development of a new-energy vehicle intelligent platform for a large automotive group company in China and a car’s multimedia software for a Chinese automotive information system company. Moreover, we also provide development of internet auto finance platform for several Chinese enterprises.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our automotive area were approximately $10.4 million, $8.5 million, and $3.6 million for the years ended June 30, 2022, 2021, and 2020, respectively. Revenues from our automotive area accounted for 6.8%, 6.7%, and 4.1% of our total revenues in fiscal 2022, 2021, and 2020,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scope in terms of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from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consulting services to our clients in the banking, wealth management, e-commerce, and automotive industries, among others.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from our IT consulting services were approximately $144.1 million, $122.3 million, $87.1 million, respectively. Revenues from our IT consulting services accounted for 94.8%, 97.0%, and 97.5% of our total revenues in fiscal years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Solution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CLPS provides customized solution services to our clients in the banking, wealth management, e-commerce, and automotive industries, among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an IT solution services provider in China and globally. We offer our clients over a decade of experience providing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launched our scenario-based digital currency application solution, which aims to enable financial institutions to drive growth in the digital economy. Gaining traction in the recent years, global financial institutions have accelerated the creation of financial ecosystems that can support digital currency, which led for CLPS to launch such solution. This solution leverages CLPS’s global services delivery capability and its expertise in banking, e-commerce, payment, risk control, digital marketing, and mobile development, among other areas. In addition, by integrating bank-enterprise interaction, smart contract, aggregate payment, retail settlement, supply chain management, marketing and promotion as an end-to-end service platform, a trading platform based on digital currency payment scenarios can be developed, helping financial institutions accelerate adoption and widespread use of digital currency.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key strategic target of the People’s Bank of China, digital RMB has achieved significant progress in terms of application scenarios, transaction volume, number of accounts opened, and an expanded pilot scheme to more areas. Launching the pilot version of digital RMB application in major app stores, its introduction at the Beijing 2022 Winter Olympics, and its intended use in the 19th Asian Games all indicate that digital RMB are becoming more mature.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this solution, CLPS will be able to facilitate Chinese financial institutions create a better digital RMB application ecosystem, penetrate the market opportunity quickly, and expand customer acquisition channels. In addition, the solution can be customized based on corporate client’s demands, enabling a wide range of application scenarios.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continue to develop our new IT solutions to meet the evolving needs of our Chinese and global financial institutional clientele drawing upon the forward-looking research of our R&amp;D center.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our customized IT solution services were approximately $6.7 million, $3.1 million, and $1.8 million, respectively. Revenues from our customized IT solution services accounted for 4.4%, 2.5%, and 2.1% of our total revenues in fiscal years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CLPS Virtual Banking Platform (CLB)</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Recruitment and Headhunting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 client’s request, we are capable of providing the most suitable person for a position. The Company maintains more than 100 talent acquisition staff with rich industry background and knowledge. Our recruitment centers are well equipped of advanced technology, such as cloud platforms, big data, and robotic process automation (RPA), to accelerate the talent acquisition process. As a result, CLPS obtains qualified talent, reduce talent acquisition costs, meet the growing demands of talent from its existing and potential clients, and achieve meaningful growth.</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Fee-For-Service Training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3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developed and intend to implement the following strategies to expand and grow the revenue, the number of employees, and the number of service locations of our Company:</w:t>
      </w:r>
    </w:p>
    <w:p>
      <w:pPr>
        <w:spacing w:after="0" w:line="65" w:lineRule="exact"/>
        <w:rPr>
          <w:sz w:val="20"/>
          <w:szCs w:val="20"/>
          <w:color w:val="auto"/>
        </w:rPr>
      </w:pPr>
    </w:p>
    <w:p>
      <w:pPr>
        <w:jc w:val="both"/>
        <w:ind w:left="980" w:hanging="324"/>
        <w:spacing w:after="0" w:line="256"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Grow revenue with existing and new clients </w:t>
      </w:r>
      <w:r>
        <w:rPr>
          <w:rFonts w:ascii="Times New Roman" w:cs="Times New Roman" w:eastAsia="Times New Roman" w:hAnsi="Times New Roman"/>
          <w:sz w:val="18"/>
          <w:szCs w:val="18"/>
          <w:color w:val="auto"/>
        </w:rPr>
        <w:t>— We intend to pursue additional revenue opportunities from existing Chinese and global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90"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fiscal year 2022, revenues from existing and new clients accounted for 97.3% and 2.7% of the total revenue, respectively.</w:t>
      </w:r>
    </w:p>
    <w:p>
      <w:pPr>
        <w:spacing w:after="0" w:line="128" w:lineRule="exact"/>
        <w:rPr>
          <w:rFonts w:ascii="Times New Roman" w:cs="Times New Roman" w:eastAsia="Times New Roman" w:hAnsi="Times New Roman"/>
          <w:sz w:val="18"/>
          <w:szCs w:val="18"/>
          <w:i w:val="1"/>
          <w:iCs w:val="1"/>
          <w:color w:val="auto"/>
        </w:rPr>
      </w:pPr>
    </w:p>
    <w:p>
      <w:pPr>
        <w:jc w:val="both"/>
        <w:ind w:left="980" w:hanging="324"/>
        <w:spacing w:after="0" w:line="258"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 to invest in research and development, deepen domain expertise and develop specific solutions for target industry verticals </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85" w:lineRule="exact"/>
        <w:rPr>
          <w:rFonts w:ascii="Times New Roman" w:cs="Times New Roman" w:eastAsia="Times New Roman" w:hAnsi="Times New Roman"/>
          <w:sz w:val="18"/>
          <w:szCs w:val="18"/>
          <w:i w:val="1"/>
          <w:iCs w:val="1"/>
          <w:color w:val="auto"/>
        </w:rPr>
      </w:pPr>
    </w:p>
    <w:p>
      <w:pPr>
        <w:jc w:val="both"/>
        <w:ind w:left="98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launched our scenario-based digital currency application solution, which aims to enable financial institutions to drive growth in the digital economy. Through this solution, CLPS will be able to facilitate Chinese financial institutions create a better digital RMB application ecosystem, penetrate the market opportunity quickly, and expand customer acquisition channels. In addition, the solution can be customized based on corporate client’s demands, enabling a wide range of application scenarios.</w:t>
      </w:r>
    </w:p>
    <w:p>
      <w:pPr>
        <w:spacing w:after="0" w:line="85" w:lineRule="exact"/>
        <w:rPr>
          <w:rFonts w:ascii="Times New Roman" w:cs="Times New Roman" w:eastAsia="Times New Roman" w:hAnsi="Times New Roman"/>
          <w:sz w:val="18"/>
          <w:szCs w:val="18"/>
          <w:i w:val="1"/>
          <w:iCs w:val="1"/>
          <w:color w:val="auto"/>
        </w:rPr>
      </w:pPr>
    </w:p>
    <w:p>
      <w:pPr>
        <w:jc w:val="both"/>
        <w:ind w:left="98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launched the commercial edition of our new generation credit card system product, CAKU. Built on an open source architecture, CAKU offers fast implementation and flexibility for replacing existing credit card system, giving global banking institutions a competitive edge in digital transformation. CAKU is a proprietary product that CLPS independently developed based on its extensive experience in the financial industry as well as its deep understanding in the current banking business demands and industry development trends.</w:t>
      </w:r>
    </w:p>
    <w:p>
      <w:pPr>
        <w:spacing w:after="0" w:line="83" w:lineRule="exact"/>
        <w:rPr>
          <w:rFonts w:ascii="Times New Roman" w:cs="Times New Roman" w:eastAsia="Times New Roman" w:hAnsi="Times New Roman"/>
          <w:sz w:val="18"/>
          <w:szCs w:val="18"/>
          <w:i w:val="1"/>
          <w:iCs w:val="1"/>
          <w:color w:val="auto"/>
        </w:rPr>
      </w:pPr>
    </w:p>
    <w:p>
      <w:pPr>
        <w:jc w:val="both"/>
        <w:ind w:left="980" w:hanging="324"/>
        <w:spacing w:after="0" w:line="253"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 to invest in training and development of our world-class human capital base </w:t>
      </w:r>
      <w:r>
        <w:rPr>
          <w:rFonts w:ascii="Times New Roman" w:cs="Times New Roman" w:eastAsia="Times New Roman" w:hAnsi="Times New Roman"/>
          <w:sz w:val="18"/>
          <w:szCs w:val="18"/>
          <w:color w:val="auto"/>
        </w:rPr>
        <w:t>— We place a high priority on attracting, training,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and retaining our human capital base to be increasingly competitive. Spearheaded by the CLPS Academy, we will continue to build our professional talent pool through our TCP and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r>
    </w:p>
    <w:p>
      <w:pPr>
        <w:spacing w:after="0" w:line="97" w:lineRule="exact"/>
        <w:rPr>
          <w:rFonts w:ascii="Times New Roman" w:cs="Times New Roman" w:eastAsia="Times New Roman" w:hAnsi="Times New Roman"/>
          <w:sz w:val="18"/>
          <w:szCs w:val="18"/>
          <w:i w:val="1"/>
          <w:iCs w:val="1"/>
          <w:color w:val="auto"/>
        </w:rPr>
      </w:pPr>
    </w:p>
    <w:p>
      <w:pPr>
        <w:jc w:val="both"/>
        <w:ind w:left="98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fiscal year 2022, we trained 250 interns who have successfully worked for our clients. In addition, through our wholly-owned subsidiary, CLPS Technology (Singapore) Pte. Ltd., we signed a Collaboration Agreement (the “Agreement”) with Educare Global Academy Pte. Ltd. (“Educare Global Academy”), a well-known private educational institution in Singapore. Under the Agreement, CLPS and Educare Global Academy will collaborate and integrate their respective industry expertise and resources to provide an education program focused on banking and fintech, the Post Graduate Diploma in New Banking Technologies: Application, Implementation &amp; Legacy Systems Integration. This strategic partnership aligns the unique competitive advantages of both parties to produce highly skilled IT talents that can meet industry demands in Singapore and the neighboring countries in Southeast Asia.</w:t>
      </w:r>
    </w:p>
    <w:p>
      <w:pPr>
        <w:spacing w:after="0" w:line="92" w:lineRule="exact"/>
        <w:rPr>
          <w:rFonts w:ascii="Times New Roman" w:cs="Times New Roman" w:eastAsia="Times New Roman" w:hAnsi="Times New Roman"/>
          <w:sz w:val="18"/>
          <w:szCs w:val="18"/>
          <w:i w:val="1"/>
          <w:iCs w:val="1"/>
          <w:color w:val="auto"/>
        </w:rPr>
      </w:pPr>
    </w:p>
    <w:p>
      <w:pPr>
        <w:jc w:val="both"/>
        <w:ind w:left="980" w:hanging="324"/>
        <w:spacing w:after="0" w:line="256"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Drive efficiencies through ongoing improvements in operational excellence </w:t>
      </w:r>
      <w:r>
        <w:rPr>
          <w:rFonts w:ascii="Times New Roman" w:cs="Times New Roman" w:eastAsia="Times New Roman" w:hAnsi="Times New Roman"/>
          <w:sz w:val="18"/>
          <w:szCs w:val="18"/>
          <w:color w:val="auto"/>
        </w:rPr>
        <w:t>— We strive to gain significant operating efficiencies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61" w:lineRule="exact"/>
        <w:rPr>
          <w:rFonts w:ascii="Times New Roman" w:cs="Times New Roman" w:eastAsia="Times New Roman" w:hAnsi="Times New Roman"/>
          <w:sz w:val="18"/>
          <w:szCs w:val="18"/>
          <w:i w:val="1"/>
          <w:iCs w:val="1"/>
          <w:color w:val="auto"/>
        </w:rPr>
      </w:pPr>
    </w:p>
    <w:p>
      <w:pPr>
        <w:jc w:val="both"/>
        <w:ind w:left="980" w:hanging="324"/>
        <w:spacing w:after="0" w:line="258"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Capture new growth opportunities through strategic alliances and acquisitions </w:t>
      </w:r>
      <w:r>
        <w:rPr>
          <w:rFonts w:ascii="Times New Roman" w:cs="Times New Roman" w:eastAsia="Times New Roman" w:hAnsi="Times New Roman"/>
          <w:sz w:val="18"/>
          <w:szCs w:val="18"/>
          <w:color w:val="auto"/>
        </w:rPr>
        <w:t>— We will continue to pursue selective alliances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2" w:name="page63"/>
    <w:bookmarkEnd w:id="62"/>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CLPS, through its majority-owned subsidiary, JAJI (Shanghai) Co., Ltd. (“JAJI”), has entered into a strategic cooperation agreement (the “Agreement”) with Beijing Yusys Technologies Co., Ltd. (“Yusys Technologies”, 300674.SZ). Both parties will jointly conduct fintech-based initiatives including product promotion, project delivery and IT personnel training. Headquartered in Beijing, Yusys Technologies is an A-share company listed on the Shenzhen Stock Exchange. It provides fintech services and products such as IT consulting and planning, software products, solutions and implementation, operation, maintenance and testing, system integration and business operation for financial institutions.</w:t>
      </w:r>
    </w:p>
    <w:p>
      <w:pPr>
        <w:spacing w:after="0" w:line="9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Capital Increase Agreement (the “Agreement”) transaction with Minshang Creative Technology Holdings Limited (“MCT”, 01632.HK) has been completed. CLPS, through its wholly-owned subsidiary, Growth Ring Ltd., and MCT now hold 53.33% and 46.67% in MSCT Investment Holdings Limited (“MSCT”), respectively. Through the Agreement, both parties have agreed to develop a next-generation loan trading software, a software as a service (SaaS) solution, and to explore financial technology services market in a global scale.</w:t>
      </w:r>
    </w:p>
    <w:p>
      <w:pPr>
        <w:spacing w:after="0" w:line="8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CLPS signed a definitive agreement with Beijing UniDev Software Co., Ltd. (“UniDev”), a Beijing-based IT services and solutions provider. CLPS, through its wholly owned subsidiary, ChinaLink Professional Services Co. Ltd., holds 15% ownership stake in UniDev. UniDev is focused on providing customized digital transformation solutions to companies and banks in Mainland China. It leverages its extensive experience to develop applications including intelligent emergency response system, safety production monitoring system, and intelligent finance solutions, among others. UniDev also explores the utilization and integration of artificial intelligence and big data applications into its solutions.</w:t>
      </w:r>
    </w:p>
    <w:p>
      <w:pPr>
        <w:spacing w:after="0" w:line="91" w:lineRule="exact"/>
        <w:rPr>
          <w:sz w:val="20"/>
          <w:szCs w:val="20"/>
          <w:color w:val="auto"/>
        </w:rPr>
      </w:pPr>
    </w:p>
    <w:p>
      <w:pPr>
        <w:jc w:val="both"/>
        <w:ind w:left="980" w:hanging="324"/>
        <w:spacing w:after="0" w:line="267" w:lineRule="auto"/>
        <w:tabs>
          <w:tab w:leader="none" w:pos="98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 to implement our global expansion strategy </w:t>
      </w:r>
      <w:r>
        <w:rPr>
          <w:rFonts w:ascii="Times New Roman" w:cs="Times New Roman" w:eastAsia="Times New Roman" w:hAnsi="Times New Roman"/>
          <w:sz w:val="18"/>
          <w:szCs w:val="18"/>
          <w:color w:val="auto"/>
        </w:rPr>
        <w:t>— We remain focused on investing in our long-term sustainable growth and delivering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dual-engine strategy of horizontal and vertical expansion. We will continue to pursue growth in our global footprint and market share as well as in technological and talent development. By delivering on our strategy, we expect to drive shareholder value.</w:t>
      </w:r>
    </w:p>
    <w:p>
      <w:pPr>
        <w:spacing w:after="0" w:line="81"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CLPS established CLPS Technology (Philippines) Corp. (“CLPS Philippines”) in Metro Manila. The formation of the Philippine subsidiary is in line with the Company’s global expansion strategy, particularly to extend its operation in Southeast Asia. CLPS Philippines has completed the initial phase of its business and started to be operational.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principal competitive factors in our markets are industry expertise, breadth and depth of service offerings, quality of the services offered, strategic engagement with blue-chip clients, reputation and track record, marketing and selling skills, scalability of infrastructure and price.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believe that there are several key strengths that differentiate us from our competitors and will continue to contribute to our growth and success.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Breadth and depth of digital transformation service offerings</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CLPS provides staffing-based consulting services, turn-key financial solutions, and implementation of advanced technologies, enabling clients to build new or enhance their existing systems. We are fully committed of providing digital transformation services with focused on financial and technology in the banking, wealth management, e-commerce, and automotive industries, among others, through the utilization of innovative technology to achieve our client’s goals.</w:t>
      </w:r>
    </w:p>
    <w:p>
      <w:pPr>
        <w:spacing w:after="0" w:line="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dedicated to providing a full range of services and solutions across technology needs in finance. We are able to provide both development and implementation of core banking, credit card, online and e-commerce systems, as well as expertise across technology stacks. More recently, we have tested and piloted leading edge technologies including cloud transitions, robotic process automation, big data and blockchain. We are also exploring applications in artificial intelligence.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Talent Creation Program and Talent Development Program</w:t>
      </w:r>
    </w:p>
    <w:p>
      <w:pPr>
        <w:spacing w:after="0" w:line="1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qualified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For the fiscal year 2022, we trained 250 interns who have successfully worked for our clients. In addition, through our wholly-owned subsidiary, CLPS Technology (Singapore) Pte. Ltd., we signed a Collaboration Agreement (the “Agreement”) with Educare Global Academy Pte. Ltd. (“Educare Global Academy”), a well-known private educational institution in Singapore. Under the Agreement, CLPS and Educare Global Academy will collaborate and integrate their respective industry expertise and resources to provide an education program focused on banking and fintech, the Post Graduate Diploma in New Banking Technologies: Application, Implementation &amp; Legacy Systems Integration. This strategic partnership aligns the unique competitive advantages of both parties to produce highly skilled IT talents that can meet industry demands in Singapore and the neighboring countries in Southeast Asia.</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TDP program is a continuous internal training program for our skilled-professionals in order to serve our clients better. The TDP program increases our professionals’ skillsets and business knowledge in their respective domain and technical fields. Since 2005, through our TCP and TDP programs, we have trained and retained a large pool of specialized personnel skilled in serving financial-related industry clients.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76" w:lineRule="exact"/>
        <w:rPr>
          <w:sz w:val="20"/>
          <w:szCs w:val="20"/>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competency particularly in banking and insurance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domain knowledge and solutions in financial industry verticals;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engagements with financial blue-chip clients most of whom have been with us since our inception;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service offerings including financial IT solutions &amp; consulting as well as other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senior management team with proven track record of success.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provider of human capital in the financial and technology industry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CLPS is a leading provider of IT professionals in the financial and technology industry, such in banking, wealth management, e-commerce, automotive, and others. We create, develop, and maintain a large pool of qualified and rich experienced talents, with bilingual or multilingual capability so support the client’s communication need, which is vital for a business’ success.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fiscal year 2022, CLPS maintained more than 3,824 employees, of which, more than 3,420 IT talents serve our customers. Among them, more than 96% work full-time for customers and the rest of the 4% work on project-based such as IT engineers, project managers, business analysts, among others, or are involved in research of innovative projects.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greatest edge in terms of human capital is our employees’ English communication skills capability and are familiar with international financial business environment. In terms of our overall IT skills, we maintain even distribution and relatively adequate resources of talent pool with capabilities in Java, Cobol, quality control, and other cutting-edge technology such as data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clients include large corporations headquartered in China and globally which include, among others:</w:t>
      </w:r>
    </w:p>
    <w:p>
      <w:pPr>
        <w:spacing w:after="0" w:line="223"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or their China-based IT centers </w:t>
      </w:r>
      <w:r>
        <w:rPr>
          <w:rFonts w:ascii="Times New Roman" w:cs="Times New Roman" w:eastAsia="Times New Roman" w:hAnsi="Times New Roman"/>
          <w:sz w:val="18"/>
          <w:szCs w:val="18"/>
          <w:color w:val="auto"/>
        </w:rPr>
        <w:t>— Citibank, Standard Chartered Bank (China) Ltd., ANZ Bank, and Bank of Communications.</w:t>
      </w:r>
    </w:p>
    <w:p>
      <w:pPr>
        <w:spacing w:after="0" w:line="225"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Wealth Management </w:t>
      </w:r>
      <w:r>
        <w:rPr>
          <w:rFonts w:ascii="Times New Roman" w:cs="Times New Roman" w:eastAsia="Times New Roman" w:hAnsi="Times New Roman"/>
          <w:sz w:val="18"/>
          <w:szCs w:val="18"/>
          <w:color w:val="auto"/>
        </w:rPr>
        <w:t>— AIA, China Life Insurance, First Data, Haitong Securities, and Orient Securities.</w:t>
      </w:r>
    </w:p>
    <w:p>
      <w:pPr>
        <w:spacing w:after="0" w:line="225"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 eBay, PayPal, Greendot Shanghai, Stubhub, and Gumtree.</w:t>
      </w:r>
    </w:p>
    <w:p>
      <w:pPr>
        <w:spacing w:after="0" w:line="225"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Automotive and Technology </w:t>
      </w:r>
      <w:r>
        <w:rPr>
          <w:rFonts w:ascii="Times New Roman" w:cs="Times New Roman" w:eastAsia="Times New Roman" w:hAnsi="Times New Roman"/>
          <w:sz w:val="18"/>
          <w:szCs w:val="18"/>
          <w:color w:val="auto"/>
        </w:rPr>
        <w:t>— SAIC Motors, Sony, Cisco, CRIF Information Technology, Experian, AGFA Healthcare, Neusoft, and Kodak.</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invested in building a broad sales force and marketing team. As of June 30, 2022, our business development teams consisted of 36 full-time sales and marketing personnel, including 33 sales managers, each of whom is responsible for a designated sales region or client account. We plan to enhance our sales efforts by recruiting more sales personnel both domestically and overseas.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Officially named the CLPS Innovation Lab (“CLPS i-Lab)”, our R&amp;D is an integral part of our continued growth. In order to serve our Chinese and global clients’ needs better, we are fully committed on researching and developing cutting-edge technology including distributed application systems, cloud computing, micro services, open API, robotic process automation (RPA), blockchain, artificial intelligence, and big data, among other technologies, with a focus on continuous scientific and technological innovation to provide clients with more comprehensive and efficient IT services.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a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upgrade of our credit card system product, a joint effort of CLPS Innovation Lab and Credit Card Service teams, launch of the commercial edition of its new generation credit card system product, CAKU. Built on an open source architecture, CAKU offers fast implementation and flexibility for replacing existing credit card system, giving global banking institutions a competitive edge in digital transformation. CAKU is a proprietary product that CLPS independently developed based on its extensive experience in the financial industry as well as its deep understanding in the current banking business demands and industry development trends. CAKU has been comprehensively optimized and upgraded based on CLPS’s initial credit card product from 2015. A product developed to enable digital transformation, CAKU has made breakthroughs in the following areas:</w:t>
      </w:r>
    </w:p>
    <w:p>
      <w:pPr>
        <w:spacing w:after="0" w:line="187" w:lineRule="exact"/>
        <w:rPr>
          <w:sz w:val="20"/>
          <w:szCs w:val="20"/>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Architectural design- CAKU has adopted an independent, secure and reliable distributed architecture, using a flexible unitized system to divide into microservices that creates an open source platform solution, is independent from mainframe platform, and is able to iterate faster;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application- CAKU offers a new ’scenario-driven’ business model, featuring over a thousand standardized business components, more than 1,000 API interfaces, and more than 8,000 business parameters, to ensure that the credit card system is configurable and provides refined management and fast parameterization;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CAKU features a high performance, high availability and high expansibility system based on an advanced real-time entry design scheme, graphics engine design concept and powerful front-end transaction, which can meet the process requirement of over 200,000 transactions per second (TPS). When a failure occurs, the recovery time objective (RTO) is less than 30 seconds, and the recovery point objective (RPO) is zero. Additionally, it supports 24/7 uninterrupted operation and unlimited card issuance.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above-mentioned advantages of CAKU will overcome the limitations of the previous credit card core system, such as fixed business, outdated technology, high cost, and poor user interface. It will also provide strong support in the demand for digital upgrade on domestic and foreign banks’ credit card core 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CLPS has been committed to promoting digital transformation integrated with secure, smooth, and efficient IT systems. The growing demand for customized and innovative marketing model has pushed CLPS to further enhance its digital marketing solution to achieve client’s business goals prompted by improved marketing performance metrics.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65" w:name="page66"/>
    <w:bookmarkEnd w:id="6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enterprises have seen growing online customer activity and engagements as a result of the COVID-19 pandemic, creating a sense of urgency for digital transformation. Moving forward, enterprises are accelerating digital marketing as a strategy to address the requirements of the expected trends including digital touchpoint, customer acquisition across digital platform, and customized value proposition. CLPS’s “technology+data” digital marketing solution which covers operation services through the utilization of marketing accounts, private online traffic, and media coverage, among others, serve as the major selling point for industry verticals such as in banking, wealth management, e-commerce, and automotive. By leveraging a user’s data activity, it enables enterprises to reduce marketing costs while gaining more customers. It also improves a user’s engagement and loyalty, which will contribute to sustainable sales growth. The latest digital marketing solution upgrade intends to provide CLPS’s existing and potential client base across industries with diversified service portfolio.</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CLPS i-Lab adheres to our strategy of promoting our products and solutions based on new technology and new research, application innovations, and our leading talent pool, while improving our technological innovation capability and market competitiveness. As the center of our research and development efforts, it will continue to be one of the most important drivers of CLPS’s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to 3,824 employees as of June 30, 2022 from 3,352 employees in June 30, 2021. Approximately 70%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62"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 establishing the World Intellectual Property Organization (June 3, 1980);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Paris Convention for the Protection of Industrial Property (March 19, 1985);</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Cooperation Treaty (January 1, 1994);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on Trade-Related Aspects of Intellectual Property Rights (November 11, 2001).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Trademark Law, adopted in 1982 and revised in 2019, protects registered trademark. The Trademark Office of the State Administration of Industry and Commerce of the PRC, handles trademark registrations and grants trademark registrations for a term of ten years.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primary trademark portfolio consists of five trademarks.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We have registered for the following trademarks: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120" w:type="dxa"/>
            <w:vAlign w:val="bottom"/>
          </w:tcPr>
          <w:p>
            <w:pPr>
              <w:spacing w:after="0"/>
              <w:rPr>
                <w:sz w:val="18"/>
                <w:szCs w:val="18"/>
                <w:color w:val="auto"/>
              </w:rPr>
            </w:pPr>
          </w:p>
        </w:tc>
      </w:tr>
      <w:tr>
        <w:trPr>
          <w:trHeight w:val="245"/>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2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Class/Description</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198"/>
        </w:trPr>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19288958</w:t>
            </w:r>
          </w:p>
        </w:tc>
        <w:tc>
          <w:tcPr>
            <w:tcW w:w="10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9: Recorded computer programs (programs);</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computer operating programs Computer</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peripherals; Computer software (recorded); Connector</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equipment); Monitor program</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program); Electronic publications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(downloadable); Computer program (downloadable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Downloadable computer application software;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98"/>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19289112</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38: Information transmission; Computer terminal</w:t>
            </w:r>
          </w:p>
        </w:tc>
        <w:tc>
          <w:tcPr>
            <w:tcW w:w="17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ChinaLink</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 Computer-aided information and image</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transmission; Information transmission equipment rental;</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 telecommunications link services to connect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the global computer network; Telecommunications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routing and junction services; Provide access service for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computer network users; Provide database access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Digital file transfer Teleconference call service</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98"/>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19289503</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9: Recorded computer programs (programs);</w:t>
            </w:r>
          </w:p>
        </w:tc>
        <w:tc>
          <w:tcPr>
            <w:tcW w:w="17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ChinaLink</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computer operating programs; Computer</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peripherals; Computer software (recorded); Connector</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equipment); Monitor program</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program); Electronic publications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(downloadable); Computer program (downloadable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Downloadable computer application software;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21"/>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98"/>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19289341</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42: Technical research; Research or develop new</w:t>
            </w:r>
          </w:p>
        </w:tc>
        <w:tc>
          <w:tcPr>
            <w:tcW w:w="17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ChinaLink</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for others; Computer programming; Computer</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design; Computer hardware design and</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consulting; Computer software rental;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maintenance; Computer system</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analysis; Computer software installation; Computer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consulting</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98"/>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19289214</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41: Teaching; Education; Training; Practical</w:t>
            </w:r>
          </w:p>
        </w:tc>
        <w:tc>
          <w:tcPr>
            <w:tcW w:w="178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ChinaLink</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training (demonstration); Employment guidance</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Professional Services</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 or training consultants); Arrange and organize</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 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academic seminars; Arrange and organize meetings;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Arrange and organize general meeting; Arrange and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organize symposium; Arrange and organize training</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classes</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98"/>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47628610</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36: Financial management; Financial consulting;</w:t>
            </w:r>
          </w:p>
        </w:tc>
        <w:tc>
          <w:tcPr>
            <w:tcW w:w="17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CLPS Technology</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payment processing; Debit card payment</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(HONG KONG) Co.,</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Credit card issuing; Online banking service;</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related investigations; Electronic credit card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processing; Credit card issuance; Credit card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verification; Credit card transaction processing service;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 services</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21"/>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98"/>
        </w:trPr>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47629542</w:t>
            </w:r>
          </w:p>
        </w:tc>
        <w:tc>
          <w:tcPr>
            <w:tcW w:w="1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41: Teaching; Education; Training; Arrange and</w:t>
            </w:r>
          </w:p>
        </w:tc>
        <w:tc>
          <w:tcPr>
            <w:tcW w:w="17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CLPS Technology</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organize academic seminars; Arrange and organize</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(HONG KONG) Co.,</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meetings; Arrange and organize training courses;</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Ltd.</w:t>
            </w: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Arrange and organize on-site education forums; Written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publication (excluding advertising text); Book</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publication; Online publication of e-books and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magazines; Provide non-downloadable online electronic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publications</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319"/>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54531262</w:t>
            </w:r>
          </w:p>
        </w:tc>
        <w:tc>
          <w:tcPr>
            <w:tcW w:w="10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42: Technical research; Research and develop new</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JAJI (Shanghai) Co.,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 for other parties; Information technology</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Ltd.</w:t>
            </w:r>
          </w:p>
        </w:tc>
        <w:tc>
          <w:tcPr>
            <w:tcW w:w="112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services; Industrial product design; Computer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update; Computer software design and</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-8357870</wp:posOffset>
            </wp:positionV>
            <wp:extent cx="61722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-7183120</wp:posOffset>
            </wp:positionV>
            <wp:extent cx="617220" cy="248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-6009005</wp:posOffset>
            </wp:positionV>
            <wp:extent cx="634365" cy="248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-4834255</wp:posOffset>
            </wp:positionV>
            <wp:extent cx="634365" cy="248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617220" cy="248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2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617220" cy="248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-1722755</wp:posOffset>
            </wp:positionV>
            <wp:extent cx="617220" cy="248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2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960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18"/>
          <w:szCs w:val="18"/>
          <w:color w:val="auto"/>
        </w:rPr>
        <w:t>development ; Computer software maintenance;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Computer hardware design and development consulting;</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Cloud computing; computer programming</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339"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The following is a list of the Company’s copyrights: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Software Name</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CLPS HR Management Platform Software V1.0</w:t>
            </w:r>
          </w:p>
        </w:tc>
        <w:tc>
          <w:tcPr>
            <w:tcW w:w="14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2009SR015975</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Food and Beverage Report Analysis and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2009SR060110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Platform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Apparel Industry POS Management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2009SR060102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Express Information Interactive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2009SR060112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Chain Store Information Interactive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2009SR060108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Project Analysis and Management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2009SR060169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Payroll Accounting System Platform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2010SR043564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Fast Moving Consumer Goods Frontline Staff</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2010SR043561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Platform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Staff Management Platform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2010SR043562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Coal Mining Enterprise Information System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2010SR045449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Platform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Campus Expense Card Web Service System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2010SR045441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Campus Expense Card Bathroom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2010SR045444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Service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CLPS Machinery Industry ERP Management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2010SR045802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Assignment and Task Management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2011SR076863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(short name: Assignment and Task</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System)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Marketing Assistant System Platform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2012SR096727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Outsourcing Service Staff Management System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2012SR096666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527"/>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-9111615</wp:posOffset>
            </wp:positionV>
            <wp:extent cx="7132320" cy="548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-8014335</wp:posOffset>
            </wp:positionV>
            <wp:extent cx="7132320" cy="548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-6917055</wp:posOffset>
            </wp:positionV>
            <wp:extent cx="7132320" cy="548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-5819775</wp:posOffset>
            </wp:positionV>
            <wp:extent cx="7132320"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-4722495</wp:posOffset>
            </wp:positionV>
            <wp:extent cx="7132320" cy="548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-3625215</wp:posOffset>
            </wp:positionV>
            <wp:extent cx="7132320" cy="548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-2527935</wp:posOffset>
            </wp:positionV>
            <wp:extent cx="7132320" cy="548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19685</wp:posOffset>
            </wp:positionV>
            <wp:extent cx="12090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April 2009</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2009</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2009</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2009</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2009</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2009</w:t>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August 2010</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August 2010</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August 2010</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September 2010</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September 2010</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September 2010</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September 2010</w:t>
      </w: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2011</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2012</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6343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ectPr>
          <w:pgSz w:w="11900" w:h="16838" w:orient="portrait"/>
          <w:cols w:equalWidth="0" w:num="3">
            <w:col w:w="8120" w:space="320"/>
            <w:col w:w="1480" w:space="440"/>
            <w:col w:w="760"/>
          </w:cols>
          <w:pgMar w:left="320" w:top="756" w:right="459" w:bottom="379"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Software Name</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CLPS Outsourcing Service Staff System Background</w:t>
            </w:r>
          </w:p>
        </w:tc>
        <w:tc>
          <w:tcPr>
            <w:tcW w:w="14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2012SR096731</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Logistics Terminal Distribution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2012SR096668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HR Background Support Management System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2012SR098440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HR Management System Platform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2012SR098429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(short name: HR Management System)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Outsourcing Service Staff Resume Entry</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2012SR098687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System Platform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Document Business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2013SR054800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(short name: Document Management)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Monetary Transaction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2013SR054796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(short name: Monetary Transaction</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Expense Management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2014SR168125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Repayment Process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2014SR168130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Point Accumulative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2014SR168132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Interest Process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2014SR168136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Credit Application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2014SR168138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CLPS Mortgage Loan Plan Spreadsheet Tool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2015SR198772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(short name: Loan Spreadsheet)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64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-7543165</wp:posOffset>
            </wp:positionV>
            <wp:extent cx="7132320"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-6445885</wp:posOffset>
            </wp:positionV>
            <wp:extent cx="7132320" cy="548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-5348605</wp:posOffset>
            </wp:positionV>
            <wp:extent cx="713232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32320" cy="548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548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548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19685</wp:posOffset>
            </wp:positionV>
            <wp:extent cx="12090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2012</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October 2012</w:t>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October 2012</w:t>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October 2012</w:t>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October 2012</w:t>
      </w: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June 2013</w:t>
      </w: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June 2013</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2014</w:t>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October 2015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6343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ectPr>
          <w:pgSz w:w="11900" w:h="16838" w:orient="portrait"/>
          <w:cols w:equalWidth="0" w:num="3">
            <w:col w:w="8120" w:space="360"/>
            <w:col w:w="1400" w:space="480"/>
            <w:col w:w="760"/>
          </w:cols>
          <w:pgMar w:left="320" w:top="873" w:right="4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Software Name</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CLPS Bank Product Management Software V1.0</w:t>
            </w:r>
          </w:p>
        </w:tc>
        <w:tc>
          <w:tcPr>
            <w:tcW w:w="14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2015SR198610</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Deposit and Withdrawal Services</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2015SR198176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Loan Application Management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2015SR198654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Repayment Management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2015SR198649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Exchange Rate Management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2015SR198774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Interest Settlement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2015SR198246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Foreign Exchange Transaction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2015SR198240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Investment Management Securities</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2016SR376924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Business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Big Data Decision-making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2016SR382920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Customer Portrayal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 Ca,</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Internet Financial Cloud Mobile Banking</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2016SR398821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Wantong Calculus Mall Software V2.0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2017SR118507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CLPS Beijing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Hengtong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RC Rules Engine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2017SR169307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Internet Financing Collection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2017SR119266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Points Management Platform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2017SR119078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Full-web Order Receiving Unified Platform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2017SR202535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Quanxi Intelligent Marketing Platform Clients</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2017SR565576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Growth Center 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Enterprise Recruitment Intelligent Cooperation</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2017SR646712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Intelligent Online Training Test Instructional</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2017SR646507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526"/>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-9523095</wp:posOffset>
            </wp:positionV>
            <wp:extent cx="7132320" cy="548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-8425815</wp:posOffset>
            </wp:positionV>
            <wp:extent cx="7132320" cy="548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-7328535</wp:posOffset>
            </wp:positionV>
            <wp:extent cx="7132320"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-6231255</wp:posOffset>
            </wp:positionV>
            <wp:extent cx="7132320" cy="548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-5133975</wp:posOffset>
            </wp:positionV>
            <wp:extent cx="7132320" cy="548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-4036695</wp:posOffset>
            </wp:positionV>
            <wp:extent cx="713232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548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19685</wp:posOffset>
            </wp:positionV>
            <wp:extent cx="12090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2015</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2015</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2015</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2015</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2015</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2015</w:t>
      </w: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2015</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2016</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2016</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December 2016</w:t>
      </w: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April 2017</w:t>
      </w:r>
    </w:p>
    <w:p>
      <w:pPr>
        <w:spacing w:after="0" w:line="3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2017</w:t>
      </w: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April 2017</w:t>
      </w: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April 2017</w:t>
      </w:r>
    </w:p>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2017</w:t>
      </w:r>
    </w:p>
    <w:p>
      <w:pPr>
        <w:spacing w:after="0" w:line="3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2017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2017</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2017</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6343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ectPr>
          <w:pgSz w:w="11900" w:h="16838" w:orient="portrait"/>
          <w:cols w:equalWidth="0" w:num="3">
            <w:col w:w="8120" w:space="320"/>
            <w:col w:w="1500" w:space="420"/>
            <w:col w:w="760"/>
          </w:cols>
          <w:pgMar w:left="320" w:top="752" w:right="459" w:bottom="42"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Software Name</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CLPS Enterprise Internet Qinqin Loan Background</w:t>
            </w:r>
          </w:p>
        </w:tc>
        <w:tc>
          <w:tcPr>
            <w:tcW w:w="14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2017SR647634</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Blockchain Based Virtual Credits Background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2017SR645676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Enterprise Talent Information Intelligent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2017SR645650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Enterprise Recruitment Intelligent Cooperation</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2017SR647190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General Points Platform and Business Center</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2019SR0004653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Online Financial Microloan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2019SR0004669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Customer Management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2019SR0004663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Online Financial Management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2019SR0140935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Talent Training One-Stop Platform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2020SR0094641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Project Management Software [PMS]V2.0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2020SR0095716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Online Financial Management Software V2.0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2020SR0095716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Online Financial Microloan Software V3.0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2020SR0094745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Bank Customer Management Software V3.0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2020SR0095318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Online Financial Accounting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2020SR0095725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64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-8091805</wp:posOffset>
            </wp:positionV>
            <wp:extent cx="7132320" cy="548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-6994525</wp:posOffset>
            </wp:positionV>
            <wp:extent cx="7132320" cy="548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-5897245</wp:posOffset>
            </wp:positionV>
            <wp:extent cx="7132320" cy="548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548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548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548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548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firstLine="184"/>
        <w:spacing w:after="0" w:line="334" w:lineRule="auto"/>
        <w:rPr>
          <w:sz w:val="20"/>
          <w:szCs w:val="20"/>
          <w:color w:val="auto"/>
        </w:rPr>
      </w:pPr>
      <w:r>
        <w:rPr>
          <w:rFonts w:ascii="Times New Roman" w:cs="Times New Roman" w:eastAsia="Times New Roman" w:hAnsi="Times New Roman"/>
          <w:sz w:val="17"/>
          <w:szCs w:val="17"/>
          <w:b w:val="1"/>
          <w:bCs w:val="1"/>
          <w:color w:val="auto"/>
        </w:rPr>
        <w:t xml:space="preserve">Approval Date </w:t>
      </w:r>
      <w:r>
        <w:rPr>
          <w:rFonts w:ascii="Times New Roman" w:cs="Times New Roman" w:eastAsia="Times New Roman" w:hAnsi="Times New Roman"/>
          <w:sz w:val="17"/>
          <w:szCs w:val="17"/>
          <w:color w:val="auto"/>
        </w:rPr>
        <w:t>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-305435</wp:posOffset>
            </wp:positionV>
            <wp:extent cx="120904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2017</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2017</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2017</w:t>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January 2019</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January 2019</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January 2019</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February 2019</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2020</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2020</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2020</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2020</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2020</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6343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ectPr>
          <w:pgSz w:w="11900" w:h="16838" w:orient="portrait"/>
          <w:cols w:equalWidth="0" w:num="3">
            <w:col w:w="8120" w:space="320"/>
            <w:col w:w="1500" w:space="420"/>
            <w:col w:w="760"/>
          </w:cols>
          <w:pgMar w:left="320" w:top="873" w:right="4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Software Name</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CLPS Blockchain Based Virtual Credits Background</w:t>
            </w:r>
          </w:p>
        </w:tc>
        <w:tc>
          <w:tcPr>
            <w:tcW w:w="14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2020SR0224622</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V3.0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Guangzhou</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Enterprise Recruitment Intelligent Cooperation</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2020SR0224616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 V3.0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Guangzhou</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Enterprise Talent Information Intelligent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2020SR0224243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(“ERP System”) V3.0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Guangzhou</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Ruicheng ERP-TRMS Software (“ERP-</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2020SR1691822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TRMS”)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Ruicheng BPM Organizational Structure and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2020SR1691823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Process Approval Software (“BPM”)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Ruicheng Timesheet CLPS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2020SR1691884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Software(“Timesheet”)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Ruicheng WeChat Based Timesheet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2020SR1691802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CLPS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(“Timesheet”)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Ruicheng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China EKYC Based Mobile Banking</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2020SR1692693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Software(“Mobile Banking”)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Project Management Software(“PMS”) V3.0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2021SR0113240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Comprehensive Information</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2021SR0113286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Software(“ChinaLinkV”) V2.1.1</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Meeting Room Reservation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2021SR0113234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Software(“Meeting”)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BPM Organizational Structure and Process</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2021SR0216840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Approval Software(“BPM”)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EKYC Based Mobile Banking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2021SR0216890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(“Mobile Banking”)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Hainan Qincheng BPM Organization Structure and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2021SR783928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Hainan</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Process Approval Software(“BPM”)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Qincheng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Software</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Hainan Qincheng ERP-TRMS Software(“ERP-</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2021SR0783904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Hainan</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TRMS”)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Qincheng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Software</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Hainan Qincheng Timesheet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2021SR0783929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Hainan</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Software(“Timesheet”) V3.0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Qincheng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Software</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64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-8503285</wp:posOffset>
            </wp:positionV>
            <wp:extent cx="7132320"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-7680325</wp:posOffset>
            </wp:positionV>
            <wp:extent cx="713232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-6034405</wp:posOffset>
            </wp:positionV>
            <wp:extent cx="7132320"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548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548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548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685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19685</wp:posOffset>
            </wp:positionV>
            <wp:extent cx="120904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March 2020</w:t>
      </w:r>
    </w:p>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March 2020</w:t>
      </w:r>
    </w:p>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March 2020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2020</w:t>
      </w:r>
    </w:p>
    <w:p>
      <w:pPr>
        <w:spacing w:after="0" w:line="3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January 2021</w:t>
      </w:r>
    </w:p>
    <w:p>
      <w:pPr>
        <w:spacing w:after="0" w:line="200" w:lineRule="exact"/>
        <w:rPr>
          <w:sz w:val="20"/>
          <w:szCs w:val="20"/>
          <w:color w:val="auto"/>
        </w:rPr>
      </w:pPr>
    </w:p>
    <w:p>
      <w:pPr>
        <w:spacing w:after="0" w:line="3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January 2021</w:t>
      </w:r>
    </w:p>
    <w:p>
      <w:pPr>
        <w:spacing w:after="0" w:line="200" w:lineRule="exact"/>
        <w:rPr>
          <w:sz w:val="20"/>
          <w:szCs w:val="20"/>
          <w:color w:val="auto"/>
        </w:rPr>
      </w:pPr>
    </w:p>
    <w:p>
      <w:pPr>
        <w:spacing w:after="0" w:line="3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January 2021</w:t>
      </w:r>
    </w:p>
    <w:p>
      <w:pPr>
        <w:spacing w:after="0" w:line="200" w:lineRule="exact"/>
        <w:rPr>
          <w:sz w:val="20"/>
          <w:szCs w:val="20"/>
          <w:color w:val="auto"/>
        </w:rPr>
      </w:pPr>
    </w:p>
    <w:p>
      <w:pPr>
        <w:spacing w:after="0" w:line="3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February 2021</w:t>
      </w:r>
    </w:p>
    <w:p>
      <w:pPr>
        <w:spacing w:after="0" w:line="200" w:lineRule="exact"/>
        <w:rPr>
          <w:sz w:val="20"/>
          <w:szCs w:val="20"/>
          <w:color w:val="auto"/>
        </w:rPr>
      </w:pPr>
    </w:p>
    <w:p>
      <w:pPr>
        <w:spacing w:after="0" w:line="3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February 2021</w:t>
      </w: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6343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ectPr>
          <w:pgSz w:w="11900" w:h="16838" w:orient="portrait"/>
          <w:cols w:equalWidth="0" w:num="3">
            <w:col w:w="8120" w:space="280"/>
            <w:col w:w="1560" w:space="400"/>
            <w:col w:w="760"/>
          </w:cols>
          <w:pgMar w:left="320" w:top="873" w:right="4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Software Name</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Hainan Qincheng WeChat Based Timesheet</w:t>
            </w:r>
          </w:p>
        </w:tc>
        <w:tc>
          <w:tcPr>
            <w:tcW w:w="14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2021SR0783905</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Hainan</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(“Timesheet”)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Qincheng</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Software</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Project Management Software V4.0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2021SR1775321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Meeting Room Reservation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2021SR1628925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One-Stop Platform for Talent Cultivation Based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2021SR1775007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 Internationalization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Project Lifeline Tracking Management System</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2021SR1952575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Salary Query Software V1.2</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2021SR1952576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Internet Financial Accounting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2021SR2008521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Bank Clients Management Software Based on</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Architecture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2021SR1969086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w w:val="99"/>
              </w:rPr>
              <w:t>JAJI Talent Recommendation and Recruitment Mobile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2021SR2085396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BPM BPM Organizational Structure and Process</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2021SR1880802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Approval Software V4.0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Online Finance Management Software Based on</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2021SR2008522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Architecture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Enterprise Talent Information Analysis and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2021SR1901457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 Based on Distributed</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Architecture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Mobile Banking System Based on Intelligent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2021SR1969085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Face Recognition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Talent Resume Management DB Database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2021SR1952673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V1.5</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Business Points Mall WeChat Platform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2021SR1952574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EKYC Based Mobile Banking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2021SR1617316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(“Mobile Banking”) V3.0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64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-7543165</wp:posOffset>
            </wp:positionV>
            <wp:extent cx="7132320" cy="685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-6445885</wp:posOffset>
            </wp:positionV>
            <wp:extent cx="7132320" cy="548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411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411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411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19685</wp:posOffset>
            </wp:positionV>
            <wp:extent cx="12090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May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June 2021</w:t>
      </w:r>
    </w:p>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July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September 2021</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September 2021</w:t>
      </w:r>
    </w:p>
    <w:p>
      <w:pPr>
        <w:spacing w:after="0" w:line="3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October 2021</w:t>
      </w: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November 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6343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ectPr>
          <w:pgSz w:w="11900" w:h="16838" w:orient="portrait"/>
          <w:cols w:equalWidth="0" w:num="3">
            <w:col w:w="8120" w:space="300"/>
            <w:col w:w="1520" w:space="420"/>
            <w:col w:w="760"/>
          </w:cols>
          <w:pgMar w:left="320" w:top="873" w:right="4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Software Name</w:t>
            </w:r>
          </w:p>
        </w:tc>
        <w:tc>
          <w:tcPr>
            <w:tcW w:w="1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CLPS Credit Card Comprehensive Information</w:t>
            </w:r>
          </w:p>
        </w:tc>
        <w:tc>
          <w:tcPr>
            <w:tcW w:w="14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2021SR1617317</w:t>
            </w: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Platform Software(“ChinaLinkV”) V3.0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Big Data Integrated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2021SR1619652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Background Software V2.0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Chenqin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Information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Clearing Management Software</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2021SR1619639</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Chenqin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Information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Risk Management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2021SR1619640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Chenqin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Information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Account Establishment and Card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2021SR1619641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Making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Chenqin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Information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Authorization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2021SR1619642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Chenqin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Information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Customer Service Management</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2021SR1619643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Chenqin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Information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Credit Card Merchant Consumption Integrated</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2021SR1619651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Management Software V1.0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Chenqin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Information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Technology</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Internet Financing Collection Software V1.5</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2021SR1666790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CLPS Online Learning Platform Software V1.5</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2021SR1666804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ChinaLink</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Professional</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Services Co.,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Ltd.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JAJI Dual Recording Platform Software V1.0</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2021SR2116913</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JAJI</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r>
      <w:tr>
        <w:trPr>
          <w:trHeight w:val="64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-8228965</wp:posOffset>
            </wp:positionV>
            <wp:extent cx="7132320" cy="548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8229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8229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8229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548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411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19685</wp:posOffset>
            </wp:positionV>
            <wp:extent cx="12090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November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November 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19685</wp:posOffset>
            </wp:positionV>
            <wp:extent cx="6343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w:t>
      </w:r>
    </w:p>
    <w:p>
      <w:pPr>
        <w:sectPr>
          <w:pgSz w:w="11900" w:h="16838" w:orient="portrait"/>
          <w:cols w:equalWidth="0" w:num="3">
            <w:col w:w="8120" w:space="300"/>
            <w:col w:w="1520" w:space="420"/>
            <w:col w:w="760"/>
          </w:cols>
          <w:pgMar w:left="320" w:top="873"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Unit 1102, 11th Floor, Millennium City III, 370 Kwun Tong Road, Kwun Tong, Kowloon, Hong Kong SAR. We leased the premise and the lease term has expired on May 5, 2021. On June 7, 2021, CLPS, through its wholly-owned subsidiary, entered into a purchase agreement to acquire the commercial real estate for a consideration of US$3,860,000, which has been and will continue to be used as the Company’s principal executive office. The consideration was fully paid on July 21, 2021.</w:t>
      </w:r>
    </w:p>
    <w:p>
      <w:pPr>
        <w:spacing w:after="0" w:line="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30, 2021, CLPS, through its wholly-owned subsidiary, Noni Singapore, entered into a purchase agreement to acquire commercial real estate located at 60 Paya Lebar Road #05-29 and #05-30, Singapore for a consideration of US$4,614,743. The consideration was fully paid on October 25, 2021.</w:t>
      </w:r>
    </w:p>
    <w:p>
      <w:pPr>
        <w:spacing w:after="0" w:line="8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September 24, 2021, CLPS, through its wholly-owned subsidiary, Arabian Jasmine, entered into a purchase agreement to acquire commercial real estate located at Unit 1-2,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Millennium City III, 370 Kwun Tong Road, Kwun Tong, Kowloon, Hong Kong SAR for a consideration of US$11,286,971. The consideration was fully paid on December 8, 2021.</w:t>
      </w: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manages and operates several other facilities. We rent office space in Shanghai, Tianjin, Shenzhen, Guangzhou, Dalian, Xi’an, Chengdu, Beijing, Baoding, Hainan, Singapore, Hong Kong, Japan, India, the U.S., and the Philippines. Rent expenses amounted to $1,085,888, $942,606, and $944,645 for the years ended June 30, 2022, 2021 and 2020, respectively. We believe our facilities are adequate for our current needs.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7280" w:type="dxa"/>
            <w:vAlign w:val="bottom"/>
            <w:gridSpan w:val="2"/>
          </w:tcPr>
          <w:p>
            <w:pPr>
              <w:ind w:left="328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Space (m2)</w:t>
            </w:r>
          </w:p>
        </w:tc>
      </w:tr>
      <w:tr>
        <w:trPr>
          <w:trHeight w:val="238"/>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Office</w:t>
            </w:r>
          </w:p>
        </w:tc>
        <w:tc>
          <w:tcPr>
            <w:tcW w:w="120" w:type="dxa"/>
            <w:vAlign w:val="bottom"/>
            <w:tcBorders>
              <w:top w:val="single" w:sz="8" w:color="CCEEFF"/>
            </w:tcBorders>
            <w:shd w:val="clear" w:color="auto" w:fill="CCEEFF"/>
          </w:tcPr>
          <w:p>
            <w:pPr>
              <w:spacing w:after="0"/>
              <w:rPr>
                <w:sz w:val="20"/>
                <w:szCs w:val="20"/>
                <w:color w:val="auto"/>
              </w:rPr>
            </w:pPr>
          </w:p>
        </w:tc>
        <w:tc>
          <w:tcPr>
            <w:tcW w:w="7180" w:type="dxa"/>
            <w:vAlign w:val="bottom"/>
            <w:tcBorders>
              <w:top w:val="single" w:sz="8" w:color="auto"/>
            </w:tcBorders>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Floor, Building 18, Shanghai Pudong Software Park, 498 Guoshoujing Road, Pudong District,</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1,259.94</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38"/>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Office</w:t>
            </w:r>
          </w:p>
        </w:tc>
        <w:tc>
          <w:tcPr>
            <w:tcW w:w="728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7"/>
                <w:szCs w:val="17"/>
                <w:color w:val="auto"/>
              </w:rPr>
              <w:t xml:space="preserve"> Floor, Building 18, Shanghai Pudong Software Park, 498 Guoshoujing Road, Pudong District,</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914.62</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Dalian Office</w:t>
            </w:r>
          </w:p>
        </w:tc>
        <w:tc>
          <w:tcPr>
            <w:tcW w:w="7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Room 501-503/504-506/507, 5/F, No. 30, Cuitao Street, High Tech Park, Ganjingzi District,</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Dalian, Liaoning Province,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1,388.45</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Tianjin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 5601-8, F6, Building No.5, Xinhuan West Road, TEDA, Tianjin,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56.07</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 2804, Ludan Building, Guiyuan Street, Luohu District, Shenzhen,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299.00</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Guangzhou Office</w:t>
            </w:r>
          </w:p>
        </w:tc>
        <w:tc>
          <w:tcPr>
            <w:tcW w:w="7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Room 409-411, Tower B, China Shine Plaza, No. 9 Linhe Xi Road, Tianhe District, Guangzhou,</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331.16</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Xi’an Office</w:t>
            </w:r>
          </w:p>
        </w:tc>
        <w:tc>
          <w:tcPr>
            <w:tcW w:w="7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Room 1901,Tower C2 of Yunhuigu Software Park, Yunshui 1st Road, Xi ‘an High-Tech Zone,</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Xian,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1,989.32</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Chengdu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 04,05, 12/Floor, Tower 2, 88 Jitai 5th Road, Gaoxin District, Chengdu, Sichuan District,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38"/>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Office</w:t>
            </w:r>
          </w:p>
        </w:tc>
        <w:tc>
          <w:tcPr>
            <w:tcW w:w="728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Room 1329-1332, 13</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Floor, Building 2, Yard 26, Chengtong Road, Shijingshan District, Beijing,</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222.88</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 UBI Crescent, #03-29, UBI Techpark, Singapore, 408564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141 Cecil Street, #06-07, Tung Ann Association Building, Singapore, 069541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27.87</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Hong Kong Office</w:t>
            </w:r>
          </w:p>
        </w:tc>
        <w:tc>
          <w:tcPr>
            <w:tcW w:w="7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 1102, Level 11, Millennium City III, 370 Kwun Tong Road, Kwun Tong, Kowloon, Hong</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Kong</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210.15</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4F 1-36-3 Nihonbashi-Kakigara-cho,Chuo-ku,Tokyo, Japan, 103-0014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40.17</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India Office</w:t>
            </w:r>
          </w:p>
        </w:tc>
        <w:tc>
          <w:tcPr>
            <w:tcW w:w="7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 No. 222, DLF Cybercity, Idco Info Park, Technology Corridor, Chandaka Industrial Estate,</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Bhubaneswar, Odisha, India, 751024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113.85</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1460 Mission Street, San Francisco, CA 94103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 B1013, Binhai Avenue, 109-9 Haihang Plaza, Hainan,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63.62</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 308, Building 4, 970-1 Gaojiao Road, Yuhang District, Hangzhou , Zhejiang, PRC</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w:t>
            </w:r>
          </w:p>
        </w:tc>
      </w:tr>
      <w:tr>
        <w:trPr>
          <w:trHeight w:val="122"/>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10/F, Level 10 Millennium City 3, 378 Kwun Tong Road, Kwun Tong, Kowloon, Hong Kong</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756.23</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Philippines Office</w:t>
            </w:r>
          </w:p>
        </w:tc>
        <w:tc>
          <w:tcPr>
            <w:tcW w:w="7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20th Floor, Picadilly Star Building, 4th Avenue Corner 27th Street, Bonifacio Global City, Fort</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Bonifacio, Taguig City, Metro Manila, Philippines</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Vietnam Office</w:t>
            </w:r>
          </w:p>
        </w:tc>
        <w:tc>
          <w:tcPr>
            <w:tcW w:w="7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12th Floor, Viettel Complex Building, No. 285 Cach Mang Thang Tam Street, Ward 12, District 10,</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 Chi Minh City, Vietnam</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Office</w:t>
            </w: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 Paya Lebar Road #05-29&amp;#05-30, Paya Lebar Square, Singapore, 409051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561"/>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Relating to PRC Information Technology Service Industry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Catalogue of Industries for Encouraging Foreign Investment (2020)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 Rights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Regulation of Foreign Currency Exchange and Dividend Distribution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Foreign Currency Exchange.</w:t>
      </w:r>
      <w:r>
        <w:rPr>
          <w:rFonts w:ascii="Times New Roman" w:cs="Times New Roman" w:eastAsia="Times New Roman" w:hAnsi="Times New Roman"/>
          <w:sz w:val="18"/>
          <w:szCs w:val="18"/>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 Distribution.</w:t>
      </w:r>
      <w:r>
        <w:rPr>
          <w:rFonts w:ascii="Times New Roman" w:cs="Times New Roman" w:eastAsia="Times New Roman" w:hAnsi="Times New Roman"/>
          <w:sz w:val="18"/>
          <w:szCs w:val="18"/>
          <w:color w:val="auto"/>
        </w:rPr>
        <w:t xml:space="preserve"> The principal regulations governing the distribution of dividends by foreign holding companies include the Company Law of the PRC (1993), as amended in 2018, the Foreign Investment Law of the People’s Republic of China (2020), and the Implementing Regulations of the Foreign Investment Law of the People’s Republic of China (2020).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Circular 37</w:t>
      </w:r>
      <w:r>
        <w:rPr>
          <w:rFonts w:ascii="Times New Roman" w:cs="Times New Roman" w:eastAsia="Times New Roman" w:hAnsi="Times New Roman"/>
          <w:sz w:val="18"/>
          <w:szCs w:val="18"/>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New M&amp;A Regulations and Overseas Listings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Offshore Parent Holding Companies’ Direct Investment in and Loans to Their PRC Subsidiaries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Foreign Investment Law of the People’s Republic of China (2020)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8" w:name="page79"/>
    <w:bookmarkEnd w:id="7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and globally.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more than ten years, we have served as an IT solutions provider to a growing network of clients in the global financial industry, including large financial institutions from the US, Europe, Australia, Southeast Asia.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We are fully committed of providing digital transformation services with focused on financial and technology in the banking, wealth management, e-commerce, and automotive industries, among others, through the utilization of innovative technology to achieve our client’s goals. We maintain nineteen delivery and/or R&amp;D centers, of which ten are located in Mainland China (Shanghai, Beijing, Dalian, Tianjin, Xi’an, Chengdu, Guangzhou, Shenzhen, Hangzhou, and Hainan) and nine are located globally (Hong Kong SAR, the United States of America, Japan, Singapore, Australia, Malaysia, India, the Philippines, and Vietnam), to serve different customers in various geographic locations.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pursuant to the rules and requirements of the Securities Exchange Commission (“SEC”). The accompanying consolidated financial statements include the financial statements of CLPS and its consolidated subsidiaries. All intercompany balances and transactions have been eliminated upon consolidation. Results of subsidiaries and businesses acquired from third parties are consolidated from the date on which control is transferred to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Company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together with Mr. Raymond Ming Hui Lin, the Company’s Chief Executive Officer and Director are the controlling shareholders of the Company (the “Controlling Shareholders”).</w:t>
      </w:r>
    </w:p>
    <w:p>
      <w:pPr>
        <w:spacing w:after="0" w:line="187"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18"/>
          <w:szCs w:val="18"/>
          <w:color w:val="auto"/>
        </w:rPr>
        <w:t>On August 15, 2018, the shareholders of CLPS SG and CLPS-Ridik AU were changed to Qiner from CLPS Shanghai pursuant to the share purchase agreements. Qiner purchased the 100% equity interest of CLPS SG and CLPS-Ridik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80" w:lineRule="exact"/>
        <w:rPr>
          <w:sz w:val="20"/>
          <w:szCs w:val="20"/>
          <w:color w:val="auto"/>
        </w:rPr>
      </w:pPr>
    </w:p>
    <w:p>
      <w:pPr>
        <w:jc w:val="both"/>
        <w:ind w:firstLine="637"/>
        <w:spacing w:after="0" w:line="282" w:lineRule="auto"/>
        <w:rPr>
          <w:sz w:val="20"/>
          <w:szCs w:val="20"/>
          <w:color w:val="auto"/>
        </w:rPr>
      </w:pPr>
      <w:r>
        <w:rPr>
          <w:rFonts w:ascii="Times New Roman" w:cs="Times New Roman" w:eastAsia="Times New Roman" w:hAnsi="Times New Roman"/>
          <w:sz w:val="18"/>
          <w:szCs w:val="18"/>
          <w:color w:val="auto"/>
        </w:rPr>
        <w:t>On August 20, 2018, CLPS SG acquired an 80% interest in Infogain Solutions PTE. Ltd. (“Infogain”) located in Singapore from Sharma Devendra Prasad and Deepak Malhotra with the final purchase price of $0.4 million (or approximately 576,000 Singapore dollars).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3, 2019, Qiner purchased a 30% equity interest in Economic Modeling Information Technology Co., Ltd. (“EMIT”). The consideration is zero amount. Qiner subsequently made a capital contribution of $0.44 million (RMB 3 million) to EMIT directly. There is remaining capital contribution of $0.23 million not paid as of June 30,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On July 31, 2019, the Company incorporated CLPS Hangzhou Co., Ltd. (“CLPS Hangzhou”), to develop the business in related areas.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13, 2019, the Company incorporated CLPS Technology Japan (“CLPS Japan”) to develop business in related areas.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26, 2019, Qiner acquired an 80% interest in Ridik Pte. Ltd. (“Ridik Pte.”) located in Singapore from Srustijeet Mishra and Routray Sibashis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Ridik Software Solutions Ltd. (“Ridik Software”), and Suzhou Ridik Information Technology Co., Ltd. (“Suzhou Ridik”) are all subsidiaries of Ridik Pte. Suzhou Ridik was liquidated on April 16,2021. Ridik Software was dissolved on May 11,2021.</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December 2019, CLPS Shanghai held a 70% equity interest in CLPS Shenzhen and an 80% equity interest in CLPS Hong Kong, which held the remaining 30% equity interest in CLPS Shenzhen. And the remaining 20% equity interest in CLPS Hong Kong and remaining 6% equity interest in CLPS Shenzhen were recorded as a noncontrolling interests on the Company’s consolidated balance sheet. On December 9, 2019, Qiner acquired the remaining 20% equity interest in CLPS Hong Kong from noncontrolling shareholder with the consideration of the Company’s 100,000 common shares, and became the sole shareholder of CLPS Hong Kong and CLPS Shenzhen.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31, 2019, the Company incorporated Qinson Credit Card Services Limited (“Qinson”) to develop business in related areas.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6, 2020, Ridik Pte. acquired 100% equity interest in Ridik Consulting Private Limited (“Ridik Consulting”) from third-party selling shareholders with the final purchase price of $5,520 (396,700 Indian Rupees).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23, 2020, Qiner purchased the 80% equity interest in CLPS Hong Kong from CLPS Shanghai for consideration of $0.64 million (HKD 5,000,000). After the equity transfer, Qiner holds 100% of equity interest of CLPS Hong Kong. This transaction did not change the holding company’s ownership of the entity.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20, 2021, the Company incorporated Hainan Qincheng Software Technology Co., Ltd. (“CLPS Hainan”) in Hainan to develop business in related areas.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January 2021, Qiner held 80% equity interest in Ridik Pte. The remaining 20% equity interest was recorded as a noncontrolling interest on the Company’s consolidated balance sheet. On January 29, 2021, CLPS SG acquired the remaining 20% equity interest from Srustijeet Mishra and Routray Sibashis with final purchase price of $0.62 million (or approximately SGD 828,135), in the form of cash of $0.44 million (or approximately SGD 579,695) and the Company’s common shares valued at $0.18 million (or approximately SGD 248,441). Ridik Pte. and its subsidiaries are now wholly-owned subsidiaries of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January 2021, JAJI China held a 70% equity interest in JAJI HR. The remaining 30% equity interest in JAJI HR was recorded as a noncontrolling interest on the Company’s consolidated balance sheet. On January 28, 2021, JAJI China acquired the remaining 30% equity interest from CareerWin Executive Search Co., Ltd. (“CareerWin”).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3, 2021, JAJI HR acquired 100% equity interest in CareerWin located in Shanghai from third-party selling shareholders with the purchase price in the form of cash of $0.29 million (RMB 1,877,044).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11, 2021, the equity interest in Ridik Pte. was transferred to CLPS SG from Qiner pursuant to the share purchase agreements. CLPS SG purchased the 80% equity interest in Ridik Pte. from Qiner for consideration of $2.16 million (or approximately SGD 2,906,435). After the equity transfer, CLPS SG now holds 100% equity interest in Ridik Pte. This transaction did not change the holding company’s ownership of the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 2021, as part of business strategy, the Company changed the English entity name of its majority-owned subsidiary, Judge (Shanghai)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Ltd. and its wholly-owned subsidiary Judge (Shanghai) Human Resource Co., Ltd., to JAJI (Shanghai) Co., Ltd. (“JAJI China”) and JAJI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Resource Co., Ltd. (“JAJI HR”), respectively.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14, 2021, the Company incorporated Growth Ring Ltd. (“Growth Ring”) in British Virgin Islands to develop business in related areas.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15, 2021, the Company incorporated CLPS Xi’an Co., Ltd. (“CLPS Xi’an”) in Shaanxi to develop business in related areas.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11, 2021, JAJI China acquired 60% of equity interest in Beijing Bozhuo Education Technology Co., Ltd. (“Beijing Bozhuo”) located in Beijing from a third-party selling shareholder with the purchase price in the form of cash of $0.02 million (RMB 120,000).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25, 2021, the Company incorporated Arabian Jasmine Ltd. (“Arabian Jasmine”) in British Virgin Islands to develop business in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31, 2021, CLPS SG sold its 80% equity interest in Infogain to the noncontrolling interest shareholder Sharma Devendra Prasad for the sale price of $0.08 million (SGD 100,000). After the interest transfer, Infogain is no longer a subsidiary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31, 2021, the Company incorporated Shanghai Chenqin Information Technology Services Co., Ltd. (“Shanghai Chenqin”) in Shanghai to develop business in related areas.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22, 2021, the Company incorporated Noni (Singapore) Pte. Ltd. (“Noni Singapore”) in Singapore to develop business in related areas.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22, 2021, the Company and a noncontrolling interest shareholder incorporated CLPS-Beefinance Holding Limited (“CLPS-Beefinance”) in British Virgin Islands to develop and upgrade blockchain-based digital asset solutions for financial institutions.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 9001, ISO 14001, ISO 27001, CMMI 5, and TMMi 3 certified, and have been granted certificates of recognition by the Shanghai government, including </w:t>
      </w:r>
      <w:r>
        <w:rPr>
          <w:rFonts w:ascii="Times New Roman" w:cs="Times New Roman" w:eastAsia="Times New Roman" w:hAnsi="Times New Roman"/>
          <w:sz w:val="18"/>
          <w:szCs w:val="18"/>
          <w:i w:val="1"/>
          <w:iCs w:val="1"/>
          <w:color w:val="auto"/>
        </w:rPr>
        <w:t>Enterprise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Certification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High-tech Enterprise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Little Giant Company for Science and Technology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Professional Talent Development Training Camp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are primarily based in mainland China, where we derive a substantial portion of our revenues. For the years ended June 30, 2022, 2021 and 2020, our revenues were $152.0 million, $126.1 million, and $89.4 million, respectively. Revenues generated outside of mainland China were approximately $14.1 million, $13.6 million and $10.6 million for fiscal 2022, 2021 and 2020, respectively. We had a net income of $4.6 million in fiscal 2022, a net income of $7.0 million in fiscal 2021, and a net income of $3.1 million in fiscal 2020, respectively. We had a non-GAAP net income of $11.8 million in fiscal 2022. Our total assets as of June 30, 2022 were $101.9 million of which cash and cash equivalent amounted to $18.4 million. Our total liabilities as of June 30, 2022 were $34.1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jc w:val="both"/>
        <w:ind w:left="980" w:hanging="324"/>
        <w:spacing w:after="0" w:line="254"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 has a significant effect on our results of operations and financial condition. During fiscal 2022, our revenue derived from our IT consulting services increased by 17.8% or $21.8 million from fiscal 2021, mainly attributable to revenue growth from our existing clients. IT consulting services revenue from new clients amounted to approximately $3.5 million in fiscal 2022. During fiscal 2021, our revenue derived from our IT consulting services increased by 40.3% or $35.2 million from fiscal 2020, mainly attributable to revenue growth from our existing clients. IT consulting services revenue from new clients amounted to approximately $8.4 million in fiscal 2021.</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portfolio of service offerings. We intend to increase our revenues by continuing to expand our service offerings, providing quality service to our existing customers and attracting new customers. Through research and development, targeted hiring and strategic acquisitions, we have proactively invested in broadening our existing service lines, including those for serving our specific industry verticals.</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the following key operating metrics to oversee and manage the Company’s business: (i) developing new business, (ii) spearheaded by the CLPS Academy, focusing on the TCP/TDP training programs to provide highly trained and qualified employees to the clients; and (iii) retaining employees to continue to meet client ever-changing needs.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leveraging costs and driving margins to produce profitability and return on investment for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JAJI China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9, 2016, CLPS Shanghai acquired 60% of JAJI China and its 70% owned subsidiary JAJI HR from Judge Company Asia Limited (“Judge Asia”) with the final purchase price of $480,061 (RMB 3.25 million). The Company funded the acquisition with cash consideration of $454,388 (RMB 3.05 million) and a payable to Judge Asia of $128,928 (RMB 0.9 million), of which $103,255 (RMB 0.7 million) was subsequently offset with the Company’s receivables from Judge Asia.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5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325,888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67,570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339,883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(86,483)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(16,147)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(259,361)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(65,264)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(290,994)</w:t>
            </w: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480,061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62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3" w:name="page84"/>
    <w:bookmarkEnd w:id="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intangible assets include customer contracts of $339,883, which were acquired by JAJI China in 2013 with an estimated useful life of 10 years. The goodwill is mainly attributable to the excess of the consideration paid over the fair value of the net assets acquired that cannot be recognized separately as identifiable assets under U.S. GAAP, and comprises (a) the assembled work force and (b) the expected but unidentifiable business growth as a result of the synergy resulting from the acquisition.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28, 2021, JAJI China acquired the remaining 30% equity interest of JAJI HR from CareerWin Executive Search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(“CareerWin”) with the purchase price of $0.02 million (RMB 122,956).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 2021, as part of business strategy, the Company changed the English entity name of its majority-owned subsidiary, Judge (Shanghai)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Ltd. and its wholly-owned subsidiary Judge (Shanghai) Human Resource Co., Ltd., to JAJI (Shanghai) Co., Ltd. (“JAJI China”) and JAJI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Resource Co., Ltd. (“JAJI HR”),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Huanyu</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27, 2017, the Company made an investment of $0.15 million (RMB 1,000,000) for a 30% of equity interest in Huanyu which was accounted for as an equity method investment. On May 24, 2019, the Company purchased the remaining 70% equity interest of Huanyu for $0.07 million (RMB 462,000) and became the sole shareholder of Huanyu.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87,674</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50,045</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Previous held equity interests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66,960</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219,272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spacing w:after="0" w:line="176" w:lineRule="exact"/>
        <w:rPr>
          <w:sz w:val="20"/>
          <w:szCs w:val="20"/>
          <w:color w:val="auto"/>
        </w:rPr>
      </w:pPr>
    </w:p>
    <w:p>
      <w:pPr>
        <w:jc w:val="both"/>
        <w:ind w:firstLine="637"/>
        <w:spacing w:after="0" w:line="282" w:lineRule="auto"/>
        <w:rPr>
          <w:sz w:val="20"/>
          <w:szCs w:val="20"/>
          <w:color w:val="auto"/>
        </w:rPr>
      </w:pPr>
      <w:r>
        <w:rPr>
          <w:rFonts w:ascii="Times New Roman" w:cs="Times New Roman" w:eastAsia="Times New Roman" w:hAnsi="Times New Roman"/>
          <w:sz w:val="18"/>
          <w:szCs w:val="18"/>
          <w:color w:val="auto"/>
        </w:rPr>
        <w:t>For the period from July 1, 2018 to the acquisition date of May 24, 2019 and for the year ended June 30, 2018, 30% of Huanyu’s results of operations was income of $35,049 (RMB 239,073) and loss of $8,684 (RMB56,461),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disposal of Infogain</w:t>
      </w:r>
    </w:p>
    <w:p>
      <w:pPr>
        <w:spacing w:after="0" w:line="229" w:lineRule="exact"/>
        <w:rPr>
          <w:sz w:val="20"/>
          <w:szCs w:val="20"/>
          <w:color w:val="auto"/>
        </w:rPr>
      </w:pPr>
    </w:p>
    <w:p>
      <w:pPr>
        <w:jc w:val="both"/>
        <w:ind w:firstLine="637"/>
        <w:spacing w:after="0" w:line="282" w:lineRule="auto"/>
        <w:rPr>
          <w:sz w:val="20"/>
          <w:szCs w:val="20"/>
          <w:color w:val="auto"/>
        </w:rPr>
      </w:pPr>
      <w:r>
        <w:rPr>
          <w:rFonts w:ascii="Times New Roman" w:cs="Times New Roman" w:eastAsia="Times New Roman" w:hAnsi="Times New Roman"/>
          <w:sz w:val="18"/>
          <w:szCs w:val="18"/>
          <w:color w:val="auto"/>
        </w:rPr>
        <w:t>On August 20, 2018, CLPS SG acquired an 80% equity in Infogain located in Singapore from Sharma Devendra Prasad and Deepak Malhotra with the final purchase price of $0.4 million (or approximately 576,000 Singapore dollars).</w:t>
      </w:r>
    </w:p>
    <w:p>
      <w:pPr>
        <w:spacing w:after="0" w:line="162"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458,943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and other receivable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337,685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 and other current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(504,235)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(57,406)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(64,879)</w:t>
            </w: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420,101</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Identifiable intangible assets acquired include customer contracts, which were valued using an income approach and determined to carry estimated remaining useful lives of approximately three years. The goodwill recognized represents the expected synergies and is not tax deductible.</w:t>
      </w:r>
    </w:p>
    <w:p>
      <w:pPr>
        <w:spacing w:after="0" w:line="162"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 xml:space="preserve">On May 31, 2021, CLPS SG entered into an agreement with Sharma Devendra Prasad to sell its 80% interests in Infogain at a cash consideration of $75,672 (SGD100,000). Sharma Devendra Prasad is the shareholder of the 20% noncontrolling interests in Infogain and was the original shareholder of the 80% interest in Infogain acquired by CLPS SG in 2019. After the disposal, the Company was no longer a shareholder of Infogain and deconsolidated Infogain’s financial results from the Company’s financial statements from June 1, 2021. The Company recognized a total gain of $9,022 (SGD 11,921) from the transaction in “Other income, net” in the consolidated statements of comprehensive income or the year ended June 30, 2021. The deconsolidation of Infogain did not meet the definition of a discontinued operation in accordance with ASC 205-20, </w:t>
      </w:r>
      <w:r>
        <w:rPr>
          <w:rFonts w:ascii="Times New Roman" w:cs="Times New Roman" w:eastAsia="Times New Roman" w:hAnsi="Times New Roman"/>
          <w:sz w:val="18"/>
          <w:szCs w:val="18"/>
          <w:i w:val="1"/>
          <w:iCs w:val="1"/>
          <w:color w:val="auto"/>
        </w:rPr>
        <w:t>Presentation of Financial Statements –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(“ASC 205-20”), as the disposal of Infogain did not represent a shift in the Company’s strategy that has (or will have) a major effect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operations and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and disposal of CLPS Lihong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2019, the Company purchased a 36.84% equity interest in CLPS Lihong at a cash consideration of $0.15 (RMB 1) on the condition that the Company could inject capital of $1.01 million (RMB 7 million) into CLPS Lihong.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loss of $176,148 (RMB 1,201,523).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2020, the Company sold an 18.42% equity interest in CLPS Lihong to the third party for the consideration of $995,605 (RMB 7 million) which was received as of June 30, 2020. Concurrently CLPS Lihong raised additional capital from other third party investors, and the Company’s remaining equity interest in CLPS Lihong was diluted to 7% as of June 30, 2020. The Company recognized the remaining equity interest in CLPS Lihong as equity investment without readily determined fair value since May 2020. For the period from July 1, 2019 to April 30, 2020, the Company’s share of CLPS Lihong’s results of operations was income of $250,290 (RMB 1,759,764).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2021, the Company sold its remaining 7% equity interest of CLPS Lihong to the third party for the consideration of $645,122 (RMB 4.2 million) which was received on July 27,2021. After the equity transfer, the Company no longer holds any equity interest in CLPS Lihong.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CLPS Beijing</w:t>
      </w:r>
    </w:p>
    <w:p>
      <w:pPr>
        <w:spacing w:after="0" w:line="229" w:lineRule="exact"/>
        <w:rPr>
          <w:sz w:val="20"/>
          <w:szCs w:val="20"/>
          <w:color w:val="auto"/>
        </w:rPr>
      </w:pPr>
    </w:p>
    <w:p>
      <w:pPr>
        <w:jc w:val="both"/>
        <w:ind w:firstLine="637"/>
        <w:spacing w:after="0" w:line="256" w:lineRule="auto"/>
        <w:rPr>
          <w:sz w:val="20"/>
          <w:szCs w:val="20"/>
          <w:color w:val="auto"/>
        </w:rPr>
      </w:pPr>
      <w:r>
        <w:rPr>
          <w:rFonts w:ascii="Times New Roman" w:cs="Times New Roman" w:eastAsia="Times New Roman" w:hAnsi="Times New Roman"/>
          <w:sz w:val="18"/>
          <w:szCs w:val="18"/>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and became the sole shareholder of CLPS Beijing. The consideration was paid on July 5, 2018. Prior to June 2018, the remaining 30% equity interest of CLPS Beijing was recorded as a noncontrolling interests on the balance sheet. The Company engaged an independent valuation firm to assist management in assessing the enterprise value of CLPS Beijing. The enterprise value of CLPS Beijing as of June 27, 2018 was $1.94 million based on the third-party valuation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EMIT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3, 2019, Qiner purchased a 30% equity interest of EMIT at nil consideration. with a committed to invest $445,454.14 (RMB 3,000,000.00) in total within 20 years. During the years ended June 30, 2020 and 2019, the Company made capital contribution to EMIT of $143,299 (RMB 1,000,000.00) and $73,593 (RMB500,000.00), respectively. The Company accounts for the investment in EMIT as an equity method investment due to its significant influence over the entity. For the years ended June 30, 2020 and 2019, the Company’s share of EMIT’s results of operations was a loss of $42,927 (RMB 301,878) and $4,230 (RMB 28,853), respectively. As the end of June 30, 2020 and 2019, the committed but not yet made investment in EMIT was $228,561 (RMB 1,500,000.00) and $371,860 (RMB 2,500,000.00),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Ridik Pte. and Ridik Consulting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26, 2019, Qiner acquired an 80% equity interest in Ridik Pte. Ltd. (“Ridik Pte.”) located in Singapore from third-party selling shareholders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and Ridik Software Solutions Ltd. (“Ridik Software”) are all subsidiaries of Ridik Pte.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transactions were accounted for as business combinations using the purchase method of accounting. The purchase price allocations of the transactions were determined by the Company with the assistance of an independent appraisal firm based on the estimated fair value of the assets acquired and liabilities assumed as of the acquisition dates. The most significant variables in the valuation are discount rates,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618,144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103,697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904,748</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loans and long-term bank loans, current portion</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(48,103)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(128,688)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(102,978)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(431,548)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loans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(44,201)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(162,855)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(411,351)</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2,462,580</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Identifiable intangible assets acquired included customer relationship, which was valued using an income approach and determined to carry estimated remaining useful life of approximately ten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6, 2020, Ridik Pte. acquired 100% equity interest in Ridik Consulting Private Limited (“Ridik Consulting”) from third-party selling shareholders with the final purchase price of $5,520 (396,700 Indian Rupees). The fair value of the net liabilities acquired was $3,839 (275,800 Indian Rupees) and goodwill was recognized at $9,359 (672,500 Indian Rupees).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goodwill recognized represents the expected synergies and is not tax deductible.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29, 2021, Qiner acquired the remaining 20% equity interest from Srustijeet Mishra and Routray Sibashis with final purchase price of $0.62 million (or approximately SGD 828,135), in the form of cash of $0.43 million (or approximately SGD 579,695) and the Company’s common shares valued at $0.18 million (or approximately SGD 248,441). Ridik Pte. and its subsidiaries are now wholly-owned subsidiaries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and disposal of CLPS Guangdong Zhichuang</w:t>
      </w:r>
    </w:p>
    <w:p>
      <w:pPr>
        <w:spacing w:after="0" w:line="229"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 The Company recognized the equity interest in CLPS Guangdong Zhichuang as equity investment without readily determined fair value.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April 2022, the Company sold its 10% equity interest in CLPS Guangdong Zhichuang to the other shareholder for $0.1 million (RMB 900,000).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disposal, the Company no longer holds any equity interest in CLPS Guangdong Zhichuang.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CLPS Shenzhen Robotics</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 The Company recognized the equity interest in CLPS Guangdong Zhichuang as equity investment without readily determined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CareerWin</w:t>
      </w:r>
    </w:p>
    <w:p>
      <w:pPr>
        <w:spacing w:after="0" w:line="229"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$308,975 (RMB2 million). The total consideration was allocated to the acquisition of 100% equity interests in CareerWin and the acquisition of 30% noncontrolling interest in JAJI HR at $289,980 (RMB1.88 million) and $18,995 (RMB0.12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24,811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126,680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 and other current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(71,488)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Wages payable</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(5,099)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(25,336)</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289,980</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spacing w:after="0" w:line="162"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Pro forma financial information of CareerWin is not presented as the effects of the acquisition on the Company’s consolidated financial statements were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SSIT</w:t>
      </w:r>
    </w:p>
    <w:p>
      <w:pPr>
        <w:spacing w:after="0" w:line="229"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color w:val="auto"/>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 The Company accounts for the investment in SSIT as an equity method investment due to its significant influence over the entity. For the year ended June 30, 2021, the Company’s share in SSIT’s result of operations was a loss of $9,445 (RMB 62,537).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UniDev</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8, 2021, the Company reached a capital increase agreement with two third parties of the target company Beijing UniDev Software Co., Ltd. (“UniDev”). After the capital increase, the Company holds 15% of equity interest in UniDev for $0.26 million (RMB 1,689,000).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Fuson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 2021, the Company reached an equity transfer and capital increase agreement with a third party of the target company Fuson Group Limited (“Fuson”). After the equity transfer and capital increase, the Company holds 35.02% of equity interest in Fuson for $0.16 million (HKD 1,225,000). The Company made the first payment of $0.08 million (HKD 612,500) on August 16,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MSCT</w:t>
      </w:r>
    </w:p>
    <w:p>
      <w:pPr>
        <w:spacing w:after="0" w:line="22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On August 16, 2021, Growth Ring reached a capital increase agreement with the prior shareholder of MSCT. After the capital increase, the Company holds 53.33% equity interest in MSCT and its wholly owned subsidiaries. The Company injected the capital of $0.2 million (HKD 1,600,000) on August 16, 2021.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MSCT does not possess all the elements that are necessary to conduct normal operations as a business and had not yet commenced operations, the transactions were accounted for asset combinations using a cost accumulation and allocation model under which the cost of the acquisition is allocated to the assets acquired and liabilities assumed. The carrying amounts of the net identifiable assets of MSCT as of the date of acquisition were as follows:</w:t>
      </w:r>
    </w:p>
    <w:p>
      <w:pPr>
        <w:sectPr>
          <w:pgSz w:w="11900" w:h="16838" w:orient="portrait"/>
          <w:cols w:equalWidth="0" w:num="1">
            <w:col w:w="11240"/>
          </w:cols>
          <w:pgMar w:left="320" w:top="877" w:right="339" w:bottom="582"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payable and other 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Amounts</w:t>
      </w:r>
    </w:p>
    <w:p>
      <w:pPr>
        <w:spacing w:after="0" w:line="40" w:lineRule="exact"/>
        <w:rPr>
          <w:sz w:val="20"/>
          <w:szCs w:val="20"/>
          <w:color w:val="auto"/>
        </w:rPr>
      </w:pPr>
    </w:p>
    <w:p>
      <w:pPr>
        <w:ind w:left="540" w:hanging="535"/>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205,711</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151,168</w:t>
      </w:r>
    </w:p>
    <w:p>
      <w:pPr>
        <w:spacing w:after="0" w:line="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(5,390)</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(23,971)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(121,807)</w:t>
      </w:r>
    </w:p>
    <w:p>
      <w:pPr>
        <w:spacing w:after="0" w:line="58" w:lineRule="exact"/>
        <w:rPr>
          <w:sz w:val="20"/>
          <w:szCs w:val="20"/>
          <w:color w:val="auto"/>
        </w:rPr>
      </w:pPr>
    </w:p>
    <w:p>
      <w:pPr>
        <w:ind w:left="540" w:hanging="535"/>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582" w:gutter="0" w:footer="0" w:header="0"/>
          <w:type w:val="continuous"/>
        </w:sectPr>
      </w:pPr>
    </w:p>
    <w:p>
      <w:pPr>
        <w:spacing w:after="0" w:line="93"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8"/>
          <w:szCs w:val="18"/>
          <w:color w:val="auto"/>
        </w:rPr>
        <w:t>Identifiable intangible assets acquired include technology, which were valued using an income approach and determined to carry estimated remaining useful lives of approximately ten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82"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Continuing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for the periods indicated.</w:t>
      </w:r>
    </w:p>
    <w:p>
      <w:pPr>
        <w:spacing w:after="0" w:line="12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152,022,381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126,061,693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89,415,798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revenues</w:t>
            </w:r>
          </w:p>
        </w:tc>
        <w:tc>
          <w:tcPr>
            <w:tcW w:w="14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(111,033,345)</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(85,890,757)</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(58,296,097)</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40,989,036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40,170,936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incomes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(4,103,066)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(3,753,236)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(3,059,877)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(7,971,145)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(13,337,913)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(10,436,975)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(23,045,664)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(16,784,688)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(16,343,936)</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Subsidies and other operating income</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1,536,394</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2,080,087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1,927,230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(33,583,481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(31,795,750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(27,913,558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8,375,186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854,250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296,319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608,638</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(575,605)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(351,045)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and share of income in equity investees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7,684,200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8,320,460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3,707,459</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3,045,992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1,257,124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835,444</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share of income in equity investees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4,638,208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7,063,336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 of (loss) income in equity investees, net of tax</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(50,297</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(44,121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207,363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4,587,911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7,019,215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202,643</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141,139</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CLPS Incorporation’s shareholders</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4,455,428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6,816,572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2,938,239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20,924,683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17,279,443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14,689,224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21,057,063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17,569,440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14,692,299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before income tax and share of income of equity investees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14,869,062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13,449,156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7,711,539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11,772,773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12,147,911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7,083,458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CLPS Incorporation’s shareholders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11,640,290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11,945,268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6,942,319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basic earnings per common share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20,924,683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17,279,443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14,689,224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common share</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21,057,063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17,569,440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14,692,299</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135" w:lineRule="exact"/>
        <w:rPr>
          <w:sz w:val="20"/>
          <w:szCs w:val="20"/>
          <w:color w:val="auto"/>
        </w:rPr>
      </w:pPr>
    </w:p>
    <w:p>
      <w:pPr>
        <w:jc w:val="both"/>
        <w:ind w:firstLine="637"/>
        <w:spacing w:after="0" w:line="252" w:lineRule="auto"/>
        <w:rPr>
          <w:sz w:val="20"/>
          <w:szCs w:val="20"/>
          <w:color w:val="auto"/>
        </w:rPr>
      </w:pPr>
      <w:r>
        <w:rPr>
          <w:rFonts w:ascii="Times New Roman" w:cs="Times New Roman" w:eastAsia="Times New Roman" w:hAnsi="Times New Roman"/>
          <w:sz w:val="18"/>
          <w:szCs w:val="18"/>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income of equity investees, non-GAAP net income, non-GAAP net income attributable to CLPS Incorporation’s shareholders, and basic and diluted non-GAAP net income per share, which are non-GAAP financial measures. Non-GAAP income before income tax and share of loss income of equity investees is income before income tax and share of loss income of equity investees excluding share-based compensation expenses. Non-GAAP net income is net income excluding share-based compensation expenses. Non-GAAP net income attributable to CLPS Incorporation’s shareholders is net income attributable to CLPS Incorporation’s shareholders excluding share-based compensation expenses. Basic and diluted non-GAAP net income per share is non-GAAP net income attributable to CLPS Incorporation’s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474" w:gutter="0" w:footer="0" w:header="0"/>
        </w:sectPr>
      </w:pPr>
    </w:p>
    <w:bookmarkStart w:id="89" w:name="page90"/>
    <w:bookmarkEnd w:id="89"/>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(111,033,345)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(36,906)</w:t>
            </w:r>
          </w:p>
        </w:tc>
      </w:tr>
      <w:tr>
        <w:trPr>
          <w:trHeight w:val="216"/>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cost of revenues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(110,996,439)</w:t>
            </w:r>
          </w:p>
        </w:tc>
      </w:tr>
      <w:tr>
        <w:trPr>
          <w:trHeight w:val="216"/>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(4,103,066)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(165,209)</w:t>
            </w: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selling and marketing expenses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(3,937,857)</w:t>
            </w: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(23,045,664)</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(6,982,747)</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general and administrative expenses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(16,062,917)</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and share of income in equity investees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7,684,200</w:t>
            </w: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7,184,862</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before income tax and share of loss of equity investees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14,869,062</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4,587,911</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7,184,862</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11,772,773</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CLPS Incorporation’s shareholders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4,455,428</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7,184,862</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CLPS Incorporation’s shareholders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11,640,290</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GAAP and non-GAAP basic earnings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20,924,683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GAAP basic earnings per common share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basic earnings per common share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GAAP diluted earnings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21,057,063</w:t>
            </w: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non-GAAP diluted earnings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21,057,063</w:t>
            </w:r>
          </w:p>
        </w:tc>
      </w:tr>
      <w:tr>
        <w:trPr>
          <w:trHeight w:val="216"/>
        </w:trPr>
        <w:tc>
          <w:tcPr>
            <w:tcW w:w="100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earnings per common share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common share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r>
      <w:tr>
        <w:trPr>
          <w:trHeight w:val="642"/>
        </w:trPr>
        <w:tc>
          <w:tcPr>
            <w:tcW w:w="10020" w:type="dxa"/>
            <w:vAlign w:val="bottom"/>
            <w:tcBorders>
              <w:top w:val="single" w:sz="8" w:color="CCEEFF"/>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83</w:t>
            </w: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June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w:t>
            </w: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324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4"/>
        </w:trPr>
        <w:tc>
          <w:tcPr>
            <w:tcW w:w="3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45"/>
        </w:trPr>
        <w:tc>
          <w:tcPr>
            <w:tcW w:w="3240" w:type="dxa"/>
            <w:vAlign w:val="bottom"/>
          </w:tcPr>
          <w:p>
            <w:pPr>
              <w:spacing w:after="0"/>
              <w:rPr>
                <w:sz w:val="21"/>
                <w:szCs w:val="21"/>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 services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144,092,811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$ 122,273,395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21,819,416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Customized IT solution services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6,738,118</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3,130,646</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3,607,472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115.2%</w:t>
            </w:r>
          </w:p>
        </w:tc>
      </w:tr>
      <w:tr>
        <w:trPr>
          <w:trHeight w:val="2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1,191,452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657,652</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533,800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r>
      <w:tr>
        <w:trPr>
          <w:trHeight w:val="237"/>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152,022,381</w:t>
            </w: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126,061,693</w:t>
            </w: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25,960,688</w:t>
            </w:r>
          </w:p>
        </w:tc>
        <w:tc>
          <w:tcPr>
            <w:tcW w:w="22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1"/>
        </w:trPr>
        <w:tc>
          <w:tcPr>
            <w:tcW w:w="3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55"/>
        </w:trPr>
        <w:tc>
          <w:tcPr>
            <w:tcW w:w="3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1" w:name="page92"/>
    <w:bookmarkEnd w:id="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increased by approximately $26.0 million, or 20.6%, to approximately $152.0 million for the fiscal year ended June 30, 2022 from approximately $126.1 million for the fiscal year ended June 30, 2021. The overall growth in our revenues reflects an increase in revenues from our IT consulting services and derived primarily from existing customers.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June 30, 2022, revenue derived from our IT consulting services increased by 17.8% to $144.1 million from $122.3 million in fiscal 2021, primarily reflecting the increasing demands for our IT consulting services from banks and other financial institutions. For fiscal 2022 and 2021, 41.2% and 40.1% of our IT consulting services revenue were from international banks, respectively. In fiscal 2022, we strengthened our expertise in the financial industry to leverage our existing industry knowledge and grew our customer base of local Chinese financial institutions.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from customized IT solution services increased by $3.6 million, or 115.2%, to $6.7 million for the year ended June 30, 2021, from $3.1 million in the same period of the previous year. The increase was primarily due to increasing demand from existing clients.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from other services increased by $0.5 million, or 81.2%, to $1.2 million for the year ended June 30, 2022, from $0.7 million in the prior year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number of clients increased by 14, or 5.6%, to 265 for the year ended June 30, 2022 from 251 in the prior year period. Revenues from top five clients accounted for 49.0% and 45.7% of the Company’s total revenues for fiscal 2022 and 2021,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generated outside of mainland China for the year ended June 30, 2022 accounted for 9.3% of total revenue compared to 10.7%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revenues mainly consisted of compensation benefit expenses for our IT professionals, travel expenses and material costs. Our cost of revenues increased by $25.1 million or 29.3% to approximately $111.0 million in fiscal 2022 from approximately $85.9 million in fiscal 2021 primarily as a result of optimization of our R&amp;D staff structure by allocating a number of staff to deliver IT services to meet the increased demand, as well as the lockdown in cities where our operations were impacted such as Shanghai, following the resurgence of COVID-19 cases and the increased prevention costs associated with it. As a percentage of revenues, our cost of revenues was 73.0% and 68.1% for fiscal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gross profit increased by $0.8 million, or 2.0%, to approximately $41.0 million in fiscal 2022 from approximately $40.2 million in fiscal 2021. Gross margin decreased to 27.0% in fiscal 2022 from 31.9% for the same period of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by $0.3 million or 9.3% to $4.1 million in fiscal 2022 from $3.8 million in fiscal 2021. Accordingly, as a percentage of sales, our selling expenses were 2.7% of revenues in fiscal 2022 compared to 3.0% in fiscal 2021. We expect our selling and marketing expenses to increase as we continue our business expansion, we expect these expenses to remain relatively steady as a percentage of our net revenues to support our business growth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R&amp;D expenses primarily consisted of compensation and benefit expenses relating to our research and development personnel as well as office overhead and other expenses relating to our R&amp;D activities. Our R&amp;D expenses were $8.0 million in fiscal 2022, which decreased by $5.3 million or 40.2% compared to $13.3 million in fiscal 2021, representing 5.2% and 10.6% of our total revenues for fiscal 2022 and 2021, respectively. The decrease was primarily due to the optimization of our R&amp;D staff structure by allocating a number of staff to deliver IT services to meet the increased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76"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$6.2 million, or 37.3%, to $23.0 million in fiscal 2022 from $16.8 million in the prior year. After the deduction of $7.2 million non-cash share-based compensation expenses related to the grants under the 2020 Incentive Compensation Plan, non-GAAP general and administrative expenses increased by $4.3 million, or 36.3%, to $16.1 million in fiscal 2022 from $11.8 million in the same period of the previous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Subsidies and other operating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$1.5 million and $2.1 million in fiscal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 and share of loss in equity investees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before income taxes and share of loss in equity investees decreased by $0.6 million to a $7.7 million income in fiscal 2022 from an income of $8.3 million in fiscal 2021. After the deduction of non-cash share-based compensation expenses, non-GAAP income before income taxes and share of loss in equity investees increased by $1.5 million, or 10.6%, to $14.9 million in fiscal 2022 from $13.4 million in the same period of the previous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provision for income taxes in fiscal 2022 increased by $1.7 million to $3.0 million from $1.3 million provision for income taxes in fiscal 2021, mainly due to a higher effective tax rate at 25.0%, the standard statutory corporate income tax rate in mainland China. By renewing our High and New Technology Enterprise status this year, we will be entitled to a corporate income tax preferential rate of 15.0%.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in equity investees, net of tax</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 of loss in equity investees, net of tax in fiscal 2022 was net equity investment loss of SSIT, EMIT and Fuson. The share of loss in equity investees, net of tax in fiscal 2021 was net equity investment loss of SSIT and EMIT.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20" w:firstLine="637"/>
        <w:spacing w:after="0" w:line="266" w:lineRule="auto"/>
        <w:rPr>
          <w:sz w:val="20"/>
          <w:szCs w:val="20"/>
          <w:color w:val="auto"/>
        </w:rPr>
      </w:pPr>
      <w:r>
        <w:rPr>
          <w:rFonts w:ascii="Times New Roman" w:cs="Times New Roman" w:eastAsia="Times New Roman" w:hAnsi="Times New Roman"/>
          <w:sz w:val="18"/>
          <w:szCs w:val="18"/>
          <w:color w:val="auto"/>
        </w:rPr>
        <w:t>Net income decreased by $2.4 million or 34.6% to $4.6 million in fiscal 2022 from a net income of $7.0 million in fiscal 2021. After the deduction of $7.2 million non-cash share-based compensation expenses, non-GAAP net income decreased by $0.3 million, or 3.1%, to $11.8 million in fiscal 2022 from $12.1 million in the previous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(loss) income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Foreign currency translation adjustments amounted to loss of $1.8 million and income of $2.6 million for the years ended June 30, 2022 and 2021, respectively. The balance sheet amounts with the exception of equity as of June 30, 2022 were translated at 6.6981 RMB to 1.00 USD as compared to 6.4566 RMB to 1.00 USD as of June 30, 2021. The equity accounts were stated at their historical rate. The average translation rates applied to the income statements accounts for the years ended June 30, 2022 and 2021 were 6.4554 RMB to 1.00 USD and 6.6212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June 30, 2021 and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w:t>
            </w: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4"/>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45"/>
        </w:trPr>
        <w:tc>
          <w:tcPr>
            <w:tcW w:w="3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1"/>
                <w:szCs w:val="21"/>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3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16"/>
        </w:trPr>
        <w:tc>
          <w:tcPr>
            <w:tcW w:w="3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122,273,395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87,136,754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35,136,641</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Customized IT solution services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3,130,646</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1,844,891</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1,285,755</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69.7%</w:t>
            </w: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657,652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434,153</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223,499</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r>
      <w:tr>
        <w:trPr>
          <w:trHeight w:val="237"/>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126,061,693</w:t>
            </w: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89,415,798</w:t>
            </w: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36,645,895</w:t>
            </w:r>
          </w:p>
        </w:tc>
        <w:tc>
          <w:tcPr>
            <w:tcW w:w="148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increased by approximately $36.7 million, or 41.0%, to approximately $126.1 million for the fiscal year ended June 30, 2021 from approximately $89.4 million for the fiscal year ended June 30, 2020. The overall growth in our revenues reflects an increase in revenues from our IT consulting services and derived primarily from existing customers.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June 30, 2021, revenue derived from our IT consulting services increased by 40.3% to $122.3 million from $87.1 million in fiscal 2020, primarily reflecting the increasing demands for our IT consulting services from banks and other financial institutions. For fiscal 2021 and 2020, 40.1% and 40.0% of our IT consulting services revenue were from international banks, respectively. In fiscal 2021, we strengthened our expertise in the financial industry to leverage our existing industry knowledge and grew our customer base of local Chinese financial institutions.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from customized IT solution services increased by $1.3 million, or 69.7%, to $3.1 million for the year ended June 30, 2020, from $1.8 million in the same period of the previous year. The increase was primarily due to increasing demand from existing clients.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from other services increased by $0.3 million, or 51.5%, to $0.7 million for the year ended June 30, 2021, from $0.4 million in the prior year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clients increased by 24, or 10.6%, to 251 for the year ended June 30, 2021 from 227 in the prior year period. Revenues from top five clients accounted for 45.7% and 47.3% of the Company’s total revenues for fiscal 2021 and 2020, respectively, which reflects decreased in revenue dependence from major clients.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generated outside of mainland China for the year ended June 30, 2021 accounted for 10.7% of total revenue compared to 11.8%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revenues mainly consisted of compensation benefit expenses for our IT professionals, travel expenses and material costs. Our cost of revenues increased by $27.6 million or 47.3% to approximately $85.9 million in fiscal 2021 from approximately $58.3 million in fiscal 2020 primarily as a result of increased revenue, therefore resulting in increased headcount, expanded office facilities to enable and match the growth of our business revenue. As a percentage of revenues, our cost of revenues was 68.1% and 65.2% for fiscal 2021 and 2020,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gross profit increased by $9.1 million, or 29.1%, to approximately $40.2 million in fiscal 2021 from approximately $31.1 million in fiscal 2020. The higher gross profit in fiscal 2021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decreased to 31.9% in fiscal 2021 from 34.8% for the same period of last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by $0.7 million or 22.7% to $3.8 million in fiscal 2021 from $3.1 million in fiscal 2020. Accordingly, as a percentage of sales, our selling expenses were 3.0% of revenues in fiscal 2021 compared to 3.4% in fiscal 2020. We expect our selling and marketing expenses to increase as we continue our business expansion, we expect these expenses to remain relatively steady as a percentage of our net revenues to support our business growth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R&amp;D expenses primarily consisted of compensation and benefit expenses relating to our research and development personnel as well as office overhead and other expenses relating to our R&amp;D activities. Our R&amp;D expenses were $13.3 million in fiscal 2021, which increased by $2.9 million or 27.8% compared to $10.4 million in fiscal 2020, representing 10.6% and 11.7% of our total revenues for fiscal 2021 and 2020, respectively. We expect to keep our investment in research and development relatively stable to enhance our industry knowledge, improve our competitiveness and enable us to identify attractive market opportunities for new and enhanced services and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76"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or 2.7%, to $16.8 million in fiscal 2021 from $16.3 million in the prior year. After the deduction of $5.1 million non-cash share-based compensation expenses related to the grants under the 2017 Incentive Compensation Plan, non-GAAP general and administrative expenses decreased by $0.8 million, or 6.2%, to $11.8 million in fiscal 2021 from $12.6 million in the same period of the previous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Subsidies and other operating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$2.1 million and $1.9 million in fiscal 2021 and 2020,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 and share of (loss) income in equity investees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before income taxes and share of (loss) income in equity investees increased by $4.6 million to a $8.3 million income in fiscal 2021 from an income of $3.7 million in fiscal 2020. After the deduction of non-cash share-based compensation expenses, non-GAAP income before income taxes and share of (loss) income in equity investees increased by $5.7 million, or 74.4%, to $13.4 million in fiscal 2021 from $7.7 million in the same period of the previous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provision for income taxes in fiscal 2021 increased by $0.5 million to $1.3 million from $0.8 million provision for income taxes in fiscal 2020, mainly due to recognition of withholding tax related to the dividend of the Company’s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income in equity investees, net of tax</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 of loss in equity investees, net of tax in fiscal 2021 was net equity investment loss of SSIT and EMIT. The share of income in equity investees, net of tax in fiscal 2020 was net equity investment income of Lihong and EMIT.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637"/>
        <w:spacing w:after="0" w:line="266" w:lineRule="auto"/>
        <w:rPr>
          <w:sz w:val="20"/>
          <w:szCs w:val="20"/>
          <w:color w:val="auto"/>
        </w:rPr>
      </w:pPr>
      <w:r>
        <w:rPr>
          <w:rFonts w:ascii="Times New Roman" w:cs="Times New Roman" w:eastAsia="Times New Roman" w:hAnsi="Times New Roman"/>
          <w:sz w:val="18"/>
          <w:szCs w:val="18"/>
          <w:color w:val="auto"/>
        </w:rPr>
        <w:t>Net income increased by $3.9 million or 127.9% to $7.0 million in fiscal 2021 from a net income of $3.1 million in fiscal 2020. After the deduction of $5.1 million non-cash share-based compensation expenses, non-GAAP net income increased by $5.0 million, or 71.5%, to $12.1 million in fiscal 2021 from $7.1 million in the previous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Foreign currency translation adjustments amounted to income of $2.6 and loss of $0.5 million for the years ended June 30, 2021 and 2020, respectively. The balance sheet amounts with the exception of equity as of June 30, 2021 were translated at 6.4566 RMB to 1.00 USD as compared to 7.0651 RMB to 1.00 USD as of June 30, 2020. The equity accounts were stated at their historical rate. The average translation rates applied to the income statements accounts for the years ended June 30, 2021 and 2020 were 6.6212 RMB to 1.00 USD and 7.0309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through Our Organization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CLPS Incorporation is a holding company with no operations of its own. We conduct our operations in mainland China primarily through our subsidiaries in mainland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has not declared or paid any cash dividends to pay any cash dividends on its ordinary shares. The Company provides cash support to its subsidiaries according its business development plan. For fiscal year 2020, 2021, 2022, the Company provided cash support to its subsidiaries in Mainland China, Singapore and Hong Kong SAR. The amounts were offset when the Company’s consolidated financial statements were prepared. The balances due from subsidiaries to the Company were US$7.1 million, US$7.6 million, and US$22.8 million as of June 30 for fiscal 2020, 2021 and 2022, respectively. The subsidiaries provide cash support to the Company according its business development plan. The balances due to subsidiaries from the Company were Nil, Nil and US$7.1 million. as of June 30 for fiscal 2020, 2021 and 2022, respectively. The balances were reflected in the section “PARENT COMPANY ONLY CONDENSED FINANCIAL INFORMATION” in our financial statements for fiscal 2020, 2021, and 2022, respectively. For the years ended June 30, 2020, 2021 and 2022, cash and cash equivalents of PRC companies were RMB 77.91 million (US$11.03 million), 62.66 million (US$9.71 million), and 99.0 million (US$14.8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we had cash and cash equivalents of approximately $18.4 million. Our current assets were approximately $76.8 million, and our current liabilities were approximately $30.4 million. Total shareholders’ equity as of June 30, 2022 was approximately $67.8 million. We believe that we will have sufficient working capital to operate our business for the next 12 months from the issuance date of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96" w:name="page97"/>
    <w:bookmarkEnd w:id="9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2022, cash and cash equivalents of approximately RMB99.0 million ($14.8 million), SGD2.8 million ($2.0 million), AUD0.01 million ($0.007 million), HKD9.4 million ($1.2 million), INR0.3 million ($0.004 million),MYR0.4 million ($0.08 million), JPY10.2 million ($0.08 million), USD0.1 million, and PHP5.1 million ($0.09 million) were held by the Company and its subsidiaries in Mainland China, Singapore, Australia, Hong Kong, India, Malaysia, Japan, the United States of America and Philippines,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positive for the year ended June 30, 2022.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summary of our cash flows for the periods indicated: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3920" w:type="dxa"/>
            <w:vAlign w:val="bottom"/>
            <w:gridSpan w:val="8"/>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r>
      <w:tr>
        <w:trPr>
          <w:trHeight w:val="223"/>
        </w:trPr>
        <w:tc>
          <w:tcPr>
            <w:tcW w:w="73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3,200,889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(2,609,773)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5,931,124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(16,290,683)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(5,619,471)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7,474,641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19,340,588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125,362</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(727,242)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975,918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(178,930)</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(6,342,395)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12,087,262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24,739,382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12,652,120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6,601,335</w:t>
            </w:r>
          </w:p>
        </w:tc>
      </w:tr>
      <w:tr>
        <w:trPr>
          <w:trHeight w:val="24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18,396,987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24,739,382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$3.2 million in fiscal 2022, including net income of $4.6 million, adjusted for non-cash items of $8.2 million and negative adjustments for changes in operating assets and liabilities of $9.6 million. The adjustments for changes in operating assets and liabilities mainly included the increase in accounts receivable of $12.3 million due to increased sales in fiscal 2022. During fiscal 2022, our accounts receivable turnover was 116 days, an increase of 16 days from 100 days in fiscal 2021. The adjustments for changes in operating assets and liabilities also included an increase in salaries and benefits payable of $0.2 million and an increase in accounts payable and other liabilities of $1.7 million in fiscal 2022.</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approximately $2.6 million in fiscal 2021, including net income of $7.0 million, adjusted for non-cash items of $5.7 million and negative adjustments for changes in operating assets and liabilities of $15.3 million. The adjustments for changes in operating assets and liabilities mainly included the increase in accounts receivable of $16.7 million due to increased sales in fiscal 2021. During fiscal 2021, our accounts receivable turnover was 100 days, an increase of 9 days from 91 days in fiscal 2020. The adjustments for changes in operating assets and liabilities also included an increase in salaries and benefits payable of $0.3 million and an increase in accounts payable and other payables of $0.4 million in fiscal 2021.</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$5.9 million in fiscal 2020, including net income of $3.1 million, adjusted for non-cash items of $4.4 million and negative adjustments for changes in operating assets and liabilities of $1.6 million. The adjustments for changes in operating assets and liabilities mainly included the increase in accounts receivable of $6.6 million due to increased sales in fiscal 2020. During fiscal 2020, our accounts receivable turnover was 91 days, stable with 99 days in fiscal 2019. The adjustments for changes in operating assets and liabilities also included offset with an increase in salaries and benefits payable of $3.6 million due to unpaid employee compensation and benefits, and an increase in accounts payable and other payables of $0.1 million in fiscal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approximately $16.3 million in fiscal 2022, primarily due to our purchase of office building, office equipment and furniture of $20.8 million, disposition of long term investment of $0.4 million, loans provided to related party of $0.08 million, and maturities of short-term investments of $4.2 million in fiscal 2022, to better manage opportunities and capitalize on the growth potential in the human resource related industry.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approximately $5.6 million in fiscal 2021, primarily due to our purchase of office building, office equipment and furniture of $1.1 million, disposition of subsidiary of $0.2 million, addition of long term investment of $0.3 million, loans provided to Infogain and related party of $0.3 million, our business acquisition of $0.3 million and short-term investments of $3.4 million in fiscal 2021, to better manage opportunities and capitalize on the growth potential in the human resource related industry.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$0.2 million in fiscal 2020, primarily due to our purchase of office equipment and furniture of $0.2 million, disposition of long term investment of $1.0 million, our business acquisition of $1.6 million and short-term investments of $1.1 million in fiscal 2020, to better manage opportunities and capitalize on the growth potential in the human resource related industry. In fiscal 2020, we paid $1,844,380 (2,496,000 Singapore dollars) and the Company’s common shares valued at $461,096 (624,000 Singapore dollars) for an 80% of equity interest in Ridik Pte. The Company also injected $0.14 million (RMB 1,000,000) in EMIT. The Company sold an 18.42% equity interest in CLPS Lihong for the consideration of $995,605 (RMB 7 million) to the third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$7.5 million in fiscal 2022. During the fiscal 2022, we had bank loans of approximately $22.0 million, repaid loans of approximately $14.5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$19.3 million in fiscal 2021. During the fiscal 2021, we had bank loans of approximately $13.3 million, repaid loans of approximately $8.3 million, received capital contribution from private placement of $14.7 million, received capital contribution from option exercise of $0.1 million and purchase of noncontrolling interest of $0.5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$0.1 million in fiscal 2020. During the fiscal 2020, we had bank loans of approximately $3.8 million, repaid loans of approximately $3.9 million, and received the over-allotment proceeds of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made capital expenditures of $20.8 million, $1.1 million, and $0.2 million for the years ended June 30, 2022, 2021, and 2020, respectively. In these periods, our capital expenditures were mainly used for purchases of office building and office equipment. The Company will continue to make capital expenditures to meet the expected growth of its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the impact of inflation on our company is material. Our operations are in China and China’s inflation rates have been relatively stable over the last two years: 3.4% in 2021 and 2.5% in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subsidiaries lease office spaces under various operating leases. Operating lease expense amounted to $1,413,521, $942,606, and $944,645 for the years ended June 30, 2022, 2021, and 2020, respectively. The following table sets forth our contractual obligations and commercial commitments as of June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40" w:type="dxa"/>
            <w:vAlign w:val="bottom"/>
          </w:tcPr>
          <w:p>
            <w:pPr>
              <w:spacing w:after="0"/>
              <w:rPr>
                <w:sz w:val="21"/>
                <w:szCs w:val="21"/>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3 Years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arrangements</w:t>
            </w:r>
          </w:p>
        </w:tc>
        <w:tc>
          <w:tcPr>
            <w:tcW w:w="2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2,129,203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1,174,688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Bank loans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14,474,363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14,474,363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16,603,566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15,649,051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off-balance sheet arrangements and undisclosed material cash requirement for the years ended June 30, 2022 that have or that in the opinion of management are likely to have, a current or future material effect on our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us to make judgments, estimates and assumptions that affect our reported amount of assets, liabilities, revenue, costs and expenses, and any related disclosures.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revenue recognition in accordance with ASC Topic 606, Revenue from contracts with Customers (“ASC 606”). We provide a comprehensive range of IT services, IT solutions and other service, which primarily are on a time-and-expense basis, or fixed-price basis. Revenue is recognized when control of promised goods or services is transferred to our customers in an amount of consideration to which an entity expects to be entitled to in exchange for those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Time-and-expense basis contracts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series of IT services are substantially the same from day to day, and each day of the service is considered to be distinct and separately identifiable as it benefits the customer daily. Further, the uncertainty related to the service consideration is resolved on a daily basis as we satisfy our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Fixed-price basis contracts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Revenues from fixed-price customized solution contracts require us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we are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two performance obligations identified in the fixed-price basis contracts: the delivery of customized IT solution service and the completion of the PCS. The transaction price is allocated between the two performance obligations based on the relative standalone selling price, estimated using the cost plus method.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for the delivery of customized IT solution service at a point in time when the system is implemented and accepted by the customer. Where we have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contracts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contracts primarily comprise of the sales of headhunting services, consulting and administrative services. Revenue of headhunting services for other contracts is recognized at a point in time when control is transferred to the customers, which generally occurs when the service is accepted by customers. Revenue of consulting and administrative services for other contracts is recognized over time as the customer simultaneously receives and consumes the benefits from the service we perform.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carried at net realizable value. An allowance for doubtful accounts is recorded in the period when loss is probable. We determine the adequacy of a reserve for doubtful accounts based on individual account analysis and historical collection trends. We establish a provision for doubtful receivables when there is objective evidence that we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 We regularly review the adequacy and appropriateness of the allowance for doubtful accounts.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long-term investments consist of equity-method investments and equity investments without readily determinable fair values.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Investments in entities in which we can exercise significant influence but does not own a majority equity interest or control are accounted for using the equity method of accounting in accordance with ASC Topic 323, Investments-Equity Method and Joint Ventures (“ASC 323”). The share of earnings or losses of the investee are recognized in the consolidated statements of comprehensive income. Equity method adjustments include our proportionate share of investee income or loss, adjustments to recognize certain differences between our carrying value and its equity in net assets of the investee at the date of investment, impairments, and other adjustments required by the equity method. We assess its equity investment for other-than-temporary impairment by considering factors as well as all relevant and available information including, but not limited to, current economic and market conditions, the operating performance of the investees including current earnings trends, the general market conditions in the investee’s industry or geographic area, factors related to the investee’s ability to remain in business, such as the investee’s liquidity, debt ratios, and cash burn rate and other company-specific information. Any gain or loss from the disposition of the equity method investments is included in the consolidated statements of comprehensive income equal to difference between the proceeds we receive and the carrying amounts of the investment disposed.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values, we elect to use the measurement alternative in accordance with ASC Topic 321, Investments-Equity securities (“ASC 321”) to measure such investments at cost minus impairment adjusted by observable price changes in orderly transactions for the identical or a similar investment of the same issuer as of the date that the observable transaction occurred. These investments are measured at fair value on a nonrecurring basis when there are events or changes in circumstances that may have a significant adverse effect. An impairment loss is recognized in the consolidated statements of comprehensive income equal to the amount by which the carrying value exceeds the fair value of the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all business combinations under the purchase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purchase method of accounting requires that the consideration transferred to be allocated to net assets including separately identifiable assets and liabilities we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 income. We adopted Accounting Standards Update (“ASU”) No. 2017-01, Business Combinations (Topic 802): Clarifying the Definition of a Business, in determining whether it has acquired a business from July 1, 2019 on a prospective basis and there was no material impact on the consolidated financial statements.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We determine discount rates to be used based on the risk inherent in the acquiree’s current business model and industry comparisons. Terminal values are based on the expected life of assets and forecasted cash flows over that period. Acquisition-related costs are recognized as general and administrative expenses in the consolidated statements of comprehensive income as incurred. Although we believe that the assumptions applied in the determination are reasonable based on information available at the date of acquisition, actual results may differ from forecasted amounts and the differences could be material.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Acquisitions that do not meet the accounting definition of a business combination are accounted for as asset acquisitions. For transactions determined to be asset acquisitions, we allocate the total cost of the acquisition, including transaction costs, to the assets acquired based on their relative fair values.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account for uncertainties in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in the period incurred. No significant penalties or interest relating to income taxes have been incurred during the years ended June 30, 2022, 2021 and 2020. All of the tax returns of our subsidiaries in China remain subject to examination by the tax authorities for five years from the date of filing through year 2025, and the examination period was extended to 10 years for entities qualified as High and New Technology Enterprises (“HNTEs”) in 2018 and thereafter.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Equity-classified warrants are initially measured at the grant date fair value. Subsequent changes in fair value are not recognized as long as the contract continues to be classified in equity. We,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account for share-based payment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Share awards issued to employees and directors, including employee stock option plans (“ESOPs”) and restricted share units (“RSUs”) are measured at fair value at the grant date. We, with the assistance of an independent third-party valuation firm, determined the fair value of the share options granted to employees. We use the binomial lattice model to estimate the fair value of ESOPs, and uses the closing stock price at the grant date to measure the fair value of RSUs. We recognize compensation expenses, net of forfeitures, using the accelerated method over the requisite service periods.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Forfeitures are estimated at the time of grant and revised in subsequent periods if actual forfeitures differ from those estimates. We use historical data to estimate pre-vesting ESOPs and RSUs’ forfeitures and records share-based compensation expense only for those awards that are expected to vest.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change in any of the terms or conditions of share-based payment awards is accounted for as a modification of awards. We measure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we recognize incremental compensation cost in the period the modification occurred. For unvested awards, we recognize, over the remaining requisite service period, the sum of the incremental compensation cost and the remaining unrecognized compensation cost for the original award on the modification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cancellation of an award that is not accompanied by the concurrent grant of (or offer to grant) a replacement award or other valuable consideration shall be accounted for as a repurchase for no consideration. Accordingly, we recognized previously unrecognized compensation cost at the cancellation date and reversed previously recognized share capital to additional paid-in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both"/>
        <w:ind w:firstLine="637"/>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Such critical estimates are discussed below. For further information on our other significant accounting estimates, see Note 2 to our consolidated financial statements included elsewhere in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we believe impairment indicators are present. We had only one reporting unit (that also represented our single operating segment) as of June 30, 2022 and 2021. Goodwill was allocated 100% to the single reporting unit as of June 30, 2022 and 2021. We have the option to assess qualitative factors first to determine whether it is necessary to perform the two-step test in accordance with ASC 350-20, Intangibles - Goodwill and Other. If we believe,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we consider primary factors such as industry and market considerations, overall financial performance of the reporting unit, and other specific information related to the operations.</w:t>
      </w:r>
    </w:p>
    <w:p>
      <w:pPr>
        <w:spacing w:after="0" w:line="215" w:lineRule="exact"/>
        <w:rPr>
          <w:sz w:val="20"/>
          <w:szCs w:val="20"/>
          <w:color w:val="auto"/>
        </w:rPr>
      </w:pPr>
    </w:p>
    <w:p>
      <w:pPr>
        <w:jc w:val="both"/>
        <w:ind w:firstLine="637"/>
        <w:spacing w:after="0" w:line="255" w:lineRule="auto"/>
        <w:rPr>
          <w:sz w:val="20"/>
          <w:szCs w:val="20"/>
          <w:color w:val="auto"/>
        </w:rPr>
      </w:pPr>
      <w:r>
        <w:rPr>
          <w:rFonts w:ascii="Times New Roman" w:cs="Times New Roman" w:eastAsia="Times New Roman" w:hAnsi="Times New Roman"/>
          <w:sz w:val="18"/>
          <w:szCs w:val="18"/>
          <w:color w:val="auto"/>
        </w:rPr>
        <w:t>For the year ended June 30, 2022, we performed two-step quantitative impairment test. In performing the two-step quantitative impairment test, the first step compares the carrying amount of the reporting unit to the fair value of the reporting unit based on estimated fair value using the income approach. If the fair value of the reporting unit exceeds the carrying value of the reporting unit, goodwill is not impaired and we are not required to perform further testing. If the carrying value of the reporting unit exceeds the fair value of the reporting unit, then we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Methodologies and significant estimates utilized in determining the fair value of the reporting unit</w:t>
      </w:r>
    </w:p>
    <w:p>
      <w:pPr>
        <w:spacing w:after="0" w:line="229"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8"/>
          <w:szCs w:val="18"/>
          <w:color w:val="auto"/>
        </w:rPr>
        <w:t>The fair value of the reporting unit was estimated using a discounted cash flow methodology. The discounted cash flow analysis requires significant estimates, including projections of future operating results and cash flows of the reporting unit that are based on internal budgets and strategic plans, expected long-term growth rates, terminal values, weighted average cost of capital and the effects of external factors and market conditions. Changes in these estimates and assumptions could materially affect the estimated fair value of the reporting unit that could result in an impairment charge to reduce the carrying value of goodwill, which could be material to our financial position and results of operations.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sensitivity analyses on the future cash flows and WACC assumptions are described below. These key assumptions utilized in the discounted cash flow valuation methodology require significant management judgment:</w:t>
      </w:r>
    </w:p>
    <w:p>
      <w:pPr>
        <w:spacing w:after="0" w:line="162" w:lineRule="exact"/>
        <w:rPr>
          <w:sz w:val="20"/>
          <w:szCs w:val="20"/>
          <w:color w:val="auto"/>
        </w:rPr>
      </w:pPr>
    </w:p>
    <w:p>
      <w:pPr>
        <w:jc w:val="both"/>
        <w:ind w:firstLine="637"/>
        <w:spacing w:after="0" w:line="254" w:lineRule="auto"/>
        <w:rPr>
          <w:sz w:val="20"/>
          <w:szCs w:val="20"/>
          <w:color w:val="auto"/>
        </w:rPr>
      </w:pPr>
      <w:r>
        <w:rPr>
          <w:rFonts w:ascii="Times New Roman" w:cs="Times New Roman" w:eastAsia="Times New Roman" w:hAnsi="Times New Roman"/>
          <w:sz w:val="18"/>
          <w:szCs w:val="18"/>
          <w:color w:val="auto"/>
        </w:rPr>
        <w:t>Future cash flow assumptions - The projections for future cash flows utilized in the models are derived from historical experience and assumptions regarding future growth and profitability of the reporting unit. These projections are consistent with our operating budget and strategic plan. Cash flows for the seven years subsequent to the date of the quantitative goodwill impairment test were utilized in the determination of the fair value of the reporting unit. The growth rates assumed a gradual increase in revenue based on new customer acquisition and market expansion. Beyond seven years a terminal value was determined using a perpetuity growth rate based on inflation, our normalized operations and stability of market condition. A sensitivity analysis of the revenue growth rate, EBIT margin, and terminal growth rate were performed on the reporting unit. For the analysis, a 10% reduction in the revenue growth rate used, or a 10% decrease in EBIT margin, or 10% decrease in terminal value respectively would not have resulted in its carrying value exceeding its estimated fair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jc w:val="both"/>
        <w:ind w:firstLine="637"/>
        <w:spacing w:after="0" w:line="254" w:lineRule="auto"/>
        <w:rPr>
          <w:sz w:val="20"/>
          <w:szCs w:val="20"/>
          <w:color w:val="auto"/>
        </w:rPr>
      </w:pPr>
      <w:r>
        <w:rPr>
          <w:rFonts w:ascii="Times New Roman" w:cs="Times New Roman" w:eastAsia="Times New Roman" w:hAnsi="Times New Roman"/>
          <w:sz w:val="18"/>
          <w:szCs w:val="18"/>
          <w:color w:val="auto"/>
        </w:rPr>
        <w:t>WACC - The WACC is the rate used to discount the reporting unit’s estimated future cash flows. The WACC is calculated based on the proportionate weighting of the cost of debt and equity. The cost of equity is based on a risk-free interest rate and an equity risk factor, which is derived from public companies similar to the reporting unit and which captures the perceived risks and uncertainties associated with the reporting unit’s cash flows. The cost of debt component is calculated as the weighted average cost associated with all of the Company’s outstanding borrowings as of the date of the impairment test and was immaterial to the computation of the WACC. The cost of debt and equity is weighted based on the debt to market capitalization ratio of publicly traded companies with similarities to the reporting unit being tested. The WACC is 14% as of June 30, 2022. A sensitivity analysis of the WACC was performed as of June 30, 2022. An increase in the WACC of 10% would not result in the carrying value of the reporting unit exceeding its fair value.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 was provided for the years ended June 30,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review our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 these events occur, we assess recoverability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we would recognize an impairment loss based on the excess of the carrying value over the fair value of the assets and record the impairment in earnings.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88" w:lineRule="exact"/>
        <w:rPr>
          <w:sz w:val="20"/>
          <w:szCs w:val="20"/>
          <w:color w:val="auto"/>
        </w:rPr>
      </w:pPr>
    </w:p>
    <w:p>
      <w:pPr>
        <w:jc w:val="both"/>
        <w:ind w:firstLine="637"/>
        <w:spacing w:after="0" w:line="282" w:lineRule="auto"/>
        <w:rPr>
          <w:sz w:val="20"/>
          <w:szCs w:val="20"/>
          <w:color w:val="auto"/>
        </w:rPr>
      </w:pPr>
      <w:r>
        <w:rPr>
          <w:rFonts w:ascii="Times New Roman" w:cs="Times New Roman" w:eastAsia="Times New Roman" w:hAnsi="Times New Roman"/>
          <w:sz w:val="18"/>
          <w:szCs w:val="18"/>
          <w:color w:val="auto"/>
        </w:rPr>
        <w:t>For the year ended June 30, 2022, we assessed recoverability by comparing the carrying values of the long-lived assets to the estimated undiscounted future cash flows expected to result from the use of the assets and their eventual disposition.</w:t>
      </w:r>
    </w:p>
    <w:p>
      <w:pPr>
        <w:spacing w:after="0" w:line="162" w:lineRule="exact"/>
        <w:rPr>
          <w:sz w:val="20"/>
          <w:szCs w:val="20"/>
          <w:color w:val="auto"/>
        </w:rPr>
      </w:pPr>
    </w:p>
    <w:p>
      <w:pPr>
        <w:jc w:val="both"/>
        <w:ind w:firstLine="637"/>
        <w:spacing w:after="0" w:line="258" w:lineRule="auto"/>
        <w:rPr>
          <w:sz w:val="20"/>
          <w:szCs w:val="20"/>
          <w:color w:val="auto"/>
        </w:rPr>
      </w:pPr>
      <w:r>
        <w:rPr>
          <w:rFonts w:ascii="Times New Roman" w:cs="Times New Roman" w:eastAsia="Times New Roman" w:hAnsi="Times New Roman"/>
          <w:sz w:val="18"/>
          <w:szCs w:val="18"/>
          <w:color w:val="auto"/>
        </w:rPr>
        <w:t>The calculation of undiscounted cash flow analysis requires significant estimates and judgement, in particular, these estimates are sensitive to significant assumptions, including revenue growth rate, and EBIT margin, which can be affected by expectations about internal budgets and strategic plans and expected long-term growth rates. Changes in these estimates and assumptions could materially affect the estimated future undiscounted cash flows expected to result from the use of the assets and their eventual disposition, which could result in an impairment charge to reduce the carrying value of long-lived assets, and could be material to our financial position and results of operations.</w:t>
      </w:r>
    </w:p>
    <w:p>
      <w:pPr>
        <w:spacing w:after="0" w:line="183" w:lineRule="exact"/>
        <w:rPr>
          <w:sz w:val="20"/>
          <w:szCs w:val="20"/>
          <w:color w:val="auto"/>
        </w:rPr>
      </w:pPr>
    </w:p>
    <w:p>
      <w:pPr>
        <w:jc w:val="both"/>
        <w:ind w:firstLine="637"/>
        <w:spacing w:after="0" w:line="282" w:lineRule="auto"/>
        <w:rPr>
          <w:sz w:val="20"/>
          <w:szCs w:val="20"/>
          <w:color w:val="auto"/>
        </w:rPr>
      </w:pPr>
      <w:r>
        <w:rPr>
          <w:rFonts w:ascii="Times New Roman" w:cs="Times New Roman" w:eastAsia="Times New Roman" w:hAnsi="Times New Roman"/>
          <w:sz w:val="18"/>
          <w:szCs w:val="18"/>
          <w:color w:val="auto"/>
        </w:rPr>
        <w:t>The sensitivity analyses on the future cash flows are described below. These key assumptions utilized in the undiscounted cash flow valuation methodology require significant management judgment:</w:t>
      </w:r>
    </w:p>
    <w:p>
      <w:pPr>
        <w:spacing w:after="0" w:line="162" w:lineRule="exact"/>
        <w:rPr>
          <w:sz w:val="20"/>
          <w:szCs w:val="20"/>
          <w:color w:val="auto"/>
        </w:rPr>
      </w:pPr>
    </w:p>
    <w:p>
      <w:pPr>
        <w:jc w:val="both"/>
        <w:ind w:firstLine="637"/>
        <w:spacing w:after="0" w:line="255" w:lineRule="auto"/>
        <w:rPr>
          <w:sz w:val="20"/>
          <w:szCs w:val="20"/>
          <w:color w:val="auto"/>
        </w:rPr>
      </w:pPr>
      <w:r>
        <w:rPr>
          <w:rFonts w:ascii="Times New Roman" w:cs="Times New Roman" w:eastAsia="Times New Roman" w:hAnsi="Times New Roman"/>
          <w:sz w:val="18"/>
          <w:szCs w:val="18"/>
          <w:color w:val="auto"/>
        </w:rPr>
        <w:t>Future cash flow assumptions - The projections for future cash flows utilized in the models are derived from historical experience and assumptions regarding future growth and profitability of long lived asset group. These projections are consistent with our operating budget and strategic plan. We also make assumptions about our EBIT margin based on our historical operating results to drive our future operating margin. Cash flows for estimated useful lives of the long lived asset group subsequent to the balance sheet date of the impairment test were utilized in the determination of recoverability of long lived asset group. The growth rates assumed a gradual increase in revenue based on new customer acquisition and market expansion. A sensitivity analysis of the revenue growth rates and EBIT margin were performed on all asset groups. For each analyzed, a 10% reduction in the revenue growth rates used or 10% decrease in EBIT margin, respectively would not have resulted in its carrying value exceeding its estimated future undiscounted 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 was provided for the years ended June 30,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37"/>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We have adopted the extended transition period.</w:t>
      </w:r>
    </w:p>
    <w:p>
      <w:pPr>
        <w:spacing w:after="0" w:line="176" w:lineRule="exact"/>
        <w:rPr>
          <w:sz w:val="20"/>
          <w:szCs w:val="20"/>
          <w:color w:val="auto"/>
        </w:rPr>
      </w:pPr>
    </w:p>
    <w:p>
      <w:pPr>
        <w:jc w:val="both"/>
        <w:ind w:firstLine="637"/>
        <w:spacing w:after="0" w:line="282" w:lineRule="auto"/>
        <w:rPr>
          <w:sz w:val="20"/>
          <w:szCs w:val="20"/>
          <w:color w:val="auto"/>
        </w:rPr>
      </w:pPr>
      <w:r>
        <w:rPr>
          <w:rFonts w:ascii="Times New Roman" w:cs="Times New Roman" w:eastAsia="Times New Roman" w:hAnsi="Times New Roman"/>
          <w:sz w:val="18"/>
          <w:szCs w:val="18"/>
          <w:color w:val="auto"/>
        </w:rPr>
        <w:t>For detailed discussion on recent accounting pronouncements, please see Note 2 to our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executive officers and directors, their ages and the positions held by them,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Yang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 Li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Jin He Shao</w:t>
            </w:r>
            <w:r>
              <w:rPr>
                <w:rFonts w:ascii="Times New Roman" w:cs="Times New Roman" w:eastAsia="Times New Roman" w:hAnsi="Times New Roman"/>
                <w:sz w:val="29"/>
                <w:szCs w:val="29"/>
                <w:color w:val="auto"/>
                <w:vertAlign w:val="superscript"/>
              </w:rPr>
              <w:t>(1)(4)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56"/>
        </w:trPr>
        <w:tc>
          <w:tcPr>
            <w:tcW w:w="3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Zhao Hui Feng</w:t>
            </w:r>
            <w:r>
              <w:rPr>
                <w:rFonts w:ascii="Times New Roman" w:cs="Times New Roman" w:eastAsia="Times New Roman" w:hAnsi="Times New Roman"/>
                <w:sz w:val="29"/>
                <w:szCs w:val="29"/>
                <w:color w:val="auto"/>
                <w:vertAlign w:val="superscript"/>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Kee Chong Seng</w:t>
            </w:r>
            <w:r>
              <w:rPr>
                <w:rFonts w:ascii="Times New Roman" w:cs="Times New Roman" w:eastAsia="Times New Roman" w:hAnsi="Times New Roman"/>
                <w:sz w:val="29"/>
                <w:szCs w:val="29"/>
                <w:color w:val="auto"/>
                <w:vertAlign w:val="superscript"/>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Financial Expert.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Xiao Feng Yang </w:t>
      </w:r>
      <w:r>
        <w:rPr>
          <w:rFonts w:ascii="Times New Roman" w:cs="Times New Roman" w:eastAsia="Times New Roman" w:hAnsi="Times New Roman"/>
          <w:sz w:val="18"/>
          <w:szCs w:val="18"/>
          <w:color w:val="auto"/>
        </w:rPr>
        <w:t>is the chairman of the board of the Company. Mr. Yang has over 20 years of executive management and operational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IT services 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Raymond Ming Hui Lin</w:t>
      </w:r>
      <w:r>
        <w:rPr>
          <w:rFonts w:ascii="Times New Roman" w:cs="Times New Roman" w:eastAsia="Times New Roman" w:hAnsi="Times New Roman"/>
          <w:sz w:val="18"/>
          <w:szCs w:val="18"/>
          <w:color w:val="auto"/>
        </w:rPr>
        <w:t>, is the chief executive officer and director of the Company. Mr. Lin joined CLPS in February 2009 as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January 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8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Rui Yang </w:t>
      </w:r>
      <w:r>
        <w:rPr>
          <w:rFonts w:ascii="Times New Roman" w:cs="Times New Roman" w:eastAsia="Times New Roman" w:hAnsi="Times New Roman"/>
          <w:sz w:val="17"/>
          <w:szCs w:val="17"/>
          <w:color w:val="auto"/>
        </w:rPr>
        <w:t>is the chief financial officer of the Company effective as of December 17, 2020. From November 1, 2019 to December 16, 2020, 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Yang served as the Acting Chief Financial Officer of the Company. Ms. Yang has over 10 years of financial experiences in the financial and IT industry. Ms. Yang joined the Company in August 2015 as 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Li Li </w:t>
      </w:r>
      <w:r>
        <w:rPr>
          <w:rFonts w:ascii="Times New Roman" w:cs="Times New Roman" w:eastAsia="Times New Roman" w:hAnsi="Times New Roman"/>
          <w:sz w:val="18"/>
          <w:szCs w:val="18"/>
          <w:color w:val="auto"/>
        </w:rPr>
        <w:t>is the chief operating officer of the Company. Mr. Li was appointed as the COO in June 2019. Mr. Li has 20 years of professional and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the financial and IT industry. From June 2017 to June 2019, Mr. Li served as Director, Head of Business Analysis&amp; Quality Engineering at a major credit card payment processing company in China. From July 2013 to June 2017, Mr. Li served as Executive Manager, Head of Business Solution and Quality Assurance at Commonwealth Bank of Australia China. Mr. Li graduated from Tianjin University, Tianjin China, with a Bachelor’s degree in Computer Science. Mr. Li holds MSE degree from Fu Dan University, Shanghai China.</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Jin He Shao </w:t>
      </w:r>
      <w:r>
        <w:rPr>
          <w:rFonts w:ascii="Times New Roman" w:cs="Times New Roman" w:eastAsia="Times New Roman" w:hAnsi="Times New Roman"/>
          <w:sz w:val="18"/>
          <w:szCs w:val="18"/>
          <w:color w:val="auto"/>
        </w:rPr>
        <w:t>has served as our independent director since January 2018. From January 2002 to present, Mr. Shao has been a partner at Shanghai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Huajin Accounting&amp; 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Zhao Hui Feng </w:t>
      </w:r>
      <w:r>
        <w:rPr>
          <w:rFonts w:ascii="Times New Roman" w:cs="Times New Roman" w:eastAsia="Times New Roman" w:hAnsi="Times New Roman"/>
          <w:sz w:val="18"/>
          <w:szCs w:val="18"/>
          <w:color w:val="auto"/>
        </w:rPr>
        <w:t>has served as our independent director since July 2020. From March 2017 to August 2022, Mr. Feng was the general manager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Dalian Wanda 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Kee Chong Seng </w:t>
      </w:r>
      <w:r>
        <w:rPr>
          <w:rFonts w:ascii="Times New Roman" w:cs="Times New Roman" w:eastAsia="Times New Roman" w:hAnsi="Times New Roman"/>
          <w:sz w:val="18"/>
          <w:szCs w:val="18"/>
          <w:color w:val="auto"/>
        </w:rPr>
        <w:t>has served as our independent director since September 2019. Mr. Kee spent a career in the information technology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recently as an operation manager at Citibank from 2003 until his full retirement in 2015.</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85" w:gutter="0" w:footer="0" w:header="0"/>
        </w:sectPr>
      </w:pPr>
    </w:p>
    <w:bookmarkStart w:id="105" w:name="page106"/>
    <w:bookmarkEnd w:id="10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Liability and Other Indemnification Matters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w:t>
            </w: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2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annual compensation paid by us for the years ended June 30, 2022, 2021, and 2020.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Name/principal position</w:t>
            </w:r>
          </w:p>
        </w:tc>
        <w:tc>
          <w:tcPr>
            <w:tcW w:w="120" w:type="dxa"/>
            <w:vAlign w:val="bottom"/>
          </w:tcPr>
          <w:p>
            <w:pPr>
              <w:spacing w:after="0"/>
              <w:rPr>
                <w:sz w:val="20"/>
                <w:szCs w:val="20"/>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Paid</w:t>
            </w:r>
          </w:p>
        </w:tc>
      </w:tr>
      <w:tr>
        <w:trPr>
          <w:trHeight w:val="27"/>
        </w:trPr>
        <w:tc>
          <w:tcPr>
            <w:tcW w:w="4500" w:type="dxa"/>
            <w:vAlign w:val="bottom"/>
            <w:gridSpan w:val="2"/>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7"/>
        </w:trPr>
        <w:tc>
          <w:tcPr>
            <w:tcW w:w="4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Xiao Feng Yang, Chairman of the Board</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106,104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106,104</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99,445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99,445</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112,762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112,762</w:t>
            </w:r>
          </w:p>
        </w:tc>
      </w:tr>
      <w:tr>
        <w:trPr>
          <w:trHeight w:val="216"/>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Raymond Ming Hui Lin, CEO and Director</w:t>
            </w:r>
            <w:r>
              <w:rPr>
                <w:rFonts w:ascii="Times New Roman" w:cs="Times New Roman" w:eastAsia="Times New Roman" w:hAnsi="Times New Roman"/>
                <w:sz w:val="29"/>
                <w:szCs w:val="29"/>
                <w:color w:val="auto"/>
                <w:vertAlign w:val="superscript"/>
              </w:rPr>
              <w:t>(2)</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257,531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257,531</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192,747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192,747</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112,449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112,449</w:t>
            </w:r>
          </w:p>
        </w:tc>
      </w:tr>
      <w:tr>
        <w:trPr>
          <w:trHeight w:val="216"/>
        </w:trPr>
        <w:tc>
          <w:tcPr>
            <w:tcW w:w="1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13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4"/>
              </w:rPr>
              <w:t>Rui Yang, CFO</w:t>
            </w:r>
            <w:r>
              <w:rPr>
                <w:rFonts w:ascii="Times New Roman" w:cs="Times New Roman" w:eastAsia="Times New Roman" w:hAnsi="Times New Roman"/>
                <w:sz w:val="29"/>
                <w:szCs w:val="29"/>
                <w:color w:val="auto"/>
                <w:w w:val="94"/>
                <w:vertAlign w:val="superscript"/>
              </w:rPr>
              <w:t>(3)</w:t>
            </w:r>
          </w:p>
        </w:tc>
        <w:tc>
          <w:tcPr>
            <w:tcW w:w="3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133,841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133,841</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75,742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75,742</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64,839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64,839</w:t>
            </w:r>
          </w:p>
        </w:tc>
      </w:tr>
      <w:tr>
        <w:trPr>
          <w:trHeight w:val="216"/>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 Li, Chief Operating Officer</w:t>
            </w:r>
            <w:r>
              <w:rPr>
                <w:rFonts w:ascii="Times New Roman" w:cs="Times New Roman" w:eastAsia="Times New Roman" w:hAnsi="Times New Roman"/>
                <w:sz w:val="29"/>
                <w:szCs w:val="29"/>
                <w:color w:val="auto"/>
                <w:vertAlign w:val="superscript"/>
              </w:rPr>
              <w:t>(4)</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216,175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216,175</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183,202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183,202</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150,594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150,594</w:t>
            </w:r>
          </w:p>
        </w:tc>
      </w:tr>
      <w:tr>
        <w:trPr>
          <w:trHeight w:val="216"/>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Jin He Shao, Independent Director</w:t>
            </w:r>
            <w:r>
              <w:rPr>
                <w:rFonts w:ascii="Times New Roman" w:cs="Times New Roman" w:eastAsia="Times New Roman" w:hAnsi="Times New Roman"/>
                <w:sz w:val="29"/>
                <w:szCs w:val="29"/>
                <w:color w:val="auto"/>
                <w:vertAlign w:val="superscript"/>
              </w:rPr>
              <w:t>(5)</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Kee Chong Seng, Independent Director</w:t>
            </w:r>
            <w:r>
              <w:rPr>
                <w:rFonts w:ascii="Times New Roman" w:cs="Times New Roman" w:eastAsia="Times New Roman" w:hAnsi="Times New Roman"/>
                <w:sz w:val="29"/>
                <w:szCs w:val="29"/>
                <w:color w:val="auto"/>
                <w:vertAlign w:val="superscript"/>
              </w:rPr>
              <w:t>(6)</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w:t>
            </w:r>
          </w:p>
        </w:tc>
      </w:tr>
      <w:tr>
        <w:trPr>
          <w:trHeight w:val="216"/>
        </w:trPr>
        <w:tc>
          <w:tcPr>
            <w:tcW w:w="45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Zhao Hui Feng, Independent Director</w:t>
            </w:r>
            <w:r>
              <w:rPr>
                <w:rFonts w:ascii="Times New Roman" w:cs="Times New Roman" w:eastAsia="Times New Roman" w:hAnsi="Times New Roman"/>
                <w:sz w:val="29"/>
                <w:szCs w:val="29"/>
                <w:color w:val="auto"/>
                <w:vertAlign w:val="superscript"/>
              </w:rPr>
              <w:t>(7)</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13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Chairman effective as of December 9, 2017 and President effective from December 9, 2017 to August 19, 2020.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Chief Executive Officer effective as of December 9, 2017.</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Chief Financial Officer effective as of December 17, 2020 and Acting Chief Financial Officer effective from November 1, 2019 to December 16, 2020.</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Chief Operating Officer effective as of June 2019.</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Independent Director effective as of January 2018.</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Independent Director effective as of September 2019.</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Independent Director effective as of July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91" w:gutter="0" w:footer="0" w:header="0"/>
        </w:sectPr>
      </w:pPr>
    </w:p>
    <w:bookmarkStart w:id="106" w:name="page107"/>
    <w:bookmarkEnd w:id="10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Equity Incentive Awards at Fiscal Year-End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2017 Equity Incentive Plan (the “2017 Plan”). The 2017 Plan is a stock-based compensation plan that provides for discretionary grants of, among others, stock options, stock awards and stock unit awards to key employees and directors of the Company. The purpose of the 2017 Plan is to recognize contributions made to our company and its subsidiaries by such individuals and to provide them with additional incentive to achieve the objectives of our Company. The Company granted an aggregate of 671,469 restricted shares (“RSUs”) to key employees and directors under the 2017 Plan on July 12, 2018. No grants were made in fiscal 2018. The following is a summary of the 2017 Plan and is qualified by the full text of the 2017 Plan.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2017 Plan will be administered by our board of directors, or, once constituted, the Compensation Committee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(we refer to body administering the 2017 Plan as the “Committee”).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Number of Shares of Common Shares</w:t>
      </w:r>
      <w:r>
        <w:rPr>
          <w:rFonts w:ascii="Times New Roman" w:cs="Times New Roman" w:eastAsia="Times New Roman" w:hAnsi="Times New Roman"/>
          <w:sz w:val="18"/>
          <w:szCs w:val="18"/>
          <w:color w:val="auto"/>
        </w:rPr>
        <w:t>. The number of common shares that may be issued under the 2017 Plan is 2,210,000. Shares issuable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2017 Plan may be authorized but unissued shares or treasury shares. If there is a lapse, forfeiture, expiration, termination or cancellation of any award made under the 2017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2017 Plan. The number of common shares issuable under the 2017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2017 Plan may be transferred, except by will, the laws of descent and distribution.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All key employees and directors of the Company are eligible to receive awards under the 2017 Plan.</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Awards to Participants</w:t>
      </w:r>
      <w:r>
        <w:rPr>
          <w:rFonts w:ascii="Times New Roman" w:cs="Times New Roman" w:eastAsia="Times New Roman" w:hAnsi="Times New Roman"/>
          <w:sz w:val="18"/>
          <w:szCs w:val="18"/>
          <w:color w:val="auto"/>
        </w:rPr>
        <w:t>. The 2017 Plan provides for discretionary awards of, among others, stock options, stock awards and stock unit awards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Each award made under the Plan will be evidenced by a written award agreement specifying the terms and conditions of the award as determined by the Committee in its sole discretion, consistent with the terms of the 2017 Plan.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Committee has the discretion to grant non-qualified stock options or incentive stock options to participants and to set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The Committee has the discretion to grant stock awards to participants. Shares granted under the 2017 Plan will be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Payment for Stock Options and Withholding Taxes</w:t>
      </w:r>
      <w:r>
        <w:rPr>
          <w:rFonts w:ascii="Times New Roman" w:cs="Times New Roman" w:eastAsia="Times New Roman" w:hAnsi="Times New Roman"/>
          <w:sz w:val="18"/>
          <w:szCs w:val="18"/>
          <w:color w:val="auto"/>
        </w:rPr>
        <w:t>. The Committee may make one or more of the following methods available for payment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Amendment of Award Agreements; Amendment and Termination of the Plan; Term of the Plan</w:t>
      </w:r>
      <w:r>
        <w:rPr>
          <w:rFonts w:ascii="Times New Roman" w:cs="Times New Roman" w:eastAsia="Times New Roman" w:hAnsi="Times New Roman"/>
          <w:sz w:val="18"/>
          <w:szCs w:val="18"/>
          <w:color w:val="auto"/>
        </w:rPr>
        <w:t>. The Committee may amend any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2017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2017 Plan on or after the tenth anniversary of the effective date of the 2017 Plan.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12, 2018, the Board of Directors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Our 2017 Plan was automatically terminated upon the 2020 Plan’s taking effect.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 2019 Equity Incentive Plan (the “2019 Plan”). The 2019 Plan is a stock-based compensation plan that provides for discretionary grants of, among others, stock options, stock awards and stock unit awards to key employees and directors of the Company. The purpose of the 2019 Plan is to recognize contributions made to our company and its subsidiaries by such individuals and to provide them with additional incentive to achieve the objectives of our Company. The Company has granted no shares under the 2019 Plan yet. The following is a summary of the 2019 Plan and is qualified by the full text of the 2019 Plan.</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2019 Plan will be administered by our board of directors, or, once constituted, the Compensation Committee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(we refer to body administering the Plan as the “Committee”).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Number of Shares of Common Shares</w:t>
      </w:r>
      <w:r>
        <w:rPr>
          <w:rFonts w:ascii="Times New Roman" w:cs="Times New Roman" w:eastAsia="Times New Roman" w:hAnsi="Times New Roman"/>
          <w:sz w:val="18"/>
          <w:szCs w:val="18"/>
          <w:color w:val="auto"/>
        </w:rPr>
        <w:t>. The number of common shares that may be issued under the 2019 Plan is 2,200,000. Shares issuable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2019 Plan may be authorized but unissued shares or treasury shares. If there is a lapse, forfeiture, expiration, termination or cancellation of any award made under the 2019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2019 Plan. No award granted under the 2019 Plan may be transferred, except by will, the laws of descent and distribution.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Selected employees, directors, and consultants of the Company are eligible to receive awards under the 2019 Plan.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8" w:name="page109"/>
    <w:bookmarkEnd w:id="10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Awards to Participants</w:t>
      </w:r>
      <w:r>
        <w:rPr>
          <w:rFonts w:ascii="Times New Roman" w:cs="Times New Roman" w:eastAsia="Times New Roman" w:hAnsi="Times New Roman"/>
          <w:sz w:val="18"/>
          <w:szCs w:val="18"/>
          <w:color w:val="auto"/>
        </w:rPr>
        <w:t>. The 2019 Plan provides for discretionary awards of, among others, stock options, stock awards, stock unit awards, or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participants. Each award made under the 2019 Plan will be evidenced by a written award agreement specifying the terms and conditions of the award as determined by the Committee in its sole discretion, consistent with the terms of the 2019 Plan.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Committee has the discretion to grant non-qualified stock options or incentive stock options to participants and to set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200,000, except that the aggregate maximum number of shares as to which a Key Employee may receive Stock Options and Stock Appreciation Rights in the calendar year in which such Key Employee begins employment with the Company or its Subsidiaries is 350,000.</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The Committee has the discretion to grant stock awards to participants. Shares granted under the 2019 Plan will be effective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Unit Awards</w:t>
      </w:r>
      <w:r>
        <w:rPr>
          <w:rFonts w:ascii="Times New Roman" w:cs="Times New Roman" w:eastAsia="Times New Roman" w:hAnsi="Times New Roman"/>
          <w:sz w:val="18"/>
          <w:szCs w:val="18"/>
          <w:color w:val="auto"/>
        </w:rPr>
        <w:t>. The Committee has the discretion to grant stock unit awards to participants. Each stock unit award shall entitle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on the date or the occurrence of an event (including the attainment of performance goals), a share or cash equal to the fair market value of a share on the date of such event as provided in the stock unit award agreement. The number of share unit awards awarded to each participant, and the restrictions, terms and conditions of the award, will be at the discretion of the Committee.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The Committee may grant SARs to participants. Upon exercise, an SAR entitles the participant to receive from the Company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Payment for Stock Options and Withholding Taxes</w:t>
      </w:r>
      <w:r>
        <w:rPr>
          <w:rFonts w:ascii="Times New Roman" w:cs="Times New Roman" w:eastAsia="Times New Roman" w:hAnsi="Times New Roman"/>
          <w:sz w:val="18"/>
          <w:szCs w:val="18"/>
          <w:color w:val="auto"/>
        </w:rPr>
        <w:t>. The Committee may make one or more of the following methods available for payment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Amendment of Award Agreements; Amendment and Termination of the Plan; Term of the Plan</w:t>
      </w:r>
      <w:r>
        <w:rPr>
          <w:rFonts w:ascii="Times New Roman" w:cs="Times New Roman" w:eastAsia="Times New Roman" w:hAnsi="Times New Roman"/>
          <w:sz w:val="18"/>
          <w:szCs w:val="18"/>
          <w:color w:val="auto"/>
        </w:rPr>
        <w:t>. The Committee may amend any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2019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2019 Plan on or after the tenth anniversary of the effective date of the 2019 Plan. Our 2019 Plan was automatically terminated upon the 2020 Plan’s taking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9" w:name="page110"/>
    <w:bookmarkEnd w:id="10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3, 2020, our annual meeting of shareholders approved the 2020 Equity Incentive Plan (the “2020 Plan”).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5,001,720 restricted shares have been granted under the 2020 Plan as of today.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2020 Plan is a stock-based compensation plan that provides for discretionary grants of, among others, stock options, stock awards and stock unit awards to employees, directors and consultants of the Company. The purpose of the 2020 Plan is to recognize contributions made to our company and its subsidiaries by such individuals and to provide them with additional incentive to achieve the objectives of our Company. The following is a summary of the 2020 Plan and is qualified by the full text of the 2020 Plan.</w:t>
      </w:r>
    </w:p>
    <w:p>
      <w:pPr>
        <w:spacing w:after="0" w:line="17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2020 Plan will be administered by our board of directors, or, once constituted, the Compensation Committee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(we refer to body administering the 2020 Plan as the “Committee”).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Number of Shares of Common Shares. </w:t>
      </w:r>
      <w:r>
        <w:rPr>
          <w:rFonts w:ascii="Times New Roman" w:cs="Times New Roman" w:eastAsia="Times New Roman" w:hAnsi="Times New Roman"/>
          <w:sz w:val="18"/>
          <w:szCs w:val="18"/>
          <w:color w:val="auto"/>
        </w:rPr>
        <w:t>The number of common shares that may be issued under the 2020 Plan is 11,011,663. Shares issuable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2020 Plan may be authorized but unissued shares or treasury shares. If there is a lapse, forfeiture, expiration, termination or cancellation of any award made under the 2020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2020 Plan. The number of common shares issuable under the 2020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2020 Plan. No award granted under the 2020 Plan may be transferred, except by will, the laws of descent and distribution.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All employees, directors, and consultants of the Company are eligible to receive awards under the 2020 Plan.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to Participants. </w:t>
      </w:r>
      <w:r>
        <w:rPr>
          <w:rFonts w:ascii="Times New Roman" w:cs="Times New Roman" w:eastAsia="Times New Roman" w:hAnsi="Times New Roman"/>
          <w:sz w:val="18"/>
          <w:szCs w:val="18"/>
          <w:color w:val="auto"/>
        </w:rPr>
        <w:t>The Plan provides for discretionary awards of, among others, stock options, stock awards, stock unit awards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to participants. Each award made under the 2020 Plan will be evidenced by a written award agreement specifying the terms and conditions of the award as determined by the Committee in its sole discretion, consistent with the terms of the 2020 Plan.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Committee has the discretion to grant non-qualified stock options or incentive stock options to participants and to set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an Employee may receive Stock Options and Stock Appreciation Rights in any calendar year is 800,000, except that the aggregate maximum number of shares as to which an Employee may receive Stock Options and Stock Appreciation Rights in the calendar year in which such Employee begins employment with the Company or its Subsidiaries is 1,000,000.</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Committee has the discretion to grant stock awards to participants. Shares granted under the 2020 Plan will be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employee in any calendar year is 800,000 or, in the event the award is settled in cash, an amount equal to the fair market value of such number of shares on the date on which the award is settled.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Unit Awards. </w:t>
      </w:r>
      <w:r>
        <w:rPr>
          <w:rFonts w:ascii="Times New Roman" w:cs="Times New Roman" w:eastAsia="Times New Roman" w:hAnsi="Times New Roman"/>
          <w:sz w:val="18"/>
          <w:szCs w:val="18"/>
          <w:color w:val="auto"/>
        </w:rPr>
        <w:t>The Committee may, in its discretion, grant stock unit awards to any participant. Each stock unit subject to the Award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or SAR. </w:t>
      </w:r>
      <w:r>
        <w:rPr>
          <w:rFonts w:ascii="Times New Roman" w:cs="Times New Roman" w:eastAsia="Times New Roman" w:hAnsi="Times New Roman"/>
          <w:sz w:val="18"/>
          <w:szCs w:val="18"/>
          <w:color w:val="auto"/>
        </w:rPr>
        <w:t>The Committee may grant SARs to participants. Upon exercise, an SAR entitles the participant to receive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Payment for Stock Options and Withholding Taxes. </w:t>
      </w:r>
      <w:r>
        <w:rPr>
          <w:rFonts w:ascii="Times New Roman" w:cs="Times New Roman" w:eastAsia="Times New Roman" w:hAnsi="Times New Roman"/>
          <w:sz w:val="18"/>
          <w:szCs w:val="18"/>
          <w:color w:val="auto"/>
        </w:rPr>
        <w:t>The Committee may make one or more of the following methods available for payment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of Award Agreements; Amendment and Termination of the 2020 Plan; Term of the 2020 Plan. </w:t>
      </w:r>
      <w:r>
        <w:rPr>
          <w:rFonts w:ascii="Times New Roman" w:cs="Times New Roman" w:eastAsia="Times New Roman" w:hAnsi="Times New Roman"/>
          <w:sz w:val="18"/>
          <w:szCs w:val="18"/>
          <w:color w:val="auto"/>
        </w:rPr>
        <w:t>The Committee may amend any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2020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2020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2020 Plan on or after the tenth anniversary of the effective date of the 2020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Xiao Feng Yang Employment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i w:val="1"/>
          <w:iCs w:val="1"/>
          <w:color w:val="auto"/>
        </w:rPr>
        <w:t>Raymond Ming Hui Lin Employment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Rui Yang Employment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2019, we entered into an employment agreement with Rui Yang pursuant to which she agreed to serve as our Acting Chief Financial Officer. Ms. Yang was appointed as Chief Financial Officer effective as of December 17, 2020.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 Li Employment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2019, we entered into an employment agreement with Li Li pursuant to which he agreed to serve as our Chief Operating Officer. The agreement provides an annual salary of RMB 360,000 and HK$273,600 (approximately US$85,200) and 12,000 shares of common stock to be granted in June 2020.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186"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Composition of Board; Risk Oversight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2" w:name="page113"/>
    <w:bookmarkEnd w:id="1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formal requirement under the Company’s memorandum and articles of association mandating that we hold an annual meeting of our shareholders. However, notwithstanding the foregoing, we intend to hold such annual meetings to, among other things, elect our directors. We plan to hold our next annual shareholders meeting on the first quarter of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plays a significant role in our risk oversight. The board makes all relevant Company decisions. As such, it is important for us to have our Chief Executive Officer serve on the board as he plays key roles in the risk oversight or the Company. As a company with a small board of directors, we believe it is appropriate to have the involvement and input of all of our directors in risk oversight matters.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has reviewed the independence of our directors, applying the NASDAQ independence standards. Based on this review, the board determined that each of Zhao Hui Feng, Jin He Shao, and Kee Chong Seng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three committees have been established under the board: the Audit Committee, the Compensation Committee and the Nominating Committee.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independence of its members from its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by our board of directors of our code of business conduct and our disclosure controls and procedures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 or anonymous submission of concerns regarding accounting, internal controls or auditing matters;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related-party transactions.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Committee consists of Zhao Hui Feng, Jin He Shao, and Kee Chong Seng,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will be responsible for, among other matters:</w:t>
      </w:r>
    </w:p>
    <w:p>
      <w:pPr>
        <w:spacing w:after="0" w:line="225" w:lineRule="exact"/>
        <w:rPr>
          <w:sz w:val="20"/>
          <w:szCs w:val="20"/>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to approve the compensation of our CEO and other executive officers and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key employee compensation goals, policies, plans and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other similar arrangements between us and our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or advisors.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Zhao Hui Feng, Jin He Shao, and Kee Chong Seng,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recommending for selection candidates for directorships;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of directors and director nominees;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regarding the structure and composition of our board and the board committees;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principles and practices;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Company’s Code of Business Conduct and Ethics;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Company’s management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Nominating Committee consists of consists of Zhao Hui Feng, Jin He Shao, and Kee Chong Seng, with Mr. Feng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Duties of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spacing w:after="0" w:line="180"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payment of donations to religious, charitable, public or other bodies, clubs, funds or associations as deemed advisable;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the company and mortgaging the property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checks, promissory notes and other negotiable instruments on behalf of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registering a register of mortgages, charges or other encumbrances of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director is not required to hold shares as a qualification to office.</w:t>
      </w:r>
    </w:p>
    <w:p>
      <w:pPr>
        <w:spacing w:after="0" w:line="221"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Employees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77" w:gutter="0" w:footer="0" w:header="0"/>
        </w:sectPr>
      </w:pPr>
    </w:p>
    <w:bookmarkStart w:id="115" w:name="page116"/>
    <w:bookmarkEnd w:id="11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22,446,822 common shares outstanding as of September 24, 2022. Unless otherwise indicated, the address of each beneficial owner listed in the table below is c/o CLPS Incorporation, c/o Unit 1102, 11th Floor, Millennium City III, 370 Kwun Tong Road, Kwun Tong, Kowloon, Hong Kong SAR.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5"/>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1"/>
                <w:szCs w:val="21"/>
                <w:color w:val="auto"/>
              </w:rPr>
            </w:pPr>
          </w:p>
        </w:tc>
      </w:tr>
      <w:tr>
        <w:trPr>
          <w:trHeight w:val="216"/>
        </w:trPr>
        <w:tc>
          <w:tcPr>
            <w:tcW w:w="8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 (2)(7)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5,542,950</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Ming Hui Lin (3)(6)(7)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6,750,873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Yang (4)(6)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307,448</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 Li(6)(8)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535,138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 He Shao (5)(7)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 Chong Seng(7)(10)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Zhao Hui Feng(7)(9)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13,179,909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58.72%</w:t>
            </w: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Qinrui Ltd. (2)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4,976,000</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22.17%</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Qinhui Ltd. (3)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4,999,996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22.27%</w:t>
            </w:r>
          </w:p>
        </w:tc>
      </w:tr>
      <w:tr>
        <w:trPr>
          <w:trHeight w:val="216"/>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or greater beneficial owners as a group</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9,975,996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44.44%</w:t>
            </w:r>
          </w:p>
        </w:tc>
      </w:tr>
      <w:tr>
        <w:trPr>
          <w:trHeight w:val="410"/>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both"/>
        <w:ind w:left="340" w:hanging="332"/>
        <w:spacing w:after="0" w:line="253"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50,000 common shares and vest immediately on the grant date of award. Represents vested portion of the restricted stock granted dated as of January 31, 2022. The total grant of 270,000 common shares and vest immediately on the grant date of award. From September 24, 2021 to September 24, 2022, a total of 220,823 shares were disposed of in various occasions, resulting in the net increased holding of 49,177 shares.</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 Represents vested portion of the restricted stock granted dated as of May 6, 2020. The total grant of 250,000 common shares vests in whole immediately on the grant date of award. Represents vested portion of the restricted stock granted dated as of November 6, 2020. The total grant of 80,000 common shares and 30% vests immediately on the grant date of award, the rest 70% vests on May 6, 2021. Represents vested portion of the restricted stock granted dated as of May 7, 2021. The total grant of 520,000 common shares vests in whole immediately on the grant date of award. Represents vested portion of the restricted stock granted dated as of August 23, 2021. The total grant of 350,000 common shares and 50,000 vest immediately on the grant date of award, the rest will vest on May 23, 2022. Represents vested portion of the restricted stock granted dated as of January 31, 2022. The total grant of 517,000 common shares and vest immediately on the grant date of award. From September 24, 2021 to September 24, 2022, a total of 100,211 shares were disposed of in various occasions, resulting in the net increased holding of 716,789 shares.</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17,793 shares, which she purchased prior to the Company’s IPO, and the vested portion of the restricted stock granted dated as of May 6, 2020. The total grant of 50,000 common shares vests in whole immediately on the grant date of award. Represents vested portion of the restricted stock granted dated as of June, 24, 2020. The total grant of 12,000 common shares vested in whole on November 1, 2020. Represents vested portion of the restricted stock granted dated as of November 6, 2020. The total grant of 50,000 common shares and 30% vests immediately on the grant date of award, the rest 70% vests on May 6, 2021. Represents vested portion of the restricted stock granted dated as of May 7, 2021. The total grant of 20,000 common shares vests in whole immediately on the grant date of award. The total grant of 12,000 common shares vested in whole on November 1, 2021. Represents vested portion of the restricted stock granted dated as of August 23, 2021. The total grant of 100,000 common shares and vest on May 23, 2022. Represents vested portion of the restricted stock granted dated as of January 31, 2022. The total grant of 100,000 common shares and vest immediately on the grant date of award. From September 24, 2021 to September 24, 2022, a total of 31,120 shares were disposed of in various occasions, resulting in the net increased holding of 180,880 shares.</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 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grant of 12,000 common shares vests in one year after the date of award. Represents vested portion of the restricted stock granted dated as of May 6, 2020. The total grant of 100,000 common shares vests in whole immediately on the grant date of award. Represents vested portion of the restricted stock granted dated as of June, 24, 2020. The total grant of 12,000 common shares vested in whole on June 11, 2021.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12,000 common shares vested in whole on June 11, 2022. Represents vested portion of the restricted stock granted dated as of November 6, 2020. The total grant of 150,000 common shares and 30% vests immediately on the grant date of award, the rest 70% vests on May 6, 2021. Represents vested portion of the restricted stock granted dated as of May 7, 2021. The total grant of 20,000 common shares vests in whole immediately on the grant date of award. Represents vested portion of the restricted stock granted dated as of August 23, 2021. The total grant of 150,000 common shares and vest on May 23, 2022. Represents vested portion of the restricted stock granted dated as of August 23, 2021. The total grant of 76,000 common shares and 10,000 vest on June 11, 2022. Represents vested portion of the restricted stock granted dated as of January 31, 2022. The total grant of 150,000 common shares vests in whole immediately on the grant date of award. From September 24, 2021 to September 24, 2022, a total of 22,671 shares were disposed of in various occasions, resulting in the net increased holding of 299,329 shares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vested portion of the restricted stock granted dated as of November 6, 2020. The total grant of 3,000 common shares vests in three equal installments, with the first installment vesting upon grant, and the second and third – on the first and second anniversary of the grant. Represents vested portion of the restricted stock granted dated as of May 7, 2021. The total grant of 2,000 common shares vests in whole immediately on the grant date of award. Represents vested portion of the restricted stock granted dated as of August 23, 2021. The total grant of 2,000 common shares vests in whole immediately on the grant date of award. Represents vested portion of the restricted stock granted dated as of January 31, 2022. The total grant of 2,000 common shares vests in whole immediately on the grant date of award. From March 10, 2021 to April 1, 2022 a total of 16,500 shares were acquired from the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24, 2022, there were nine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179"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2022 and 2021 consisted 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CEO of the Company</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EMIT</w:t>
            </w:r>
          </w:p>
        </w:tc>
        <w:tc>
          <w:tcPr>
            <w:tcW w:w="49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investee of the Company</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Bright Technology Co., Ltd (“Beijing Bright”)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Noncontrolling interest shareholder of JAJI China</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UniDev</w:t>
            </w:r>
          </w:p>
        </w:tc>
        <w:tc>
          <w:tcPr>
            <w:tcW w:w="49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investee of the Company</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Fuson Group Limited (“Fuson”)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investee of the Company</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MCT</w:t>
            </w:r>
          </w:p>
        </w:tc>
        <w:tc>
          <w:tcPr>
            <w:tcW w:w="490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 shareholder of MSCT</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party balances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Beijing Bright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393,761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UniDev</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Fuson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377,642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546,128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from related parties mainly represents loan provided to EMIT and software development fee prepaid to Beijing Bright.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UniDev</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MCT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related parties mainly represents the unpaid consulting service fee to EMIT and Beijing UniDev and unpaid administrative fee to MCT.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 the year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Consulting services provided to the related parties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UniDev</w:t>
            </w:r>
          </w:p>
        </w:tc>
        <w:tc>
          <w:tcPr>
            <w:tcW w:w="1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EMIT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 w:type="dxa"/>
            <w:vAlign w:val="bottom"/>
            <w:shd w:val="clear" w:color="auto" w:fill="CCEEFF"/>
          </w:tcPr>
          <w:p>
            <w:pPr>
              <w:spacing w:after="0"/>
              <w:rPr>
                <w:sz w:val="18"/>
                <w:szCs w:val="18"/>
                <w:color w:val="auto"/>
              </w:rPr>
            </w:pPr>
          </w:p>
        </w:tc>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CareerWin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165,161</w:t>
            </w:r>
          </w:p>
        </w:tc>
      </w:tr>
      <w:tr>
        <w:trPr>
          <w:trHeight w:val="223"/>
        </w:trPr>
        <w:tc>
          <w:tcPr>
            <w:tcW w:w="420" w:type="dxa"/>
            <w:vAlign w:val="bottom"/>
          </w:tcPr>
          <w:p>
            <w:pPr>
              <w:spacing w:after="0"/>
              <w:rPr>
                <w:sz w:val="19"/>
                <w:szCs w:val="19"/>
                <w:color w:val="auto"/>
              </w:rPr>
            </w:pPr>
          </w:p>
        </w:tc>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CLPS Lihong</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700" w:hanging="692"/>
        <w:spacing w:after="0"/>
        <w:tabs>
          <w:tab w:leader="none" w:pos="7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provided by the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EMIT</w:t>
            </w:r>
          </w:p>
        </w:tc>
        <w:tc>
          <w:tcPr>
            <w:tcW w:w="3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157,762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758,976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209,318</w:t>
            </w:r>
          </w:p>
        </w:tc>
      </w:tr>
      <w:tr>
        <w:trPr>
          <w:trHeight w:val="216"/>
        </w:trPr>
        <w:tc>
          <w:tcPr>
            <w:tcW w:w="4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UniDev</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CareerWin</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195,817</w:t>
            </w:r>
          </w:p>
        </w:tc>
      </w:tr>
      <w:tr>
        <w:trPr>
          <w:trHeight w:val="216"/>
        </w:trPr>
        <w:tc>
          <w:tcPr>
            <w:tcW w:w="4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Beijing Bright</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604,033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165,040</w:t>
            </w:r>
          </w:p>
        </w:tc>
      </w:tr>
      <w:tr>
        <w:trPr>
          <w:trHeight w:val="223"/>
        </w:trPr>
        <w:tc>
          <w:tcPr>
            <w:tcW w:w="4540" w:type="dxa"/>
            <w:vAlign w:val="bottom"/>
          </w:tcPr>
          <w:p>
            <w:pPr>
              <w:spacing w:after="0"/>
              <w:rPr>
                <w:sz w:val="19"/>
                <w:szCs w:val="19"/>
                <w:color w:val="auto"/>
              </w:rPr>
            </w:pPr>
          </w:p>
        </w:tc>
        <w:tc>
          <w:tcPr>
            <w:tcW w:w="3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335,244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1,363,009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570,175</w:t>
            </w:r>
          </w:p>
        </w:tc>
      </w:tr>
      <w:tr>
        <w:trPr>
          <w:trHeight w:val="34"/>
        </w:trPr>
        <w:tc>
          <w:tcPr>
            <w:tcW w:w="45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45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700" w:hanging="692"/>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provided to the related parties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CLPS Lihong</w:t>
            </w:r>
          </w:p>
        </w:tc>
        <w:tc>
          <w:tcPr>
            <w:tcW w:w="31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149,341</w:t>
            </w:r>
          </w:p>
        </w:tc>
      </w:tr>
      <w:tr>
        <w:trPr>
          <w:trHeight w:val="223"/>
        </w:trPr>
        <w:tc>
          <w:tcPr>
            <w:tcW w:w="4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EMIT*</w:t>
            </w:r>
          </w:p>
        </w:tc>
        <w:tc>
          <w:tcPr>
            <w:tcW w:w="2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83,651</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151,783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28,446</w:t>
            </w:r>
          </w:p>
        </w:tc>
      </w:tr>
      <w:tr>
        <w:trPr>
          <w:trHeight w:val="248"/>
        </w:trPr>
        <w:tc>
          <w:tcPr>
            <w:tcW w:w="4520" w:type="dxa"/>
            <w:vAlign w:val="bottom"/>
            <w:tcBorders>
              <w:top w:val="single" w:sz="8" w:color="CCEEFF"/>
              <w:bottom w:val="single" w:sz="8" w:color="CCEEFF"/>
            </w:tcBorders>
            <w:shd w:val="clear" w:color="auto" w:fill="CCEEFF"/>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ind w:left="700" w:hanging="692"/>
        <w:spacing w:after="0"/>
        <w:tabs>
          <w:tab w:leader="none" w:pos="7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loans from the related parties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shd w:val="clear" w:color="auto" w:fill="CCEEFF"/>
          </w:tcPr>
          <w:p>
            <w:pPr>
              <w:spacing w:after="0"/>
              <w:rPr>
                <w:sz w:val="17"/>
                <w:szCs w:val="17"/>
                <w:color w:val="auto"/>
              </w:rPr>
            </w:pPr>
          </w:p>
        </w:tc>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CLPS Lihong</w:t>
            </w:r>
          </w:p>
        </w:tc>
        <w:tc>
          <w:tcPr>
            <w:tcW w:w="18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149,341</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EMIT</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15,491</w:t>
            </w:r>
          </w:p>
        </w:tc>
        <w:tc>
          <w:tcPr>
            <w:tcW w:w="58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28,446</w:t>
            </w:r>
          </w:p>
        </w:tc>
        <w:tc>
          <w:tcPr>
            <w:tcW w:w="0" w:type="dxa"/>
            <w:vAlign w:val="bottom"/>
          </w:tcPr>
          <w:p>
            <w:pPr>
              <w:spacing w:after="0"/>
              <w:rPr>
                <w:sz w:val="1"/>
                <w:szCs w:val="1"/>
                <w:color w:val="auto"/>
              </w:rPr>
            </w:pPr>
          </w:p>
        </w:tc>
      </w:tr>
      <w:tr>
        <w:trPr>
          <w:trHeight w:val="248"/>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546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546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Interest income received from the related parties</w:t>
            </w:r>
          </w:p>
        </w:tc>
        <w:tc>
          <w:tcPr>
            <w:tcW w:w="1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vMerge w:val="continue"/>
          </w:tcPr>
          <w:p>
            <w:pPr>
              <w:spacing w:after="0"/>
              <w:rPr>
                <w:sz w:val="18"/>
                <w:szCs w:val="18"/>
                <w:color w:val="auto"/>
              </w:rPr>
            </w:pPr>
          </w:p>
        </w:tc>
        <w:tc>
          <w:tcPr>
            <w:tcW w:w="54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EMIT</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9,260</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CLPS Lihong</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48"/>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546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hanging="692"/>
        <w:spacing w:after="0"/>
        <w:tabs>
          <w:tab w:leader="none" w:pos="7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Rental income from the related party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Fuson</w:t>
            </w:r>
          </w:p>
        </w:tc>
        <w:tc>
          <w:tcPr>
            <w:tcW w:w="6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3,587</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20" w:type="dxa"/>
            <w:vAlign w:val="bottom"/>
          </w:tcPr>
          <w:p>
            <w:pPr>
              <w:spacing w:after="0"/>
              <w:rPr>
                <w:sz w:val="19"/>
                <w:szCs w:val="19"/>
                <w:color w:val="auto"/>
              </w:rPr>
            </w:pPr>
          </w:p>
        </w:tc>
        <w:tc>
          <w:tcPr>
            <w:tcW w:w="6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3,587</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7340" w:type="dxa"/>
            <w:vAlign w:val="bottom"/>
            <w:gridSpan w:val="2"/>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740" w:type="dxa"/>
            <w:vAlign w:val="bottom"/>
            <w:gridSpan w:val="3"/>
          </w:tcPr>
          <w:p>
            <w:pPr>
              <w:jc w:val="right"/>
              <w:ind w:right="3920"/>
              <w:spacing w:after="0"/>
              <w:rPr>
                <w:sz w:val="20"/>
                <w:szCs w:val="20"/>
                <w:color w:val="auto"/>
              </w:rPr>
            </w:pPr>
            <w:r>
              <w:rPr>
                <w:rFonts w:ascii="Times New Roman" w:cs="Times New Roman" w:eastAsia="Times New Roman" w:hAnsi="Times New Roman"/>
                <w:sz w:val="18"/>
                <w:szCs w:val="18"/>
                <w:color w:val="auto"/>
              </w:rPr>
              <w:t>*   The loan is charged at the interest rate of 4.35%.</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w:t>
            </w:r>
          </w:p>
        </w:tc>
        <w:tc>
          <w:tcPr>
            <w:tcW w:w="6520" w:type="dxa"/>
            <w:vAlign w:val="bottom"/>
            <w:gridSpan w:val="2"/>
          </w:tcPr>
          <w:p>
            <w:pPr>
              <w:jc w:val="right"/>
              <w:ind w:right="3940"/>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for our audited consolidated financial statements.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holders of shares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8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9" w:gutter="0" w:footer="0" w:header="0"/>
        </w:sectPr>
      </w:pPr>
    </w:p>
    <w:bookmarkStart w:id="120" w:name="page121"/>
    <w:bookmarkEnd w:id="12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calendar months indicated and through June 30, 2022, the monthly high and low sale prices for our shares, as reported on NASDAQ Stock Market. The closing price for the Company’s securities on October 13, 2022 was $1.16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Monthly Highs and Lows</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July 2022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bl>
    <w:p>
      <w:pPr>
        <w:spacing w:after="0" w:line="175"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shares have been listed on the NASDAQ Stock Market under the symbol CLPS since May 24, 2018 following the completion of our initial public offering.</w:t>
      </w:r>
    </w:p>
    <w:p>
      <w:pPr>
        <w:spacing w:after="0" w:line="158"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spacing w:after="0" w:line="172"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10.B of Form 20-F is included in the sections titled “Our Business,” “Directors and Executive Officers,” “Related Party Transactions,” and “Underwriting” in our Registration Statement on Form F-1 initially filed with the SEC on March 27, 2018, and subsequently updated (File No.: 333-223956), which section is incorporated herein by reference.</w:t>
      </w:r>
    </w:p>
    <w:p>
      <w:pPr>
        <w:spacing w:after="0" w:line="172"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Cayman Islands law, there are currently no restrictions on the export or import of capital, including foreign exchange controls or restrictions that affect the remittance of dividends, interest or other payments to non-resident holders of our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PRC Income Tax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76"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0"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who have elected mark-to-market accounting;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our voting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shares pursuant to the exercise of employee stock options, in connection with employee stock incentive plans or otherwise as compensation;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shares as part of a straddle, constructive sale, hedging, conversion or other integrated transaction;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U.S. Holders of Common Shares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 Paid on Common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Taxation on the Disposition of Common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92" w:lineRule="exact"/>
        <w:rPr>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by the U.S. Holder on the sale or other disposition of its common shares;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jc w:val="both"/>
        <w:ind w:left="980" w:hanging="324"/>
        <w:spacing w:after="0" w:line="266"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in respect of the tax attributable to each such year of the U.S. Holder.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Non-U.S. Holders of Common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176"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Documents concerning us that are referred to in this document may be inspected at c/o Unit 1102, 11th Floor, Millennium City III, 370 Kwun Tong Road, Kwun Tong, Kowloon, Hong Kong SAR.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spacing w:after="0" w:line="190"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functional currency is the RMB, and our financial statements are presented in U.S. dollars. The RMB depreciated by 2.9% in fiscal 2020, appreciated by 8.6% in fiscal 2021, and depreciated by 3.7% in fiscal 2022,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All 2,666,666 warrants are currently outstanding and will automatically expire on March 2, 2026 if not being exercised already. The terms of the warrant agreement are provided as exhibit 10.14 hereto in Item 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default of any indebtedness nor is there any arrearage in the payment of dividends.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the design and operation of our “disclosure controls and procedures” (as defined in the Securities Exchange Act of 1934 (“Exchange Act”) Rules 13a-15(e) or 15d-15(e)) as of June 30, 2022 as required by paragraph (b) of Exchange Act Rules 13a-15 or 15d-15.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management, including our Chief Executive Officer and Chief Financial Officer, has concluded as of June 30, 2022,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under the supervision of our Chief Executive Officer and Chief Financial Officer to provide reasonable assurance regarding the reliability of financial reporting and the preparation of our consolidated financial statements for external reporting purposes in accordance with U.S. generally accepted accounting principles.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June 30, 2022.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this evaluation, our management has concluded that our internal control over financial reporting was effective as of June 30, 2022.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Factors—Risks Related to Our Business—If we fail to maintain an effective system of internal control over financial reporting, our ability to accurately and timely report our financial results or prevent fraud may be adversely affected, and investor confidence and the market price of our shares may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year ended June 30, 2022,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Jin He Shao is an audit committee financial expert as that term is defined in Item 16A(b) of Form 20-F, and “independent” as that term is defined in the NASDAQ listing standards.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approximate aggregate fees for services billed by Ernst &amp; Young Hua Ming LLP for the period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USD’000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USD’000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evaluated and approved in advance the scope and cost of the engagement of an auditor before the auditor rendered its audit and non-audit services.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jc w:val="center"/>
        <w:ind w:right="4840"/>
        <w:spacing w:after="0"/>
        <w:rPr>
          <w:sz w:val="20"/>
          <w:szCs w:val="20"/>
          <w:color w:val="auto"/>
        </w:rPr>
      </w:pPr>
      <w:r>
        <w:rPr>
          <w:rFonts w:ascii="Times New Roman" w:cs="Times New Roman" w:eastAsia="Times New Roman" w:hAnsi="Times New Roman"/>
          <w:sz w:val="18"/>
          <w:szCs w:val="18"/>
          <w:color w:val="auto"/>
        </w:rPr>
        <w:t>No purchase of our securities was made by us or our affiliates in 2021.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CHANGES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significant differences between our corporate governance practices and those followed by the U.S. domestic companies under Nasdaq Stock Market Rules.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is not owned in part by any central, provincial or local government of the PRC and is not an issuer identified by the SEC under the Holding Foreign Companies Accountable Act of 2020 (“HFCAA”). The Public Company Accounting Oversight Board (the “PCAOB”) has determined that it is unable to inspect or investigate completely our independent auditors because of a position taken by an authority in the PRC. In August 2022, the PCAOB signed a Statement of Protocol (“SOP”) Agreement with the China Securities Regulatory Commission and China’s Ministry of Finance regarding cooperation in the oversight of PCAOB-registered public accounting firms in Mainland China and Hong Kong. The agreement establishes a specific and accountable framework for the PCAOB to conduct inspections and investigations of PCAOB-registered public accounting firms in China and Hong Kong. Now PCAOB inspectors and investigators can travel to Hong Kong to start their work and inspect and investigate completely as required by the HFCAA. If the PCAOB continues to be prohibited from conducting complete inspections and investigations of PCAOB-registered public accounting firms in China and Hong Kong, roughly 200 China-based issuers will face trading prohibitions in the U.S. The PCAOB will determine whether it can complete inspections and investigations in Mainland China and Hong Kong by the end of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60" w:gutter="0" w:footer="0" w:header="0"/>
        </w:sectPr>
      </w:pPr>
    </w:p>
    <w:bookmarkStart w:id="130" w:name="page131"/>
    <w:bookmarkEnd w:id="130"/>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financial statements are filed as part of this Annual Report beginning on page F-1.</w:t>
      </w: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842645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6000" w:type="dxa"/>
            <w:vAlign w:val="bottom"/>
            <w:gridSpan w:val="6"/>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CLPS INCORPORATION</w:t>
            </w:r>
          </w:p>
        </w:tc>
        <w:tc>
          <w:tcPr>
            <w:tcW w:w="1000" w:type="dxa"/>
            <w:vAlign w:val="bottom"/>
          </w:tcPr>
          <w:p>
            <w:pPr>
              <w:spacing w:after="0"/>
              <w:rPr>
                <w:sz w:val="20"/>
                <w:szCs w:val="20"/>
                <w:color w:val="auto"/>
              </w:rPr>
            </w:pPr>
          </w:p>
        </w:tc>
      </w:tr>
      <w:tr>
        <w:trPr>
          <w:trHeight w:val="432"/>
        </w:trPr>
        <w:tc>
          <w:tcPr>
            <w:tcW w:w="10240" w:type="dxa"/>
            <w:vAlign w:val="bottom"/>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4"/>
                <w:szCs w:val="24"/>
                <w:color w:val="auto"/>
              </w:rPr>
            </w:pPr>
          </w:p>
        </w:tc>
      </w:tr>
      <w:tr>
        <w:trPr>
          <w:trHeight w:val="453"/>
        </w:trPr>
        <w:tc>
          <w:tcPr>
            <w:tcW w:w="424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1408)</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42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June 30, 2021 and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 — F-4</w:t>
            </w:r>
          </w:p>
        </w:tc>
      </w:tr>
      <w:tr>
        <w:trPr>
          <w:trHeight w:val="216"/>
        </w:trPr>
        <w:tc>
          <w:tcPr>
            <w:tcW w:w="424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June 30, 2020, 2021 and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42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June 30, 2020, 2021 and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42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June 30, 2020, 2021 and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F-7 — F-8</w:t>
            </w:r>
          </w:p>
        </w:tc>
      </w:tr>
      <w:tr>
        <w:trPr>
          <w:trHeight w:val="216"/>
        </w:trPr>
        <w:tc>
          <w:tcPr>
            <w:tcW w:w="42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Consolidated Financial Statements for the Years Ended June 30, 2020, 2021 and 2022</w:t>
            </w:r>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F-9 — F-51</w:t>
            </w:r>
          </w:p>
        </w:tc>
      </w:tr>
      <w:tr>
        <w:trPr>
          <w:trHeight w:val="655"/>
        </w:trPr>
        <w:tc>
          <w:tcPr>
            <w:tcW w:w="42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6"/>
          </w:tcPr>
          <w:p>
            <w:pPr>
              <w:jc w:val="center"/>
              <w:ind w:right="324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3" w:name="page134"/>
    <w:bookmarkEnd w:id="13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CLPS Incorporation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CLPS Incorporation (the “Company”) as of June 30, 2022 and 2021, the related consolidated statements of comprehensive income, changes in shareholders’ equity and cash flows for each of the three years in the period ended June 30, 2022, and the related notes (collectively referred to as the “consolidated financial statements”). In our opinion, the consolidated financial statements present fairly, in all material respects, the financial position of the Company at June 30, 2022 and 2021, and the results of its operations and its cash flows for each of the three years in the period ended June 30, 2022,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18,396,987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24,739,382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53,769,887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44,138,997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4,215,414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377,642</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546,128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76,759,930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76,113,500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20,601,098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970,044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2,363,841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2,444,950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610,386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896,145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327,040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101,880,795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82,728,442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14,474,363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7,536,839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343,597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352,402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2,355,066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587,140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326,912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12,203,933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66,884</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30,383,385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23,033,687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150,547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3,546,263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1,799,383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34,080,195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24,997,747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spacing w:after="0" w:line="196" w:lineRule="auto"/>
        <w:framePr w:w="3320" w:h="160" w:wrap="auto" w:vAnchor="page" w:hAnchor="page" w:x="280" w:y="573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Total Liabilities and Shareholders’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rFonts w:ascii="Times New Roman" w:cs="Times New Roman" w:eastAsia="Times New Roman" w:hAnsi="Times New Roman"/>
          <w:sz w:val="17"/>
          <w:szCs w:val="17"/>
          <w:b w:val="1"/>
          <w:bCs w:val="1"/>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rFonts w:ascii="Times New Roman" w:cs="Times New Roman" w:eastAsia="Times New Roman" w:hAnsi="Times New Roman"/>
          <w:sz w:val="17"/>
          <w:szCs w:val="17"/>
          <w:b w:val="1"/>
          <w:bCs w:val="1"/>
          <w:color w:val="auto"/>
        </w:rPr>
      </w:pPr>
    </w:p>
    <w:p>
      <w:pPr>
        <w:ind w:left="3440"/>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16" w:lineRule="exact"/>
        <w:rPr>
          <w:rFonts w:ascii="Times New Roman" w:cs="Times New Roman" w:eastAsia="Times New Roman" w:hAnsi="Times New Roman"/>
          <w:sz w:val="17"/>
          <w:szCs w:val="17"/>
          <w:b w:val="1"/>
          <w:bCs w:val="1"/>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22,444,822 shares issued and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2022; 20,293,552 shares issued and outstanding as of June 30, 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55,705,209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48,516,695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5,071,876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4,214,075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6,323,792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2,726,165</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(550,248)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1,230,083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CLPS Incorporation’s Shareholders’ Equity</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66,552,873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56,689,047</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1,247,727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1,041,648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67,800,600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57,730,695</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18" w:lineRule="exact"/>
        <w:rPr>
          <w:rFonts w:ascii="Times New Roman" w:cs="Times New Roman" w:eastAsia="Times New Roman" w:hAnsi="Times New Roman"/>
          <w:sz w:val="17"/>
          <w:szCs w:val="17"/>
          <w:b w:val="1"/>
          <w:bCs w:val="1"/>
          <w:color w:val="auto"/>
        </w:rPr>
      </w:pPr>
    </w:p>
    <w:p>
      <w:pPr>
        <w:ind w:left="8680"/>
        <w:spacing w:after="0"/>
        <w:tabs>
          <w:tab w:leader="none" w:pos="10000" w:val="left"/>
          <w:tab w:leader="none" w:pos="10300" w:val="left"/>
        </w:tabs>
        <w:rPr>
          <w:sz w:val="20"/>
          <w:szCs w:val="20"/>
          <w:color w:val="auto"/>
        </w:rPr>
      </w:pPr>
      <w:r>
        <w:rPr>
          <w:rFonts w:ascii="Times New Roman" w:cs="Times New Roman" w:eastAsia="Times New Roman" w:hAnsi="Times New Roman"/>
          <w:sz w:val="18"/>
          <w:szCs w:val="18"/>
          <w:u w:val="single" w:color="auto"/>
          <w:color w:val="auto"/>
        </w:rPr>
        <w:t>$  101,880,795</w:t>
        <w:tab/>
        <w:t>$</w:t>
        <w:tab/>
        <w:t>82,728,442</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5516880</wp:posOffset>
            </wp:positionH>
            <wp:positionV relativeFrom="paragraph">
              <wp:posOffset>43180</wp:posOffset>
            </wp:positionV>
            <wp:extent cx="155130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51305" cy="17145"/>
                    </a:xfrm>
                    <a:prstGeom prst="rect">
                      <a:avLst/>
                    </a:prstGeom>
                    <a:noFill/>
                  </pic:spPr>
                </pic:pic>
              </a:graphicData>
            </a:graphic>
          </wp:anchor>
        </w:drawing>
      </w:r>
    </w:p>
    <w:p>
      <w:pPr>
        <w:spacing w:after="0" w:line="273" w:lineRule="exact"/>
        <w:rPr>
          <w:rFonts w:ascii="Times New Roman" w:cs="Times New Roman" w:eastAsia="Times New Roman" w:hAnsi="Times New Roman"/>
          <w:sz w:val="17"/>
          <w:szCs w:val="17"/>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rFonts w:ascii="Times New Roman" w:cs="Times New Roman" w:eastAsia="Times New Roman" w:hAnsi="Times New Roman"/>
          <w:sz w:val="17"/>
          <w:szCs w:val="17"/>
          <w:b w:val="1"/>
          <w:bCs w:val="1"/>
          <w:color w:val="auto"/>
        </w:rPr>
      </w:pPr>
    </w:p>
    <w:p>
      <w:pPr>
        <w:spacing w:after="0" w:line="241" w:lineRule="exact"/>
        <w:rPr>
          <w:rFonts w:ascii="Times New Roman" w:cs="Times New Roman" w:eastAsia="Times New Roman" w:hAnsi="Times New Roman"/>
          <w:sz w:val="17"/>
          <w:szCs w:val="17"/>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8"/>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152,022,381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126,061,693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89,415,798</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revenues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(111,033,345)</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(85,890,757)</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(58,296,097)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40,989,036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40,170,936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31,119,701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(4,103,066)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(3,753,236)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(3,059,877)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(7,971,145)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(13,337,913)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(10,436,975)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(23,045,664)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(16,784,688)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(16,343,936)</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Subsidies and other operating income</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1,536,394</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2,080,087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1,927,230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(33,583,481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(31,795,750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(27,913,558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7,405,555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8,375,186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3,206,143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854,250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296,319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608,638</w:t>
            </w: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(575,605)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(351,045)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and share of income in equity investees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7,684,200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8,320,460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3,707,459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3,045,992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1,257,124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835,444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share of income in equity investees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4,638,208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7,063,336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income in equity investees, net of tax</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(50,297)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(44,121)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207,363</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4,587,911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7,019,215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3,079,378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202,643</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141,139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CLPS</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4,455,428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6,816,572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2,938,239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income</w:t>
            </w:r>
          </w:p>
        </w:tc>
        <w:tc>
          <w:tcPr>
            <w:tcW w:w="1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(1,828,542)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2,695,223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(571,943)</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foreign currency translation (loss) income attributable to noncontrolling</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(48,211)</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102,475</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0" w:type="dxa"/>
            <w:vAlign w:val="bottom"/>
          </w:tcPr>
          <w:p>
            <w:pPr>
              <w:spacing w:after="0"/>
              <w:rPr>
                <w:sz w:val="1"/>
                <w:szCs w:val="1"/>
                <w:color w:val="auto"/>
              </w:rPr>
            </w:pPr>
          </w:p>
        </w:tc>
      </w:tr>
      <w:tr>
        <w:trPr>
          <w:trHeight w:val="171"/>
        </w:trPr>
        <w:tc>
          <w:tcPr>
            <w:tcW w:w="5980" w:type="dxa"/>
            <w:vAlign w:val="bottom"/>
            <w:tcBorders>
              <w:top w:val="single" w:sz="8" w:color="CCEEFF"/>
            </w:tcBorders>
          </w:tcPr>
          <w:p>
            <w:pPr>
              <w:ind w:left="180"/>
              <w:spacing w:after="0" w:line="171" w:lineRule="exact"/>
              <w:rPr>
                <w:sz w:val="20"/>
                <w:szCs w:val="20"/>
                <w:color w:val="auto"/>
              </w:rPr>
            </w:pPr>
            <w:r>
              <w:rPr>
                <w:rFonts w:ascii="Times New Roman" w:cs="Times New Roman" w:eastAsia="Times New Roman" w:hAnsi="Times New Roman"/>
                <w:sz w:val="18"/>
                <w:szCs w:val="18"/>
                <w:color w:val="auto"/>
              </w:rPr>
              <w:t>Other comprehensive (loss) income attributable to CLPS</w:t>
            </w:r>
          </w:p>
        </w:tc>
        <w:tc>
          <w:tcPr>
            <w:tcW w:w="12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Incorporation’s shareholders</w:t>
            </w:r>
          </w:p>
        </w:tc>
        <w:tc>
          <w:tcPr>
            <w:tcW w:w="1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line="275" w:lineRule="exact"/>
              <w:rPr>
                <w:sz w:val="20"/>
                <w:szCs w:val="20"/>
                <w:color w:val="auto"/>
              </w:rPr>
            </w:pPr>
            <w:r>
              <w:rPr>
                <w:rFonts w:ascii="Times New Roman" w:cs="Times New Roman" w:eastAsia="Times New Roman" w:hAnsi="Times New Roman"/>
                <w:sz w:val="17"/>
                <w:szCs w:val="17"/>
                <w:color w:val="auto"/>
              </w:rPr>
              <w:t>(1,780,331</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2,592,748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line="275" w:lineRule="exact"/>
              <w:rPr>
                <w:sz w:val="20"/>
                <w:szCs w:val="20"/>
                <w:color w:val="auto"/>
              </w:rPr>
            </w:pPr>
            <w:r>
              <w:rPr>
                <w:rFonts w:ascii="Times New Roman" w:cs="Times New Roman" w:eastAsia="Times New Roman" w:hAnsi="Times New Roman"/>
                <w:sz w:val="17"/>
                <w:szCs w:val="17"/>
                <w:color w:val="auto"/>
              </w:rPr>
              <w:t>(549,015</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CLPS’s Incorporation shareholders</w:t>
            </w:r>
          </w:p>
        </w:tc>
        <w:tc>
          <w:tcPr>
            <w:tcW w:w="1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2,675,097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9,409,320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2,389,224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305,118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118,211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2,759,369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9,714,438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2,507,435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20,924,683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17,279,443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24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21,057,063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17,569,440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14,692,299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9"/>
        </w:trPr>
        <w:tc>
          <w:tcPr>
            <w:tcW w:w="1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Statutory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Noncontrolling</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1520" w:type="dxa"/>
            <w:vAlign w:val="bottom"/>
          </w:tcPr>
          <w:p>
            <w:pPr>
              <w:spacing w:after="0"/>
              <w:rPr>
                <w:sz w:val="20"/>
                <w:szCs w:val="20"/>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Deficits)</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4"/>
        </w:trPr>
        <w:tc>
          <w:tcPr>
            <w:tcW w:w="15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June 30,</w:t>
            </w: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13,913,201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24,276,622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1,833,802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(4,509,729)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(813,650)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608,162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21,396,598</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2,938,239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141,139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3,079,378</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Appropriation of</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970,009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(970,009)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(549,015)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(571,943)</w:t>
            </w:r>
          </w:p>
        </w:tc>
      </w:tr>
      <w:tr>
        <w:trPr>
          <w:trHeight w:val="184"/>
        </w:trPr>
        <w:tc>
          <w:tcPr>
            <w:tcW w:w="15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Cumulative effect</w:t>
            </w: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adopting ASC</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606</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(138,644)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(138,644)</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from</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(131,002)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130,992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4,004,080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4,004,080</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and</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1,830,514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86,615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436,531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411,351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847,891</w:t>
            </w:r>
          </w:p>
        </w:tc>
      </w:tr>
      <w:tr>
        <w:trPr>
          <w:trHeight w:val="171"/>
        </w:trPr>
        <w:tc>
          <w:tcPr>
            <w:tcW w:w="15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at June 30,</w:t>
            </w:r>
          </w:p>
        </w:tc>
        <w:tc>
          <w:tcPr>
            <w:tcW w:w="6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15,930,330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28,586,048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2,803,811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(2,680,143)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(1,362,665)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1,268,716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28,617,360</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6,816,572</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202,643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7,019,215</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Appropriation of</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1,410,264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(1,410,264)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loss</w:t>
            </w: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2,592,748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102,475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2,695,223</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from</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62,622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(458,826)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(455,546)</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Disposal of</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5,128,696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5,128,696</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and</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1,568,392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116,073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116,230</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65,542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private</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2,666,666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11,131,562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11,131,829</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issued in</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3,551,048</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3,551,048</w:t>
            </w:r>
          </w:p>
        </w:tc>
      </w:tr>
      <w:tr>
        <w:trPr>
          <w:trHeight w:val="198"/>
        </w:trPr>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Noncontrolling</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 through</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 acquisition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r>
      <w:tr>
        <w:trPr>
          <w:trHeight w:val="198"/>
        </w:trPr>
        <w:tc>
          <w:tcPr>
            <w:tcW w:w="1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paid</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noncontrolling</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(34,137)</w:t>
            </w:r>
          </w:p>
        </w:tc>
      </w:tr>
      <w:tr>
        <w:trPr>
          <w:trHeight w:val="234"/>
        </w:trPr>
        <w:tc>
          <w:tcPr>
            <w:tcW w:w="1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6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20,293,552</w:t>
            </w:r>
          </w:p>
        </w:tc>
        <w:tc>
          <w:tcPr>
            <w:tcW w:w="1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48,516,695</w:t>
            </w:r>
          </w:p>
        </w:tc>
        <w:tc>
          <w:tcPr>
            <w:tcW w:w="1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4,214,075</w:t>
            </w:r>
          </w:p>
        </w:tc>
        <w:tc>
          <w:tcPr>
            <w:tcW w:w="16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2,726,165</w:t>
            </w:r>
          </w:p>
        </w:tc>
        <w:tc>
          <w:tcPr>
            <w:tcW w:w="16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1,230,083</w:t>
            </w:r>
          </w:p>
        </w:tc>
        <w:tc>
          <w:tcPr>
            <w:tcW w:w="18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1,041,648</w:t>
            </w:r>
          </w:p>
        </w:tc>
        <w:tc>
          <w:tcPr>
            <w:tcW w:w="1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57,730,695</w:t>
            </w:r>
          </w:p>
        </w:tc>
        <w:tc>
          <w:tcPr>
            <w:tcW w:w="60" w:type="dxa"/>
            <w:vAlign w:val="bottom"/>
            <w:tcBorders>
              <w:top w:val="single" w:sz="8" w:color="CCEEFF"/>
            </w:tcBorders>
            <w:shd w:val="clear" w:color="auto" w:fill="CCEEFF"/>
          </w:tcPr>
          <w:p>
            <w:pPr>
              <w:spacing w:after="0"/>
              <w:rPr>
                <w:sz w:val="20"/>
                <w:szCs w:val="20"/>
                <w:color w:val="auto"/>
              </w:rPr>
            </w:pPr>
          </w:p>
        </w:tc>
      </w:tr>
      <w:tr>
        <w:trPr>
          <w:trHeight w:val="72"/>
        </w:trPr>
        <w:tc>
          <w:tcPr>
            <w:tcW w:w="15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r>
    </w:tbl>
    <w:p>
      <w:pPr>
        <w:sectPr>
          <w:pgSz w:w="11900" w:h="16900" w:orient="portrait"/>
          <w:cols w:equalWidth="0" w:num="1">
            <w:col w:w="11240"/>
          </w:cols>
          <w:pgMar w:left="320" w:top="873" w:right="33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6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4,455,428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132,483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4,587,911</w:t>
            </w: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Appropriation of</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6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857,801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(857,801)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loss</w:t>
            </w:r>
          </w:p>
        </w:tc>
        <w:tc>
          <w:tcPr>
            <w:tcW w:w="6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(1,780,331)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(1,828,542)</w:t>
            </w: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7,184,862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7,184,862</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Surrender of shares</w:t>
            </w: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17</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(220,823)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and</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6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2,372,093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3,867</w:t>
            </w: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Noncontrolling</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through</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acquisition</w:t>
            </w: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121,807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121,807</w:t>
            </w:r>
          </w:p>
        </w:tc>
      </w:tr>
      <w:tr>
        <w:trPr>
          <w:trHeight w:val="184"/>
        </w:trPr>
        <w:tc>
          <w:tcPr>
            <w:tcW w:w="15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June 30,</w:t>
            </w:r>
          </w:p>
        </w:tc>
        <w:tc>
          <w:tcPr>
            <w:tcW w:w="6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22,444,822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55,705,209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5,071,876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6,323,792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(550,248)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1,247,727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67,800,600</w:t>
            </w: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4,587,911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7,019,215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3,079,378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7,184,862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5,128,696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4,004,080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912,248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677,241</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593,173</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expenses (benefits)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245,830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(413,609)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172,740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disposal of a long-term investment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(138,479)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(433,490)</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of loss (income) in equity investees, net of tax</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50,297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44,121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(207,363)</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(9,022)</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(Reversal of) provision for doubtful accounts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(178,010)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197,740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231,133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disposal of property and equipment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19,188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26,399</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a long-term investment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102,155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25,615</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(12,317,416)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(16,712,597)</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(6,603,589)</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 deposits and other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(123,268)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(728,562)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206,054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income tax</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15,780</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615,010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222,553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(224,429)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(215,853)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363,697</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89,427</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106,994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(18,349)</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56,935</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260,228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(378,628)</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69,278</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payables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640,057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279,413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408,007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(115,260)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183,148</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subsidies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(109,250)</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174,100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309,914</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3,564,029</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1,782,752</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1,604,444</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194,939</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3,200,889</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(2,609,773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5,931,124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(20,750,110)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(1,072,389)</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(167,701)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(9,076)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(63,855)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business acquisitions, net of cash acquired from acquisitions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(304,476)</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(1,556,910)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long-term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(409,625)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(331,036)</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(143,299)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Disposition of long-term investments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786,427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995,605</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Disposition of subsidiaries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(191,839)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(purchases) of 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4,159,309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(3,375,521)</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1,109,389</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from a related party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15,491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177,787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provided to a third party</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(185,906)</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provided to a related party</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(83,651)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(151,783)</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(177,787)</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(16,290,683</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(5,619,471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173,229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gridSpan w:val="8"/>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21,955,625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13,301,775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3,821,602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short-term bank loans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(14,484,851)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(8,270,611)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(3,896,240)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contributions from private placement and warrants, net of issuance costs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14,682,877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Escrow receivable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(455,546)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(34,137)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7,474,641</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19,340,588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125,362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(727,242)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975,918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(178,930)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(6,342,395)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12,087,262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6,050,785</w:t>
            </w: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24,739,382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12,652,120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6,601,335</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at the end of the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18,396,987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24,739,382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12,652,120</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676,179</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1,746,327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1,169,717</w:t>
            </w: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342,144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together with Mr. Raymond Ming Hui Lin, the Company’s Chief Executive Officer (“CEO”) are the controlling shareholders of the Company (the “controlling shareholder”). On June 8, 2018, the Company completed its initial public offering (“IPO”) on the Nasdaq Capital Market.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the significant subsidiaries of the Company are set out below:</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2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r>
      <w:tr>
        <w:trPr>
          <w:trHeight w:val="245"/>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Activities</w:t>
            </w:r>
          </w:p>
        </w:tc>
      </w:tr>
      <w:tr>
        <w:trPr>
          <w:trHeight w:val="198"/>
        </w:trPr>
        <w:tc>
          <w:tcPr>
            <w:tcW w:w="51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Qiner Co., Limited (“Qiner”)</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Hong Kong, China</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Holding</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April 21, 2017</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Qinheng Co., Limited (“Qinheng”)</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Hong Kong, China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Holding</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9, 2017</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Qincheng Information Technology Co., Ltd. (“CLPS QC” or</w:t>
            </w:r>
          </w:p>
        </w:tc>
        <w:tc>
          <w:tcPr>
            <w:tcW w:w="17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Incorporated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Shanghai, China</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Holding</w:t>
            </w:r>
          </w:p>
        </w:tc>
      </w:tr>
      <w:tr>
        <w:trPr>
          <w:trHeight w:val="234"/>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“WOFE”)</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4, 2017</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Arabian Jasmine Ltd. (“Arabian”)</w:t>
            </w:r>
          </w:p>
        </w:tc>
        <w:tc>
          <w:tcPr>
            <w:tcW w:w="178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Incorporated on</w:t>
            </w:r>
          </w:p>
        </w:tc>
        <w:tc>
          <w:tcPr>
            <w:tcW w:w="158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7"/>
              </w:rPr>
              <w:t>Virgin</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25, 2021</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Islands,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Holding</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British</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Chenqin Information Technology Services Co., Ltd.</w:t>
            </w:r>
          </w:p>
        </w:tc>
        <w:tc>
          <w:tcPr>
            <w:tcW w:w="17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Incorporated on</w:t>
            </w:r>
          </w:p>
        </w:tc>
        <w:tc>
          <w:tcPr>
            <w:tcW w:w="15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Shanghai,</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Holding</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31, 2021</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Noni (Singapore) Pte. Ltd. (“Noni”)</w:t>
            </w:r>
          </w:p>
        </w:tc>
        <w:tc>
          <w:tcPr>
            <w:tcW w:w="178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Incorporated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Holding</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2021</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ChinaLink Professional Service Co., Ltd. (“CLPS Shanghai”)</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Shanghai, China</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30, 2005</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CLPS Dalian Co., Ltd. (“CLPS Dalian”)</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Dalian, China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25, 2011</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CLPS Ruicheng Co., Ltd. (“CLPS RC”)</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Shanghai, China</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26, 2013</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CLPS Beijing Hengtong Co., Ltd. (“CLPS Beijing”)</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Beijing, China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30, 2015</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CLPS Technology (Singapore) Pte. Ltd. (“CLPS SG”)</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18, 2015</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CLPS- Ridik Technology (Australia) Pty Ltd. (“CLPS Ridik AU”)</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Australia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November 10, 2015</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CLPS Technology (Hong Kong) Co., Limited (“CLPS Hong Kong”)</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Hong Kong, China</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7, 2016</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JAJI (Shanghai) Co., Ltd (“JAJI China”, formerly , Judge (Shanghai)</w:t>
            </w:r>
          </w:p>
        </w:tc>
        <w:tc>
          <w:tcPr>
            <w:tcW w:w="178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8"/>
              </w:rPr>
              <w:t>Acquired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Shanghai, China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9, 2016</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JAJI (Shanghai) Human Resource Co., Ltd. (“JAJI HR”,formerly</w:t>
            </w:r>
          </w:p>
        </w:tc>
        <w:tc>
          <w:tcPr>
            <w:tcW w:w="17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8"/>
              </w:rPr>
              <w:t>Acquired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Shanghai, China</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Judge (Shanghai) Human Resource Co., Ltd.)</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9, 2016</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CLPS Shenzhen Co., Ltd. (“CLPS Shenzhen”)</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Shenzhen, China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7, 2017</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CLPS Guangzhou Co., Ltd. (“CLPS Guangzhou”)</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Guangzhou, China</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27, 2017</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655"/>
        </w:trPr>
        <w:tc>
          <w:tcPr>
            <w:tcW w:w="5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F-9</w:t>
            </w: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 continued</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2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r>
      <w:tr>
        <w:trPr>
          <w:trHeight w:val="245"/>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Activities</w:t>
            </w:r>
          </w:p>
        </w:tc>
      </w:tr>
      <w:tr>
        <w:trPr>
          <w:trHeight w:val="198"/>
        </w:trPr>
        <w:tc>
          <w:tcPr>
            <w:tcW w:w="51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CLPS Hangzhou Co. Ltd. (“CLPS Hangzhou”)</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Hangzhou, China</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July 31, 2019</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CLPS Technology Japan (“CLPS Japan”)</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Japan</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13, 2019</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Ridik Pte. Ltd. (“Ridik Pte.”)</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Acquired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26, 2019</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Ridik Sdn. Bhd. (“Ridik Sdn.”)</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Acquired on</w:t>
            </w:r>
          </w:p>
        </w:tc>
        <w:tc>
          <w:tcPr>
            <w:tcW w:w="15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26, 2019</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Ridik Software Solutions Pte. Ltd. (“Ridik Software Pte.”)</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Acquired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26, 2019</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Qinson Credit Card Services Limited (“Qinson”)</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Hong Kong, China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December 31, 2019</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CLPS Technology (California) Inc. (“CLPS California”)</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Incorporated on</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California, the</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spacing w:after="0"/>
              <w:rPr>
                <w:sz w:val="17"/>
                <w:szCs w:val="17"/>
                <w:color w:val="auto"/>
              </w:rPr>
            </w:pPr>
          </w:p>
        </w:tc>
      </w:tr>
      <w:tr>
        <w:trPr>
          <w:trHeight w:val="216"/>
        </w:trPr>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 2020</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 of</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America</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Ridik Consulting Private Limited (“Ridik Consulting”)</w:t>
            </w:r>
          </w:p>
        </w:tc>
        <w:tc>
          <w:tcPr>
            <w:tcW w:w="17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Acquired on</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India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6, 2020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Hainan Qincheng Software Technology Co., Ltd.</w:t>
            </w:r>
          </w:p>
        </w:tc>
        <w:tc>
          <w:tcPr>
            <w:tcW w:w="17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Incorporated</w:t>
            </w:r>
          </w:p>
        </w:tc>
        <w:tc>
          <w:tcPr>
            <w:tcW w:w="15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Hainan,</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On January 20, 2021</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CareerWin Executive Search Co., Ltd. (“CareerWin”)</w:t>
            </w:r>
          </w:p>
        </w:tc>
        <w:tc>
          <w:tcPr>
            <w:tcW w:w="178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8"/>
              </w:rPr>
              <w:t>Acquired on</w:t>
            </w:r>
          </w:p>
        </w:tc>
        <w:tc>
          <w:tcPr>
            <w:tcW w:w="158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Shanghai,</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Headhunting</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3, 2021</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CLPS Xi’an Co., Ltd.</w:t>
            </w:r>
          </w:p>
        </w:tc>
        <w:tc>
          <w:tcPr>
            <w:tcW w:w="178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Incorporated</w:t>
            </w:r>
          </w:p>
        </w:tc>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Xi’an, China</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 April 15, 2021</w:t>
            </w: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LinkCrypto Finance Technology Limited (“LinkCrypto”)</w:t>
            </w:r>
          </w:p>
        </w:tc>
        <w:tc>
          <w:tcPr>
            <w:tcW w:w="178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Incorporated</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Hong Kong, China</w:t>
            </w:r>
          </w:p>
        </w:tc>
        <w:tc>
          <w:tcPr>
            <w:tcW w:w="138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Blockchain</w:t>
            </w:r>
          </w:p>
        </w:tc>
      </w:t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 July 26, 2021</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technology</w:t>
            </w:r>
          </w:p>
        </w:tc>
      </w:tr>
      <w:tr>
        <w:trPr>
          <w:trHeight w:val="198"/>
        </w:trPr>
        <w:tc>
          <w:tcPr>
            <w:tcW w:w="5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MSCT Investment Holdings Limited (“MSCT”)</w:t>
            </w:r>
          </w:p>
        </w:tc>
        <w:tc>
          <w:tcPr>
            <w:tcW w:w="17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Acquired on</w:t>
            </w:r>
          </w:p>
        </w:tc>
        <w:tc>
          <w:tcPr>
            <w:tcW w:w="158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Virgin Islands,</w:t>
            </w:r>
          </w:p>
        </w:tc>
        <w:tc>
          <w:tcPr>
            <w:tcW w:w="1380" w:type="dxa"/>
            <w:vAlign w:val="bottom"/>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53.33%</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Software</w:t>
            </w:r>
          </w:p>
        </w:tc>
      </w:tr>
      <w:tr>
        <w:trPr>
          <w:trHeight w:val="234"/>
        </w:trPr>
        <w:tc>
          <w:tcPr>
            <w:tcW w:w="5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16, 2021</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British</w:t>
            </w: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development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United States generally accepted accounting principles (“U.S. GAAP”).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assumptions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and intangible assets, goodwill impairment, the impairment of long-lived assets and long-term investments, purchase price allocation and fair value of noncontrolling interests for business combinations and asset acquisition, relative standalone selling price of the performance obligations in the IT solution services, provision for accrued expenses and other current liabilities, valuation allowance of deferred tax assets, provision for uncertain tax positions, fair value measurements of equity investments without readily determinable fair values, fair value of warrants and fair value of and estimated forfeitures for share-based compensation.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The Company maintains most of its bank accounts in the People’s Republic of China (“PRC”). Cash balances in bank accounts in PRC are not insured by the Federal Deposit Insurance Corporation or other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investments represent highly liquid investments in wealth management products placed with certain financial institutions. The principal amounts of these products are not guaranteed. The Company classifies these wealth management products as “trading” as they are bought and held principally for the purpose of selling them in the near term. Dividend and interest income are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carried at net realizable value. An allowance for doubtful accounts is recorded in the period when loss is probable.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 The Company regularly reviews the adequacy and appropriateness of the allowance for doubtful accounts.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 deposit and other assets and allowance for doubtful accounts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Prepayment, deposit and other assets primarily consists of advances and deposits to suppliers for purchasing goods or services that have not been received or provided and advances to employees. These advances are interest free, unsecured and short-term in nature and are reviewed periodically to determine whether their carrying value has become impaired. An allowance for doubtful accounts is recorded in the period when loss is probable.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investments consist of equity-method investments and equity investments without readily determinable fair values.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Investments in entities in which the Company can exercise significant influence but does not own a majority equity interest or control are accounted for using the equity method of accounting in accordance with ASC Topic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The share of earnings or losses of the investee are recognized in the consolidated statements of comprehensive income. Equity method adjustments include the Company’s proportionate share of investee income or loss, adjustments to recognize certain differences between the Company’s carrying value and its equity in net assets of the investee at the date of investment, impairments, and other adjustments required by the equity method. The Company assesses its equity investment for other-than-temporary impairment by considering factors as well as all relevant and available information including, but not limited to, current economic and market conditions, the operating performance of the investees including current earnings trends, the general market conditions in the investee’s industry or geographic area, factors related to the investee’s ability to remain in business, such as the investee’s liquidity, debt ratios, and cash burn rate and other company-specific information. Any gain or loss from the disposition of the equity method investments is included in the consolidated statements of comprehensive income equal to difference between the proceeds the Company receives and the carrying amounts of the investment disposed.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values, the Company elects to use the measurement alternative in accordance with ASC Topic 321, Investments-Equity securities (“ASC 321”) to measure such investments at cost minus impairment adjusted by observable price changes in orderly transactions for the identical or a similar investment of the same issuer as of the date that the observable transaction occurred. These investments are measured at fair value on a nonrecurring basis when there are events or changes in circumstances that may have a significant adverse effect. An impairment loss is recognized in the consolidated statements of comprehensive income equal to the amount by which the carrying value exceeds the fair value of the investment. For the years ended June 30, 2022, 2021 and 2020, no such investment was remeasured and accordingly no unrealized gains (losses) was recognized.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loss of $102,155, nil and nil for equity method investments were recognized for the years ended June 30, 2022, 2021 and 2020, respectively. No impairment loss was recognized for equity investments without readily determinable fair value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all business combinations under the purchase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 income. The Company adopted Accounting Standards Update (“ASU”) No. 2017-01, </w:t>
      </w:r>
      <w:r>
        <w:rPr>
          <w:rFonts w:ascii="Times New Roman" w:cs="Times New Roman" w:eastAsia="Times New Roman" w:hAnsi="Times New Roman"/>
          <w:sz w:val="18"/>
          <w:szCs w:val="18"/>
          <w:i w:val="1"/>
          <w:iCs w:val="1"/>
          <w:color w:val="auto"/>
        </w:rPr>
        <w:t>Business Combinations (Topic 802):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Definition of a Business</w:t>
      </w:r>
      <w:r>
        <w:rPr>
          <w:rFonts w:ascii="Times New Roman" w:cs="Times New Roman" w:eastAsia="Times New Roman" w:hAnsi="Times New Roman"/>
          <w:sz w:val="18"/>
          <w:szCs w:val="18"/>
          <w:color w:val="auto"/>
        </w:rPr>
        <w:t>, in determining whether it has acquired a business from July 1, 2019 on a prospective basis and there was no material impact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acquiree’s current business model and industry comparisons. Terminal values are based on the expected life of assets and forecasted cash flows over that period. Acquisition-related costs are recognized as general and administrative expenses in the consolidated statements of comprehensive income as incurred. Although the Company believes that the assumptions applied in the determination are reasonable based on information available at the date of acquisition, actual results may differ from forecasted amounts and the differences could be material.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Acquisitions that do not meet the accounting definition of a business combination are accounted for as asset acquisitions. For transactions determined to be asset acquisitions, the Company allocates the total cost of the acquisition, including transaction costs, to the assets acquired based on their relative fair values.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statements of comprehensive income as an allocation of the total income or loss for the year between noncontrolling interest holders and the shareholders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and impairment, if any. The straight-line method is used to compute depreciation over the estimated useful lives of the assets,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tcBorders>
              <w:bottom w:val="single" w:sz="8" w:color="CCEEFF"/>
            </w:tcBorders>
          </w:tcPr>
          <w:p>
            <w:pPr>
              <w:spacing w:after="0"/>
              <w:rPr>
                <w:sz w:val="21"/>
                <w:szCs w:val="21"/>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shorter of remaining lease terms or the estimated useful lives</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Automobiles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office furniture</w:t>
            </w: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 or 50 years</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 related facility, machinery and equipment</w:t>
            </w:r>
          </w:p>
        </w:tc>
        <w:tc>
          <w:tcPr>
            <w:tcW w:w="4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statements of comprehensive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net,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is computed using the straight-line method over the following estimated useful lives: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tcBorders>
              <w:bottom w:val="single" w:sz="8" w:color="CCEEFF"/>
            </w:tcBorders>
          </w:tcPr>
          <w:p>
            <w:pPr>
              <w:spacing w:after="0"/>
              <w:rPr>
                <w:sz w:val="21"/>
                <w:szCs w:val="21"/>
                <w:color w:val="auto"/>
              </w:rPr>
            </w:pPr>
          </w:p>
        </w:tc>
        <w:tc>
          <w:tcPr>
            <w:tcW w:w="494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2140" w:type="dxa"/>
            <w:vAlign w:val="bottom"/>
            <w:shd w:val="clear" w:color="auto" w:fill="CCEEFF"/>
          </w:tcPr>
          <w:p>
            <w:pPr>
              <w:spacing w:after="0"/>
              <w:rPr>
                <w:sz w:val="18"/>
                <w:szCs w:val="18"/>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indefinite-lived intangibles other than goodwill.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had only one reporting unit (that also represented the Company’s single operating segment) as of June 30, 2022 and 2021. Goodwill was allocated 100% to the single reporting unit as of June 30, 2022 and 2021. The Company has the option to assess qualitative factors first to determine whether it is necessary to perform the two-step test in accordance with ASC 350-20,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If the Company believes,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performing the two-step quantitative impairment test, the first step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and the Company is not required to perform further testing. If the carrying value of the reporting unit exceeds the fair value of the reporting unit, then the Company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loss was provided for the years ended June 30,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reviews its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When these events occur, the Company assesses recoverability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and record the impairment in earnings.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loss was provided for the years ended June 30, 2022, 2021 and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revenue recognition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provides a comprehensive range of IT services, IT solutions and other service, which primarily are on a time-and-expense basis, or fixed-price basis. Revenue is recognized when control of promised goods or services is transferred to the Company’s customers in an amount of consideration to which an entity expects to be entitled to in exchange for those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Time-and-expense basis contracts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of IT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Fixed-price basis contracts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two performance obligations identified in the fixed-price basis contracts: the delivery of customized IT solution service and the completion of the PCS. The transaction price is allocated between the two performance obligations based on the relative standalone selling price, estimated using the cost plus method.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No impairment loss was recognized for contract assets for the years ended June 30, 2022 and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contracts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contracts primarily comprise of the sales of headhunting services, consulting and administrative services. Revenue of headhunting services for other contracts is recognized at a point in time when control is transferred to the customers, which generally occurs when the service is accepted by customers. Revenue of consulting and administrative services for other contracts is recognized over time as the customer simultaneously receives and consumes the benefits from the service as the Company performs.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opening and closing balances of contract assets arising from contracts with customers as of June 30, 2022 were $513,199 and $1,461,412, respectively, and the opening and closing balances of deferred contract costs arising from contracts with customers as of June 30, 2022 were $376,138 and $714,127. The opening and closing balances of contract liabilities arising from contracts with customers as of June 30, 2022 were $326,912 and $587,140, respectively. Revenue recognized in the year ended June 30, 2022 that was included in the contract liability balance at the beginning of the period was $241,435. This revenue was driven primarily by IT solution service performance obligations being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 and</w:t>
      </w:r>
    </w:p>
    <w:p>
      <w:pPr>
        <w:spacing w:after="0" w:line="27" w:lineRule="exact"/>
        <w:rPr>
          <w:sz w:val="20"/>
          <w:szCs w:val="20"/>
          <w:color w:val="auto"/>
        </w:rPr>
      </w:pPr>
    </w:p>
    <w:p>
      <w:pPr>
        <w:ind w:right="1360" w:firstLine="8"/>
        <w:spacing w:after="0" w:line="490" w:lineRule="auto"/>
        <w:tabs>
          <w:tab w:leader="none" w:pos="2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the Company recognizes revenue at the amount to which it has the right to invoice for services performed. Revenue includes reimbursements of travel and out-of-pocket expense, with equivalent amounts of expense recorded in cost of revenues.</w:t>
      </w: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value added tax (the “VAT”) that is imposed on and concurrent with the revenues earned for services provided in the PRC. The Company’s applicable value added tax rate is 6%. VAT are recorded as reduction of revenues when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disaggregated revenue disclosures are presented in Note 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mainly consisted of compensation expenses for the Company’s IT professionals, travel expenses and material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subsidies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subsidies mainly represent amounts granted by local government authorities as an incentive for companies to promote development of the local technology industry. The Company also receives government subsidies related to government sponsored projects, and records such government subsidies as a liability when it is received. The Company recognizes the government subsidies in the consolidated statements of comprehensive income when there is reasonable assurance that the Company will receive the government grant and comply with the conditions attached to the grant to be received.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expenditures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expenditures are expensed as incurred and such expenses were minimal for all the periods presented. Advertising expenditures have been included as part of selling and marketing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defined contribution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is expensed as incurred. The expenses related to these plans were $6,662,389, $6,180,287 and $16,771,118 for the years ended June 30, 2020, 2021 and 2022,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uncertainties in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in the period incurred. All of the tax returns of the Company’s subsidiaries in China remain subject to examination by the tax authorities for five years from the date of filing through year 2026, and the examination period was extended to 10 years for entities qualified as High and New Technology Enterprises (“HNTEs”) in 2018 and thereafter.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Equity-classified warrants are initially measured at the grant date fair value. Subsequent changes in fair value are not recognized as long as the contract continues to be classified in equity. The Company,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payment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change in any of the terms or conditions of share-based payment awards is accounted for as a modification of awards. The Company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Company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cancellation of an award that is not accompanied by the concurrent grant of (or offer to grant) a replacement award or other valuable consideration shall be accounted for as a repurchase for no consideration. Accordingly, the Company recognized previously unrecognized compensation cost at the cancellation date and reversed previously recognized share capital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 Diluted earnings per share is computed using the weighted average number of common shares and potential common shares outstanding during the period, which may include RSUs, options and warrants. The computation of diluted earnings per share does not assume conversion, exercise, or contingent issuance of securities that would have an anti-dilutive effect (i.e. an increase in earnings per share amounts) on earnings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functional currency of the Company is US$. The functional currencies of the Company’s subsidiaries are the local currency of the country in which the subsidiary operates, which is determined based on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(“ASC 830”).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Transactions denominated in foreign currencies are re-measured into the functional currency at the exchange rates as set forth in the H.10 statistical release of the U.S. Federal Reserve Board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 income.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income (loss) and are shown as a separate component of other comprehensive income (loss) in the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defines fair value, establishes a framework for measuring fair value and expands disclosures about fair value measurements. ASC 820 requires disclosures to be provided for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2—Includes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of the Company primarily consist of cash and cash equivalents, short-term investments, accounts receivable, other assets, note receivables, amounts due from related parties, equity investments without readily determinable fair values, accounts payable and other current liabilities, amounts due to related party, short-term bank loans and long-term bank loans. The carrying amounts of these financial instruments, except for short-term investments, equity investments without readily determinable fair values and long-term bank loans, approximate their fair values because of their generally short maturities.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trading securities is measured using the income approach, based on quoted market interest rates of similar instruments and other significant inputs derived from or corroborated by observable market data.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long-term bank loans approximates its fair value due to the fact that the related interest rates approximate market rates for similar debt instruments of comparable maturities.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equity investments without readily determinable fair values, the Company elected to use the measurement alternative to measure those investments in the cases of an impairment charge is recognized, fair value of an investment is remeasured in an acquisition/a disposal, and an orderly transaction for identical or similar investments of the same issuer is identified. The non-recurring fair value measurements to the carrying amount of an investment usually requires management to estimate a price adjustment for the different rights and obligations between a similar instrument of the same issuer with an observable price change in an orderly transaction and the investment held by the Company. The valuation methodologies involved require management to use the observable transaction price at the transaction date and other unobservable inputs (level 3) such as volatility of comparable companies and probability of exit events as it relates to liquidation and redemption preferences.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assets and liabilities measured on a recurring basis or disclosed at fair value as of June 30, 2022. Assets and liabilities measured on a recurring basis or disclosed at fair value as of June 20, 2021 are summarized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 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Active Market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tc>
        <w:tc>
          <w:tcPr>
            <w:tcW w:w="3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74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8"/>
              </w:rPr>
              <w:t>Recurring</w:t>
            </w:r>
          </w:p>
        </w:tc>
        <w:tc>
          <w:tcPr>
            <w:tcW w:w="29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Trading securities</w:t>
            </w:r>
          </w:p>
        </w:tc>
        <w:tc>
          <w:tcPr>
            <w:tcW w:w="3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4,158,535</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7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jc w:val="right"/>
              <w:ind w:right="1490"/>
              <w:spacing w:after="0"/>
              <w:rPr>
                <w:sz w:val="20"/>
                <w:szCs w:val="20"/>
                <w:color w:val="auto"/>
              </w:rPr>
            </w:pPr>
            <w:r>
              <w:rPr>
                <w:rFonts w:ascii="Times New Roman" w:cs="Times New Roman" w:eastAsia="Times New Roman" w:hAnsi="Times New Roman"/>
                <w:sz w:val="18"/>
                <w:szCs w:val="18"/>
                <w:color w:val="auto"/>
              </w:rPr>
              <w:t>F-21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and 2021, the Company recognized nil gain or loss for the equity investments using the measurement alternative. As of June 30, 2022 and 2021, the Company had no financial assets and liabilities measured and recorded at fair value on a non-recurring basis.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Fair Value Measurement </w:t>
      </w:r>
      <w:r>
        <w:rPr>
          <w:rFonts w:ascii="Times New Roman" w:cs="Times New Roman" w:eastAsia="Times New Roman" w:hAnsi="Times New Roman"/>
          <w:sz w:val="18"/>
          <w:szCs w:val="18"/>
          <w:color w:val="auto"/>
        </w:rPr>
        <w:t>(“ASU 2018-13”), which modifies the disclosure requirements on fair value measurements in ASC 820.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ASU 2018-13 on July 1, 2020, which has no material impact to the Company’s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is defined as the changes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7"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(“ASC 230”),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and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Foreign currency risk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the Company’s expense transactions are denominated in Renminbi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as set forth in the H.10 statistical release of the U.S. Federal Reserve Board. Remittances in currencies other than RMB by the Company in China must be processed through the People’s Bank of China (“PBOC”) or other China foreign exchange regulatory bodies which require certain supporting documentation in order to affect the remittance.</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PRC subsidiaries is the RMB, and the financial statements are presented in U.S. dollars. The RMB depreciated by 2.9% in fiscal 2020, appreciated by 8.6% in fiscal 2021, and depreciated by 3.7% in fiscal 2022, respectively. It is difficult to predict how market forces or PRC or U.S. government policy may impact the exchange rate between the RMB and the U.S. dollar in the future. The change in the value of the RMB relative to the U.S. dollar may affect the Company’s financial results reported in the U.S. dollar terms without giving effect to any underlying changes in its business or results of operations. Currently, the majority of the Company’s assets, liabilities, revenues and costs are denominated in RMB.</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and risks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Foreign currency risk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Concentration of credit risk</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and cash equivalents, short-term investments, account receivables, other assets, note receivables, and amounts due from related parties. As of June 30, 2022 and 2021, $14,787,554 and $9,705,412 of the Company’s cash and cash equivalents was on deposit at financial institutions in the PRC where there currently is no rule or regulation requiring such financial institutions to maintain insurance to cover bank deposits in the event of bank failure. As of June 30, 2022, the Company and its subsidiaries had $14,787,554, $2,034,692, $6,800, $1,195,402, $76,799, $4,007, $75,322, $124,583 and $91,828 of cash and cash equivalents on deposit at financial institutions in mainland China, Singapore, Australia, Hong Kong, Malaysia, India, Japan, America and Philippines, respectively. As of June 30, 2021, the Company and its subsidiaries had $9,705,412, $784,069, $11,477, $13,965,404, $1,833, $65,490, $191,584 and $14,113 of cash and cash equivalents on deposit at financial institutions in mainland China, Singapore, Australia, Hong Kong, India, Malaysia, Japan and America, respectively. The Company continues to monitor the financial strength of the financial institutions. There has been no recent history of default in relation to these financial institutions.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credit evaluations on its customers and generally does not require collateral or other security from such customers. The Company periodically evaluates the creditworthiness of the existing customers in determining an allowance for doubtful accounts primarily based upon the age of the receivables and factors surrounding the credit risk of specific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Significant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top two customers and their affiliates accounted for 20.6%, and 12.2%, respectively, of total revenues during the year ended June 30, 2022, 19.1%, and 11.9%, respectively, of total revenues during the year ended June 30, 2021. One customer accounted for 21.5% of total revenues during the year ended June 30, 2020. The top two customers accounted for 30.2%, and 9.3%, respectively, of the Company’s total accounts receivable balance as of June 30, 2022, 23.2%, and 16.3%, respectively, of the Company’s total accounts receivable balance as of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The Company has adopted the extended transition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(continued)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or ASU 2016-02, which modifies lease accounting for lessees to increase transparency and comparability by recording lease assets and liabilities for operating leases and disclosing key information about leasing arrangements. In July 2018, the FASB issued ASU No.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or ASU 2018-10, to supersede ASU 2016-02. In addition, the FASB issued ASU No.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xml:space="preserve">, that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June 2020, the FASB issued ASU No. 2020-05,</w:t>
      </w:r>
      <w:r>
        <w:rPr>
          <w:rFonts w:ascii="Times New Roman" w:cs="Times New Roman" w:eastAsia="Times New Roman" w:hAnsi="Times New Roman"/>
          <w:sz w:val="18"/>
          <w:szCs w:val="18"/>
          <w:i w:val="1"/>
          <w:iCs w:val="1"/>
          <w:color w:val="auto"/>
        </w:rPr>
        <w:t xml:space="preserve"> Revenue from Contracts with Customers (Topic 606)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Leases (Topic 842): Effective Dates for Certain Entities, which amended the effective date of Topic 842, Leases</w:t>
      </w:r>
      <w:r>
        <w:rPr>
          <w:rFonts w:ascii="Times New Roman" w:cs="Times New Roman" w:eastAsia="Times New Roman" w:hAnsi="Times New Roman"/>
          <w:sz w:val="18"/>
          <w:szCs w:val="18"/>
          <w:color w:val="auto"/>
        </w:rPr>
        <w:t>. The updated guidance is effective for the Company’s annual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June 30, 2023 and interim periods during the year ending June 30, 2024. The Company does not plan to early adopt the new lease standards and the Company expects that applying the ASU 2016-02 would materially increase its assets and liabilities due to the recognition of right-of-use assets and lease liabilities on its consolidated balance sheets, with an immaterial impact on its consolidated statements of comprehensive loss and cash flows.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or ASU 2016-13</w:t>
      </w:r>
      <w:r>
        <w:rPr>
          <w:rFonts w:ascii="Times New Roman" w:cs="Times New Roman" w:eastAsia="Times New Roman" w:hAnsi="Times New Roman"/>
          <w:sz w:val="18"/>
          <w:szCs w:val="18"/>
          <w:color w:val="auto"/>
        </w:rPr>
        <w:t>. This ASU is intended to improve financial reporting by requiring timelier recording of credit losses on loans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held by financial institutions and other organizations. This ASU requires the measurement of all expected credit losses for financial assets held at the reporting date based on historical experience, current conditions, and reasonable and supportable forecasts. This ASU requires enhanced disclosures to help investors and other financial statement users better understand significant estimates and judgments used in estimating credit losses, as well as the credit quality and underwriting standards of the Company’s portfolio. These disclosures include qualitative and quantitative requirements that provide additional information about the amounts recorded in the financial statements. In November 2018, the FASB issued ASU No. 2018-19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 Improvements to Topic 326, Financial Instruments—Credit Losses</w:t>
      </w:r>
      <w:r>
        <w:rPr>
          <w:rFonts w:ascii="Times New Roman" w:cs="Times New Roman" w:eastAsia="Times New Roman" w:hAnsi="Times New Roman"/>
          <w:sz w:val="18"/>
          <w:szCs w:val="18"/>
          <w:color w:val="auto"/>
        </w:rPr>
        <w:t>, which clarifies that receivables arising from operating leases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in accordance with ASC 842</w:t>
      </w:r>
      <w:r>
        <w:rPr>
          <w:rFonts w:ascii="Times New Roman" w:cs="Times New Roman" w:eastAsia="Times New Roman" w:hAnsi="Times New Roman"/>
          <w:sz w:val="18"/>
          <w:szCs w:val="18"/>
          <w:i w:val="1"/>
          <w:iCs w:val="1"/>
          <w:color w:val="auto"/>
        </w:rPr>
        <w:t>, Leases (“ASC 842”) instead of</w:t>
      </w:r>
      <w:r>
        <w:rPr>
          <w:rFonts w:ascii="Times New Roman" w:cs="Times New Roman" w:eastAsia="Times New Roman" w:hAnsi="Times New Roman"/>
          <w:sz w:val="18"/>
          <w:szCs w:val="18"/>
          <w:color w:val="auto"/>
        </w:rPr>
        <w:t xml:space="preserve"> ASC Subtopic 326-20. In November 2019, the FASB issued ASU No. 2019-10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Instruments—Credit Losses (Topic 326), Derivatives and Hedging (Topic 815)</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Leases (Topic 842): Effective Dates</w:t>
      </w:r>
      <w:r>
        <w:rPr>
          <w:rFonts w:ascii="Times New Roman" w:cs="Times New Roman" w:eastAsia="Times New Roman" w:hAnsi="Times New Roman"/>
          <w:sz w:val="18"/>
          <w:szCs w:val="18"/>
          <w:color w:val="auto"/>
        </w:rPr>
        <w:t>, which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ASU 2016-13. The amendments in these ASUs are effective for the Company’s annual reporting period ending June 30, 2024 and interim periods during the year ending June 30, 2024. Early adoption is permitted. The Company does not expect to early adopt this guidance and is in the process of evaluating the impact of adoption of this guidance on the Company’s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as part of its Simplification Initiative to reduce the cost and complexity in accounting for income taxes. This standard removes certain exceptions related to the approach for intra period tax allocation, the methodology for calculating income taxes in an interim period and the recognition of deferred tax liabilities for outside basis differences. It also amends other aspects of the guidance to help simplify and promote consistent application of GAAP. ASU 2019-12 is effective for the Company’s annual reporting period ending June 30, 2023 and interim periods during the year ending June 30, 2024. The Company does not expect to early adopt this guidance and is in the process of evaluating the impact of adoption of this guidance on the Company’s consolidated financial statements.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which simplifies the accounting for goodwill impairment by eliminating Step two from the goodwill impairment test. If the carrying amount of a reporting unit exceeds its fair value, an impairment loss shall be recognized in an amount equal to that excess, versus determining an implied fair value in Step two to measure the impairment loss. In March 2021, the FASB issued ASU 2021-03, </w:t>
      </w:r>
      <w:r>
        <w:rPr>
          <w:rFonts w:ascii="Times New Roman" w:cs="Times New Roman" w:eastAsia="Times New Roman" w:hAnsi="Times New Roman"/>
          <w:sz w:val="18"/>
          <w:szCs w:val="18"/>
          <w:i w:val="1"/>
          <w:iCs w:val="1"/>
          <w:color w:val="auto"/>
        </w:rPr>
        <w:t>Intangibles-Goodwill and Other (Topic 350): Accounting Alternative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Evaluating Triggering Events</w:t>
      </w:r>
      <w:r>
        <w:rPr>
          <w:rFonts w:ascii="Times New Roman" w:cs="Times New Roman" w:eastAsia="Times New Roman" w:hAnsi="Times New Roman"/>
          <w:sz w:val="18"/>
          <w:szCs w:val="18"/>
          <w:color w:val="auto"/>
        </w:rPr>
        <w:t>, which provide entities an accounting alternative to perform the goodwill impairment triggering event evaluation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the reporting period, whether the reporting period is a interim or annual period. The guidance begins to take effect for impairment tests performed during the fiscal year ending June 30, 2024. Earlier application is permitted. The guidance should be applied on a prospective basis. The Company does not expect to early adopt this guidance and is in the process of evaluating the impact of adoption of this guidance on the Company’s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(continued)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2020, the FASB issued ASU No. 2020-01, </w:t>
      </w:r>
      <w:r>
        <w:rPr>
          <w:rFonts w:ascii="Times New Roman" w:cs="Times New Roman" w:eastAsia="Times New Roman" w:hAnsi="Times New Roman"/>
          <w:sz w:val="18"/>
          <w:szCs w:val="18"/>
          <w:i w:val="1"/>
          <w:iCs w:val="1"/>
          <w:color w:val="auto"/>
        </w:rPr>
        <w:t>Investments—Equity Securities (Topic 321), Investments—Equity Method and Joint Ventures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323), and Derivatives and Hedging (Topic 815)</w:t>
      </w:r>
      <w:r>
        <w:rPr>
          <w:rFonts w:ascii="Times New Roman" w:cs="Times New Roman" w:eastAsia="Times New Roman" w:hAnsi="Times New Roman"/>
          <w:sz w:val="18"/>
          <w:szCs w:val="18"/>
          <w:color w:val="auto"/>
        </w:rPr>
        <w:t>. The amendments clarify that an entity should consider observable transactions that require it to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or discontinue the equity method of accounting for the purposes of applying the measurement alternative in accordance with Topic 321 immediately before applying or upon discontinuing the equity method. The amendments also clarify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An entity also would evaluate the remaining characteristics in paragraph 815-10-15-141 to determine the accounting for those forward contracts and purchased options. The amendments are effective for fiscal years beginning July 1, 2022, and interim periods within those fiscal years. The Company does not expect to early adopt this guidance and is in the process of evaluating the impact of adoption of this guidance on the Company’s consolidated financial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2021, the FASB issued Accounting Standards Update 2021-04</w:t>
      </w:r>
      <w:r>
        <w:rPr>
          <w:rFonts w:ascii="Times New Roman" w:cs="Times New Roman" w:eastAsia="Times New Roman" w:hAnsi="Times New Roman"/>
          <w:sz w:val="18"/>
          <w:szCs w:val="18"/>
          <w:i w:val="1"/>
          <w:iCs w:val="1"/>
          <w:color w:val="auto"/>
        </w:rPr>
        <w:t>—Earnings Per Share (Topic 260), Debt—Modifications and Extinguishments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470-50), Compensation—Stock Compensation (Topic 718), and Derivatives and Hedging—Contracts in Entity’s Own Equity (Subtopic 815-40): Issuer’s Accounting for Certain Modifications or Exchanges of Freestanding Equity-Classified Written Call Options </w:t>
      </w:r>
      <w:r>
        <w:rPr>
          <w:rFonts w:ascii="Times New Roman" w:cs="Times New Roman" w:eastAsia="Times New Roman" w:hAnsi="Times New Roman"/>
          <w:sz w:val="18"/>
          <w:szCs w:val="18"/>
          <w:color w:val="auto"/>
        </w:rPr>
        <w:t>(a consensus of the FASB Emerging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Task Force). The FASB is issuing this Update to clarify and reduce diversity in an issuer’s accounting for modifications or exchanges of freestanding equity-classified written call options (for example, warrants) that remain equity classified after modification or exchange. Stakeholders asserted that there is diversity in an issuer’s accounting for economically similar modifications or exchanges of freestanding equity-classified written call options due to a lack of explicit guidance in the Codification. Stakeholders requested that the Board provide guidance that will clarify whether an issuer should account for a modification or an exchange of a freestanding equity-classified written call option that remains equity classified after modification or exchange as (1) an adjustment to equity and, if so, the related earnings per share (EPS) effects, if any, or (2) an expense and, if so, the manner and pattern of recognition. The amendments in this Update are effective for all entities for fiscal years beginning July 1, 2022, including interim periods within those fiscal years. The Company does not expect to early adopt this guidance and is in the process of evaluating the impact of adoption of this guidance on the Company’s consolidated financial statements.</w:t>
      </w:r>
    </w:p>
    <w:p>
      <w:pPr>
        <w:spacing w:after="0" w:line="190" w:lineRule="exact"/>
        <w:rPr>
          <w:sz w:val="20"/>
          <w:szCs w:val="20"/>
          <w:color w:val="auto"/>
        </w:rPr>
      </w:pPr>
    </w:p>
    <w:p>
      <w:pPr>
        <w:jc w:val="both"/>
        <w:ind w:firstLine="25"/>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Business Combinations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The amendments create an exception to the general recognition and measurement principal in ASC 805,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to measure assets and liabilities acquired in a business combination at fair value. Instead, an acquirer in a business combination will be required to apply ASC 606 to recognize and measure contract assets and contract liabilities that result from contracts accounted for under ASC 606 on the acquisition date and will generally result in the acquirer recognizing amounts consistent with those recorded by the acquiree immediately before the acquisition date. The amendments are effective for fiscal years beginning July 1, 2023 and interim periods within those fiscal years. The Company does not expect to early adopt this guidance and is in the process of evaluating the impact of adoption of this guidance on the Group’s consolidated financial statements.</w:t>
      </w:r>
    </w:p>
    <w:p>
      <w:pPr>
        <w:spacing w:after="0" w:line="185" w:lineRule="exact"/>
        <w:rPr>
          <w:sz w:val="20"/>
          <w:szCs w:val="20"/>
          <w:color w:val="auto"/>
        </w:rPr>
      </w:pPr>
    </w:p>
    <w:p>
      <w:pPr>
        <w:jc w:val="both"/>
        <w:ind w:firstLine="25"/>
        <w:spacing w:after="0" w:line="256"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This update requires certain annual disclosures about transactions with a government that are accounted for by applying a grant or contribution accounting model by analogy. This update is effective for annual periods beginning July 1, 2022. This guidance should be applied either prospectively to all transactions that are reflected in financial statements at the date of initial application and new transactions that are entered into after the date of initial application or retrospectively to those transactions. The Company will apply the guidance prospectively and expects the impact of this guidance will require additional disclosures on the Company’s government assistance arrangements in its consolidated financial statements, including the significant terms and conditions of the government assistance transaction.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statements, if recently adopted, would have a material effect on the Company’s consolidated balance sheets, consolidated statements of comprehensive income and consolidated statements of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 AND DECONSOLIDATIONS OF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Ridik Pte. and Ridik Consulting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26, 2019, Qiner acquired an 80% equity interest in Ridik Pte. Ltd. (“Ridik Pte.”) located in Singapore from third-party selling shareholders with the final purchase price of $2,462,580 (SGD 3,402,304), in the form of cash of $2,026,043 (SGD 2,799,180) and the Company’s common shares which were valued at $436,537 (SGD 603,123). Ridik Sdn. Bhd. (“Ridik Sdn.”), Ridik Software Solutions Pte. Ltd. (“Ridik Software Pte.”) and Ridik Software Solutions Ltd. (“Ridik Software”) are all subsidiaries of Ridik Pte. On December 3, 2019, the Company issued 86,615 common shares with $0.0001 par value per share to the selling shareholders.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transactions were accounted for as business combinations using the purchase method of accounting. The purchase price allocations of the transactions were determined by the Company with the assistance of an independent appraisal firm based on the estimated fair value of the assets acquired and liabilities assumed as of the acquisition dates. The most significant variables in the valuation are discount rates, terminal value, the number of years on which to base the cash flow projections, as well as the assumptions and estimates used to determine the cash inflows and outflows.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to assets acquired and liabilities assumed as of the date of acquisition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5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618,144</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5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103,697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5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904,748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(48,103)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5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(128,688)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(102,978)</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5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(431,548)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loans</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(44,201)</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(162,855)</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(411,351)</w:t>
            </w:r>
          </w:p>
        </w:tc>
      </w:tr>
      <w:tr>
        <w:trPr>
          <w:trHeight w:val="25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56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2,462,580</w:t>
            </w:r>
          </w:p>
        </w:tc>
        <w:tc>
          <w:tcPr>
            <w:tcW w:w="100" w:type="dxa"/>
            <w:vAlign w:val="bottom"/>
          </w:tcPr>
          <w:p>
            <w:pPr>
              <w:spacing w:after="0"/>
              <w:rPr>
                <w:sz w:val="20"/>
                <w:szCs w:val="20"/>
                <w:color w:val="auto"/>
              </w:rPr>
            </w:pPr>
          </w:p>
        </w:tc>
      </w:tr>
      <w:tr>
        <w:trPr>
          <w:trHeight w:val="21"/>
        </w:trPr>
        <w:tc>
          <w:tcPr>
            <w:tcW w:w="4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6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F-26</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 AND DECONSOLIDATIONS OF SUBSIDIARIES - 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Identifiable intangible assets acquired included customer relationship, which was valued using an income approach and determined to carry estimated remaining useful life of approximately ten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6, 2020, Ridik Pte. acquired 100% equity interest in Ridik Consulting Private Limited (“Ridik Consulting”) from third-party selling shareholders with the final purchase price of $5,520 (396,700 Indian Rupees). The fair value of the net liabilities acquired was $3,839 (275,800 Indian Rupees) and goodwill was recognized at $9,359 (672,500 Indian Rupees).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recognized represents the expected synergies and is not tax deductible.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 forma financial information of Ridik Pte. and Ridik Consulting are not presented as the effects of the acquisition on the Company’s consolidated financial statements were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CareerWin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$308,975 (RMB 2 million). The total consideration was allocated to the acquisition of 100% equity interests in CareerWin and the acquisition of 30% noncontrolling interest in JAJI HR (Note 19) at $289,980 (RMB 1.88 million) and $18,995 (RMB 0.12 million), respectively.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24,811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126,680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(71,488)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(25,336)</w:t>
            </w: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289,980</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 forma financial information of CareerWin is not presented as the effects of the acquisition on the Company’s consolidated financial statements were not 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 AND DECONSOLIDATIONS OF SUBSIDIARIES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MSCT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Growth Ring Ltd. (“Growth Ring”) entered into a capital increase agreement with Minshang Creative Technology Holdings Limited (“MCT”) to purchase MCT’s 53.33% equity interest in MSCT, at a total cash consideration of $205,711 (HK$1,600,000). After the transaction, Growth Ring owned 53.33% of MSCT and MCT owned the remaining 46.67% equity interests.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of the 53.33% equity interest in MSCT was completed on August 16, 2021. As MSCT does not possess all the elements that are necessary to conduct normal operations as a business and had not yet commenced operations, such acquisition is accounted for as an acquisition of using a cost accumulation and allocation model under which the cost of the acquisition is allocated to the assets acquired and liabilities assumed. The carrying amounts of the net identifiable assets of MSCT as of the date of acquisition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8"/>
                <w:szCs w:val="18"/>
                <w:i w:val="1"/>
                <w:iCs w:val="1"/>
                <w:color w:val="auto"/>
              </w:rPr>
              <w:t>(Note 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(23,971)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(121,807)</w:t>
            </w:r>
          </w:p>
        </w:tc>
      </w:tr>
      <w:tr>
        <w:trPr>
          <w:trHeight w:val="26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205,711</w:t>
            </w:r>
          </w:p>
        </w:tc>
        <w:tc>
          <w:tcPr>
            <w:tcW w:w="100" w:type="dxa"/>
            <w:vAlign w:val="bottom"/>
          </w:tcPr>
          <w:p>
            <w:pPr>
              <w:spacing w:after="0"/>
              <w:rPr>
                <w:sz w:val="22"/>
                <w:szCs w:val="22"/>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valuation used in the purchase price allocation described above was determined by the Company with the assistance of independent third-party valuation firm. The valuation report applied generally accepted valuation methodology, the income approach. As the acquiree is a private company, the fair value estimates of noncontrolling interest is based on significant inputs considered by market participants which mainly include (a) discount rate,</w:t>
      </w:r>
    </w:p>
    <w:p>
      <w:pPr>
        <w:spacing w:after="0" w:line="1" w:lineRule="exact"/>
        <w:rPr>
          <w:sz w:val="20"/>
          <w:szCs w:val="20"/>
          <w:color w:val="auto"/>
        </w:rPr>
      </w:pPr>
    </w:p>
    <w:p>
      <w:pPr>
        <w:ind w:left="300" w:hanging="292"/>
        <w:spacing w:after="0"/>
        <w:tabs>
          <w:tab w:leader="none" w:pos="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terminal value based on future cash flows, (c) equity multiples or enterprise value multiples of companies in the same industries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for lack of control or lack of marketability.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of Infogain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31, 2021, CLPS SG entered into an agreement with Sharma Devendra Prasad to sell its 80% interests in Infogain at a cash consideration of $75,672 (SGD100,000). Sharma Devendra Prasad is the shareholder of the 20% noncontrolling interests in Infogain and was the original shareholder of the 80% interest in Infogain acquired by CLPS SG in 2019. After the disposal, the Company was no longer a shareholder of Infogain and deconsolidated Infogain’s financial results from the Company’s financial statements from June 1, 2021. The Company recognized a total gain of $9,022 (SGD 11,921) from the transaction in “Other income, net” in the consolidated statements of comprehensive income for the year ended June 30, 2021. The deconsolidation of Infogain did not meet the definition of a discontinued operation in accordance with ASC 205-20, </w:t>
      </w:r>
      <w:r>
        <w:rPr>
          <w:rFonts w:ascii="Times New Roman" w:cs="Times New Roman" w:eastAsia="Times New Roman" w:hAnsi="Times New Roman"/>
          <w:sz w:val="18"/>
          <w:szCs w:val="18"/>
          <w:i w:val="1"/>
          <w:iCs w:val="1"/>
          <w:color w:val="auto"/>
        </w:rPr>
        <w:t>Presentation of Financial Statements –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(“ASC 205-20”), as the disposal of Infogain did not represent a shift in the Company’s strategy that has (or will have) a major effect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operations and financial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53,896,259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44,448,073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(126,372)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(309,076)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53,769,887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44,138,997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movement of the allowance for doubtful accounts is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214,734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doubtful accounts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(180,518)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(16,994)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126,372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PREPAYMENTS, DEPOSITS AND OTHER ASSETS,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assets, net consisted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1,461,411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513,199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and deposits to suppliers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728,238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651,402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714,127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437,288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187,916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employees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from Infogain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185,906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4,463,870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3,426,603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(248,456)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(896,145)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Prepayments, deposits and other assets – current portion</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4,215,414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2,530,458</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PREPAYMENTS, DEPOSITS AND OTHER ASSETS, NET - continued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movement of the allowance for doubtful accounts is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(reversal) for doubtful accounts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(230,032)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17,585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20,198,454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1,224,250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1,047,227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building related facility, machinery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225,773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118,472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122,903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69,448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147,207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667,785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614,680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22,504,182</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1,932,017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(1,903,084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(1,331,226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20,601,098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600,791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$709,836, $404,063, and $360,302 for the years ended June 30, 2022, 2021 and 2020, respectively. No impairment loss was recognized for the years ended June 30, 2022, 2021 and 2020.</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2021, intangible assets,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amortization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40" w:lineRule="exact"/>
        <w:rPr>
          <w:sz w:val="20"/>
          <w:szCs w:val="20"/>
          <w:color w:val="auto"/>
        </w:rPr>
      </w:pPr>
    </w:p>
    <w:p>
      <w:pPr>
        <w:ind w:left="405" w:hanging="405"/>
        <w:spacing w:after="0"/>
        <w:tabs>
          <w:tab w:leader="none" w:pos="4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1,021,509   $   1,056,162</w:t>
      </w:r>
    </w:p>
    <w:p>
      <w:pPr>
        <w:spacing w:after="0" w:line="2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344,003356,870</w:t>
      </w:r>
    </w:p>
    <w:p>
      <w:pPr>
        <w:spacing w:after="0" w:line="9"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228,85380,330</w:t>
      </w:r>
    </w:p>
    <w:p>
      <w:pPr>
        <w:spacing w:after="0" w:line="9"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(624,321)</w:t>
      </w:r>
      <w:r>
        <w:rPr>
          <w:sz w:val="20"/>
          <w:szCs w:val="20"/>
          <w:color w:val="auto"/>
        </w:rPr>
        <w:tab/>
      </w:r>
      <w:r>
        <w:rPr>
          <w:rFonts w:ascii="Times New Roman" w:cs="Times New Roman" w:eastAsia="Times New Roman" w:hAnsi="Times New Roman"/>
          <w:sz w:val="18"/>
          <w:szCs w:val="18"/>
          <w:color w:val="auto"/>
        </w:rPr>
        <w:t>(442,863)</w:t>
      </w:r>
    </w:p>
    <w:p>
      <w:pPr>
        <w:spacing w:after="0" w:line="58" w:lineRule="exact"/>
        <w:rPr>
          <w:sz w:val="20"/>
          <w:szCs w:val="20"/>
          <w:color w:val="auto"/>
        </w:rPr>
      </w:pPr>
    </w:p>
    <w:p>
      <w:pPr>
        <w:ind w:left="5"/>
        <w:spacing w:after="0"/>
        <w:tabs>
          <w:tab w:leader="none" w:pos="525" w:val="left"/>
          <w:tab w:leader="none" w:pos="1325" w:val="left"/>
          <w:tab w:leader="none" w:pos="172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970,044</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1,050,499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56019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873" w:right="339" w:bottom="1440" w:gutter="0" w:footer="0" w:header="0"/>
          <w:type w:val="continuous"/>
        </w:sectPr>
      </w:pP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June 30, 2021, customer relationship of $127,002 was derived from the acquisition of CareerWin with an estimated useful life of 5 years. During the year ended June 30, 2022, software of $150,468 was derived from the asset acquisition of MSCT with an estimated useful life of 10 years (Note 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63" w:name="page164"/>
    <w:bookmarkEnd w:id="163"/>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of intangible assets, net is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July 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400" w:hanging="395"/>
        <w:spacing w:after="0"/>
        <w:tabs>
          <w:tab w:leader="none" w:pos="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1,050,499</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160,032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(202,412)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(38,075)</w:t>
      </w:r>
    </w:p>
    <w:p>
      <w:pPr>
        <w:spacing w:after="0" w:line="58" w:lineRule="exact"/>
        <w:rPr>
          <w:sz w:val="20"/>
          <w:szCs w:val="20"/>
          <w:color w:val="auto"/>
        </w:rPr>
      </w:pPr>
    </w:p>
    <w:p>
      <w:pPr>
        <w:ind w:left="520" w:hanging="515"/>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970,044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amortization expenses were $202,412, $273,178 and $232,871 for the years ended June 30, 2022, 2021 and 2020. Estimated future amortization expenses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144,117</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139,541</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123,943</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105,102</w:t>
            </w: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2028 and after</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264,990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970,044</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losses were recognized for the years ended June 30,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June 30, 2022 were as follows:</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July 1, 2021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2,444,950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(81,109)</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only one reporting unit. For the years ended June 30, 2021, the Company performed a qualitative assessment of the goodwill for the reporting unit based on the requirements of ASC 350-20. The Company evaluated all relevant factors, weighed all factors in their entirety and concluded that it was not more-likely-than-not that the fair value of the reporting unit was less than its carrying amount. Therefore, further impairment testing on goodwill was unnecessary as of June 30, 2021.</w:t>
      </w:r>
    </w:p>
    <w:p>
      <w:pPr>
        <w:spacing w:after="0" w:line="193"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For the year ended June 30, 2022</w:t>
      </w:r>
      <w:r>
        <w:rPr>
          <w:rFonts w:ascii="SimSun" w:cs="SimSun" w:eastAsia="SimSun" w:hAnsi="SimSun"/>
          <w:sz w:val="18"/>
          <w:szCs w:val="18"/>
          <w:color w:val="auto"/>
        </w:rPr>
        <w:t>，</w:t>
      </w:r>
      <w:r>
        <w:rPr>
          <w:rFonts w:ascii="Times New Roman" w:cs="Times New Roman" w:eastAsia="Times New Roman" w:hAnsi="Times New Roman"/>
          <w:sz w:val="18"/>
          <w:szCs w:val="18"/>
          <w:color w:val="auto"/>
        </w:rPr>
        <w:t>the Company performed a qualitative assessment of the goodwill for the reporting unit based on the requirements of ASC 350-20</w:t>
      </w:r>
      <w:r>
        <w:rPr>
          <w:rFonts w:ascii="SimSun" w:cs="SimSun" w:eastAsia="SimSun" w:hAnsi="SimSun"/>
          <w:sz w:val="18"/>
          <w:szCs w:val="18"/>
          <w:color w:val="auto"/>
        </w:rPr>
        <w:t>，</w:t>
      </w:r>
      <w:r>
        <w:rPr>
          <w:rFonts w:ascii="Times New Roman" w:cs="Times New Roman" w:eastAsia="Times New Roman" w:hAnsi="Times New Roman"/>
          <w:sz w:val="18"/>
          <w:szCs w:val="18"/>
          <w:color w:val="auto"/>
        </w:rPr>
        <w:t>evaluated all relevant factors, weighed all factors in their entirety and concluded that the two-step quantitative impairment test on goodwill was necessary as of June 30, 2022. The Company compared the carrying amount of the reporting unit to the fair value of the reporting unit based on estimated fair value using the income approach and the fair value of the reporting unit exceeded the carrying value of the reporting unit, goodwill is not impaired and the Company is not required to perform further testing, and no impairment loss shall be attributed to the parent or the noncontrolling interest.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LONG-TERM INVESTMENTS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 investments without readily determinable fair values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UniDev Software Co., Ltd. (“UniDev”)</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252,161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Shenzhen Huaqin Robotics Co., Ltd. (“Huaqin Robotics”)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Lihong Financial Information Services Co., Ltd. (“CLPS Lihong”)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Guangdong Zhichuang Software Technology Co., Ltd. (“CLPS Guangdong Zhichuang”)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investments without readily determinable fair values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401,457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Fuson Group Limited (“Fuson”)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139,164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Shier Information Technology Co., Ltd. (“Shier”)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Economic Modeling Information Technology Co., Ltd. (“EMIT”)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208,929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610,386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 without readily determinable fair values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investments without readily determinable fair values was $401,457 (RMB 2.69 million) and $806,317 as of June 30, 2022 and 2021, respectively. No downward adjustments (including impairment charges) or upward adjustments was recognized on equity investments without readily determinable fair value for the years ended June 30, 2022, 2021 and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3, 2019, the Company purchased a 30% equity interest of EMIT at nil consideration with a committed to invest $445,454.14 (RMB 3.00 million) in total within 20 years. During the years ended June 30, 2020, the Company made capital contribution to EMIT of $143,299.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2021, the Company purchased a 35% equity interest of Shier at a cash consideration of $83,228 (RMB 0.54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16, 2021, the Company purchased a 35.02% equity interest of Fuson at a cash consideration of $157,464 (HK$1.2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the investments in EMIT, Shier and Fuson as equity method investments due to its significant influence over the entities.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loss of $50,297, a loss of $44,121 and an income of $207,363 from equity investments accounted for using equity method for the years ended June 30, 2022, 2021 and 2020, respectively. The company recognized an impairment loss of $102,155 of EMIT for the years ended June 30, 2022. The carrying amount of the Company’s equity method investments were $208,929 and $208,467 as of June 30, 2022 and 2021,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the equity method investments in excess of the Company’s proportionate interest was not material and recognized as equity method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of the equity method investees are not presented as the effects were not 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BANK LOANS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balances of bank loans consisted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36"/>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Bank of Shanghai Pudong Development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7,040,738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4,425,504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 from China Merchants Bank</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5,931,331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Bank of Communication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1,492,961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3,097,605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from Development Bank of Singapore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23,374</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loans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14,474,363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7,546,483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Non-current portion</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(9,644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 and long-term bank loans – current portion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14,474,363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7,536,839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loans payable consisted of several bank loans denominated in RMB and SGD.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total financing credit facilities of RMB8,000,000, of which the unused amount was RMB3,000,000.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certain bank borrowings of RMB5,000,000 are guaranteed by subsidiaries of the Group. Others are unsecured loans.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expenses were $447,187, $156,749 and $90,940 for the years ended June 30, 2022, 2021 and 2020, respectively. The effective weighted average interest rates were 3.771%, 4.160% and 4.168% for the years ended June 30, 2022, 2021 and 2020,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all loan principal will be due within 1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SALARIES AND BENEFITS PAYABLE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$1,550,145 and $1,561,677 accrued employer portion of social benefits payable to local governments as of June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2022 and 2021 consisted 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3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104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CEO of the Company</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EMIT</w:t>
            </w:r>
          </w:p>
        </w:tc>
        <w:tc>
          <w:tcPr>
            <w:tcW w:w="104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investee of the Company</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Beijing Bright Technology Co., Ltd (“Beijing Bright”)</w:t>
            </w:r>
          </w:p>
        </w:tc>
        <w:tc>
          <w:tcPr>
            <w:tcW w:w="104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Noncontrolling interest shareholder of JAJI China</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UniDev</w:t>
            </w:r>
          </w:p>
        </w:tc>
        <w:tc>
          <w:tcPr>
            <w:tcW w:w="104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investee of the Company</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Fuson Group Limited (“Fuson”)</w:t>
            </w:r>
          </w:p>
        </w:tc>
        <w:tc>
          <w:tcPr>
            <w:tcW w:w="104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investee of the Company</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MCT</w:t>
            </w:r>
          </w:p>
        </w:tc>
        <w:tc>
          <w:tcPr>
            <w:tcW w:w="104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 shareholder of MSCT</w:t>
            </w:r>
          </w:p>
        </w:tc>
      </w:tr>
      <w:tr>
        <w:trPr>
          <w:trHeight w:val="655"/>
        </w:trPr>
        <w:tc>
          <w:tcPr>
            <w:tcW w:w="470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rPr>
              <w:t>F-34</w:t>
            </w:r>
          </w:p>
        </w:tc>
      </w:tr>
    </w:tbl>
    <w:p>
      <w:pPr>
        <w:sectPr>
          <w:pgSz w:w="11900" w:h="16838" w:orient="portrait"/>
          <w:cols w:equalWidth="0" w:num="1">
            <w:col w:w="11240"/>
          </w:cols>
          <w:pgMar w:left="320" w:top="873"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 – continued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Related party balances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balances due from and due to related parties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Beijing Bright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393,761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UniDev</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Fuson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377,642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546,128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from related parties mainly represents loan provided to EMIT and software development fee prepaid to Beijing Bright.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UniDev</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MCT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related parties mainly represents the unpaid consulting service fee to EMIT and UniDev and unpaid administrative fee to MCT.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Related party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For the year ended,</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Consulting services provided to the related parties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UniDev</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CareerWin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165,161</w:t>
            </w: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CLPS Lihong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269,472</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73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Services provided by the related parties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157,762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758,976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209,318</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UniDev</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34,995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CareerWin</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195,817</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Beijing Bright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142,487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604,033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165,040</w:t>
            </w:r>
          </w:p>
        </w:tc>
      </w:tr>
      <w:tr>
        <w:trPr>
          <w:trHeight w:val="250"/>
        </w:trPr>
        <w:tc>
          <w:tcPr>
            <w:tcW w:w="7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335,244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1,363,009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570,175</w:t>
            </w:r>
          </w:p>
        </w:tc>
      </w:tr>
      <w:tr>
        <w:trPr>
          <w:trHeight w:val="34"/>
        </w:trPr>
        <w:tc>
          <w:tcPr>
            <w:tcW w:w="732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Loans provided to the related parties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CLPS Lihong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149,341</w:t>
            </w: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EMIT</w:t>
            </w:r>
          </w:p>
        </w:tc>
        <w:tc>
          <w:tcPr>
            <w:tcW w:w="3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83,651</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151,783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28,446</w:t>
            </w:r>
          </w:p>
        </w:tc>
      </w:tr>
      <w:tr>
        <w:trPr>
          <w:trHeight w:val="262"/>
        </w:trPr>
        <w:tc>
          <w:tcPr>
            <w:tcW w:w="73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83,651</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Repayment of loans from the related parties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CLPS Lihong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149,341</w:t>
            </w: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EMIT</w:t>
            </w:r>
          </w:p>
        </w:tc>
        <w:tc>
          <w:tcPr>
            <w:tcW w:w="3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15,491</w:t>
            </w:r>
          </w:p>
        </w:tc>
        <w:tc>
          <w:tcPr>
            <w:tcW w:w="58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28,446</w:t>
            </w:r>
          </w:p>
        </w:tc>
      </w:tr>
      <w:tr>
        <w:trPr>
          <w:trHeight w:val="262"/>
        </w:trPr>
        <w:tc>
          <w:tcPr>
            <w:tcW w:w="73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income received from the related parties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EMIT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9,260</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CLPS Lihong</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61"/>
        </w:trPr>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708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70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Rental income from the related party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0" w:type="dxa"/>
            <w:vAlign w:val="bottom"/>
            <w:vMerge w:val="continue"/>
          </w:tcPr>
          <w:p>
            <w:pPr>
              <w:spacing w:after="0"/>
              <w:rPr>
                <w:sz w:val="16"/>
                <w:szCs w:val="16"/>
                <w:color w:val="auto"/>
              </w:rPr>
            </w:pPr>
          </w:p>
        </w:tc>
        <w:tc>
          <w:tcPr>
            <w:tcW w:w="7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7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Fuson</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3,587</w:t>
            </w: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500" w:type="dxa"/>
            <w:vAlign w:val="bottom"/>
            <w:gridSpan w:val="2"/>
          </w:tcPr>
          <w:p>
            <w:pPr>
              <w:ind w:left="70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3,587</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2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ind w:left="5220"/>
              <w:spacing w:after="0"/>
              <w:rPr>
                <w:sz w:val="20"/>
                <w:szCs w:val="20"/>
                <w:color w:val="auto"/>
              </w:rPr>
            </w:pPr>
            <w:r>
              <w:rPr>
                <w:rFonts w:ascii="Times New Roman" w:cs="Times New Roman" w:eastAsia="Times New Roman" w:hAnsi="Times New Roman"/>
                <w:sz w:val="18"/>
                <w:szCs w:val="18"/>
                <w:color w:val="auto"/>
              </w:rPr>
              <w:t>F-36</w:t>
            </w: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TAXES</w:t>
      </w:r>
    </w:p>
    <w:p>
      <w:pPr>
        <w:spacing w:after="0" w:line="225" w:lineRule="exact"/>
        <w:rPr>
          <w:sz w:val="20"/>
          <w:szCs w:val="20"/>
          <w:color w:val="auto"/>
        </w:rPr>
      </w:pPr>
    </w:p>
    <w:p>
      <w:pPr>
        <w:ind w:left="560" w:hanging="552"/>
        <w:spacing w:after="0"/>
        <w:tabs>
          <w:tab w:leader="none" w:pos="5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Income Taxes (“CIT”)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and BVI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laws of the Cayman Islands and BVI, the Company and subsidiaries in BVI are not subject to tax on income or capital gains.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 Hong Kong are subject to Hong Kong Profits Tax rate at 16.5%, and foreign-derived income is exempted from income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in Singapore are subject to Singapore Corporate Income Tax rate at 16.5%, and foreign-derived income is exempted from income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Enterprise Income Tax (“EIT”) Law of PRC, enterprises are usually subject to a unified 25% enterprise income tax rate while preferential tax rates, tax holidays and tax exemption may be granted if qualified. EIT Law grants a preferential tax rate to High and New Technology Enterprises (“HNTEs”). An enterprise qualified as HNTE and awarded with the “HNTE” certificate may enjoy a reduced EIT rate of 15%. CLPS Shanghai, the Company’s main operating subsidiary in PRC, was recognized as qualified HNTEs since 2013. Its latest qualified periods are for 2019 to 2021 and it enjoys a preferential tax rate of 15%. As of the reporting date, CLPS Shanghai has not been awarded the renewed “HNTE” certificate, and subject to a unified 25% enterprise income tax rate for tax year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qualified enterprise in encouraged industries registered in the Hainan Free Trade Port (“HFTP”) and engaged in substantive operations may enjoy a reduced EIT rate of 15%. CLPS Hainan, a Company’s subsidiary in the PRC, was recognized as a qualified enterprise engaged in encouraged industries registered in the Hainan Free Trade Port and engaged in substantive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1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17,366,634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14,814,221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 Mainland China</w:t>
            </w: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(9,682,434)</w:t>
            </w: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(6,493,761)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(5,559,127)</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7,684,200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8,320,460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3,707,459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reconciles the statutory rate to the Company’s effective tax 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statutory income tax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rate changes on deferred taxes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PRC preferential tax rate and tax relief</w:t>
            </w:r>
          </w:p>
        </w:tc>
        <w:tc>
          <w:tcPr>
            <w:tcW w:w="1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20" w:type="dxa"/>
            <w:vAlign w:val="bottom"/>
          </w:tcPr>
          <w:p>
            <w:pPr>
              <w:spacing w:after="0"/>
              <w:rPr>
                <w:sz w:val="18"/>
                <w:szCs w:val="18"/>
                <w:color w:val="auto"/>
              </w:rPr>
            </w:pPr>
          </w:p>
        </w:tc>
        <w:tc>
          <w:tcPr>
            <w:tcW w:w="10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transfers</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gain/loss</w:t>
            </w:r>
          </w:p>
        </w:tc>
        <w:tc>
          <w:tcPr>
            <w:tcW w:w="1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71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4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F-37</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Corporate Income Taxes (“CIT”) (continued)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(benefit) for income tax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bottom w:val="single" w:sz="8" w:color="CCEEFF"/>
            </w:tcBorders>
          </w:tcPr>
          <w:p>
            <w:pPr>
              <w:spacing w:after="0"/>
              <w:rPr>
                <w:sz w:val="20"/>
                <w:szCs w:val="20"/>
                <w:color w:val="auto"/>
              </w:rPr>
            </w:pPr>
          </w:p>
        </w:tc>
        <w:tc>
          <w:tcPr>
            <w:tcW w:w="6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2,800,162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1,670,733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(413,609)</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172,740</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provision for income tax expenses</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3,045,992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1,257,124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835,444</w:t>
            </w:r>
          </w:p>
        </w:tc>
        <w:tc>
          <w:tcPr>
            <w:tcW w:w="0" w:type="dxa"/>
            <w:vAlign w:val="bottom"/>
          </w:tcPr>
          <w:p>
            <w:pPr>
              <w:spacing w:after="0"/>
              <w:rPr>
                <w:sz w:val="1"/>
                <w:szCs w:val="1"/>
                <w:color w:val="auto"/>
              </w:rPr>
            </w:pPr>
          </w:p>
        </w:tc>
      </w:tr>
      <w:tr>
        <w:trPr>
          <w:trHeight w:val="21"/>
        </w:trPr>
        <w:tc>
          <w:tcPr>
            <w:tcW w:w="38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net operating loss carry forwards of approximately $1,572,903 from the Company’s PRC subsidiaries, which will expire between 2022 and 2027 if not utilized. As of June 30, 2022, the Company had net operating loss carry forwards of approximately $1,031,900, $254,524, $547,047, $159,183 and $12,358 from its operations in Singapore, Australia, Hong Kong, Japan and Philippines respectively. The net operating losses in Singapore, Australia and Hong Kong will be carried forward indefinitely while the net operating losses in Japan and Philippines will be carried forward for 10 years and 5 years,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liabilities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743,898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611,315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investee’s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93,385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(781,260)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(291,480)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327,040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607,773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154,022</w:t>
            </w:r>
          </w:p>
        </w:tc>
        <w:tc>
          <w:tcPr>
            <w:tcW w:w="0" w:type="dxa"/>
            <w:vAlign w:val="bottom"/>
          </w:tcPr>
          <w:p>
            <w:pPr>
              <w:spacing w:after="0"/>
              <w:rPr>
                <w:sz w:val="1"/>
                <w:szCs w:val="1"/>
                <w:color w:val="auto"/>
              </w:rPr>
            </w:pPr>
          </w:p>
        </w:tc>
      </w:tr>
      <w:tr>
        <w:trPr>
          <w:trHeight w:val="230"/>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of investee’s income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155,033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2021, valuation allowances were provided against deferred tax assets in entities which were in a three-year cumulative losses position and/or are not forecasted to turn profits in the foreseeable future.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years ended June 30, 2022 and 2021, the Company accrued dividend distribution withholding tax for the remittance of earnings from the subsidiaries in Mainland China to offshore entities of nil and $994,941, respectively. As of June 30, 2022 and 2021, the Company intended to permanently reinvest the remaining undistributed earnings from PRC subsidiaries to fund future operations and thus no deferred tax has been recognized for withholding taxes that would be payable on the unremitted earnings that are subject to withholding taxes of the Company’s subsidiaries established in the PRC. As of June 30, 2022 and 2021, the taxable temporary differences for unrecognized deferred tax liabilities related to investments in foreign subsidiaries were $ 23,731,272 and $20,328,999, respectively. The amount of unrecognized deferred tax liabilities for temporary differences related to investments in foreign subsidiaries is not determined because such a determination is not practicable.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TAXES - continued</w:t>
      </w:r>
    </w:p>
    <w:p>
      <w:pPr>
        <w:spacing w:after="0" w:line="225" w:lineRule="exact"/>
        <w:rPr>
          <w:sz w:val="20"/>
          <w:szCs w:val="20"/>
          <w:color w:val="auto"/>
        </w:rPr>
      </w:pPr>
    </w:p>
    <w:p>
      <w:pPr>
        <w:ind w:left="560" w:hanging="552"/>
        <w:spacing w:after="0"/>
        <w:tabs>
          <w:tab w:leader="none" w:pos="5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Income Taxes (“CIT”)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 tax positions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each uncertain tax position (including the potential application of interest and penalties) based on the technical merits, and measures the unrecognized benefits associated with the tax positions. It is possible that the amount of unrecognized benefit will further change in the next 12 months; however, an estimate of the range of the possible change cannot be made at this moment. Unrecognized tax benefits were presented in “other non-current liabilities” in the consolidated balance sheets. As of June 30, 2022, 2021 and 2020, the Company had unrecognized tax benefits of $3,095,554, $1,333,608 and $194,939, respectively, if ultimately recognized, will impact the effective tax rate. The Company has presented unrecognized tax benefits of $2,497,005, $750,616 and $128,467 on a net basis with deferred tax assets relating to tax losses carry forward, $446,490, $ 208,109 and $128,467 of which a full valuation allowance would otherwise be recorded as of June 30, 2022, 2021 and 2020. The Company recorded interests of $36,363 and zero penalties related to potential underpaid income tax expenses for the year ended June 30, 2022 and interests of $53,826 and zero penalties for the year ended June 30, 2021, zero interests and penalties for the year ended June 30,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 was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2,132,154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1,139,596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(267,622)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(157,906)</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(102,586)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46,222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3,095,554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1,333,608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194,939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open tax years for Mainland China ranges from calendar year 2017 to calendar year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Tax Payables</w:t>
            </w: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tax payables consist of the following:</w:t>
            </w: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w:t>
            </w:r>
          </w:p>
        </w:tc>
        <w:tc>
          <w:tcPr>
            <w:tcW w:w="4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693,239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770,853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income tax payable</w:t>
            </w: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462,792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 payable</w:t>
            </w: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349,582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275,208</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Disability insurance fund payable</w:t>
            </w: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776,979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565,806</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4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72,474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62,931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tax payables</w:t>
            </w:r>
          </w:p>
        </w:tc>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vMerge w:val="continue"/>
          </w:tcPr>
          <w:p>
            <w:pPr>
              <w:spacing w:after="0"/>
              <w:rPr>
                <w:sz w:val="20"/>
                <w:szCs w:val="20"/>
                <w:color w:val="auto"/>
              </w:rPr>
            </w:pPr>
          </w:p>
        </w:tc>
        <w:tc>
          <w:tcPr>
            <w:tcW w:w="4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2,355,066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1,715,009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F-39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leases commitments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subsidiaries lease administrative office space under various operating leases. Rental expenses recognized using the straight-line basis under operating leases amounted to $1,413,521, $942,606 and $944,645 for the years ended June 30, 2022, 2021 and 2020, respectively.</w:t>
      </w:r>
    </w:p>
    <w:p>
      <w:pPr>
        <w:sectPr>
          <w:pgSz w:w="11900" w:h="16838" w:orient="portrait"/>
          <w:cols w:equalWidth="0" w:num="1">
            <w:col w:w="11240"/>
          </w:cols>
          <w:pgMar w:left="320" w:top="873"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 months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expense</w:t>
      </w:r>
    </w:p>
    <w:p>
      <w:pPr>
        <w:spacing w:after="0" w:line="18" w:lineRule="exact"/>
        <w:rPr>
          <w:sz w:val="20"/>
          <w:szCs w:val="20"/>
          <w:color w:val="auto"/>
        </w:rPr>
      </w:pPr>
    </w:p>
    <w:p>
      <w:pPr>
        <w:ind w:left="400" w:hanging="395"/>
        <w:spacing w:after="0"/>
        <w:tabs>
          <w:tab w:leader="none" w:pos="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1,174,688</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795,710</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158,805</w:t>
      </w:r>
    </w:p>
    <w:p>
      <w:pPr>
        <w:spacing w:after="0" w:line="58" w:lineRule="exact"/>
        <w:rPr>
          <w:sz w:val="20"/>
          <w:szCs w:val="20"/>
          <w:color w:val="auto"/>
        </w:rPr>
      </w:pPr>
    </w:p>
    <w:p>
      <w:pPr>
        <w:ind w:left="400" w:hanging="395"/>
        <w:spacing w:after="0"/>
        <w:tabs>
          <w:tab w:leader="none" w:pos="400" w:val="left"/>
        </w:tabs>
        <w:numPr>
          <w:ilvl w:val="0"/>
          <w:numId w:val="9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2,129,203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calculation: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4,455,428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6,816,572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2,938,239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20,924,683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17,279,443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14,689,224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common shares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calculation: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shares for calculating diluted earnings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4,455,428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6,816,572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2,938,239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20,924,683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17,279,443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14,689,224</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Effects of dilutive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 options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179,479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110,518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diluted earnings per share attributable to common shares</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21,057,063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17,569,440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14,692,299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common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73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and 2020, warrants and options were out-of-the-money with no dilutive effect. For the year ended June 30, 2021, warrants were out-of-the-money with no dilutive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on May 24, 2018</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Company’s IPO on May 24, 2018, the Company issued 283,192 warrants to several placement agents of the IPO. Each warrant entitles the warrant holder to purchase the Company’s common shares at $4.20 or $6.3 per share. The warrants carry a term of five years expiring in May 2023 and shall not be exercisable for a period of 180 days from May 23, 2018. During the year ended June 30, 2019, 176,192 warrants were exercised and 99,380 common shares were issued. During year ended June 30, 2020, no warrants were exercised. During year ended June 30, 2021, 107,000 warrants were exercised and 65,542 common shares were issued. During year ended June 30, 2022, no warrants were exercised. As of June 30, 2022 and 2021, no warrants were issued and outstanding respectively.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are classified as equity contracts and measured at the grant date fair value. The Company used the Black-Scholes option pricing model to estimate the fair value of warrants. The assumptions used to value the Company’s warrants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49.39%</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term represents the weighted average period of time that the warrants granted are expected to be outstanding giving consideration to historical exercise patterns. Expected volatilities are based on similar public companies’ volatilities of the similar public companies’ common shares over the respective expected terms of share-based awards. Risk-free interest rate is based on US Treasury zero-coupon issues with maturity terms similar to the expected term on the warrants. The aggregated fair value of the public offering warrants on May 24, 2018 was $612,223.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on March 3, 2021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2021, the Company issued 2,666,666 warrants to with certain accredited investors concurrently with the private placement transaction (Note 18). Each warrant to purchase one common share of the Company at $6.0 per share and can be exercised prior to the termination date which is September 3, 2026. During year ended June 30, 2022, no warrants were exercised. As of June 30, 2022 and 2021, 2,666,666 warrants were issued and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are classified as equity contracts and measured at the grant date fair value. The Company used the Black-Scholes option pricing model to estimate the fair value of warrants. The assumptions used to value the Company’s warrants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41.48%</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term represents the weighted average period of time that the warrants granted are expected to be outstanding giving consideration to historical exercise patterns. Expected volatilities are based on similar public companies’ volatilities of the similar public companies’ common shares over the respective expected terms of share-based awards. Risk-free interest rate is based on US Treasury zero-coupon issues with maturity terms similar to the expected term on the warrants. The aggregated fair value of the public offering warrants on May 3, 2021 was $3,413,332.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SHARE-BASED PAYMENT</w:t>
      </w:r>
    </w:p>
    <w:p>
      <w:pPr>
        <w:spacing w:after="0" w:line="225" w:lineRule="exact"/>
        <w:rPr>
          <w:sz w:val="20"/>
          <w:szCs w:val="20"/>
          <w:color w:val="auto"/>
        </w:rPr>
      </w:pPr>
    </w:p>
    <w:p>
      <w:pPr>
        <w:ind w:left="560" w:hanging="552"/>
        <w:spacing w:after="0"/>
        <w:tabs>
          <w:tab w:leader="none" w:pos="5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2017 Stock Incentive Plan (the “2017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2017, the Company’s shareholders and Board of Directors (“Board”) approved the 2017 Plan. The 2017 Plan provides for discretionary grants of, among others, RSU, stock options, stock awards and stock unit awards to key employees and directors of the Company. The purpose of the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Plan will be determined by the Board (or its Compensation Committee) and may contain both service and performance conditions.</w:t>
      </w:r>
    </w:p>
    <w:p>
      <w:pPr>
        <w:spacing w:after="0" w:line="183" w:lineRule="exact"/>
        <w:rPr>
          <w:sz w:val="20"/>
          <w:szCs w:val="20"/>
          <w:color w:val="auto"/>
        </w:rPr>
      </w:pPr>
    </w:p>
    <w:p>
      <w:pPr>
        <w:ind w:left="560" w:hanging="552"/>
        <w:spacing w:after="0"/>
        <w:tabs>
          <w:tab w:leader="none" w:pos="5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2019 Equity Incentive Plan (the “2019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 No award was granted under the 2019 Plan.</w:t>
      </w:r>
    </w:p>
    <w:p>
      <w:pPr>
        <w:spacing w:after="0" w:line="176" w:lineRule="exact"/>
        <w:rPr>
          <w:sz w:val="20"/>
          <w:szCs w:val="20"/>
          <w:color w:val="auto"/>
        </w:rPr>
      </w:pPr>
    </w:p>
    <w:p>
      <w:pPr>
        <w:ind w:left="560" w:hanging="552"/>
        <w:spacing w:after="0"/>
        <w:tabs>
          <w:tab w:leader="none" w:pos="5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Equity Incentive Plan (the “2020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2020, the Company’s shareholders and Board approved the 2020 Plan. The 2020 Plan is to cancel the rest of authorized shares not granted under the 2017 and 2019 Plan. The 2020 Plan provides for discretionary grants of, among others, stock options, stock awards and stock unit awards to key employees and directors of the Company. The purpose of the 2020 Plan is to recognize contributions made to the Company by such individuals and to provide them with additional incentive to achieve the objectives of the Company. The Board authorized up to 11,011,663 shares for grants under the 2020 Plan. The grants under the 2020 Plan generally have a maximum contractual term of five years from the date of grant. The terms of individual agreements for various grants under the Plan will be determined by the Board (or its Compensation Committee) and may contain both service and performance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2018, the Company granted an aggregate of 306,967 stock options to key employees and senior executives under the 2017 Plan. The stock options are valid for a period of 10 years from the grant date and vest 25% per year in equal annual installments at the end of each anniversary over a four-year period, with the first 25% vesting on November 20, 2019 and the second, third and fourth 25% vest on November 20, 2020, 2021 and 2022,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SHARE-BASED PAYMENT -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27, 2019, the Company granted an aggregate of 775,250 stock options to key employees and senior executives under the 2017 Plan. The stock options are valid for a period of 5 years from the grant date and vest 25% per year in equal annual installments at the end of each anniversary over a four-year period, with the first 25% vesting on November 27, 2020 and the second, third and fourth 25% vest on November 27, 2021, 2022 and 2023,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6, 2020, the Company granted an aggregate of 618,839 stock options to key employees and senior executives under the 2020 plan. The stock options are valid for a period of 5 years from the grant date and vest 25% per year in equal annual installments at the end of each anniversary over a four-year period, with the first 25% vesting on November 6, 2021 and the second, third and fourth 25% vest on November 6, 2022, 2023 and 2024,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2021, the Company granted an aggregate of 2,790,300 stock options to key employees and senior executives under the 2020 plan. 200,000 stock options granted to the employees contains service condition, and 2,590,300 stock options granted to the employees and directors contains additional performance condition that the share numbers that will be vested is based on the performance appraisal of the grantees for the year 2022. The stock options are valid for a period of 5 years from the grant date and vest 25% per year in equal annual installments at the end of each anniversary over a four-year period, with the first 25% vesting on August 31, 2022 and the second, third and fourth 25% vest on August 31, 2023, 2024 and 2025,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2022, the Company granted an aggregate of 1,300,000 stock options to key employees and senior executives under the 2020 plan. The stock options are valid for a period of 5 years from the grant date and vest 25% per year in equal annual installments at the end of each anniversary over a four-year period, with the first 25% vesting on January 31, 2023 and the second, third and fourth 25% vest on January 31, 2024, 2025 and 2026,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options granted to employees are accounted for as equity awards and measured at their grant date fair value using binomial lattice model. The Company recognizes the compensation expenses over the service requisite periods using the accelerated method. Share-based compensation cost of $1,196,971, $529,479 and $448,736 were recognized for the years ended June 30, 2022, 2021 and 2020, respectively. The weighted-average grant-date fair value per share of options granted was $1.13 for senior executives and $1.01 for key employees during the year ended June 30, 2022, $1.06 for senior executives and $1.03 for key employees during the year ended June 30, 2021, and $1.03 for senior executives and $1.01 for key employees during the year ended June 30, 2020,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value the Company’s stock options grants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040" w:type="dxa"/>
            <w:vAlign w:val="bottom"/>
            <w:tcBorders>
              <w:bottom w:val="single" w:sz="8" w:color="auto"/>
            </w:tcBorders>
            <w:gridSpan w:val="7"/>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For the years ended June 30,</w:t>
            </w: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0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40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0.71~1.62%</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multiples</w:t>
            </w:r>
          </w:p>
        </w:tc>
        <w:tc>
          <w:tcPr>
            <w:tcW w:w="4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rates</w:t>
            </w:r>
          </w:p>
        </w:tc>
        <w:tc>
          <w:tcPr>
            <w:tcW w:w="4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Fair market value per common share</w:t>
            </w:r>
          </w:p>
        </w:tc>
        <w:tc>
          <w:tcPr>
            <w:tcW w:w="4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1.92~3.15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r>
      <w:tr>
        <w:trPr>
          <w:trHeight w:val="637"/>
        </w:trPr>
        <w:tc>
          <w:tcPr>
            <w:tcW w:w="40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4"/>
          </w:tcPr>
          <w:p>
            <w:pPr>
              <w:jc w:val="right"/>
              <w:ind w:right="3100"/>
              <w:spacing w:after="0"/>
              <w:rPr>
                <w:sz w:val="20"/>
                <w:szCs w:val="20"/>
                <w:color w:val="auto"/>
              </w:rPr>
            </w:pPr>
            <w:r>
              <w:rPr>
                <w:rFonts w:ascii="Times New Roman" w:cs="Times New Roman" w:eastAsia="Times New Roman" w:hAnsi="Times New Roman"/>
                <w:sz w:val="18"/>
                <w:szCs w:val="18"/>
                <w:color w:val="auto"/>
              </w:rPr>
              <w:t>F-44</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SHARE-BASED PAYMENT -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are the market value of the Company’s stocks on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summary of stock options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Grant-date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6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1,430,490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4.4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4,090,300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(833,674)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4,685,673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 years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as of June 30, 2022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555,842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June 30,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3,167,351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 years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June 30, 2022, 1,443 share options were exercised and 1,443 common shares were issued.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closing stock price on the last trading day in fiscal 2022 and the options’ respective exercise price. Total intrinsic value of options exercised for the year ended June 30, 2022 and 2021 was $1,125 and $57,613, respectively. No options were exercised in fiscal year 2020. The total fair value of options vested during the years ended June 30, 2022, 2021 and 2020 was $505,295, $354,701 and $274,063,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there was $1,328,464 of unrecognized compensation cost, adjusted for estimated forfeitures based on historical data, related to non-vested stock options granted to the Company’s employees and directors. Total unrecognized compensation cost is expected to be recognized over a period of 1.88 years as of June 30, 2022. Total unrecognized compensation cost may be adjusted for future changes in estimated forfeitures.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SHARE-BASED PAYMENT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June 30, 2020, the Company granted 613,300 RSUs to key employees and directors and 1,119,750 RSUs to key employees under the 2017 Plan and the 2020 Plan, respectively. 18,700 RSUs granted to the employees under the 2017 Plan fully vest in one year after the grant date, and 594,600 RSUs granted to the employees and directors under the 2017 Plan fully vest on the grant date. 1,073,700 RSUs granted to key employees under the 2020 Plan fully vest on the grant date, and 46,050 RSUs to key employees under the 2020 Plan fully vest on specified date within two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2021, the Company granted 1,362,370 RSUs to key employees under the 2020 Plan. The RSUs granted to the employees fully vest on specified date within two years.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2022, the Company granted 2,519,600 RSUs to key employees under the 2020 Plan. The RSUs granted to the employees fully vest on specified date within four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fair value per share is determined as the closing stock price at the grant date.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compensation expenses over the service requisite periods using the accelerated method. Share-based compensation cost of $5,987,891, $4,599,217 and $3,555,344 was recognized for the years ended June 30, 2022, 2021 and 2020,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summary of RSUs activities: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1, 2021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2,519,600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(2,370,650)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there was $289,321 of unrecognized compensation cost, adjusted for estimated forfeitures based on historical data, related to non-vested, service-based RSUs granted to the Company’s employees and directors. The RSUs are expected to be recognized over a weighted-average period of 1.86 years. The total fair value of the restricted share units vested was $4,617,882, $5,338,069 and $4,702,325 during the year ended June 30, 2022, 2021 and 2020, respectively. The weighted-average grant-date fair value per share of RSUs granted was $2.52, $3.34 and $2.32 during the year ended June 30, 2022, 2021 and 2020,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share-based compensation expense recognized by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165,209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201,168</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6,982,747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4,998,206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3,790,464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7,184,862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5,128,696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4,004,080</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F-46</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 was declared during the years ended June 30,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Statutory reserve and restricted net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$857,801, $1,410,264 and $970,009 to statutory reserves during the years ended June 30, 2022, 2021 and 2020, respectively in accordance with PRC GAAP.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PRC laws and regulations permit payments of dividends by the Company’s subsidiaries incorporated in the PRC only out of their retained earnings, if any, as determined in accordance with PRC accounting standards and regulations. In addition, the Company’s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Company’s subsidiaries incorporated in the PRC are restricted in their ability to transfer a portion of their net assets to the Company in the form of dividends payments, loans or advances. Amounts of net assets restricted amounted to $23,264,745 and $11,482,521 as of June 30, 2022 and 2021, respectively. Except for the above or disclosed elsewhere, there is no other restriction on the use of proceeds generated by the Company’s subsidiaries to satisfy any obligations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were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Foreign</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currency</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5"/>
        </w:trPr>
        <w:tc>
          <w:tcPr>
            <w:tcW w:w="100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 (loss)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2,697,395</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(2,172)</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2,695,223</w:t>
            </w:r>
          </w:p>
        </w:tc>
        <w:tc>
          <w:tcPr>
            <w:tcW w:w="10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attribute to noncontrolling interests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(102,475)</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1,230,083</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(1,828,542)</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attribute to noncontrolling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48,211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nil tax expense or benefit recognized related to the changes of each component of accumulated other comprehensive income (loss) for the years ended June 30, 2020, 2021 and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NONCONTROLLING INTERESTS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December 2019, CLPS Shanghai held a 70% equity interest of CLPS Shenzhen and an 80% equity interest of CLPS Hong Kong, which held the remaining 30% equity interest of CLPS Shenzhen. On December 9, 2019, Qiner acquired the remaining 20% equity interest of CLPS Hong Kong from the noncontrolling shareholder with the consideration of the Company’s 100,000 common shares valued at $278,000, therefore holding 100% of CLPS Hong Kong and CLPS Shenzhen’s equity interest accordingly. On December 3, 2019, the Company issued 100,000 common shares with $0.0001 par value per share to noncontrolling shareholder. The carrying amount of the noncontrolling interests was $(130,992). The transaction was accounted for as an equity transaction and the difference of $131,002 between the purchase consideration and the carrying value of the noncontrolling interest of CLPS Hong Kong and CLPS Shenzhen was recorded in the additional paid-in capital on the consolidated balance sheets.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December 22, 2020, Qiner held an 80% equity interest in Ridik. On December 22, 2020, CLPS Technology (Singapore) Pte. Ltd., a fully owned subsidiary of Qiner, entered into a share purchase agreement with the noncontrolling shareholders of Ridik to purchase the remaining 20% equity interest in Ridik. The total purchase consideration is $621,619, including a cash consideration of $436,550 and the Company’s 62,622 common shares valued at $185,069 on January 29, 2021, using the closing market price of US$3.41 per share and discounts for lack of marketability. The carrying amount of the noncontrolling interests of Ridik as of January 29, 2021 was $446,636. The transaction was accounted for as an equity transaction and the difference of $10,080 between the purchase consideration and the carrying value of the noncontrolling interest of Ridik was recorded in the additional paid-in capital on the consolidated balance sheets.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January 2021, JAJI China, a 60% owned subsidiary of CLPS, owned 70% of JAJI HR. In January 2021, JAJI China entered into an agreement with CareerWin to purchase CareerWin’s 30% equity interest in JAJI HR. After the transaction, JAJI China owned 100% of JAJI HR. The purchase consideration was $18,995. The carrying amount of the noncontrolling interests was $12,189. The transaction was accounted for as an equity transaction and the difference of $6,806 between the purchase consideration and the carrying value of the noncontrolling interest of JAJI HR was recorded in the additional paid-in capital on the consolidated balance sheets.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2021, Growth Ring, a wholly owned subsidiary of CLPS, entered into an agreement with MCT to purchase MCT’s 53.33% equity interest in MSCT. The purchase consideration was $205,711. The transaction was accounted for as an asset acquisition and the carrying amount of the noncontrolling interests was $121,807 (Note 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SEGMENT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Company’s revenue and net income are substantially derived from enterprise application services and financial industry IT services.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operations are primarily based in China, where the Company derives a substantial portion of their revenues. The following table presents revenues generated in domestic and overseas markets for the years ended June 30, 2022,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137,915,276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112,511,341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78,840,635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9,559,951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9,613,026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7,369,345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3,365,491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3,728,039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3,071,857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883,478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161,132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148,128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125,748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137,053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26,419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152,022,381</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126,061,693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89,415,798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by the service lines for the years ended June 30, 2022,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 service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144,092,811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122,273,395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87,136,754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Customized IT solution service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6,738,118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3,130,646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1,844,892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1,191,452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657,652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434,152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152,022,381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126,061,693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89,415,798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Long-lived assets by geographic area are presented as follows:</w:t>
            </w: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98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15,468,306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4,586,546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541,766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481,473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gridSpan w:val="2"/>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20,601,098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600,791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500" w:type="dxa"/>
            <w:vAlign w:val="bottom"/>
            <w:gridSpan w:val="2"/>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F-49</w:t>
            </w: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PARENT COMPANY ONLY CONDENSED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p>
      <w:pPr>
        <w:spacing w:after="0" w:line="239"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from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65" w:hanging="565"/>
        <w:spacing w:after="0"/>
        <w:tabs>
          <w:tab w:leader="none" w:pos="5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115,901   $  12,975,407</w:t>
      </w:r>
    </w:p>
    <w:p>
      <w:pPr>
        <w:spacing w:after="0" w:line="27" w:lineRule="exact"/>
        <w:rPr>
          <w:rFonts w:ascii="Times New Roman" w:cs="Times New Roman" w:eastAsia="Times New Roman" w:hAnsi="Times New Roman"/>
          <w:sz w:val="18"/>
          <w:szCs w:val="18"/>
          <w:color w:val="auto"/>
        </w:rPr>
      </w:pPr>
    </w:p>
    <w:p>
      <w:pPr>
        <w:ind w:left="3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22,776,2267,576,560</w:t>
      </w:r>
    </w:p>
    <w:p>
      <w:pPr>
        <w:spacing w:after="0" w:line="9"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378,836382,807</w:t>
      </w:r>
    </w:p>
    <w:p>
      <w:pPr>
        <w:spacing w:after="0" w:line="31" w:lineRule="exact"/>
        <w:rPr>
          <w:rFonts w:ascii="Times New Roman" w:cs="Times New Roman" w:eastAsia="Times New Roman" w:hAnsi="Times New Roman"/>
          <w:sz w:val="18"/>
          <w:szCs w:val="18"/>
          <w:color w:val="auto"/>
        </w:rPr>
      </w:pPr>
    </w:p>
    <w:p>
      <w:pPr>
        <w:ind w:left="3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23,270,96320,934,774</w:t>
      </w:r>
    </w:p>
    <w:p>
      <w:pPr>
        <w:spacing w:after="0" w:line="200" w:lineRule="exact"/>
        <w:rPr>
          <w:sz w:val="20"/>
          <w:szCs w:val="20"/>
          <w:color w:val="auto"/>
        </w:rPr>
      </w:pPr>
    </w:p>
    <w:p>
      <w:pPr>
        <w:spacing w:after="0" w:line="255" w:lineRule="exact"/>
        <w:rPr>
          <w:sz w:val="20"/>
          <w:szCs w:val="20"/>
          <w:color w:val="auto"/>
        </w:rPr>
      </w:pPr>
    </w:p>
    <w:p>
      <w:pPr>
        <w:jc w:val="both"/>
        <w:ind w:left="325"/>
        <w:spacing w:after="0"/>
        <w:tabs>
          <w:tab w:leader="none" w:pos="1625" w:val="left"/>
        </w:tabs>
        <w:rPr>
          <w:sz w:val="20"/>
          <w:szCs w:val="20"/>
          <w:color w:val="auto"/>
        </w:rPr>
      </w:pPr>
      <w:r>
        <w:rPr>
          <w:rFonts w:ascii="Times New Roman" w:cs="Times New Roman" w:eastAsia="Times New Roman" w:hAnsi="Times New Roman"/>
          <w:sz w:val="18"/>
          <w:szCs w:val="18"/>
          <w:color w:val="auto"/>
        </w:rPr>
        <w:t>50,416,453</w:t>
      </w:r>
      <w:r>
        <w:rPr>
          <w:sz w:val="20"/>
          <w:szCs w:val="20"/>
          <w:color w:val="auto"/>
        </w:rPr>
        <w:tab/>
      </w:r>
      <w:r>
        <w:rPr>
          <w:rFonts w:ascii="Times New Roman" w:cs="Times New Roman" w:eastAsia="Times New Roman" w:hAnsi="Times New Roman"/>
          <w:sz w:val="18"/>
          <w:szCs w:val="18"/>
          <w:color w:val="auto"/>
        </w:rPr>
        <w:t>36,295,558</w:t>
      </w:r>
    </w:p>
    <w:p>
      <w:pPr>
        <w:spacing w:after="0" w:line="63" w:lineRule="exact"/>
        <w:rPr>
          <w:sz w:val="20"/>
          <w:szCs w:val="20"/>
          <w:color w:val="auto"/>
        </w:rPr>
      </w:pPr>
    </w:p>
    <w:p>
      <w:pPr>
        <w:ind w:left="5"/>
        <w:spacing w:after="0"/>
        <w:tabs>
          <w:tab w:leader="none" w:pos="305" w:val="left"/>
          <w:tab w:leader="none" w:pos="1325" w:val="left"/>
          <w:tab w:leader="none" w:pos="1625" w:val="left"/>
        </w:tabs>
        <w:rPr>
          <w:sz w:val="20"/>
          <w:szCs w:val="20"/>
          <w:color w:val="auto"/>
        </w:rPr>
      </w:pPr>
      <w:r>
        <w:rPr>
          <w:rFonts w:ascii="Times New Roman" w:cs="Times New Roman" w:eastAsia="Times New Roman" w:hAnsi="Times New Roman"/>
          <w:sz w:val="18"/>
          <w:szCs w:val="18"/>
          <w:color w:val="auto"/>
        </w:rPr>
        <w:t>$</w:t>
        <w:tab/>
        <w:t>73,687,416</w:t>
        <w:tab/>
        <w:t>$</w:t>
        <w:tab/>
        <w:t>57,230,332</w:t>
      </w:r>
    </w:p>
    <w:p>
      <w:pPr>
        <w:spacing w:after="0" w:line="27" w:lineRule="exact"/>
        <w:rPr>
          <w:sz w:val="20"/>
          <w:szCs w:val="20"/>
          <w:color w:val="auto"/>
        </w:rPr>
      </w:pPr>
    </w:p>
    <w:p>
      <w:pPr>
        <w:sectPr>
          <w:pgSz w:w="11900" w:h="16838" w:orient="portrait"/>
          <w:cols w:equalWidth="0" w:num="2">
            <w:col w:w="7955" w:space="720"/>
            <w:col w:w="2565"/>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6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541,285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7,134,543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7,134,543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541,285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7,134,543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541,285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22,444,822 shares issued and outstanding as of</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June 30, 2022; 20,293,552 shares issued and outstanding as of June 30, 2021*</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55,705,209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48,516,695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11,395,668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6,940,240</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(550,248)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1,230,083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66,552,873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56,689,047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73,687,416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57,230,332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jc w:val="right"/>
              <w:ind w:right="2790"/>
              <w:spacing w:after="0"/>
              <w:rPr>
                <w:sz w:val="20"/>
                <w:szCs w:val="20"/>
                <w:color w:val="auto"/>
              </w:rPr>
            </w:pPr>
            <w:r>
              <w:rPr>
                <w:rFonts w:ascii="Times New Roman" w:cs="Times New Roman" w:eastAsia="Times New Roman" w:hAnsi="Times New Roman"/>
                <w:sz w:val="18"/>
                <w:szCs w:val="18"/>
                <w:color w:val="auto"/>
              </w:rPr>
              <w:t>F-50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U.S. dollars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PARENT COMPANY ONLY CONDENSED FINANCIAL INFORMATION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comprehensive income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(7,640,065)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(6,267,334)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(5,505,559)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of profit in subsidiaries, net (Note a)</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12,060,619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13,202,527</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8,404,632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6,365</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46,904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(124,986)</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(7,739)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4,455,428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6,816,572</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2,938,238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4,455,428</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6,816,572</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2,938,238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(1,780,331)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2,592,748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(549,015)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2,675,097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9,409,320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2,389,223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(20,091,683)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(2,107,118)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(3,586,857)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7,395,038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14,799,107</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(162,861)</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101,905</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97,179</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(12,859,506)</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12,793,894</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(3,289,678)</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12,975,407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181,513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3,471,191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at the end of the year</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12,975,407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Company-only financial statements, the Company’s investment in subsidiaries is stated at cost plus equity in undistributed earnings of subsidiaries since inception.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records its investment in its subsidiaries under the equity method of accounting as prescribed in ASC 323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Such investments are presented on the balance sheets as “Investments in subsidiaries” and share of the subsidiaries’ profit or loss are shown as “Share of profit in subsidiaries, net” on the statements of comprehensive income.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are filed as part of this Annual Report beginning on page F-1.</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r:id="rId280">
        <w:r>
          <w:rPr>
            <w:rFonts w:ascii="Times New Roman" w:cs="Times New Roman" w:eastAsia="Times New Roman" w:hAnsi="Times New Roman"/>
            <w:sz w:val="17"/>
            <w:szCs w:val="17"/>
            <w:u w:val="single" w:color="auto"/>
            <w:color w:val="0000EE"/>
          </w:rPr>
          <w:t>Form of Underwriting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1132"/>
        <w:spacing w:after="0"/>
        <w:tabs>
          <w:tab w:leader="none" w:pos="1140" w:val="left"/>
        </w:tabs>
        <w:numPr>
          <w:ilvl w:val="0"/>
          <w:numId w:val="99"/>
        </w:numPr>
        <w:rPr>
          <w:rFonts w:ascii="Times New Roman" w:cs="Times New Roman" w:eastAsia="Times New Roman" w:hAnsi="Times New Roman"/>
          <w:sz w:val="18"/>
          <w:szCs w:val="18"/>
          <w:u w:val="single" w:color="auto"/>
          <w:color w:val="0000EE"/>
        </w:rPr>
      </w:pPr>
      <w:hyperlink r:id="rId282">
        <w:r>
          <w:rPr>
            <w:rFonts w:ascii="Times New Roman" w:cs="Times New Roman" w:eastAsia="Times New Roman" w:hAnsi="Times New Roman"/>
            <w:sz w:val="18"/>
            <w:szCs w:val="18"/>
            <w:u w:val="single" w:color="auto"/>
            <w:color w:val="0000EE"/>
          </w:rPr>
          <w:t>Description of Securities registered under Section 12 of the Exchange Act (6)</w:t>
        </w:r>
      </w:hyperlink>
    </w:p>
    <w:tbl>
      <w:tblPr>
        <w:tblLayout w:type="fixed"/>
        <w:tblInd w:w="0" w:type="dxa"/>
        <w:tblCellMar>
          <w:top w:w="0" w:type="dxa"/>
          <w:left w:w="0" w:type="dxa"/>
          <w:bottom w:w="0" w:type="dxa"/>
          <w:right w:w="0" w:type="dxa"/>
        </w:tblCellMar>
      </w:tblPr>
      <w:tr>
        <w:trPr>
          <w:trHeight w:val="205"/>
        </w:trPr>
        <w:tc>
          <w:tcPr>
            <w:tcW w:w="1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10100" w:type="dxa"/>
            <w:vAlign w:val="bottom"/>
            <w:gridSpan w:val="27"/>
            <w:shd w:val="clear" w:color="auto" w:fill="CCEEFF"/>
          </w:tcPr>
          <w:p>
            <w:pPr>
              <w:spacing w:after="0" w:line="184"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Memorandum and Articles of Association (1).</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32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Specimen Share Certificate (1).</w:t>
              </w:r>
            </w:hyperlink>
          </w:p>
        </w:tc>
        <w:tc>
          <w:tcPr>
            <w:tcW w:w="6780" w:type="dxa"/>
            <w:vAlign w:val="bottom"/>
            <w:tcBorders>
              <w:top w:val="single" w:sz="8" w:color="CCEEFF"/>
            </w:tcBorders>
            <w:gridSpan w:val="1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2017 Equity Incentive Plan (1).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2019 Equity Incentive Plan (3).</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1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2020 Equity Incentive Plan(4)</w:t>
              </w:r>
            </w:hyperlink>
          </w:p>
        </w:tc>
        <w:tc>
          <w:tcPr>
            <w:tcW w:w="7920" w:type="dxa"/>
            <w:vAlign w:val="bottom"/>
            <w:tcBorders>
              <w:bottom w:val="single" w:sz="8" w:color="CCEEFF"/>
            </w:tcBorders>
            <w:gridSpan w:val="23"/>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Form Independent Director Agreement (1).</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526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Employment Agreement between the Company and Xiao Feng Yang (1).</w:t>
              </w:r>
            </w:hyperlink>
          </w:p>
        </w:tc>
        <w:tc>
          <w:tcPr>
            <w:tcW w:w="4840" w:type="dxa"/>
            <w:vAlign w:val="bottom"/>
            <w:tcBorders>
              <w:bottom w:val="single" w:sz="8" w:color="CCEEFF"/>
            </w:tcBorders>
            <w:gridSpan w:val="5"/>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Employment Agreement between the Company and Raymond Ming Hui Lin (1).</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476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Employment Agreement between the Company and Rui Yang (5).</w:t>
              </w:r>
            </w:hyperlink>
          </w:p>
        </w:tc>
        <w:tc>
          <w:tcPr>
            <w:tcW w:w="534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Employment Agreement between the Company and Li Li (7).</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602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ANZ Global Services and Operations (Chengdu) Company Limited Agreement (1).</w:t>
              </w:r>
            </w:hyperlink>
          </w:p>
        </w:tc>
        <w:tc>
          <w:tcPr>
            <w:tcW w:w="408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Master Lease Agreement - Shanghai Pudong Software Park Co., Ltd.</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49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Master Lease Agreement - Shanghai Pudong Software Park Co., Ltd.</w:t>
            </w:r>
          </w:p>
        </w:tc>
        <w:tc>
          <w:tcPr>
            <w:tcW w:w="5120" w:type="dxa"/>
            <w:vAlign w:val="bottom"/>
            <w:tcBorders>
              <w:bottom w:val="single" w:sz="8" w:color="CCEEFF"/>
            </w:tcBorders>
            <w:gridSpan w:val="6"/>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Master Lease Agreement - Dalian High-Tech Park</w:t>
            </w: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38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Form of Framework Contract for Subcontracting (1).</w:t>
              </w:r>
            </w:hyperlink>
          </w:p>
        </w:tc>
        <w:tc>
          <w:tcPr>
            <w:tcW w:w="628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Form Warrant Agreement (2).</w:t>
              </w:r>
            </w:hyperlink>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214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Form Lockup Agreement (2).</w:t>
              </w:r>
            </w:hyperlink>
          </w:p>
        </w:tc>
        <w:tc>
          <w:tcPr>
            <w:tcW w:w="7960" w:type="dxa"/>
            <w:vAlign w:val="bottom"/>
            <w:tcBorders>
              <w:bottom w:val="single" w:sz="8" w:color="CCEEFF"/>
            </w:tcBorders>
            <w:gridSpan w:val="25"/>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gridSpan w:val="27"/>
          </w:tcPr>
          <w:p>
            <w:pPr>
              <w:spacing w:after="0" w:line="17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Escrow Indemnification Agreement (2).</w:t>
              </w:r>
            </w:hyperlink>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with Bank of Shanghai Pudong Development Bank Co. Ltd-10 million</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with Bank of Shanghai Pudong Development Bank Co. Ltd-10 million</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with Bank of Shanghai Pudong Development Bank Co. Ltd-10 million</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with Bank of Shanghai Pudong Development Bank Co. Ltd-10 million</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55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Credit Agreement with Bank of Communications Bank Co., Ltd.-10 million.</w:t>
            </w:r>
          </w:p>
        </w:tc>
        <w:tc>
          <w:tcPr>
            <w:tcW w:w="4580" w:type="dxa"/>
            <w:vAlign w:val="bottom"/>
            <w:tcBorders>
              <w:bottom w:val="single" w:sz="8" w:color="CCEEFF"/>
            </w:tcBorders>
            <w:gridSpan w:val="4"/>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with China Merchants Bank Co., Ltd.-7.7 million</w:t>
            </w: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with China Merchants Bank Co., Ltd.-8 million</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10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(Principal Executive Officer) pursuant to Rule 13a-14(a) of the Securities Exchange Act, as</w:t>
            </w: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010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(Principal Financial Officer) pursuant to Rule 13a-14(a) of the Securities Exchange Act, as</w:t>
            </w: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400" w:type="dxa"/>
            <w:vAlign w:val="bottom"/>
            <w:tcBorders>
              <w:bottom w:val="single" w:sz="8" w:color="CCEEFF"/>
            </w:tcBorders>
            <w:gridSpan w:val="26"/>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10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and Chief Financial Officer pursuant to 18 U.S.C. 1350, as adopted pursuant to Section 906 of</w:t>
            </w:r>
          </w:p>
        </w:tc>
      </w:tr>
      <w:tr>
        <w:trPr>
          <w:trHeight w:val="196"/>
        </w:trPr>
        <w:tc>
          <w:tcPr>
            <w:tcW w:w="1140" w:type="dxa"/>
            <w:vAlign w:val="bottom"/>
          </w:tcPr>
          <w:p>
            <w:pPr>
              <w:spacing w:after="0"/>
              <w:rPr>
                <w:sz w:val="17"/>
                <w:szCs w:val="17"/>
                <w:color w:val="auto"/>
              </w:rPr>
            </w:pPr>
          </w:p>
        </w:tc>
        <w:tc>
          <w:tcPr>
            <w:tcW w:w="10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234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Code of Conduct and Ethics (1).</w:t>
              </w:r>
            </w:hyperlink>
          </w:p>
        </w:tc>
        <w:tc>
          <w:tcPr>
            <w:tcW w:w="7760" w:type="dxa"/>
            <w:vAlign w:val="bottom"/>
            <w:tcBorders>
              <w:bottom w:val="single" w:sz="8" w:color="CCEEFF"/>
            </w:tcBorders>
            <w:gridSpan w:val="21"/>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w:t>
            </w: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Hua Ming LLP.</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308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Charter of the Audit Committee (1).</w:t>
              </w:r>
            </w:hyperlink>
          </w:p>
        </w:tc>
        <w:tc>
          <w:tcPr>
            <w:tcW w:w="7020" w:type="dxa"/>
            <w:vAlign w:val="bottom"/>
            <w:tcBorders>
              <w:top w:val="single" w:sz="8" w:color="CCEEFF"/>
            </w:tcBorders>
            <w:gridSpan w:val="15"/>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Charter of the Compensation Committee (1).</w:t>
              </w:r>
            </w:hyperlink>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322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Charter of the Nominating Committee (1).</w:t>
              </w:r>
            </w:hyperlink>
          </w:p>
        </w:tc>
        <w:tc>
          <w:tcPr>
            <w:tcW w:w="6880" w:type="dxa"/>
            <w:vAlign w:val="bottom"/>
            <w:tcBorders>
              <w:top w:val="single" w:sz="8" w:color="CCEEFF"/>
            </w:tcBorders>
            <w:gridSpan w:val="1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part of the registration statement filed with the SEC on March 27, 2018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as exhibit to Form F-1/A filed on May 18, 2018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part of the registration statement filed with the SEC on April 29, 2019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registration statement filed with the SEC on April 27, 2020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Form 6-K filed with the SEC on November 4, 2019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on Form 8-A 12B on May 22, 2018 and incorporated by reference herein.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SEC as an exhibit to Form 20-F on October 22, 2020 and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74"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October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October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Rui Yang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Rental Contract for Shanghai Pudong Software Park Guo Shoujing Park</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Contract No: ZL (C) 20210016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parties to this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(Lessor): Shanghai Pudong Software Park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(Lessee): Jaji (Shanghai) Co., Ltd.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b w:val="1"/>
          <w:bCs w:val="1"/>
          <w:i w:val="1"/>
          <w:iCs w:val="1"/>
          <w:color w:val="auto"/>
        </w:rPr>
        <w:t>Contract Law of the People’s Republic of China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Regulations of Shanghai Municipality on House Leasing</w:t>
      </w:r>
      <w:r>
        <w:rPr>
          <w:rFonts w:ascii="Times New Roman" w:cs="Times New Roman" w:eastAsia="Times New Roman" w:hAnsi="Times New Roman"/>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house which is rented to Party B by Party A is located in Room 18101/18102/18103/18104, Building 18, Guo Shoujing Road No.498, Zhang Jiang High Tech Park, Pudong, Shanghai (hereinafter referred to as “the House”). The building area of the House is 914.62 square meters. The House should be used for research and development and office. The structure of the House is reinforced concrete structure. The plan of the house is shown in Annex I of this contract.</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Party A establishes a leasing relationship with Party B as the real estate owner of the House. Party A has told Party B and Party B has fully known that the House has been mortgaged before the contract is signed.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Rental Purposes</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3. Lease Term</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lease term of the house starts from April 1, 2021 (hereinafter referred to as the lease commencement date) to December 31, 2023 (hereinafter referred to as the lease expiration date).The rent period is from April 1, 2021 (hereinafter referred to as the rent payment date) to the expiration date of the lease term.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he delivery date of the house is April 1, 2021</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Party A shall notify Party B of the acceptance and handover of the house at least one day in advance and no later than the delivery date. Party B shall send a representative to jointly accept the house with Party A and / or the property management company entrusted by Party A at the time notified by Party A.After the acceptance, Party B shall sign the written House acceptance handover certificate to show that Party A has delivered the house to Party B.</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If both parties check that the house and its ancillary facilities do not meet the delivery standards agreed in this contract, Party A shall correct them within 3 days or within a reasonable period agreed by both parties to meet the delivery standards, and notify Party B and Party A to jointly accept the house again.After the re acceptance, Party B shall sign the written House acceptance handover letter to show that Party A has delivered the house to Party B.</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If Party A fails to deliver the house to Party B as of the lease commencement date of Article 31, Party A shall extend the lease commencement date of Party B, and the new lease commencement date shall be calculated from the actual delivery date.From the lease date of Article 3.1, if the delivery of the house is delayed for more than 10 working days due to Party A, Party A shall pay Party B 10% of the daily rent of the house as liquidated damages for each delayed delivery day from the first working day after the lease date of Article 3.1, and postpone Party B&amp;apos;s lease date. The new lease date shall be calculated from the actual delivery date.If the starting date of rent is postponed according to this paragraph, the starting date of rent shall be postponed accordingly.If the aforesaid breach of contract by Party A lasts for more than 30 days, Party B has the right to terminate this contract.</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Party B shall handle the relevant handover procedures of the leased house no later than the delivery date. Party B&amp;apos;s delay in handling the handover procedures will not affect the rent payable by Party B from the date of rent payment and other expenses borne by Party B.If the relevant handover procedures are not completed within 30 days after the delivery date agreed in the contract due to Party B, Party A has the right to terminate the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Rent and Payment Methods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Party A and Party B agree that the rental unit price of the house is calculated according to the construction area per square meter per day, and Party A will issue a valid invoice after receiving Party B’s monthly rent. Within the lease term agreed in this Contract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April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,2021 to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,2021, the unit rental price is RMB 3.97 yuan</w:t>
      </w:r>
    </w:p>
    <w:p>
      <w:pPr>
        <w:ind w:left="660"/>
        <w:spacing w:after="0" w:line="184" w:lineRule="auto"/>
        <w:rPr>
          <w:sz w:val="20"/>
          <w:szCs w:val="20"/>
          <w:color w:val="auto"/>
        </w:rPr>
      </w:pPr>
      <w:r>
        <w:rPr>
          <w:rFonts w:ascii="Times New Roman" w:cs="Times New Roman" w:eastAsia="Times New Roman" w:hAnsi="Times New Roman"/>
          <w:sz w:val="18"/>
          <w:szCs w:val="18"/>
          <w:color w:val="auto"/>
        </w:rPr>
        <w:t>From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 2022 to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,2022, the unit rental price is RMB 4.09 yuan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 2023 to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,2023, the unit rental price is RMB 4.19 yuan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unit rental prices are tax-inclusive prices)</w:t>
      </w:r>
    </w:p>
    <w:p>
      <w:pPr>
        <w:spacing w:after="0" w:line="225" w:lineRule="exact"/>
        <w:rPr>
          <w:sz w:val="20"/>
          <w:szCs w:val="20"/>
          <w:color w:val="auto"/>
        </w:rPr>
      </w:pPr>
    </w:p>
    <w:p>
      <w:pPr>
        <w:jc w:val="both"/>
        <w:ind w:left="660" w:hanging="647"/>
        <w:spacing w:after="0" w:line="223" w:lineRule="exact"/>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unit rental price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calendar days of the month. The monthly rental amount is rounded to</w:t>
      </w:r>
    </w:p>
    <w:p>
      <w:pPr>
        <w:jc w:val="both"/>
        <w:ind w:left="660"/>
        <w:spacing w:after="0" w:line="231" w:lineRule="auto"/>
        <w:rPr>
          <w:sz w:val="20"/>
          <w:szCs w:val="20"/>
          <w:color w:val="auto"/>
        </w:rPr>
      </w:pPr>
      <w:r>
        <w:rPr>
          <w:rFonts w:ascii="Times New Roman" w:cs="Times New Roman" w:eastAsia="Times New Roman" w:hAnsi="Times New Roman"/>
          <w:sz w:val="17"/>
          <w:szCs w:val="17"/>
          <w:color w:val="auto"/>
        </w:rPr>
        <w:t>one decimal place). Party B should pay the rent to Party A before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w:t>
      </w:r>
    </w:p>
    <w:p>
      <w:pPr>
        <w:spacing w:after="0" w:line="1"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be paid before the10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Party B pays the rent to Party A’s following account by check or transfer: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Shanghai Pudong Software Park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1001194909004601783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ICBC Shanghai Zhangjiang sub branch</w:t>
      </w:r>
    </w:p>
    <w:p>
      <w:pPr>
        <w:spacing w:after="0" w:line="20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Party A may entrust a property management company to assist in collecting the 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Rental Deposit and Other Fees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RMB344,903 yuan. Party A shall issue a receipt to Party B after receiving the deposit. If Party B fails to pay the lease deposit in full to Party A in accordance with the provisions of this contract, Party B shall pay Party A late payment fee of 0.3% of the outstanding amount per day, until the full payment is completed. If Party B delays or fails to pay more than 15 working days, Party A has the right to rescind the contract.</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6. Housing Requirements and Maintenance Responsibilities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Decoration and Accretion</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Enter and Check</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9. Sublet, Mix, Transfer and Exchange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Priority Renewal Rights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Return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Party B shall return the House to Party A no later than the expiry date of the lease or the date on which the Contract is terminated prematurely.</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8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Exemption for Party A</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76" w:lineRule="exact"/>
        <w:rPr>
          <w:sz w:val="20"/>
          <w:szCs w:val="20"/>
          <w:color w:val="auto"/>
        </w:rPr>
      </w:pPr>
    </w:p>
    <w:p>
      <w:pPr>
        <w:ind w:left="980" w:hanging="324"/>
        <w:spacing w:after="0" w:line="282"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damage due to expropriation, acquisition, confiscation, nationalization or any force majeure caused by state or government agencies;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damage caused by theft, robbery and other criminal cases;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B’s losses and damages caused by other lessees or third parties;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Contract and Liability for Breach of Contract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Party A’s default</w:t>
      </w:r>
    </w:p>
    <w:p>
      <w:pPr>
        <w:spacing w:after="0" w:line="225" w:lineRule="exact"/>
        <w:rPr>
          <w:sz w:val="20"/>
          <w:szCs w:val="20"/>
          <w:color w:val="auto"/>
        </w:rPr>
      </w:pPr>
    </w:p>
    <w:p>
      <w:pPr>
        <w:ind w:left="980" w:hanging="324"/>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Party B’s default</w:t>
      </w:r>
    </w:p>
    <w:p>
      <w:pPr>
        <w:spacing w:after="0" w:line="225" w:lineRule="exact"/>
        <w:rPr>
          <w:sz w:val="20"/>
          <w:szCs w:val="20"/>
          <w:color w:val="auto"/>
        </w:rPr>
      </w:pPr>
    </w:p>
    <w:p>
      <w:pPr>
        <w:jc w:val="both"/>
        <w:ind w:left="980" w:hanging="324"/>
        <w:spacing w:after="0" w:line="261"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83"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refers to the behavior that Party B decides to terminate the lease relationship early for its own reasons, limited to a written statement.</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right to request Party B to compensate Party A for the losses suffered thereby, if Party B takes the following 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negligent act of Party B and its employees and contractors on any part of the building or the House;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violates or fails to comply with any applicable provisions of the Contract;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Force Majeure</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15. Terminate the Contract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180" w:lineRule="exact"/>
        <w:rPr>
          <w:sz w:val="20"/>
          <w:szCs w:val="20"/>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fails to deliver the House on time and still cannot deliver the House 30 days after the written notice from Party B;</w:t>
      </w:r>
    </w:p>
    <w:p>
      <w:pPr>
        <w:spacing w:after="0" w:line="196" w:lineRule="exact"/>
        <w:rPr>
          <w:rFonts w:ascii="Times New Roman" w:cs="Times New Roman" w:eastAsia="Times New Roman" w:hAnsi="Times New Roman"/>
          <w:sz w:val="18"/>
          <w:szCs w:val="18"/>
          <w:color w:val="auto"/>
        </w:rPr>
      </w:pPr>
    </w:p>
    <w:p>
      <w:pPr>
        <w:ind w:left="980" w:right="20" w:hanging="324"/>
        <w:spacing w:after="0" w:line="239" w:lineRule="exact"/>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Times New Roman" w:cs="Times New Roman" w:eastAsia="Times New Roman" w:hAnsi="Times New Roman"/>
          <w:sz w:val="18"/>
          <w:szCs w:val="18"/>
          <w:color w:val="auto"/>
        </w:rPr>
        <w:t xml:space="preserve"> of the Contract, resulting in the failure to realize the purpose of the lease; or the House delivered by Party A is defective and endangers the safety of Party B;</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fails to obtain the written consent of Party A to change the use of the House;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causes damage to the main structure of the House or other irreparable damage;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without the written consent of Party A and the approval of the relevant department, arbitrarily changed the nature of the production and use involved in the property planning;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not paid the rent over 30 days, and still cannot pay the rent 30 days after the written notice from Party A.</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Due to the breach of item (8) of the preceding paragraph, the Party A has the right to retain all the articles in the House until Party B pays all the money (including the liquidated damages) to Party A.</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Both Parties agree that the Contract is terminated under the following situations, and neither of them should be responsible for the termination.</w:t>
      </w:r>
    </w:p>
    <w:p>
      <w:pPr>
        <w:spacing w:after="0" w:line="225"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use rights within the occupied area of the House are recovered early according to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House is requisitioned according to law because of public interests;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House is included in the scope of the permit for house demolition due to urban construction;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House is damaged, lost or has been identified as a dangerous house;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16. Statements and Guarantees</w:t>
      </w:r>
    </w:p>
    <w:p>
      <w:pPr>
        <w:spacing w:after="0" w:line="225"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hereby states and guarantees as follows: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A’s signing and performance of the Contract shall not constitute a violation of the applicable law or any contract signed by Party A with any third party.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hereby states and guarantees as follows: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all the necessary authorizations to formally and effectively sign and perform the Contract.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Safe Production</w:t>
      </w:r>
    </w:p>
    <w:p>
      <w:pPr>
        <w:spacing w:after="0" w:line="225" w:lineRule="exact"/>
        <w:rPr>
          <w:sz w:val="20"/>
          <w:szCs w:val="20"/>
          <w:color w:val="auto"/>
        </w:rPr>
      </w:pPr>
    </w:p>
    <w:p>
      <w:pPr>
        <w:jc w:val="both"/>
        <w:ind w:left="660" w:hanging="647"/>
        <w:spacing w:after="0" w:line="220" w:lineRule="exact"/>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8"/>
          <w:szCs w:val="18"/>
          <w:color w:val="auto"/>
        </w:rPr>
        <w:t>Ⅲ</w:t>
      </w:r>
      <w:r>
        <w:rPr>
          <w:rFonts w:ascii="Times New Roman" w:cs="Times New Roman" w:eastAsia="Times New Roman" w:hAnsi="Times New Roman"/>
          <w:sz w:val="18"/>
          <w:szCs w:val="18"/>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1"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17-2    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Party B’s safety records shall be used as a reference for Party B’s priority rights such as renewal and extension of lease (if 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18. Other Terms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Contract takes effect immediately after both parties have signed and sealed the contract.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62"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18-4    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62" w:lineRule="exact"/>
        <w:rPr>
          <w:sz w:val="20"/>
          <w:szCs w:val="20"/>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to China International Economic and Trade Arbitration Commission Shanghai Branch for arbitration;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 lawsuit to the people’s court where the House is located.</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The Contract has four copies with the Annex, and Party A, Party B, the business department, the tax department each hold a copy. All of them have the same effect.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All fees and taxes related to the registration of the Contract (including but not limited to stamp duty) should be borne by both parties in accordance with the regulations of the People’s Republic of China and Shanghai.</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color w:val="auto"/>
        </w:rPr>
        <w:t>Annex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Plan of the House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color w:val="auto"/>
        </w:rPr>
        <w:t>Annex II</w:t>
      </w:r>
    </w:p>
    <w:p>
      <w:pPr>
        <w:spacing w:after="0" w:line="22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the existing decoration of the House, ancillary facilities and equipment status, and the decoration and additional facilities which Party A allows Party B to do in writing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04" w:right="41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color w:val="auto"/>
        </w:rPr>
        <w:t>Annex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Shanghai Pudong Software Park Park Enterprise Security Management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76"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Management Responsibilities of Companies in the Park</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abide by the laws, regulations and rules related to safety and possess the qualifications and conditions for safety production required for the operation of the business and industry.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Requirements of Daily Operation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82"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left="980" w:hanging="324"/>
        <w:spacing w:after="0"/>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produce, store toxic, harmful, flammable, explosive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Loading and unloading of goods in the designated area, do a good job of on-site safety supervision and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strictly forbidden to lodge staff in the office area of Shanghai Pudong Software Park.</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accidents or insecurity should be self-examination and timely rectification. Cooperate with Pu soft company and the property management unit for safety inspection and rectification.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Fire Safety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involved in the fire drill and cooperate with Pu soft company and property management units.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Smoking is strictly forbidden in non-smoking areas. It is forbidden to use open flame in violation of regulation.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forbidden to block, close, occupy the evacuation routes and entrances and exits.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Security and Traffic Safety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Rental Contract for Shanghai Pudong Software Park Guo Shoujing Park</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NO:ZL(R)20210069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parties to this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(Lessor): Shanghai Pudong Software Park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(Lessee): ChinaLink Professional Services Co., Ltd.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b w:val="1"/>
          <w:bCs w:val="1"/>
          <w:i w:val="1"/>
          <w:iCs w:val="1"/>
          <w:color w:val="auto"/>
        </w:rPr>
        <w:t>Contract Law of the People’s Republic of China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Regulations of Shanghai Municipality on House Leasing</w:t>
      </w:r>
      <w:r>
        <w:rPr>
          <w:rFonts w:ascii="Times New Roman" w:cs="Times New Roman" w:eastAsia="Times New Roman" w:hAnsi="Times New Roman"/>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house which is rented to Party B by Party A is located in Room 18201/18202/18203/18204/18205/18206/18207/18208, Building 18,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Party A establishes a leasing relationship with Party B as the real estate owner of the House. Party A has told Party B and Party B has fully known that the House has been mortgaged before the contract is signed.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2. Rental Purposes</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Renewal Term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1"/>
              </w:rPr>
              <w:t>3-1</w:t>
            </w:r>
          </w:p>
        </w:tc>
        <w:tc>
          <w:tcPr>
            <w:tcW w:w="10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Contract is a renewal contract based on the original contract (No. ZL(R)20190043) which was signed for renting the House.</w:t>
            </w:r>
          </w:p>
        </w:tc>
      </w:tr>
      <w:tr>
        <w:trPr>
          <w:trHeight w:val="45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1"/>
              </w:rPr>
              <w:t>3-2</w:t>
            </w:r>
          </w:p>
        </w:tc>
        <w:tc>
          <w:tcPr>
            <w:tcW w:w="10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The renewal term is from July 1</w:t>
            </w:r>
            <w:r>
              <w:rPr>
                <w:rFonts w:ascii="Times New Roman" w:cs="Times New Roman" w:eastAsia="Times New Roman" w:hAnsi="Times New Roman"/>
                <w:sz w:val="29"/>
                <w:szCs w:val="29"/>
                <w:color w:val="auto"/>
                <w:w w:val="99"/>
                <w:vertAlign w:val="superscript"/>
              </w:rPr>
              <w:t>st</w:t>
            </w:r>
            <w:r>
              <w:rPr>
                <w:rFonts w:ascii="Times New Roman" w:cs="Times New Roman" w:eastAsia="Times New Roman" w:hAnsi="Times New Roman"/>
                <w:sz w:val="18"/>
                <w:szCs w:val="18"/>
                <w:color w:val="auto"/>
                <w:w w:val="99"/>
              </w:rPr>
              <w:t>, 2021 (hereinafter referred to as “lease date”) to June 30</w:t>
            </w:r>
            <w:r>
              <w:rPr>
                <w:rFonts w:ascii="Times New Roman" w:cs="Times New Roman" w:eastAsia="Times New Roman" w:hAnsi="Times New Roman"/>
                <w:sz w:val="29"/>
                <w:szCs w:val="29"/>
                <w:color w:val="auto"/>
                <w:w w:val="99"/>
                <w:vertAlign w:val="superscript"/>
              </w:rPr>
              <w:t>th</w:t>
            </w:r>
            <w:r>
              <w:rPr>
                <w:rFonts w:ascii="Times New Roman" w:cs="Times New Roman" w:eastAsia="Times New Roman" w:hAnsi="Times New Roman"/>
                <w:sz w:val="18"/>
                <w:szCs w:val="18"/>
                <w:color w:val="auto"/>
                <w:w w:val="99"/>
              </w:rPr>
              <w:t>, 2024 (hereinafter referred to as “terminal date”). The</w:t>
            </w:r>
          </w:p>
        </w:tc>
      </w:tr>
      <w:tr>
        <w:trPr>
          <w:trHeight w:val="234"/>
        </w:trPr>
        <w:tc>
          <w:tcPr>
            <w:tcW w:w="46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 will be counted from July 1st, 2021 (hereinafter referred to as “rent date”) to terminal date.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Rent and Payment Methods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Both Parties agree that the unit rental price is counted according to the daily construction area per square meter.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July 1st, 2021 to July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2021, rent free</w:t>
      </w:r>
    </w:p>
    <w:p>
      <w:pPr>
        <w:ind w:left="660"/>
        <w:spacing w:after="0" w:line="184" w:lineRule="auto"/>
        <w:rPr>
          <w:sz w:val="20"/>
          <w:szCs w:val="20"/>
          <w:color w:val="auto"/>
        </w:rPr>
      </w:pPr>
      <w:r>
        <w:rPr>
          <w:rFonts w:ascii="Times New Roman" w:cs="Times New Roman" w:eastAsia="Times New Roman" w:hAnsi="Times New Roman"/>
          <w:sz w:val="18"/>
          <w:szCs w:val="18"/>
          <w:color w:val="auto"/>
        </w:rPr>
        <w:t>From July 16st, 2021 to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2022, the unit rental price is RMB 3.86 yuan</w:t>
      </w:r>
    </w:p>
    <w:p>
      <w:pPr>
        <w:ind w:left="660"/>
        <w:spacing w:after="0" w:line="185" w:lineRule="auto"/>
        <w:rPr>
          <w:sz w:val="20"/>
          <w:szCs w:val="20"/>
          <w:color w:val="auto"/>
        </w:rPr>
      </w:pPr>
      <w:r>
        <w:rPr>
          <w:rFonts w:ascii="Times New Roman" w:cs="Times New Roman" w:eastAsia="Times New Roman" w:hAnsi="Times New Roman"/>
          <w:sz w:val="18"/>
          <w:szCs w:val="18"/>
          <w:color w:val="auto"/>
        </w:rPr>
        <w:t>From July 1st, 2022 to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2023, the unit rental price is RMB 3.98 yuan</w:t>
      </w:r>
    </w:p>
    <w:p>
      <w:pPr>
        <w:ind w:left="660"/>
        <w:spacing w:after="0"/>
        <w:rPr>
          <w:sz w:val="20"/>
          <w:szCs w:val="20"/>
          <w:color w:val="auto"/>
        </w:rPr>
      </w:pPr>
      <w:r>
        <w:rPr>
          <w:rFonts w:ascii="Times New Roman" w:cs="Times New Roman" w:eastAsia="Times New Roman" w:hAnsi="Times New Roman"/>
          <w:sz w:val="18"/>
          <w:szCs w:val="18"/>
          <w:color w:val="auto"/>
        </w:rPr>
        <w:t>From July 1st, 2023 to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 the unit rental price is RMB 4.08 yuan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unit rental prices are tax-inclusive prices)</w:t>
      </w:r>
    </w:p>
    <w:p>
      <w:pPr>
        <w:spacing w:after="0" w:line="225" w:lineRule="exact"/>
        <w:rPr>
          <w:sz w:val="20"/>
          <w:szCs w:val="20"/>
          <w:color w:val="auto"/>
        </w:rPr>
      </w:pPr>
    </w:p>
    <w:p>
      <w:pPr>
        <w:jc w:val="both"/>
        <w:ind w:left="660" w:hanging="647"/>
        <w:spacing w:after="0" w:line="223" w:lineRule="exact"/>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unit rental price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calendar days of the month. The monthly rental amount is rounded to</w:t>
      </w:r>
    </w:p>
    <w:p>
      <w:pPr>
        <w:jc w:val="both"/>
        <w:ind w:left="660"/>
        <w:spacing w:after="0" w:line="231" w:lineRule="auto"/>
        <w:rPr>
          <w:sz w:val="20"/>
          <w:szCs w:val="20"/>
          <w:color w:val="auto"/>
        </w:rPr>
      </w:pPr>
      <w:r>
        <w:rPr>
          <w:rFonts w:ascii="Times New Roman" w:cs="Times New Roman" w:eastAsia="Times New Roman" w:hAnsi="Times New Roman"/>
          <w:sz w:val="17"/>
          <w:szCs w:val="17"/>
          <w:color w:val="auto"/>
        </w:rPr>
        <w:t>one decimal place). Party B should pay the rent to Party A before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 than 10, the last month’s rent should</w:t>
      </w:r>
    </w:p>
    <w:p>
      <w:pPr>
        <w:spacing w:after="0" w:line="1"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be paid before the10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Party B pays the rent to Party A’s following account by check or transfer: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Shanghai Pudong Software Park Co., Ltd.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1001194909004601783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ICBC Shanghai Zhangjiang sub branch</w:t>
      </w:r>
    </w:p>
    <w:p>
      <w:pPr>
        <w:spacing w:after="0" w:line="20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Party A may entrust a property management company to assist in collecting the 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Rental Deposit and Other Fees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 462,650 yuan. Party B has paid RMB 437,703 yuan for rental deposit under the original contract, and it will be automatically converted to the deposit under the Contract after the Contract becomes effective. The margin of the deposit is RMB 24,947 yuan,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0.3% of the outstanding amount per day, until the full payment is completed. If Party B delays or fails to pay more than 15 working days, Party A has the right to rescind the contract.</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Housing Requirements and Maintenance Responsibilities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Decoration and Accretion</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Enter and Check</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9. Sublet, Mix, Transfer and Exchange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Priority Renewal Rights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Return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Party B shall return the House to Party A no later than the expiry date of the lease or the date on which the Contract is terminated prematurely.</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8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Exemption for Party A</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76" w:lineRule="exact"/>
        <w:rPr>
          <w:sz w:val="20"/>
          <w:szCs w:val="20"/>
          <w:color w:val="auto"/>
        </w:rPr>
      </w:pPr>
    </w:p>
    <w:p>
      <w:pPr>
        <w:ind w:left="98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damage due to expropriation, acquisition, confiscation, nationalization or any force majeure caused by state or government agencies;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ind w:left="980" w:hanging="324"/>
        <w:spacing w:after="0"/>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damage caused by theft, robbery and other criminal cases;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B’s losses and damages caused by other lessees or third parties;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Contract and Liability for Breach of Contract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Party A’s default</w:t>
      </w:r>
    </w:p>
    <w:p>
      <w:pPr>
        <w:spacing w:after="0" w:line="225" w:lineRule="exact"/>
        <w:rPr>
          <w:sz w:val="20"/>
          <w:szCs w:val="20"/>
          <w:color w:val="auto"/>
        </w:rPr>
      </w:pPr>
    </w:p>
    <w:p>
      <w:pPr>
        <w:ind w:left="98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Party B’s default</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83"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refers to the behavior that Party B decides to terminate the lease relationship early for its own reasons, limited to a written statement.</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right to request Party B to compensate Party A for the losses suffered thereby, if Party B takes the following 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negligent act of Party B and its employees and contractors on any part of the building or the House;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violates or fails to comply with any applicable provisions of the Contract;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Force Majeure</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Terminate the Contract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180" w:lineRule="exact"/>
        <w:rPr>
          <w:sz w:val="20"/>
          <w:szCs w:val="20"/>
          <w:color w:val="auto"/>
        </w:rPr>
      </w:pPr>
    </w:p>
    <w:p>
      <w:pPr>
        <w:ind w:left="5540" w:right="1500" w:hanging="4884"/>
        <w:spacing w:after="0" w:line="783" w:lineRule="auto"/>
        <w:tabs>
          <w:tab w:leader="none" w:pos="98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fails to deliver the House on time and still cannot deliver the House 30 days after the written notice from Party B;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ind w:left="980" w:right="20" w:hanging="324"/>
        <w:spacing w:after="0" w:line="239" w:lineRule="exact"/>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Times New Roman" w:cs="Times New Roman" w:eastAsia="Times New Roman" w:hAnsi="Times New Roman"/>
          <w:sz w:val="18"/>
          <w:szCs w:val="18"/>
          <w:color w:val="auto"/>
        </w:rPr>
        <w:t xml:space="preserve"> of the Contract, resulting in the failure to realize the purpose of the lease; or the House delivered by Party A is defective and endangers the safety of Party B;</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fails to obtain the written consent of Party A to change the use of the House;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causes damage to the main structure of the House or other irreparable damage;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without the written consent of Party A and the approval of the relevant department, arbitrarily changed the nature of the production and use involved in the property planning;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not paid the rent over 30 days, and still cannot pay the rent 30 days after the written notice from Party A.</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Due to the breach of item (8) of the preceding paragraph, the Party A has the right to retain all the articles in the House until Party B pays all the money (including the liquidated damages) to Party A.</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Both Parties agree that the Contract is terminated under the following situations, and neither of them should be responsible for the termination.</w:t>
      </w:r>
    </w:p>
    <w:p>
      <w:pPr>
        <w:spacing w:after="0" w:line="225" w:lineRule="exact"/>
        <w:rPr>
          <w:sz w:val="20"/>
          <w:szCs w:val="20"/>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use rights within the occupied area of the House are recovered early according to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House is requisitioned according to law because of public interests;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House is included in the scope of the permit for house demolition due to urban construction;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House is damaged, lost or has been identified as a dangerous house;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16. Statements and Guarantees</w:t>
      </w:r>
    </w:p>
    <w:p>
      <w:pPr>
        <w:spacing w:after="0" w:line="225"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hereby states and guarantees as follows: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A’s signing and performance of the Contract shall not constitute a violation of the applicable law or any contract signed by Party A with any third party.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hereby states and guarantees as follows: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all the necessary authorizations to formally and effectively sign and perform the Contract.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Safe Production</w:t>
      </w:r>
    </w:p>
    <w:p>
      <w:pPr>
        <w:spacing w:after="0" w:line="225" w:lineRule="exact"/>
        <w:rPr>
          <w:sz w:val="20"/>
          <w:szCs w:val="20"/>
          <w:color w:val="auto"/>
        </w:rPr>
      </w:pPr>
    </w:p>
    <w:p>
      <w:pPr>
        <w:jc w:val="both"/>
        <w:ind w:left="660" w:hanging="647"/>
        <w:spacing w:after="0" w:line="220" w:lineRule="exact"/>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8"/>
          <w:szCs w:val="18"/>
          <w:color w:val="auto"/>
        </w:rPr>
        <w:t>Ⅲ</w:t>
      </w:r>
      <w:r>
        <w:rPr>
          <w:rFonts w:ascii="Times New Roman" w:cs="Times New Roman" w:eastAsia="Times New Roman" w:hAnsi="Times New Roman"/>
          <w:sz w:val="18"/>
          <w:szCs w:val="18"/>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center"/>
        <w:spacing w:after="0" w:line="282" w:lineRule="auto"/>
        <w:rPr>
          <w:sz w:val="20"/>
          <w:szCs w:val="20"/>
          <w:color w:val="auto"/>
        </w:rPr>
      </w:pPr>
      <w:r>
        <w:rPr>
          <w:rFonts w:ascii="Times New Roman" w:cs="Times New Roman" w:eastAsia="Times New Roman" w:hAnsi="Times New Roman"/>
          <w:sz w:val="18"/>
          <w:szCs w:val="18"/>
          <w:color w:val="auto"/>
        </w:rPr>
        <w:t>17-2    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Party B’s safety records shall be used as a reference for Party B’s priority rights such as renewal and extension of lease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Other Terms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Contract takes effect immediately after both parties have signed and sealed the contract.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62"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18-4    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62" w:lineRule="exact"/>
        <w:rPr>
          <w:sz w:val="20"/>
          <w:szCs w:val="20"/>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to China International Economic and Trade Arbitration Commission Shanghai Branch for arbitration;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 lawsuit to the people’s court where the House is located.</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The Contract has four copies with the Annex, and Party A, Party B, the business department, the tax department each hold a copy. All of them have the same effect.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All fees and taxes related to the registration of the Contract (including but not limited to stamp duty) should be borne by both parties in accordance with the regulations of the People’s Republic of China and Shanghai.</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color w:val="auto"/>
        </w:rPr>
        <w:t>Annex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Plan of the House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color w:val="auto"/>
        </w:rPr>
        <w:t>Annex II</w:t>
      </w:r>
    </w:p>
    <w:p>
      <w:pPr>
        <w:spacing w:after="0" w:line="22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the existing decoration of the House, ancillary facilities and equipment status, and the decoration and additional facilities which Party A allows Party B to do in writing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04" w:right="41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color w:val="auto"/>
        </w:rPr>
        <w:t>Annex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Shanghai Pudong Software Park Park Enterprise Security Management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76"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Management Responsibilities of Companies in the Park</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abide by the laws, regulations and rules related to safety and possess the qualifications and conditions for safety production required for the operation of the business and industry.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Requirements of Daily Operation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82"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980" w:hanging="324"/>
        <w:spacing w:after="0"/>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produce, store toxic, harmful, flammable, explosive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Loading and unloading of goods in the designated area, do a good job of on-site safety supervision and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strictly forbidden to lodge staff in the office area of Shanghai Pudong Software Park.</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accidents or insecurity should be self-examination and timely rectification. Cooperate with Pu soft company and the property management unit for safety inspection and rectification.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Fire Safety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involved in the fire drill and cooperate with Pu soft company and property management units.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Smoking is strictly forbidden in non-smoking areas. It is forbidden to use open flame in violation of regulation.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forbidden to block, close, occupy the evacuation routes and entrances and exits.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Security and Traffic Safety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43"/>
          <w:szCs w:val="43"/>
          <w:b w:val="1"/>
          <w:bCs w:val="1"/>
          <w:color w:val="auto"/>
        </w:rPr>
        <w:t>Housing lease Contract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(Office space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0"/>
        <w:spacing w:after="0"/>
        <w:tabs>
          <w:tab w:leader="none" w:pos="4700" w:val="left"/>
        </w:tabs>
        <w:rPr>
          <w:sz w:val="20"/>
          <w:szCs w:val="20"/>
          <w:color w:val="auto"/>
        </w:rPr>
      </w:pPr>
      <w:r>
        <w:rPr>
          <w:rFonts w:ascii="Times New Roman" w:cs="Times New Roman" w:eastAsia="Times New Roman" w:hAnsi="Times New Roman"/>
          <w:sz w:val="18"/>
          <w:szCs w:val="18"/>
          <w:b w:val="1"/>
          <w:bCs w:val="1"/>
          <w:color w:val="auto"/>
        </w:rPr>
        <w:t>Date of contract.</w:t>
      </w:r>
      <w:r>
        <w:rPr>
          <w:sz w:val="20"/>
          <w:szCs w:val="20"/>
          <w:color w:val="auto"/>
        </w:rPr>
        <w:tab/>
      </w:r>
      <w:r>
        <w:rPr>
          <w:rFonts w:ascii="Times New Roman" w:cs="Times New Roman" w:eastAsia="Times New Roman" w:hAnsi="Times New Roman"/>
          <w:sz w:val="17"/>
          <w:szCs w:val="17"/>
          <w:b w:val="1"/>
          <w:bCs w:val="1"/>
          <w:color w:val="auto"/>
        </w:rPr>
        <w:t>Year Month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20" w:name="page221"/>
    <w:bookmarkEnd w:id="220"/>
    <w:p>
      <w:pPr>
        <w:spacing w:after="0" w:line="219"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 xml:space="preserve">Party A: </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Dalian Software Park Rong Yuan Development Co. </w:t>
      </w:r>
      <w:r>
        <w:rPr>
          <w:rFonts w:ascii="SimSun" w:cs="SimSun" w:eastAsia="SimSun" w:hAnsi="SimSun"/>
          <w:sz w:val="18"/>
          <w:szCs w:val="18"/>
          <w:color w:val="auto"/>
        </w:rPr>
        <w:t>】</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Registered office.</w:t>
      </w:r>
      <w:r>
        <w:rPr>
          <w:rFonts w:ascii="SimSun" w:cs="SimSun" w:eastAsia="SimSun" w:hAnsi="SimSun"/>
          <w:sz w:val="18"/>
          <w:szCs w:val="18"/>
          <w:color w:val="auto"/>
        </w:rPr>
        <w:t>【</w:t>
      </w:r>
      <w:r>
        <w:rPr>
          <w:rFonts w:ascii="Times New Roman" w:cs="Times New Roman" w:eastAsia="Times New Roman" w:hAnsi="Times New Roman"/>
          <w:sz w:val="18"/>
          <w:szCs w:val="18"/>
          <w:color w:val="auto"/>
        </w:rPr>
        <w:t>Room 202H, 2/F, Jinhuai Building, No. 33 Hongchuan East Road, Dalian Hi-Tech Industrial Park, Liaoning Province</w:t>
      </w:r>
      <w:r>
        <w:rPr>
          <w:rFonts w:ascii="SimSun" w:cs="SimSun" w:eastAsia="SimSun" w:hAnsi="SimSun"/>
          <w:sz w:val="18"/>
          <w:szCs w:val="18"/>
          <w:color w:val="auto"/>
        </w:rPr>
        <w:t>】</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Tel.</w:t>
      </w:r>
      <w:r>
        <w:rPr>
          <w:rFonts w:ascii="SimSun" w:cs="SimSun" w:eastAsia="SimSun" w:hAnsi="SimSun"/>
          <w:sz w:val="18"/>
          <w:szCs w:val="18"/>
          <w:color w:val="auto"/>
        </w:rPr>
        <w:t>【</w:t>
      </w:r>
      <w:r>
        <w:rPr>
          <w:rFonts w:ascii="Times New Roman" w:cs="Times New Roman" w:eastAsia="Times New Roman" w:hAnsi="Times New Roman"/>
          <w:sz w:val="18"/>
          <w:szCs w:val="18"/>
          <w:color w:val="auto"/>
        </w:rPr>
        <w:t>0411-84756943</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Fax </w:t>
      </w:r>
      <w:r>
        <w:rPr>
          <w:rFonts w:ascii="SimSun" w:cs="SimSun" w:eastAsia="SimSun" w:hAnsi="SimSun"/>
          <w:sz w:val="18"/>
          <w:szCs w:val="18"/>
          <w:color w:val="auto"/>
        </w:rPr>
        <w:t>【</w:t>
      </w:r>
      <w:r>
        <w:rPr>
          <w:rFonts w:ascii="Times New Roman" w:cs="Times New Roman" w:eastAsia="Times New Roman" w:hAnsi="Times New Roman"/>
          <w:sz w:val="18"/>
          <w:szCs w:val="18"/>
          <w:color w:val="auto"/>
        </w:rPr>
        <w:t>116023</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Postcode. </w:t>
      </w:r>
      <w:r>
        <w:rPr>
          <w:rFonts w:ascii="SimSun" w:cs="SimSun" w:eastAsia="SimSun" w:hAnsi="SimSun"/>
          <w:sz w:val="18"/>
          <w:szCs w:val="18"/>
          <w:color w:val="auto"/>
        </w:rPr>
        <w:t>【 】</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Party B: </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CLPS Dalian Co., Ltd. </w:t>
      </w:r>
      <w:r>
        <w:rPr>
          <w:rFonts w:ascii="SimSun" w:cs="SimSun" w:eastAsia="SimSun" w:hAnsi="SimSun"/>
          <w:sz w:val="18"/>
          <w:szCs w:val="18"/>
          <w:color w:val="auto"/>
        </w:rPr>
        <w:t>】</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Registered office.</w:t>
      </w:r>
      <w:r>
        <w:rPr>
          <w:rFonts w:ascii="SimSun" w:cs="SimSun" w:eastAsia="SimSun" w:hAnsi="SimSun"/>
          <w:sz w:val="18"/>
          <w:szCs w:val="18"/>
          <w:color w:val="auto"/>
        </w:rPr>
        <w:t>【</w:t>
      </w:r>
      <w:r>
        <w:rPr>
          <w:rFonts w:ascii="Times New Roman" w:cs="Times New Roman" w:eastAsia="Times New Roman" w:hAnsi="Times New Roman"/>
          <w:sz w:val="18"/>
          <w:szCs w:val="18"/>
          <w:color w:val="auto"/>
        </w:rPr>
        <w:t>Room #01-01/02/03/04, 1st Floor, No. 1, Huixian Park, Qixianling, Dalian Hi-Tech Industrial Park, Liaoning Province, China</w:t>
      </w:r>
      <w:r>
        <w:rPr>
          <w:rFonts w:ascii="SimSun" w:cs="SimSun" w:eastAsia="SimSun" w:hAnsi="SimSun"/>
          <w:sz w:val="18"/>
          <w:szCs w:val="18"/>
          <w:color w:val="auto"/>
        </w:rPr>
        <w:t>】</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Tel.</w:t>
      </w:r>
      <w:r>
        <w:rPr>
          <w:rFonts w:ascii="SimSun" w:cs="SimSun" w:eastAsia="SimSun" w:hAnsi="SimSun"/>
          <w:sz w:val="18"/>
          <w:szCs w:val="18"/>
          <w:color w:val="auto"/>
        </w:rPr>
        <w:t>【</w:t>
      </w:r>
      <w:r>
        <w:rPr>
          <w:rFonts w:ascii="Times New Roman" w:cs="Times New Roman" w:eastAsia="Times New Roman" w:hAnsi="Times New Roman"/>
          <w:sz w:val="18"/>
          <w:szCs w:val="18"/>
          <w:color w:val="auto"/>
        </w:rPr>
        <w:t>13898687842</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Fax </w:t>
      </w:r>
      <w:r>
        <w:rPr>
          <w:rFonts w:ascii="SimSun" w:cs="SimSun" w:eastAsia="SimSun" w:hAnsi="SimSun"/>
          <w:sz w:val="18"/>
          <w:szCs w:val="18"/>
          <w:color w:val="auto"/>
        </w:rPr>
        <w:t>【 】</w:t>
      </w:r>
      <w:r>
        <w:rPr>
          <w:rFonts w:ascii="Times New Roman" w:cs="Times New Roman" w:eastAsia="Times New Roman" w:hAnsi="Times New Roman"/>
          <w:sz w:val="18"/>
          <w:szCs w:val="18"/>
          <w:color w:val="auto"/>
        </w:rPr>
        <w:t xml:space="preserve"> Postcode.</w:t>
      </w:r>
      <w:r>
        <w:rPr>
          <w:rFonts w:ascii="SimSun" w:cs="SimSun" w:eastAsia="SimSun" w:hAnsi="SimSun"/>
          <w:sz w:val="18"/>
          <w:szCs w:val="18"/>
          <w:color w:val="auto"/>
        </w:rPr>
        <w:t>【 】</w:t>
      </w:r>
    </w:p>
    <w:p>
      <w:pPr>
        <w:spacing w:after="0" w:line="227"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The two parties, A and B, in accordance with the laws and regulations in force in the People’s Republic of China, enter into this contract after friendly consultation regarding the lease of Party A’s premises by Party B.</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1 Leasehold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Basic overview of the house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 Party B voluntarily leases the premises owned by Party A (hereinafter referred to as “the premises”), the basic overview of which is set out in the “Basic Information Sheet of the Contract” attached to this contract; Party A guarantees that the facilities provided are in good condition.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1.2 Party A guarantees that the property right of the house is clear and free from disputes. In case of any property right disputes or other debts related to Party A, Party A shall be responsible for clearing them up; Party A shall be responsible for compensating for any losses caused to Party 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Use of the house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The premises rented by Party B shall be used only for the purpose of conducting business in the relevant industry as agreed in the “Basic Information Form of the Contract” annexed to the Contract, and shall not be used for other purposes without the written consent of Party A. Party B shall not sublet or sublet the premises in whole or in part to a third party or exchange the premises with a third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1" w:name="page222"/>
    <w:bookmarkEnd w:id="22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2.2 Party B shall apply for and bear the costs of all approvals, licences and other permits required for the operation of its business in the premises. Party B guarantees that all business activities undertaken by it in the premises will obtain all business permits and other formalities issued by the government administration for industry and commerce, and that it will maintain legal registration and permits throughout the lease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Handover of the house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Conditions of handover of the house</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The conditions of handover of the house are detailed in the Basic Information Sheet of the contract annexed to the contract and are subject to the actual conditions at the time of handover.</w:t>
      </w:r>
    </w:p>
    <w:p>
      <w:pPr>
        <w:spacing w:after="0" w:line="16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Party B confirms that it has inspected the house on site before signing this contract, and has fully understood and approved of the current state of the interior and exterior of the house, its designed use and the then condition of its ancillary facilities and ancillary properties, and has no objection to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Check-in handover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3.2.1 Party B shall send an application for occupation to Party A at least 2 working days before the commencement date of the lease as agreed in the contract, and Party A shall arrange personnel to hand over the leased premises together with Party B in accordance with the handover conditions upon receipt of the application, and the handover shall be completed before the commencement date of the lease; if Party B fails to make any payment as agreed before the occupation, Party A shall have the right to refuse to go through the occupation procedures to deliver the premises to it and shall not be liable for any breach of contract</w:t>
      </w:r>
      <w:r>
        <w:rPr>
          <w:rFonts w:ascii="Times New Roman" w:cs="Times New Roman" w:eastAsia="Times New Roman" w:hAnsi="Times New Roman"/>
          <w:sz w:val="18"/>
          <w:szCs w:val="18"/>
          <w:u w:val="single" w:color="auto"/>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3.2.2 When there is no objection to the handover, the representatives of A and B shall sign and confirm on the Notice of Occupancy respectively, and the handover of the house key or access card shall be carried out after the signature (in case of renewal of the tenancy agreement, the two parties shall no longer handle the handover process of occupancy, and the handover shall prevail at the initial occupancy).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3.2.3 If the handover is actually used by you or is not completed by the Lease Commencement Date for your reasons, the handover will be deemed to be complete, i.e. the Premises will be deemed to meet the necessary standards and to have been delivered to you in good order on the Lease Commencement Date and the Lease Term will commence.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3.3 Check-out acceptance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3.3.1 When withdrawing from the premises, Party B shall submit an application for withdrawal to Party A within the time limit required by Party A 7 days prior to the expiry of the lease term or early termination of the contract, and Party A shall arrange personnel to inspect and hand over the premises together with Party B before the expiry of the lease term or early withdrawal date in accordance with the handover conditions stipulated in Clause 3.1 of this contract.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3.3.2 Party B shall ensure that the original decoration (including the ceiling) and facilities of the Premises are intact (except for natural damage) and that the condition of the room is restored to its original condition as agreed in the original condition restoration standards in the Contract Basic Information Form attached to this Agreement. In the event of any other damage or interruption to our rental, Party B shall compensate Party A for all losses, including but not limited to the occupation fee of the premises during the restoration period, liquidated damages, agency fees or other losses incurred as a result of the delay in delivery of the premises by Party A to the new tenant. The costs required for restoration shall be paid by Party B at its own expense or, if entrusted to Party A for completion, the relevant costs shall be paid to Party A.</w:t>
      </w:r>
    </w:p>
    <w:p>
      <w:pPr>
        <w:spacing w:after="0" w:line="187"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If Party B fails to return the premises to Party A as agreed in this contract, Party A shall have the right to restore the premises to its original condition at its own expense and all costs arising therefrom shall be borne by Party B. Party A shall also have the right not to remove but to retain some or all of the improvements made by Party B and the aforesaid facilities and equipment owned by Party B. In such case, Party B shall be deemed to have relinquished its ownership of such improvements, facilities and equipment and Party B shall not be entitled to claim any compensation or indemnity in respect of such improvements, facilities and equipment retained by Party A. You shall not be entitled to claim any compensation or indemnity in respect of such improvements, facilities and equipment retained by 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3.3.3 When Party B withdraws from the premises, all fees payable must be settled; if Party B has registered for business and industry in the rented premises, Party B shall change the address of the business and industry registration to another place within 10 days after the termination of this contract and report the approval or certificate from the relevant government authorities to Party A for backup.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3.3.4 After acceptance, all keys or access cards of the rooms will be returned to Party A after the representatives of Party A and Party B respectively sign and confirm on the Notice of Check-out.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2 Term of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Lease term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 The term of the lease is detailed in the Basic Information Sheet of the Contract annexed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4.1.2 If Party B does not move in on time for reasons other than Party A’s handover, the lease term shall commence on the contractual commencement date.</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4.1.3 If Party A transfers the premises during the lease period, it shall give Party B two months’ notice in advance and guarantee the continued performance of this contract. Party B shall have the right of first refusal under the same conditions, but Party B shall have no right of first refusal if Party A transfers the whole building (where Party B leases the premises). If Party B exercises its right of first refusal, it shall give a written reply within five days from the date of receipt of the notice, failing which it shall be deemed to have waived its right of first refusal.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Lease renewals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4.2.1 If Party B needs to continue to lease the premises after the expiry of the lease term, it shall submit an application for renewal of the lease to Party A in writing two months before the expiry of the lease term; if Party B fails to notify Party A on time, Party A shall have the right to deal with it in accordance with Party B’s non-renewal of the lease.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4.2.2 Party A shall reply to Party B’s application for lease renewal within 10 working days upon receipt of such application. Upon mutual agreement, Party B shall sign a lease renewal contract one month before the expiry of the lease; if the contract is not signed on time, Party A shall have the right to deal with it in accordance with Party B’s non-renewal of the lease.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3" w:name="page224"/>
    <w:bookmarkEnd w:id="22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4.2.3 The parties agree that if the renewal of the lease is agreed, the parties may sign the Annexed Basic Information Form only and this contract shall continue to be valid during the renewal period; matters relating to the payment of fees during the renewal period and any amendments to this contract may be added to the Basic Information Form with the corresponding terms and conditions, which shall take precedence over the terms of this contract.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4.2.4 If Party B does not intend to renew the lease, or if the parties fail to sign a renewal contract within one month before the expiry of the lease term, Party A shall have the right to enter into an intention or contract to lease the Leased Premises with a third party, and shall have the right to carry out the leasing of the Leased Premises to Party B. Party B may, at any reasonable time upon prior notice, allow the new lessee or user of the Leased Premises to survey the site and carry out the necessary inspection of the premises, and Party B shall You shall co-operate.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Surrender of rent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4.3.1 Upon expiry, termination or early termination of the contract, Party B shall move out of the premises as scheduled and in accordance with the agreed standard. If Party B fails to move out of the premises on time, Party A may grant a grace period of three working days; if Party B still fails to move out within the grace period, Party B shall pay double the rent and the occupation fee of the property fee standard according to the actual number of days of stay, and Party A may take any measures to exercise the ownership and right to use the leased premises, and has the right to replace the keys of the leased premises and prohibit Party B and its associated third parties from re-entering the leased premises; for For the renovation of the leased premises and the articles, equipment and facilities left by Party B and its associated third parties, they are deemed to have been abandoned by Party B and Party A has the right to dispose of them by itself, and Party B shall not claim any rights and incur any costs against Party A as a result. The costs incurred (including but not limited to attorney’s fees, construction costs for restoration of the original condition, relocation costs, clearance costs, auction costs, storage costs, etc.) shall be borne by Party B. If the proceeds from the disposal are not sufficient to cover the costs payable by Party B, Party A shall have the right of recourse against Party B.</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4.3.2 Upon expiry, cancellation or early termination of the contract, both parties shall go through the procedures for handing over and acceptance of the rent and settlement of expenses in accordance with the requirements of this contract; the date when the premises are inspected and accepted by Party A and the Notice of Withdrawal is issued shall be the official withdrawal date of Party B.</w:t>
      </w:r>
    </w:p>
    <w:p>
      <w:pPr>
        <w:spacing w:after="0" w:line="17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Chapter 3: Rental and other fees and payment methods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Rent, property management fees and other fees and payment methods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5.1 Rates for rent, etc.</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Party A is a general taxpayer. The amount and method of payment of rent, property management fees and other charges are detailed in the Annex “Basic Information Sheet of the Contract” and the prices stated therein are all tax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Performance bond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5.2.1 The standard and amount of payment of the performance deposit are set out in the Annex “Basic Information Sheet of the Contract”. Party B shall pay the deposit to Party A together with the first installment of rent and property management fee; Party A shall issue a receipt for receipt for Party B upon receipt of the performance deposit.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5.2.2 In the case of a renewal contract, Party B has paid the corresponding performance deposit. If there is no change in the rent and property charges, Party B may not pay the performance deposit; if there is a change in the rent and property charges, the renewal contract will be executed as agreed.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5.2.3 The performance bond is a security deposit delivered by Party B to guarantee the performance of Party B’s obligations under this Agreement. Party A shall have the right not to apply it against the rent, property charges, liquidated damages and any other expenses (including but not limited to losses incurred by Party A or third parties as a result of Party B) owed by Party B. Party A shall have the right to choose to recover the relevant outstanding amount and liquidated damages directly from Party B. If Party A adopts to set off all or part of the performance bond against the amount owed by Party B to Party A, Party B shall make payment to Party A within 5 working days upon receipt of Party A’s notice to re-fill the original amount of the performance bond, and if the performance bond is insufficient to set off, Party A shall have the right to continue to recover the outstanding portion from Party B, or else bear the liability for default in respect of overdue fees in accordance with Clause 11.1 of this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5.2.4 Upon expiry of the lease term or early termination of the contract, Party B shall pay all the fees payable under this contract and complete the check-out and acceptance process as agreed in this contract, and Party A shall return the performance deposit to Party B without interest within 30 days from the date Party A takes over the leased premises and accepts the premises. In case of late return, Party A shall pay to Party B a late payment of 0.1% of the total performance deposit on a daily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5.3 Payment methods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5.3.1 Rent and property management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5.3.1.1 Party B shall pay the rent and property management fee to Party A’s account as agreed in the Basic Information Form of the Contract.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5.3.1.2 If there is any change to the account number specified by us, we shall notify you in writing at least 14 days in advance of the next payment date; you shall not be liable for any failure to receive payment on time as a result of our failure to properly comply with the aforesaid notification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 Water and electricity charges in the leased area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5.3.2.1 Water and electricity charges in the leased area shall be collected by Party A on behalf of Party B according to the actual occurrence of Party B. The property management company hired by Party A shall issue an itemized breakdown to Party B. The meter will be read on the 20th of each month and the bill will be paid by the 20th of the following month.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5.3.2.2 In the event that the government adjusts the water and electricity tariff during the lease period, the adjusted standard will be implemented according to the corresponding range. Party A shall give written notice of the adjusted standard to Party B. The adjusted water and electricity tariffs shall take effect in the month in which Party A gives written notice.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5.3.2.3 Charges in the event of a meter failure are based on the average of the water and electricity bills for each month from one month prior to the failure to four months prior to the failure.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5.3.2.4 Costs incurred for the use of air-conditioning, heating, etc., required outside the contracted hours shall be as agreed in the Contract Annex “Basic Information Sheet for Contracts”.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5.3.3 Communication fee: To be paid by Party B to the relevant communication operation service provider.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5.3.4 Taxes: All kinds of taxes and fees incurred as a result of this contract shall be handled by both parties in accordance with the relevant provisions of the tax law of the People’s Republic of China.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5.4 During the lease period, Party A may reasonably adjust the property management fee due to changes in government policies, the market and other reasons and the increase or decrease of property service content, but shall negotiate with Party B on the standard of the property management fee.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Chapter 4 Property Services and Asset Maintenance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Contents of property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6.1 During the lease period, Party A or the property management company entrusted by Party A shall be responsible for the property service work of the house, and the contents of the property service are detailed in the Annex of the contract “Contract Basic Information Form”.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6.2 During the term of the lease, Party B is responsible for the cleaning and the fire and security work in the leased premises as well as the property work which is not part of the above property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During the lease period, Party B shall manage the contents of the premises by itself.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Covenants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7.1 During the lease period, we are obliged to coordinate the relationship between Party B and the property management company responsible for the management of the common areas.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7.2 Upon occupation, Party B shall provide the property management company engaged by Party A with the contact numbers of three main contacts for backup in case of emergency or other situations.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7.3 During the lease period, for the sake of safety, when Party B needs to move office furniture and computers and other items out of the building, it should register with Party A’s property management department in advance.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7.4 Party A shall have the right to change the name of the building in which the leased premises are located (hereinafter referred to as “the Building”) as necessary, provided that Party B is notified in writing or by public notice 30 days in advance.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7.5 A unified standard signage system will be set up in the lobby of the main entrance of the building. When Party B moves in, Party A will provide Party B with the production and installation of the signage once free of charge (limited to Party B’s first move-in), and the name of the signage will be limited to the name and room number recorded in this contract; without Party A’s written consent, Party B shall not post, set up or hang LOGO, drape or other signage outside its leased area and conduct related You shall not post, install, hang logos, drapes or other signs or conduct related promotional activities outside the leased area without our written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7" w:name="page228"/>
    <w:bookmarkEnd w:id="227"/>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7.6 In order to ensure the safety of electricity consumption, a 10-hour power outage will be carried out once every two years for the building’s electricity equipment in accordance with the Electricity Law, and Party A will notify Party B 60 calendar days before the day of the power outage.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7.7 In order to ensure the normal operation of the air conditioning, there will be 15 days of equipment maintenance days each year during the winter-summer and summer-winter switchover periods, during which the operation of the building’s air conditioning system will cease; Party A will notify Party B 7 calendar days in advance.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7.8 During the lease period, Party B should pay attention to property and personal safety, and Party B is the first responsible person and the ultimate responsibility bearer of fire safety. All responsibilities for personal injuries or fire accidents not due to Party A shall be borne by Party B; Party B shall compensate for any losses caused to Party 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Maintenance and repair of the house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8.1 Party A shall be responsible for the maintenance and repair of natural damage to the house and ancillary facilities. Party A’s responsibility for the maintenance of the house shall be limited to the original structure of the house, the power supply lines and the common parts of the house without alteration by Party B.</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8.2 The maintenance obligations and the maintenance costs of the parts decorated and renovated by Party B, the equipment and facilities and property added by Party B shall be borne by Party B. Party B shall ensure that they are in a suitable and safe condition and shall not endanger the personal and property safety of the rented premises, the building and other users.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8.3 During the lease period, Party B shall promptly notify Party A or the property management company of any damage or malfunction to the premises and ancillary facilities, and Party A shall not be liable for any loss caused to Party A as a result of untimely notification by Party B.</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8.4 Party A shall, upon receipt of the above notice, carry out maintenance after judging the responsibility according to the actual situation; if the damage or fault is within the scope of Party B’s maintenance responsibility or if it is within the scope of Party A’s maintenance but caused by Party B’s improper use or intentional damage, Party B shall carry out timely repair and notify Party A or the property management company; if Party B refuses to carry out repair within three calendar days upon receipt of Party A’s supervisory notice, Party A may carry out repair on behalf of Party B at Party B shall bear the cost.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28" w:name="page229"/>
    <w:bookmarkEnd w:id="228"/>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8.5 The party responsible for maintenance shall compensate the other party for direct economic loss if delayed maintenance or improper maintenance causes damage to the other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Renovation and alteration of the house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 In addition to the provisions of this Contract, if Party B needs to install additional ancillary facilities and equipment, it shall obtain prior written consent from Party A and, if it is required to report to the relevant authorities for approval, it shall also submit to the relevant authorities for approval before proceeding.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9.2 With the written consent of Party A and the approval of the relevant government authorities (if required), Party B may carry out secondary decoration of the premises according to its business needs, but shall comply with Party A’s regulations on secondary decoration and relevant national regulations and bear all costs incurred in the decoration (including the costs of alteration and increase of fire-fighting facilities, etc.), while Party A has the right to supervise the decoration process of Party B. Party A has the right to stop Party B from violating the national regulations and this contract, and to request Party B to compensate for the losses caused to Party A as a result.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9.3 Party B shall be responsible for the fire-fighting examination and inspection of the decoration of the rented area and shall not use the premises before obtaining fire-fighting acceptance and other formalities; if Party B carries out decoration or alteration without fire-fighting examination and inspection or obtains other formalities or uses the unexamined premises, all responsibilities arising therefrom shall be borne by Party B and Party B shall fully compensate for any losses caused to Party 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9.4 The per capita floor area of the office area before and after Party B’s renovation shall not be less than 10 square metres and the weight of the articles in the area shall not exceed the floor load-bearing standard of 200 kilograms per square metre. If Party B violates the above standard, all consequences shall be borne by Party B and Party B shall fully compensate for any losses caused to Party 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9.5 In view of the different occupation times of the tenants in this building, in order to ensure the working environment of the tenants who occupy the building first, the decoration period shall be specified by Party A or the property management company, and Party B and the decoration contractor shall apply again in special circumstances; Party B shall carry out the construction work in a manner consistent with this contract and the relevant property management regulations, and shall not use the common passageway of the floor or the area outside the scope of the tenancy as a pile of building materials or tools without the consent of Party A. The use of the common passageway and the area outside the leased area shall not be used for stacking building materials or tools without our consent.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10. Entry inspection and adjacency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Entry work checks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10.1.1 Party B agrees that Party A or the property management company may enter the parts of the building leased by Party B for maintenance, sanitation, burglary, disaster prevention, ambulance or other management purposes or for the maintenance of adjacent tenants; normally, Party A shall give 24 hours’ notice to Party B.</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10.1.2 Party A or the property management company shall be accompanied by Party B’s personnel to enter the premises. In case of emergency and if Party B cannot be contacted, Party A or the property management company shall have the right to enter the premises to deal with the emergency and shall not be liable for any loss caused to Party B as a result, but shall explain the emergency to Party B afterwards.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10.1.3 In the event of the above, Party B shall support and cooperate with the work of Party A or the property management company; Party A or the property management company shall minimise the impact on Party 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Adjacency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 Party B shall not do or tolerate any act which may cause a nuisance or disturbance to us or to neighbouring occupiers.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 If a dispute arises between Party B and a neighbouring tenant, Party A shall be obliged to co-ordinate.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10.2.3 In the event of a dispute between adjacent tenants caused by Party B, Party A shall have the right of recourse against Party B if the adjacent tenants bring proceedings against it and Party A is named as a defendant or third party and is held liable.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10.2.4 If, during the term of the lease, any rectification request is made by any government authority in respect of the renovation (including but not limited to fire safety facilities) of the adjoining unit of the Premises, Party B shall provide all necessary assistance and cooperation as required by Party A or the property company to comply with such rectification request; if Party B suffers any loss as a result, Party B shall, with the assistance of Party A, negotiate with the occupants of the adjoining unit to settle the compensation issue We shall not be liable in any way for such damages. You shall not refuse or delay to provide such assistance or cooperation on the ground that you have not yet reached agreement with the occupants of the adjoining unit.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Chapter 5 Liability for breach of contract, dispute resolution</w:t>
      </w:r>
    </w:p>
    <w:p>
      <w:pPr>
        <w:spacing w:after="0" w:line="225" w:lineRule="exact"/>
        <w:rPr>
          <w:sz w:val="20"/>
          <w:szCs w:val="20"/>
          <w:color w:val="auto"/>
        </w:rPr>
      </w:pPr>
    </w:p>
    <w:p>
      <w:pPr>
        <w:ind w:left="260" w:hanging="252"/>
        <w:spacing w:after="0"/>
        <w:tabs>
          <w:tab w:leader="none" w:pos="2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 of contract</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11.1 Late Payment of Fees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11.1.1 During the lease period, if Party B fails to pay the rent, property charges, utilities, performance bond or other relevant charges payable as agreed in the contract, Party B shall pay to Party A a late payment fee of 0.1% of the overdue charges for each day of delay without prejudice to other rights or remedies of Party A. The late payment fee shall be calculated from the date on which each of the above charges is payable until Party B has paid all the aforementioned charges in full. The late payment period shall commence on the date on which each of the above fees is payable and shall continue until all of the aforementioned fees, principal, late payment and other related fees are paid.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11.1.2 Party B shall not move the assets in the leased premises without Party A’s consent unless Party B has paid the rent and other charges in accordance with the contract. If Party B fails to pay the appropriate fees on time even after a reminder has been sent to it by Party A, Party B agrees that Party A may take the following remedial measures to protect Party A’s interests, namely</w:t>
      </w:r>
    </w:p>
    <w:p>
      <w:pPr>
        <w:spacing w:after="0" w:line="176" w:lineRule="exact"/>
        <w:rPr>
          <w:sz w:val="20"/>
          <w:szCs w:val="20"/>
          <w:color w:val="auto"/>
        </w:rPr>
      </w:pPr>
    </w:p>
    <w:p>
      <w:pPr>
        <w:jc w:val="both"/>
        <w:ind w:firstLine="8"/>
        <w:spacing w:after="0" w:line="261" w:lineRule="auto"/>
        <w:tabs>
          <w:tab w:leader="none" w:pos="2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the right to terminate the functions of the premises rented by Party B, including but not limited to termination of the provision of water, electricity, air-conditioning, lift, access to the premises and other functions until Party B has paid in full in accordance with the contract, and all economic losses that may be incurred by Party B as a result shall be borne by Party B. Party B shall be responsible for all costs incurred in reconnecting the above-mentioned functions and shall pay the normal rent and property charges during the period of disconnection.</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6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 all the assets in Party B’s house to Party A’s asset pool and if Party B pays the full cost, Party A will return Party B’s assets; if Party B does not pay the full cost within fifteen days, Party A has the right to dispose of Party B’s assets.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11.1.3 In the event that Party B defaults on the payment of rent, property charges, utilities, performance bond or any other fees payable (not paid in full) for more than 60 days in aggregate, Party A shall have the right to unilaterally terminate the contract and repossess the Premises and Party B shall pay to Party A all outstanding amounts due under this contract (including outstanding fees and corresponding late payment fees) for the period of actual use of the Premises, 20% of the total rent and You shall also pay 20% of the total rent and property charges for the remaining tenancy period, and indemnify us for any loss suffered by us as a result (including but not limited to legal fees, court costs, rent, management and air-conditioning fees and other costs that we could have collected under this contract during the vacancy period, as well as the investment leasing costs incurred in leasing the premises to a new tenant, etc.), and the performance deposit received by us shall not be refunded.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11.2 Early termination of contract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term of the lease, unless otherwise agreed herein, neither party may unilaterally terminate this contract without statutory or agreed reason.</w:t>
      </w:r>
    </w:p>
    <w:p>
      <w:pPr>
        <w:spacing w:after="0" w:line="225"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Either party may unilaterally terminate the contract if the following conditions are met and confirmed and agreed to by the other party: (1) a written application is made to the other party at least 90 days in advance; (2) liquidated damages are paid to the other party at 20% of the total rent and property charges for the remaining tenancy period; (3) all costs incurred and agreed to be payable under this contract are settled before the date of surrender.</w:t>
      </w:r>
    </w:p>
    <w:p>
      <w:pPr>
        <w:spacing w:after="0" w:line="176"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The Parties further clarify that the following two circumstances shall not be subject to this Clause 11.2: (1) if Party B needs to terminate this Agreement early due to expansion of the lease (i.e. leasing a larger area of premises in the development and management zone of Party A and a lease contract has been actually signed), Party A and Party B shall discuss the operation procedure separately; (2) if Party B needs to change the subject of the lease and Party A agrees in writing, Party A and Party B may jointly negotiate (2) If Party B needs to change the subject of the lease and Party A agrees in writing, Party A and Party B may mutually agree to terminate this contract early and assign the remaining term and rights and obligations to the new subject of the lease, provided that Party B proves that the new subject of the lease is an associated company of Party B and provides an unlimited joint and several liability guarantee for the continued performance of this lease by the new subject of the lease.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11.3 Other serious non-compliance</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In the event of any serious breach of contract by Party B as stipulated in the following clauses or other circumstances of termination as agreed in this contract, Party A shall have the right, in addition to exercising its rights under the law, to unilaterally terminate this contract and require Party B to pay 20% of the total rent and property charges for the remaining term of the lease, and to compensate Party A for any loss suffered as a result (including but not limited to legal fees, litigation costs, vacant premises (including but not limited to attorney’s fees, court costs, rent, management and air-conditioning fees and other costs that Party A could have collected under the provisions of this contract during the period of vacancy, as well as the investment leasing costs incurred in leasing the premises to a new tenant, etc.) and the security deposit received by Party A shall not be refunded.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11.3.1 if Party B is 30 days overdue in the occupation procedures from the commencement date of the lease (including failure to pay the down payment or security deposit, failure to hand over the premises to Party A, etc.).</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11.3.2 if Party B demolishes or renovates the Premises (including ancillary facilities) or changes the use of the Premises without the written consent of Party 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11.3.3 if Party B engages in any illegal or unlawful activity in the premises.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11.3.4 if Party B’s conduct seriously violates relevant national standards or regulations, causing serious impact on the environment of the Park or other customers, or if Party A requests Party B to rectify the situation within a specified period and Party B still fails to do so within the period limited by Party 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11.3.5 without our written consent, Party B sublets the premises, transfers the tenancy of the premises or exchanges the respective tenancy with others, or increases or changes the registered business in breach of contract.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11.3.6 Any other material breach of this Agreement by Party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11.4 Waiver of rights</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Where Party A understands that a breach of contract has occurred and accepts the rent, this shall not be deemed to be a waiver of Party A’s right to pursue the breach. If Party A waives any of its rights under the terms and conditions of this contract, such waiver shall only be made on the basis of Party A’s written seal and any payment of rent or other sums by Party B which is not in full, even if Party A accepts the payment in full, shall not be deemed to be Party A’s consent to Party B’s payment in reduced amount, nor shall it affect Party A’s right to recover the shortfall in rent or arrears, nor its right to take other measures as provided for in this contract or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Applicable law and dispute resolution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The laws of the People’s Republic of China shall apply to this Contract.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12.2 Disputes arising from the performance of this contract shall be settled by friendly consultation between the parties; if consultation fails, both parties may sue in the People’s Court where the house is located.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Chapter 6 Other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Force majeure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13.1 Force majeure as referred to in this contract refers to flood, typhoon of grade 8 or above, earthquake, war, change in government planning and other events that are unforeseeable, insurmountable and beyond the control of either party to the contract. The party proposing force majeure must inform the other party 24 hours after the end of the force majeure and produce a documentary proof from the relevant local government department within 15 days after the occurrence of the force majeure.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13.2 In the event of a force majeure event causing damage to the leased property which cannot be used normally, Party A shall repair the property as soon as possible and shall be exempt from paying rent during the repair period, and shall continue to calculate the rent after the leased property is restored to use, and the validity of the contract shall be postponed accordingly; in the event of a force majeure event causing damage to the leased property which cannot be repaired, both parties shall have the right to terminate the contract without assuming any responsibility.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13.3 If force majeure ceases or its effects are naturally removed, the contract shall continue to be performed from that date and its validity shall be extended accordingly.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13.4 The party who suffers an event of force majeure shall take effective measures to prevent the extension of the damage, failing which it shall be liable for the extended portion of the damage.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Confidentiality</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Neither party shall disclose to third parties the contents of this contract and the trade secrets of the other party known to it in the course of the conclusion and performance of this contract, whether or not this contract is concluded and performed, and this clause shall survive the termination of this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Notification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usual form of notice to be given by either party in fulfilling its obligations under this contract shall be in writing.</w:t>
      </w:r>
    </w:p>
    <w:p>
      <w:pPr>
        <w:spacing w:after="0" w:line="225"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Notice given by one party to the other in the course of the execution of this contract shall be deemed to be valid service of notice when served in writing by hand, courier, post (including registered or EMS), fax, e-mail or conspicuously posted at the door of the leased premises. The date of service of the notice shall be determined in accordance with the following principles.</w:t>
      </w:r>
    </w:p>
    <w:p>
      <w:pPr>
        <w:spacing w:after="0" w:line="176" w:lineRule="exact"/>
        <w:rPr>
          <w:sz w:val="20"/>
          <w:szCs w:val="20"/>
          <w:color w:val="auto"/>
        </w:rPr>
      </w:pPr>
    </w:p>
    <w:p>
      <w:pPr>
        <w:ind w:left="640" w:hanging="254"/>
        <w:spacing w:after="0"/>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courier: delivery is deemed to take place on the day it is handed over to a dedicated person or courier.</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 delivery is deemed to take place on the third calendar day of dispatch by registered post or EMS.</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e-mail: delivery is deemed to occur at the same time as the fax machine or e-mail shows successful delivery.</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Posting at the door: service is deemed to be effected by the third calendar day of posting.</w:t>
      </w:r>
    </w:p>
    <w:p>
      <w:pPr>
        <w:spacing w:after="0" w:line="22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From the date of actual delivery to the date of completion of the surrender procedures, the address of the premises leased by Party B shall be Party B’s contact address. In the event that Party A’s relevant notice cannot be served directly to Party B (including and not limited to Party B’s whereabouts unknown or refusal to accept), Party A shall be deemed to have served the notice if it is sent to such address by courier or EMS, and the date of signature or refusal shall be the date of service.</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During the term of this contract, if one party changes its contact address, telephone number, fax number or addressee in the Contract Basic Information Form attached to this contract, it shall notify the other party in writing within 3 days of the change, otherwise the responsibility and consequences of any resulting non-delivery or undeliverability shall be borne by that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16. Declaration of the Parties</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Both parties have full civil capacity at the time of signing this contract, and both parties have fully negotiated and informed each other about the terms and conditions involving their respective rights and obligations and reached a consensus; both parties are willing to perform in accordance with the agreement of this contract, and the party in breach is willing to accept the other party’s breach of contract to pursue.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Integrity of the contract</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This contract and its annexes are the final and complete contract between the parties in respect of the lease of the premises and supersede all previous or contemporaneous understandings and agreements reached between the parties in this regard. This contract shall not be amended without the written consent of both parties; any matters not covered by this contract shall be settled by separate negotiations between Party A and Party B and a supplementary agreement shall be signed, which shall have the same legal effect as this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 this contract, unless the context otherwise requires, the following interpretation shall apply.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18.1 The numbering of entries in this contract and their headings are for convenience of reference only and shall have no effect in the interpretation of this contract.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18.2 The Annexes hereto shall be an integral part hereof; references to “clauses”, “paragraphs” and “annexes” hereto shall be construed as clauses, paragraphs and annexes hereto. The term “this Contract” shall include the Annexes hereto and such modifications thereafter as the Parties may from time to time agree in writing.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18.3 references to “this Contract” or any of its terms or to any other document shall be construed as including the version in force at that time as modified, varied, updated or supplemented.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18.4 The Chinese language shall be the dominant language for the writing, interpretation and explanation of this contract; in the event of different interpretations of the text in different languages, the Chinese text of the contract shall prevail.</w:t>
      </w:r>
    </w:p>
    <w:p>
      <w:pPr>
        <w:spacing w:after="0" w:line="158" w:lineRule="exact"/>
        <w:rPr>
          <w:sz w:val="20"/>
          <w:szCs w:val="20"/>
          <w:color w:val="auto"/>
        </w:rPr>
      </w:pPr>
    </w:p>
    <w:p>
      <w:pPr>
        <w:ind w:right="20" w:firstLine="8"/>
        <w:spacing w:after="0" w:line="286" w:lineRule="auto"/>
        <w:tabs>
          <w:tab w:leader="none" w:pos="27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contract is made in oneRampant One copy to be executed by Party A II Party A and Party B II The contract shall take effect after it has been signed or sealed by both parties.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89"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annexes to this contract include the following: </w:t>
      </w:r>
      <w:r>
        <w:rPr>
          <w:rFonts w:ascii="Times New Roman" w:cs="Times New Roman" w:eastAsia="Times New Roman" w:hAnsi="Times New Roman"/>
          <w:sz w:val="18"/>
          <w:szCs w:val="18"/>
          <w:color w:val="auto"/>
        </w:rPr>
        <w:t>Annexes.[1. “Basic Information Form of the Contract”, 2. “Schedule of Rental Property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3. “Standard for Restoration of Original Condition”; if the content of the annexes is inconsistent with the main contract, the content of the annexes shall prevail in execution.]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 WITNESS WHEREOF the parties have entered into the following.</w:t>
            </w:r>
          </w:p>
        </w:tc>
        <w:tc>
          <w:tcPr>
            <w:tcW w:w="5940" w:type="dxa"/>
            <w:vAlign w:val="bottom"/>
          </w:tcPr>
          <w:p>
            <w:pPr>
              <w:spacing w:after="0"/>
              <w:rPr>
                <w:sz w:val="20"/>
                <w:szCs w:val="20"/>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Party A: (seal)</w:t>
            </w:r>
          </w:p>
        </w:tc>
        <w:tc>
          <w:tcPr>
            <w:tcW w:w="59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Party B: (seal)</w:t>
            </w: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representative/authorised representative:</w:t>
            </w:r>
          </w:p>
        </w:tc>
        <w:tc>
          <w:tcPr>
            <w:tcW w:w="59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Legal representative/authorized representative:</w:t>
            </w: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Head of Operations:</w:t>
            </w:r>
          </w:p>
        </w:tc>
        <w:tc>
          <w:tcPr>
            <w:tcW w:w="59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Head of Operations.</w:t>
            </w: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2021.11.12</w:t>
            </w:r>
          </w:p>
        </w:tc>
        <w:tc>
          <w:tcPr>
            <w:tcW w:w="5940" w:type="dxa"/>
            <w:vAlign w:val="bottom"/>
          </w:tcPr>
          <w:p>
            <w:pPr>
              <w:spacing w:after="0"/>
              <w:rPr>
                <w:sz w:val="24"/>
                <w:szCs w:val="24"/>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15</w:t>
            </w:r>
          </w:p>
        </w:tc>
      </w:tr>
    </w:tbl>
    <w:p>
      <w:pPr>
        <w:jc w:val="right"/>
        <w:ind w:right="5430"/>
        <w:spacing w:after="0"/>
        <w:rPr>
          <w:sz w:val="20"/>
          <w:szCs w:val="20"/>
          <w:color w:val="auto"/>
        </w:rPr>
        <w:sectPr>
          <w:pgSz w:w="11900" w:h="16838" w:orient="portrait"/>
          <w:cols w:equalWidth="0" w:num="1">
            <w:col w:w="11240"/>
          </w:cols>
          <w:pgMar w:left="320" w:top="1026"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bookmarkStart w:id="235" w:name="page236"/>
    <w:bookmarkEnd w:id="235"/>
    <w:p>
      <w:pPr>
        <w:ind w:left="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Annexes.</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Basic Contract Information Form</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Lessees</w:t>
            </w:r>
          </w:p>
        </w:tc>
        <w:tc>
          <w:tcPr>
            <w:tcW w:w="5940" w:type="dxa"/>
            <w:vAlign w:val="bottom"/>
            <w:tcBorders>
              <w:top w:val="single" w:sz="8" w:color="auto"/>
              <w:bottom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CLPS Dalian Co., Ltd.</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Email</w:t>
            </w:r>
          </w:p>
        </w:tc>
        <w:tc>
          <w:tcPr>
            <w:tcW w:w="26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Contact</w:t>
            </w:r>
          </w:p>
        </w:tc>
        <w:tc>
          <w:tcPr>
            <w:tcW w:w="5940" w:type="dxa"/>
            <w:vAlign w:val="bottom"/>
            <w:tcBorders>
              <w:right w:val="single" w:sz="8" w:color="auto"/>
            </w:tcBorders>
            <w:vMerge w:val="restart"/>
          </w:tcPr>
          <w:p>
            <w:pPr>
              <w:ind w:left="1880"/>
              <w:spacing w:after="0"/>
              <w:rPr>
                <w:sz w:val="20"/>
                <w:szCs w:val="20"/>
                <w:color w:val="auto"/>
              </w:rPr>
            </w:pPr>
            <w:r>
              <w:rPr>
                <w:rFonts w:ascii="Times New Roman" w:cs="Times New Roman" w:eastAsia="Times New Roman" w:hAnsi="Times New Roman"/>
                <w:sz w:val="18"/>
                <w:szCs w:val="18"/>
                <w:color w:val="auto"/>
              </w:rPr>
              <w:t>041182410800/13898687842</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Postcode</w:t>
            </w: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number</w:t>
            </w:r>
          </w:p>
        </w:tc>
        <w:tc>
          <w:tcPr>
            <w:tcW w:w="594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9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Contact</w:t>
            </w:r>
          </w:p>
        </w:tc>
        <w:tc>
          <w:tcPr>
            <w:tcW w:w="98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Room #01-01/02/03/04, 1st Floor, No. 1, Huixian Park, Qixianling, Dalian Hi-Tech Industrial Park, Liaoning Province</w:t>
            </w: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address</w:t>
            </w:r>
          </w:p>
        </w:tc>
        <w:tc>
          <w:tcPr>
            <w:tcW w:w="98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Lease of</w:t>
            </w:r>
          </w:p>
        </w:tc>
        <w:tc>
          <w:tcPr>
            <w:tcW w:w="594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8"/>
                <w:szCs w:val="18"/>
                <w:color w:val="auto"/>
              </w:rPr>
              <w:t>5/F, #501-503/504-506/507, 30 Cuitao Street, High-tech Park</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Building area</w:t>
            </w:r>
          </w:p>
        </w:tc>
        <w:tc>
          <w:tcPr>
            <w:tcW w:w="268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8"/>
                <w:szCs w:val="18"/>
                <w:color w:val="auto"/>
              </w:rPr>
              <w:t>1388.45 sqm</w:t>
            </w: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premises</w:t>
            </w:r>
          </w:p>
        </w:tc>
        <w:tc>
          <w:tcPr>
            <w:tcW w:w="594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9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House use</w:t>
            </w:r>
          </w:p>
        </w:tc>
        <w:tc>
          <w:tcPr>
            <w:tcW w:w="7160" w:type="dxa"/>
            <w:vAlign w:val="bottom"/>
            <w:tcBorders>
              <w:bottom w:val="single" w:sz="8" w:color="auto"/>
            </w:tcBorders>
            <w:gridSpan w:val="2"/>
          </w:tcPr>
          <w:p>
            <w:pPr>
              <w:jc w:val="center"/>
              <w:ind w:left="2550"/>
              <w:spacing w:after="0"/>
              <w:rPr>
                <w:sz w:val="20"/>
                <w:szCs w:val="20"/>
                <w:color w:val="auto"/>
              </w:rPr>
            </w:pPr>
            <w:r>
              <w:rPr>
                <w:rFonts w:ascii="Times New Roman" w:cs="Times New Roman" w:eastAsia="Times New Roman" w:hAnsi="Times New Roman"/>
                <w:sz w:val="18"/>
                <w:szCs w:val="18"/>
                <w:color w:val="auto"/>
                <w:w w:val="99"/>
              </w:rPr>
              <w:t>Business office use in software-related industries</w:t>
            </w: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Lease term</w:t>
            </w:r>
          </w:p>
        </w:tc>
        <w:tc>
          <w:tcPr>
            <w:tcW w:w="5940" w:type="dxa"/>
            <w:vAlign w:val="bottom"/>
            <w:tcBorders>
              <w:bottom w:val="single" w:sz="8" w:color="auto"/>
            </w:tcBorders>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2021-12-31 to 2024-12-30</w:t>
            </w:r>
          </w:p>
        </w:tc>
        <w:tc>
          <w:tcPr>
            <w:tcW w:w="122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5940" w:type="dxa"/>
            <w:vAlign w:val="bottom"/>
            <w:tcBorders>
              <w:bottom w:val="single" w:sz="8" w:color="auto"/>
            </w:tcBorders>
          </w:tcPr>
          <w:p>
            <w:pPr>
              <w:jc w:val="center"/>
              <w:ind w:left="3790"/>
              <w:spacing w:after="0"/>
              <w:rPr>
                <w:sz w:val="20"/>
                <w:szCs w:val="20"/>
                <w:color w:val="auto"/>
              </w:rPr>
            </w:pPr>
            <w:r>
              <w:rPr>
                <w:rFonts w:ascii="Times New Roman" w:cs="Times New Roman" w:eastAsia="Times New Roman" w:hAnsi="Times New Roman"/>
                <w:sz w:val="18"/>
                <w:szCs w:val="18"/>
                <w:color w:val="auto"/>
              </w:rPr>
              <w:t>Rental and other rates</w:t>
            </w:r>
          </w:p>
        </w:tc>
        <w:tc>
          <w:tcPr>
            <w:tcW w:w="122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Rental unit</w:t>
            </w:r>
          </w:p>
        </w:tc>
        <w:tc>
          <w:tcPr>
            <w:tcW w:w="7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1.60RMB/calendar day*sqm, rent does not include electricity and communication costs.</w:t>
            </w: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price</w:t>
            </w:r>
          </w:p>
        </w:tc>
        <w:tc>
          <w:tcPr>
            <w:tcW w:w="7160" w:type="dxa"/>
            <w:vAlign w:val="bottom"/>
            <w:gridSpan w:val="2"/>
            <w:vMerge w:val="continue"/>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 price of</w:t>
            </w:r>
          </w:p>
        </w:tc>
        <w:tc>
          <w:tcPr>
            <w:tcW w:w="5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property</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RMB 1.00/calendar day*sqm</w:t>
            </w:r>
          </w:p>
        </w:tc>
        <w:tc>
          <w:tcPr>
            <w:tcW w:w="122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charges</w:t>
            </w:r>
          </w:p>
        </w:tc>
        <w:tc>
          <w:tcPr>
            <w:tcW w:w="5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 price of</w:t>
            </w:r>
          </w:p>
        </w:tc>
        <w:tc>
          <w:tcPr>
            <w:tcW w:w="98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RMB1.05/kWh, and in case of government adjustment of electricity tariff during the lease period, the standard will be implemented</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electricity</w:t>
            </w:r>
          </w:p>
        </w:tc>
        <w:tc>
          <w:tcPr>
            <w:tcW w:w="5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according to the corresponding adjusted range.</w:t>
            </w:r>
          </w:p>
        </w:tc>
        <w:tc>
          <w:tcPr>
            <w:tcW w:w="122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 price of</w:t>
            </w:r>
          </w:p>
        </w:tc>
        <w:tc>
          <w:tcPr>
            <w:tcW w:w="98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RMB4.60/t, if the government adjusts the water price during the lease period, the standard will be implemented according to the</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water</w:t>
            </w:r>
          </w:p>
        </w:tc>
        <w:tc>
          <w:tcPr>
            <w:tcW w:w="5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corresponding adjusted range.</w:t>
            </w:r>
          </w:p>
        </w:tc>
        <w:tc>
          <w:tcPr>
            <w:tcW w:w="122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Communication</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Payable by Party B to the relevant communications operator</w:t>
            </w:r>
          </w:p>
        </w:tc>
        <w:tc>
          <w:tcPr>
            <w:tcW w:w="1220" w:type="dxa"/>
            <w:vAlign w:val="bottom"/>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59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Water,</w:t>
            </w:r>
          </w:p>
        </w:tc>
        <w:tc>
          <w:tcPr>
            <w:tcW w:w="5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electricity and</w:t>
            </w: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heating costs</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Included in rent and property management fees</w:t>
            </w:r>
          </w:p>
        </w:tc>
        <w:tc>
          <w:tcPr>
            <w:tcW w:w="122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outside Party</w:t>
            </w: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B’s leased area</w:t>
            </w:r>
          </w:p>
        </w:tc>
        <w:tc>
          <w:tcPr>
            <w:tcW w:w="5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spacing w:after="0"/>
              <w:rPr>
                <w:sz w:val="16"/>
                <w:szCs w:val="16"/>
                <w:color w:val="auto"/>
              </w:rPr>
            </w:pPr>
          </w:p>
        </w:tc>
        <w:tc>
          <w:tcPr>
            <w:tcW w:w="98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Prior to the commencement of the renovation by Party B, Party A will charge the following renovation management fees based on</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Secondary</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leased floor area of Party B.</w:t>
            </w:r>
          </w:p>
        </w:tc>
        <w:tc>
          <w:tcPr>
            <w:tcW w:w="1220" w:type="dxa"/>
            <w:vAlign w:val="bottom"/>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400" w:type="dxa"/>
            <w:vAlign w:val="bottom"/>
            <w:tcBorders>
              <w:left w:val="single" w:sz="8" w:color="auto"/>
              <w:right w:val="single" w:sz="8" w:color="auto"/>
            </w:tcBorders>
            <w:vMerge w:val="continue"/>
          </w:tcPr>
          <w:p>
            <w:pPr>
              <w:spacing w:after="0"/>
              <w:rPr>
                <w:sz w:val="11"/>
                <w:szCs w:val="11"/>
                <w:color w:val="auto"/>
              </w:rPr>
            </w:pPr>
          </w:p>
        </w:tc>
        <w:tc>
          <w:tcPr>
            <w:tcW w:w="5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renovation</w:t>
            </w:r>
          </w:p>
        </w:tc>
        <w:tc>
          <w:tcPr>
            <w:tcW w:w="9840" w:type="dxa"/>
            <w:vAlign w:val="bottom"/>
            <w:tcBorders>
              <w:right w:val="single" w:sz="8" w:color="auto"/>
            </w:tcBorders>
            <w:gridSpan w:val="3"/>
            <w:vMerge w:val="restart"/>
          </w:tcPr>
          <w:p>
            <w:pPr>
              <w:ind w:left="100"/>
              <w:spacing w:after="0" w:line="327" w:lineRule="exact"/>
              <w:rPr>
                <w:sz w:val="20"/>
                <w:szCs w:val="20"/>
                <w:color w:val="auto"/>
              </w:rPr>
            </w:pPr>
            <w:r>
              <w:rPr>
                <w:rFonts w:ascii="Times New Roman" w:cs="Times New Roman" w:eastAsia="Times New Roman" w:hAnsi="Times New Roman"/>
                <w:sz w:val="18"/>
                <w:szCs w:val="18"/>
                <w:color w:val="auto"/>
              </w:rPr>
              <w:t>Renovation deposit (refundable) RMB20/m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renovation management fee (non-refundable) RMB5/m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 temporary electricity fee</w:t>
            </w:r>
          </w:p>
        </w:tc>
        <w:tc>
          <w:tcPr>
            <w:tcW w:w="0" w:type="dxa"/>
            <w:vAlign w:val="bottom"/>
          </w:tcPr>
          <w:p>
            <w:pPr>
              <w:spacing w:after="0"/>
              <w:rPr>
                <w:sz w:val="1"/>
                <w:szCs w:val="1"/>
                <w:color w:val="auto"/>
              </w:rPr>
            </w:pPr>
          </w:p>
        </w:tc>
      </w:tr>
      <w:tr>
        <w:trPr>
          <w:trHeight w:val="11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984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400" w:type="dxa"/>
            <w:vAlign w:val="bottom"/>
            <w:tcBorders>
              <w:left w:val="single" w:sz="8" w:color="auto"/>
              <w:right w:val="single" w:sz="8" w:color="auto"/>
            </w:tcBorders>
            <w:vMerge w:val="continue"/>
          </w:tcPr>
          <w:p>
            <w:pPr>
              <w:spacing w:after="0"/>
              <w:rPr>
                <w:sz w:val="10"/>
                <w:szCs w:val="10"/>
                <w:color w:val="auto"/>
              </w:rPr>
            </w:pP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(refundable) RMB5/m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temporary water fee (non-refundable) RMB1/m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122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1400" w:type="dxa"/>
            <w:vAlign w:val="bottom"/>
            <w:tcBorders>
              <w:left w:val="single" w:sz="8" w:color="auto"/>
              <w:right w:val="single" w:sz="8" w:color="auto"/>
            </w:tcBorders>
          </w:tcPr>
          <w:p>
            <w:pPr>
              <w:spacing w:after="0"/>
              <w:rPr>
                <w:sz w:val="23"/>
                <w:szCs w:val="23"/>
                <w:color w:val="auto"/>
              </w:rPr>
            </w:pPr>
          </w:p>
        </w:tc>
        <w:tc>
          <w:tcPr>
            <w:tcW w:w="5940" w:type="dxa"/>
            <w:vAlign w:val="bottom"/>
            <w:vMerge w:val="continue"/>
          </w:tcPr>
          <w:p>
            <w:pPr>
              <w:spacing w:after="0"/>
              <w:rPr>
                <w:sz w:val="23"/>
                <w:szCs w:val="23"/>
                <w:color w:val="auto"/>
              </w:rPr>
            </w:pPr>
          </w:p>
        </w:tc>
        <w:tc>
          <w:tcPr>
            <w:tcW w:w="122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Air</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Refrigeration: RMB300/hour</w:t>
            </w:r>
          </w:p>
        </w:tc>
        <w:tc>
          <w:tcPr>
            <w:tcW w:w="1220" w:type="dxa"/>
            <w:vAlign w:val="bottom"/>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400" w:type="dxa"/>
            <w:vAlign w:val="bottom"/>
            <w:tcBorders>
              <w:left w:val="single" w:sz="8" w:color="auto"/>
              <w:right w:val="single" w:sz="8" w:color="auto"/>
            </w:tcBorders>
            <w:vMerge w:val="continue"/>
          </w:tcPr>
          <w:p>
            <w:pPr>
              <w:spacing w:after="0"/>
              <w:rPr>
                <w:sz w:val="6"/>
                <w:szCs w:val="6"/>
                <w:color w:val="auto"/>
              </w:rPr>
            </w:pPr>
          </w:p>
        </w:tc>
        <w:tc>
          <w:tcPr>
            <w:tcW w:w="5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conditioning</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Heating: RMB100/hour</w:t>
            </w:r>
          </w:p>
        </w:tc>
        <w:tc>
          <w:tcPr>
            <w:tcW w:w="122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delay charges</w:t>
            </w:r>
          </w:p>
        </w:tc>
        <w:tc>
          <w:tcPr>
            <w:tcW w:w="594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continue"/>
          </w:tcPr>
          <w:p>
            <w:pPr>
              <w:spacing w:after="0"/>
              <w:rPr>
                <w:sz w:val="9"/>
                <w:szCs w:val="9"/>
                <w:color w:val="auto"/>
              </w:rPr>
            </w:pPr>
          </w:p>
        </w:tc>
        <w:tc>
          <w:tcPr>
            <w:tcW w:w="5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Car park</w:t>
            </w:r>
          </w:p>
        </w:tc>
        <w:tc>
          <w:tcPr>
            <w:tcW w:w="5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management</w:t>
            </w: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car park charges of the building will apply.</w:t>
            </w:r>
          </w:p>
        </w:tc>
        <w:tc>
          <w:tcPr>
            <w:tcW w:w="122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5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Electricity</w:t>
            </w:r>
          </w:p>
        </w:tc>
        <w:tc>
          <w:tcPr>
            <w:tcW w:w="98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If the demand for electricity in the leased room of Party B exceeds the design standard of the building, Party B may apply to Party A</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Capacity</w:t>
            </w:r>
          </w:p>
        </w:tc>
        <w:tc>
          <w:tcPr>
            <w:tcW w:w="98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for additional capacity at a charge of RMB300/KW, and Party B shall pay the additional capacity fee in one go before the</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Increase</w:t>
            </w:r>
          </w:p>
        </w:tc>
        <w:tc>
          <w:tcPr>
            <w:tcW w:w="98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construction of the additional capacity. Party B’s capacity increase plan shall be approved by Party A before construction, and Party</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Charges</w:t>
            </w:r>
          </w:p>
        </w:tc>
        <w:tc>
          <w:tcPr>
            <w:tcW w:w="7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 shall be responsible for the capacity increase construction and bear the construction cost.</w:t>
            </w: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4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0" w:right="339" w:bottom="1440" w:gutter="0" w:footer="0" w:header="0"/>
        </w:sectPr>
      </w:pPr>
    </w:p>
    <w:bookmarkStart w:id="236" w:name="page237"/>
    <w:bookmarkEnd w:id="236"/>
    <w:p>
      <w:pPr>
        <w:ind w:left="2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The total amount of rent and property charges for 90 calendar days shall be paid by Party B to Party A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64808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7132320" cy="6480810"/>
                    </a:xfrm>
                    <a:prstGeom prst="rect">
                      <a:avLst/>
                    </a:prstGeom>
                    <a:noFill/>
                  </pic:spPr>
                </pic:pic>
              </a:graphicData>
            </a:graphic>
          </wp:anchor>
        </w:drawing>
      </w:r>
    </w:p>
    <w:p>
      <w:pPr>
        <w:spacing w:after="0" w:line="7" w:lineRule="exact"/>
        <w:rPr>
          <w:sz w:val="20"/>
          <w:szCs w:val="20"/>
          <w:color w:val="auto"/>
        </w:rPr>
      </w:pPr>
    </w:p>
    <w:p>
      <w:pPr>
        <w:ind w:left="2920" w:right="120" w:hanging="2169"/>
        <w:spacing w:after="0" w:line="250" w:lineRule="auto"/>
        <w:tabs>
          <w:tab w:leader="none" w:pos="2900" w:val="left"/>
        </w:tabs>
        <w:rPr>
          <w:sz w:val="20"/>
          <w:szCs w:val="20"/>
          <w:color w:val="auto"/>
        </w:rPr>
      </w:pPr>
      <w:r>
        <w:rPr>
          <w:rFonts w:ascii="Times New Roman" w:cs="Times New Roman" w:eastAsia="Times New Roman" w:hAnsi="Times New Roman"/>
          <w:sz w:val="18"/>
          <w:szCs w:val="18"/>
          <w:color w:val="auto"/>
        </w:rPr>
        <w:t>Performance bond</w:t>
      </w:r>
      <w:r>
        <w:rPr>
          <w:sz w:val="20"/>
          <w:szCs w:val="20"/>
          <w:color w:val="auto"/>
        </w:rPr>
        <w:tab/>
      </w:r>
      <w:r>
        <w:rPr>
          <w:rFonts w:ascii="Times New Roman" w:cs="Times New Roman" w:eastAsia="Times New Roman" w:hAnsi="Times New Roman"/>
          <w:sz w:val="18"/>
          <w:szCs w:val="18"/>
          <w:color w:val="auto"/>
        </w:rPr>
        <w:t>with the down payment, i.e. (in capital letters): Three hundred and twenty thousand, eight hundred and ninety-seven dollars and thirty cents (RMB324,897.30)</w:t>
      </w:r>
    </w:p>
    <w:p>
      <w:pPr>
        <w:spacing w:after="0" w:line="1" w:lineRule="exact"/>
        <w:rPr>
          <w:sz w:val="20"/>
          <w:szCs w:val="20"/>
          <w:color w:val="auto"/>
        </w:rPr>
      </w:pPr>
    </w:p>
    <w:p>
      <w:pPr>
        <w:ind w:left="2920" w:right="120" w:firstLine="7"/>
        <w:spacing w:after="0" w:line="276" w:lineRule="auto"/>
        <w:tabs>
          <w:tab w:leader="none" w:pos="312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rent and property management fee payable (in capital letters) is: $3,956,527.11 (RMB 3,956,527.11)</w:t>
      </w:r>
    </w:p>
    <w:p>
      <w:pPr>
        <w:spacing w:after="0" w:line="167" w:lineRule="exact"/>
        <w:rPr>
          <w:rFonts w:ascii="Times New Roman" w:cs="Times New Roman" w:eastAsia="Times New Roman" w:hAnsi="Times New Roman"/>
          <w:sz w:val="18"/>
          <w:szCs w:val="18"/>
          <w:color w:val="auto"/>
        </w:rPr>
      </w:pPr>
    </w:p>
    <w:p>
      <w:pPr>
        <w:ind w:left="2920" w:right="120" w:firstLine="7"/>
        <w:spacing w:after="0" w:line="282" w:lineRule="auto"/>
        <w:tabs>
          <w:tab w:leader="none" w:pos="31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during the lease period: Three hundred and eighty thousand, four hundred and thirty-five dollars and thirty cents (RMB 380,435.30)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Rent and property</w:t>
            </w:r>
          </w:p>
        </w:tc>
        <w:tc>
          <w:tcPr>
            <w:tcW w:w="87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3. The actual total amount of rent and property management fees payable (in capital letters) is: $3,576,091.81</w:t>
            </w:r>
          </w:p>
        </w:tc>
        <w:tc>
          <w:tcPr>
            <w:tcW w:w="0" w:type="dxa"/>
            <w:vAlign w:val="bottom"/>
          </w:tcPr>
          <w:p>
            <w:pPr>
              <w:spacing w:after="0"/>
              <w:rPr>
                <w:sz w:val="1"/>
                <w:szCs w:val="1"/>
                <w:color w:val="auto"/>
              </w:rPr>
            </w:pPr>
          </w:p>
        </w:tc>
      </w:tr>
      <w:tr>
        <w:trPr>
          <w:trHeight w:val="108"/>
        </w:trPr>
        <w:tc>
          <w:tcPr>
            <w:tcW w:w="25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management fees</w:t>
            </w:r>
          </w:p>
        </w:tc>
        <w:tc>
          <w:tcPr>
            <w:tcW w:w="8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87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(RMB 3,576,091.81)</w:t>
            </w:r>
          </w:p>
        </w:tc>
        <w:tc>
          <w:tcPr>
            <w:tcW w:w="0" w:type="dxa"/>
            <w:vAlign w:val="bottom"/>
          </w:tcPr>
          <w:p>
            <w:pPr>
              <w:spacing w:after="0"/>
              <w:rPr>
                <w:sz w:val="1"/>
                <w:szCs w:val="1"/>
                <w:color w:val="auto"/>
              </w:rPr>
            </w:pPr>
          </w:p>
        </w:tc>
      </w:tr>
      <w:tr>
        <w:trPr>
          <w:trHeight w:val="126"/>
        </w:trPr>
        <w:tc>
          <w:tcPr>
            <w:tcW w:w="2500" w:type="dxa"/>
            <w:vAlign w:val="bottom"/>
            <w:vMerge w:val="restart"/>
          </w:tcPr>
          <w:p>
            <w:pPr>
              <w:ind w:left="940"/>
              <w:spacing w:after="0"/>
              <w:rPr>
                <w:sz w:val="20"/>
                <w:szCs w:val="20"/>
                <w:color w:val="auto"/>
              </w:rPr>
            </w:pPr>
            <w:r>
              <w:rPr>
                <w:rFonts w:ascii="Times New Roman" w:cs="Times New Roman" w:eastAsia="Times New Roman" w:hAnsi="Times New Roman"/>
                <w:sz w:val="18"/>
                <w:szCs w:val="18"/>
                <w:color w:val="auto"/>
              </w:rPr>
              <w:t>Total amount</w:t>
            </w: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8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50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total amount of rent (in capital letters) is: Two Million Five Hundred and Fifty Thousand Three Hundred and</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Fifty Dollars and One Cent (RMB 2,054,350.61)</w:t>
            </w:r>
          </w:p>
        </w:tc>
        <w:tc>
          <w:tcPr>
            <w:tcW w:w="0" w:type="dxa"/>
            <w:vAlign w:val="bottom"/>
          </w:tcPr>
          <w:p>
            <w:pPr>
              <w:spacing w:after="0"/>
              <w:rPr>
                <w:sz w:val="1"/>
                <w:szCs w:val="1"/>
                <w:color w:val="auto"/>
              </w:rPr>
            </w:pPr>
          </w:p>
        </w:tc>
      </w:tr>
      <w:tr>
        <w:trPr>
          <w:trHeight w:val="414"/>
        </w:trPr>
        <w:tc>
          <w:tcPr>
            <w:tcW w:w="250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total amount of property charges (in capital letters) is: One Million Five Hundred and Twenty Two Thousand</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Seven Hundred and Forty One Yuan and Two Cents (RMB 1,521,741.20)</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18"/>
                <w:szCs w:val="18"/>
                <w:color w:val="auto"/>
              </w:rPr>
            </w:pPr>
          </w:p>
        </w:tc>
        <w:tc>
          <w:tcPr>
            <w:tcW w:w="8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on a [every three months] payment cycle, i.e.</w:t>
            </w:r>
          </w:p>
        </w:tc>
        <w:tc>
          <w:tcPr>
            <w:tcW w:w="0" w:type="dxa"/>
            <w:vAlign w:val="bottom"/>
          </w:tcPr>
          <w:p>
            <w:pPr>
              <w:spacing w:after="0"/>
              <w:rPr>
                <w:sz w:val="1"/>
                <w:szCs w:val="1"/>
                <w:color w:val="auto"/>
              </w:rPr>
            </w:pPr>
          </w:p>
        </w:tc>
      </w:tr>
      <w:tr>
        <w:trPr>
          <w:trHeight w:val="395"/>
        </w:trPr>
        <w:tc>
          <w:tcPr>
            <w:tcW w:w="250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 2021-11-18 before the payment (capital): one hundred and twenty-two thousand two hundred and ninety-five</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yuan and eighty cents (¥ 622,905.18 yuan);</w:t>
            </w:r>
          </w:p>
        </w:tc>
        <w:tc>
          <w:tcPr>
            <w:tcW w:w="0" w:type="dxa"/>
            <w:vAlign w:val="bottom"/>
          </w:tcPr>
          <w:p>
            <w:pPr>
              <w:spacing w:after="0"/>
              <w:rPr>
                <w:sz w:val="1"/>
                <w:szCs w:val="1"/>
                <w:color w:val="auto"/>
              </w:rPr>
            </w:pPr>
          </w:p>
        </w:tc>
      </w:tr>
      <w:tr>
        <w:trPr>
          <w:trHeight w:val="414"/>
        </w:trPr>
        <w:tc>
          <w:tcPr>
            <w:tcW w:w="250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total amount of rent (in capital letters) is one hundred and seventy-one thousand one hundred and ninety-nine</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yuan and four cents (RMB 171,196.04);</w:t>
            </w:r>
          </w:p>
        </w:tc>
        <w:tc>
          <w:tcPr>
            <w:tcW w:w="0" w:type="dxa"/>
            <w:vAlign w:val="bottom"/>
          </w:tcPr>
          <w:p>
            <w:pPr>
              <w:spacing w:after="0"/>
              <w:rPr>
                <w:sz w:val="1"/>
                <w:szCs w:val="1"/>
                <w:color w:val="auto"/>
              </w:rPr>
            </w:pPr>
          </w:p>
        </w:tc>
      </w:tr>
      <w:tr>
        <w:trPr>
          <w:trHeight w:val="414"/>
        </w:trPr>
        <w:tc>
          <w:tcPr>
            <w:tcW w:w="250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total amount of property charges (in capital letters) is: one hundred and twenty-two thousand, one hundred</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eighty-one yuan and eighty cents (RMB 126,811.84); the period of representation is: 2021-12-31 to 2022-03-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 the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performance guarantee (in capital letters) is: three hundred and twenty-two thousand, one hundred and eighty-</w:t>
            </w:r>
          </w:p>
        </w:tc>
        <w:tc>
          <w:tcPr>
            <w:tcW w:w="0" w:type="dxa"/>
            <w:vAlign w:val="bottom"/>
          </w:tcPr>
          <w:p>
            <w:pPr>
              <w:spacing w:after="0"/>
              <w:rPr>
                <w:sz w:val="1"/>
                <w:szCs w:val="1"/>
                <w:color w:val="auto"/>
              </w:rPr>
            </w:pPr>
          </w:p>
        </w:tc>
      </w:tr>
      <w:tr>
        <w:trPr>
          <w:trHeight w:val="234"/>
        </w:trPr>
        <w:tc>
          <w:tcPr>
            <w:tcW w:w="25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Rent and property</w:t>
            </w: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nine yuan and three cents (RMB 324,897.30)</w:t>
            </w:r>
          </w:p>
        </w:tc>
        <w:tc>
          <w:tcPr>
            <w:tcW w:w="0" w:type="dxa"/>
            <w:vAlign w:val="bottom"/>
          </w:tcPr>
          <w:p>
            <w:pPr>
              <w:spacing w:after="0"/>
              <w:rPr>
                <w:sz w:val="1"/>
                <w:szCs w:val="1"/>
                <w:color w:val="auto"/>
              </w:rPr>
            </w:pPr>
          </w:p>
        </w:tc>
      </w:tr>
      <w:tr>
        <w:trPr>
          <w:trHeight w:val="90"/>
        </w:trPr>
        <w:tc>
          <w:tcPr>
            <w:tcW w:w="2500" w:type="dxa"/>
            <w:vAlign w:val="bottom"/>
            <w:vMerge w:val="continue"/>
          </w:tcPr>
          <w:p>
            <w:pPr>
              <w:spacing w:after="0"/>
              <w:rPr>
                <w:sz w:val="7"/>
                <w:szCs w:val="7"/>
                <w:color w:val="auto"/>
              </w:rPr>
            </w:pPr>
          </w:p>
        </w:tc>
        <w:tc>
          <w:tcPr>
            <w:tcW w:w="8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management fees</w:t>
            </w:r>
          </w:p>
        </w:tc>
        <w:tc>
          <w:tcPr>
            <w:tcW w:w="87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2. In addition to the first installment of rent and property charges, Party B shall pay to Party A the rent and</w:t>
            </w:r>
          </w:p>
        </w:tc>
        <w:tc>
          <w:tcPr>
            <w:tcW w:w="0" w:type="dxa"/>
            <w:vAlign w:val="bottom"/>
          </w:tcPr>
          <w:p>
            <w:pPr>
              <w:spacing w:after="0"/>
              <w:rPr>
                <w:sz w:val="1"/>
                <w:szCs w:val="1"/>
                <w:color w:val="auto"/>
              </w:rPr>
            </w:pPr>
          </w:p>
        </w:tc>
      </w:tr>
      <w:tr>
        <w:trPr>
          <w:trHeight w:val="108"/>
        </w:trPr>
        <w:tc>
          <w:tcPr>
            <w:tcW w:w="25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Payment methods</w:t>
            </w:r>
          </w:p>
        </w:tc>
        <w:tc>
          <w:tcPr>
            <w:tcW w:w="8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500" w:type="dxa"/>
            <w:vAlign w:val="bottom"/>
            <w:vMerge w:val="continue"/>
          </w:tcPr>
          <w:p>
            <w:pPr>
              <w:spacing w:after="0"/>
              <w:rPr>
                <w:sz w:val="10"/>
                <w:szCs w:val="10"/>
                <w:color w:val="auto"/>
              </w:rPr>
            </w:pPr>
          </w:p>
        </w:tc>
        <w:tc>
          <w:tcPr>
            <w:tcW w:w="87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property charges for the next payment cycle before the end of each payment cycle, details of the payment</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schedule and fee rates are set out in the Schedule of Payment of Rent and Property Charges in Annex II.</w:t>
            </w:r>
          </w:p>
        </w:tc>
        <w:tc>
          <w:tcPr>
            <w:tcW w:w="0" w:type="dxa"/>
            <w:vAlign w:val="bottom"/>
          </w:tcPr>
          <w:p>
            <w:pPr>
              <w:spacing w:after="0"/>
              <w:rPr>
                <w:sz w:val="1"/>
                <w:szCs w:val="1"/>
                <w:color w:val="auto"/>
              </w:rPr>
            </w:pPr>
          </w:p>
        </w:tc>
      </w:tr>
      <w:tr>
        <w:trPr>
          <w:trHeight w:val="414"/>
        </w:trPr>
        <w:tc>
          <w:tcPr>
            <w:tcW w:w="250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Party A shall provide Party B with a valid invoice for the same amount within 15 calendar days after confirming</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receipt of the full rent and property management fee for the respective representative period. If Party B pays by</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telegraphic transfer, the time of acknowledgement of receipt of the rent and property management fee shall be the</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 when the bank issues the telegraphic transfer voucher.</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Account: </w:t>
            </w:r>
            <w:r>
              <w:rPr>
                <w:rFonts w:ascii="Times New Roman" w:cs="Times New Roman" w:eastAsia="Times New Roman" w:hAnsi="Times New Roman"/>
                <w:sz w:val="18"/>
                <w:szCs w:val="18"/>
                <w:color w:val="auto"/>
              </w:rPr>
              <w:t>Received by: CLPS Dalian Co., Ltd.</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Bank of Account: ICBC Dalian Friendship Square Sub-branch</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 number: 3400203419300134615</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18"/>
                <w:szCs w:val="18"/>
                <w:color w:val="auto"/>
              </w:rPr>
            </w:pPr>
          </w:p>
        </w:tc>
        <w:tc>
          <w:tcPr>
            <w:tcW w:w="8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9"/>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40" w:type="dxa"/>
            <w:vAlign w:val="bottom"/>
            <w:tcBorders>
              <w:top w:val="single" w:sz="8" w:color="auto"/>
              <w:right w:val="single" w:sz="8" w:color="auto"/>
            </w:tcBorders>
          </w:tcPr>
          <w:p>
            <w:pPr>
              <w:spacing w:after="0"/>
              <w:rPr>
                <w:sz w:val="21"/>
                <w:szCs w:val="21"/>
                <w:color w:val="auto"/>
              </w:rPr>
            </w:pPr>
          </w:p>
        </w:tc>
        <w:tc>
          <w:tcPr>
            <w:tcW w:w="2600" w:type="dxa"/>
            <w:vAlign w:val="bottom"/>
            <w:tcBorders>
              <w:top w:val="single" w:sz="8" w:color="auto"/>
              <w:bottom w:val="single" w:sz="8" w:color="auto"/>
              <w:right w:val="single" w:sz="8" w:color="auto"/>
            </w:tcBorders>
          </w:tcPr>
          <w:p>
            <w:pPr>
              <w:spacing w:after="0"/>
              <w:rPr>
                <w:sz w:val="21"/>
                <w:szCs w:val="21"/>
                <w:color w:val="auto"/>
              </w:rPr>
            </w:pPr>
          </w:p>
        </w:tc>
        <w:tc>
          <w:tcPr>
            <w:tcW w:w="8620" w:type="dxa"/>
            <w:vAlign w:val="bottom"/>
            <w:tcBorders>
              <w:top w:val="single" w:sz="8" w:color="auto"/>
              <w:bottom w:val="single" w:sz="8" w:color="auto"/>
              <w:right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Existing facilities and finishes in the house</w:t>
            </w:r>
          </w:p>
        </w:tc>
      </w:tr>
      <w:tr>
        <w:trPr>
          <w:trHeight w:val="209"/>
        </w:trPr>
        <w:tc>
          <w:tcPr>
            <w:tcW w:w="4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Central air conditioning</w:t>
            </w:r>
          </w:p>
        </w:tc>
        <w:tc>
          <w:tcPr>
            <w:tcW w:w="8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Good</w:t>
            </w:r>
          </w:p>
        </w:tc>
      </w:tr>
      <w:tr>
        <w:trPr>
          <w:trHeight w:val="209"/>
        </w:trPr>
        <w:tc>
          <w:tcPr>
            <w:tcW w:w="4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Concrete floor</w:t>
            </w:r>
          </w:p>
        </w:tc>
        <w:tc>
          <w:tcPr>
            <w:tcW w:w="8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Good</w:t>
            </w:r>
          </w:p>
        </w:tc>
      </w:tr>
      <w:tr>
        <w:trPr>
          <w:trHeight w:val="210"/>
        </w:trPr>
        <w:tc>
          <w:tcPr>
            <w:tcW w:w="4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Light fittings, switches, sockets</w:t>
            </w:r>
          </w:p>
        </w:tc>
        <w:tc>
          <w:tcPr>
            <w:tcW w:w="8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Good</w:t>
            </w:r>
          </w:p>
        </w:tc>
      </w:tr>
      <w:tr>
        <w:trPr>
          <w:trHeight w:val="209"/>
        </w:trPr>
        <w:tc>
          <w:tcPr>
            <w:tcW w:w="4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Wall Wall</w:t>
            </w:r>
          </w:p>
        </w:tc>
        <w:tc>
          <w:tcPr>
            <w:tcW w:w="8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Emulsion paint and glass textures, good</w:t>
            </w:r>
          </w:p>
        </w:tc>
      </w:tr>
      <w:tr>
        <w:trPr>
          <w:trHeight w:val="210"/>
        </w:trPr>
        <w:tc>
          <w:tcPr>
            <w:tcW w:w="4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Sky Shed</w:t>
            </w:r>
          </w:p>
        </w:tc>
        <w:tc>
          <w:tcPr>
            <w:tcW w:w="8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Good</w:t>
            </w:r>
          </w:p>
        </w:tc>
      </w:tr>
      <w:tr>
        <w:trPr>
          <w:trHeight w:val="209"/>
        </w:trPr>
        <w:tc>
          <w:tcPr>
            <w:tcW w:w="4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Communication facilities</w:t>
            </w:r>
          </w:p>
        </w:tc>
        <w:tc>
          <w:tcPr>
            <w:tcW w:w="8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Voice and network access available</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Property Services</w:t>
      </w:r>
    </w:p>
    <w:p>
      <w:pPr>
        <w:spacing w:after="0" w:line="239"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1</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Security services: regular tour management of security in the outside areas of the building; 24-hour monitoring and management of fire fighting and surveillance facilities.</w:t>
      </w:r>
    </w:p>
    <w:p>
      <w:pPr>
        <w:spacing w:after="0" w:line="212"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2</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Cleaning services: daily cleaning of public areas outside the building and outside Party B’s leased area within the building; greening of public areas; disinfection and pest control inside and outside the building; external curtain wall cleaning.</w:t>
      </w:r>
    </w:p>
    <w:p>
      <w:pPr>
        <w:spacing w:after="0" w:line="21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3</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Maintenance and repair: maintenance and management of public facilities and equipment in the building.</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4</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Business services: mail collection and delivery, newspaper subscriptions.</w:t>
      </w:r>
    </w:p>
    <w:p>
      <w:pPr>
        <w:spacing w:after="0" w:line="240" w:lineRule="exact"/>
        <w:rPr>
          <w:sz w:val="20"/>
          <w:szCs w:val="20"/>
          <w:color w:val="auto"/>
        </w:rPr>
      </w:pPr>
    </w:p>
    <w:p>
      <w:pPr>
        <w:jc w:val="both"/>
        <w:ind w:right="20"/>
        <w:spacing w:after="0" w:line="226" w:lineRule="exact"/>
        <w:rPr>
          <w:sz w:val="20"/>
          <w:szCs w:val="20"/>
          <w:color w:val="auto"/>
        </w:rPr>
      </w:pPr>
      <w:r>
        <w:rPr>
          <w:rFonts w:ascii="Times New Roman" w:cs="Times New Roman" w:eastAsia="Times New Roman" w:hAnsi="Times New Roman"/>
          <w:sz w:val="18"/>
          <w:szCs w:val="18"/>
          <w:color w:val="auto"/>
        </w:rPr>
        <w:t>5</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Ancillary services: heating services are provided from 8:00 am to 18:00 pm Monday to Friday during the heating period set by the government, except for statutory holidays, and central air-conditioning delivery and cooling services are provided from 8:00 am to 18:00 pm Monday to Friday during the period from 15 May to 15 September each year.</w:t>
      </w:r>
    </w:p>
    <w:p>
      <w:pPr>
        <w:spacing w:after="0" w:line="213"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6</w:t>
      </w:r>
      <w:r>
        <w:rPr>
          <w:rFonts w:ascii="SimSun" w:cs="SimSun" w:eastAsia="SimSun" w:hAnsi="SimSun"/>
          <w:sz w:val="18"/>
          <w:szCs w:val="18"/>
          <w:color w:val="auto"/>
        </w:rPr>
        <w:t>、</w:t>
      </w:r>
      <w:r>
        <w:rPr>
          <w:rFonts w:ascii="Times New Roman" w:cs="Times New Roman" w:eastAsia="Times New Roman" w:hAnsi="Times New Roman"/>
          <w:sz w:val="18"/>
          <w:szCs w:val="18"/>
          <w:color w:val="auto"/>
        </w:rPr>
        <w:t>Other services: Party B enjoys the production of the company name on the water sign in the hall during the lease period when it first moves in.</w:t>
      </w:r>
    </w:p>
    <w:p>
      <w:pPr>
        <w:spacing w:after="0" w:line="2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In-situ restoration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Annex III of this Agreement: Standards for Restoration to Original Condition</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Remark</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On the basis of compliance with the terms and conditions of this contract, both parties hereby confirm the following additional concessions.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Party A has the right to grant Party B corresponding concessions (including but not limited to renovation period, rent-free period, etc.) according to its own commercial judgment and operational needs. Party B shall not be entitled to any preferential terms granted by Party A. In addition to the liability for breach of contract as stipulated in Chapter 11 of this contract, Party B shall also pay to Party A the full amount of the preferential terms enjoyed before the termination of the contract.</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On the basis of compliance with the terms and conditions of this contract, both parties, after friendly consultation, agree to make the following amendments and adjustments to the contents of the contract.</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last sentence of Article 1.2 shall be amended to read: Party A shall be responsible for compensating for any damage caused to Party B. If the contract cannot continue to be performed, Party A shall pay Party B liquidated damages at 20% of the total rent and property charges for the remaining term of the lease.</w:t>
      </w:r>
    </w:p>
    <w:p>
      <w:pPr>
        <w:spacing w:after="0" w:line="171" w:lineRule="exact"/>
        <w:rPr>
          <w:sz w:val="20"/>
          <w:szCs w:val="20"/>
          <w:color w:val="auto"/>
        </w:rPr>
      </w:pPr>
    </w:p>
    <w:p>
      <w:pPr>
        <w:jc w:val="both"/>
        <w:ind w:firstLine="439"/>
        <w:spacing w:after="0" w:line="256" w:lineRule="auto"/>
        <w:rPr>
          <w:sz w:val="20"/>
          <w:szCs w:val="20"/>
          <w:color w:val="auto"/>
        </w:rPr>
      </w:pPr>
      <w:r>
        <w:rPr>
          <w:rFonts w:ascii="Times New Roman" w:cs="Times New Roman" w:eastAsia="Times New Roman" w:hAnsi="Times New Roman"/>
          <w:sz w:val="18"/>
          <w:szCs w:val="18"/>
          <w:b w:val="1"/>
          <w:bCs w:val="1"/>
          <w:color w:val="auto"/>
        </w:rPr>
        <w:t>The first paragraph of Article 3.3.2 shall be amended to read: Party B shall ensure that the original decoration (including the ceiling) and facilities of the premises are intact (except for natural damage). If at the end of the lease term Party B finds an interested tenant who agrees to lease the premises in accordance with the current state of the premises (i.e. the condition that has not been restored after renovation by Party B), Party B does not need to restore the premises to its original state and can directly handle the handover procedures with Party A and the third party in accordance with the current state of the premises at that time, and the three parties will sign a separate agreement and agree in such agreement that the third party will restore the room to the condition as set out in Annex III to this contract, “Standards for Restoration to Original State”, upon surrender of the lease. Standards for Restoration to Original Condition”.</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4.1.2 Add at the end of clause 4.1.2: If Party B is unable to move in on time due to Party A, the term of the lease shall be extended accordingly. If Party B is late in moving in for [15] days due to the aforesaid reasons, Party B shall have the right to unilaterally terminate this contract and request Party A to return all the rent and property management fees paid by Party B and pay Party B liquidated damages at the rate of 0.1% per day on the basis of such fees, with the liquidated damages being calculated from the date of actual payment of such fees by Party B to Party A to the date of actual return of such fees by Party A to Party B. The liquidated damages shall be calculated from the date of actual payment of such fees by Party B to the date of actual return of such fees by Party A to Party B.</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Article 4.2.2 is amended to read: Party A shall reply to Party B’s application for renewal of the lease within 10 working days upon receipt of the application, and if both parties agree to renew the lease, both parties shall sign a renewal contract one month before the expiry of the lease. Party A shall sign a supplementary renewal contract with Party B as soon as possible.</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first sentence of Article 4.2.4 is amended to read: If Party B does not intend to renew the lease, or if for reasons attributable to Party B, the parties fail to sign a renewal contract one month before the expiry of the lease.</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Article 7.8 is amended to read: During the lease period, Party B shall pay attention to property and personal safety, Party B is the first responsible person for fire safety and the ultimate responsibility bearer, notwithstanding the foregoing agreement, Party A shall ensure that the fire safety facilities of the house itself meet the statutory safety standards, and any personal and property safety accident caused by the fault of Party B shall be borne by Party B itself, and any personal and property safety accident caused by the fault of Party A shall be borne by Party A itself. If both parties are at fault, they shall be held responsible according to their respective degrees of fault, and if both parties are not at fault, they shall be held responsible in accordance with the provisions of the law. Any loss caused to Party A shall be compensated.</w:t>
      </w:r>
    </w:p>
    <w:p>
      <w:pPr>
        <w:spacing w:after="0" w:line="182" w:lineRule="exact"/>
        <w:rPr>
          <w:sz w:val="20"/>
          <w:szCs w:val="20"/>
          <w:color w:val="auto"/>
        </w:rPr>
      </w:pPr>
    </w:p>
    <w:p>
      <w:pPr>
        <w:jc w:val="both"/>
        <w:ind w:firstLine="424"/>
        <w:spacing w:after="0" w:line="268" w:lineRule="auto"/>
        <w:rPr>
          <w:sz w:val="20"/>
          <w:szCs w:val="20"/>
          <w:color w:val="auto"/>
        </w:rPr>
      </w:pPr>
      <w:r>
        <w:rPr>
          <w:rFonts w:ascii="Times New Roman" w:cs="Times New Roman" w:eastAsia="Times New Roman" w:hAnsi="Times New Roman"/>
          <w:sz w:val="18"/>
          <w:szCs w:val="18"/>
          <w:b w:val="1"/>
          <w:bCs w:val="1"/>
          <w:color w:val="auto"/>
        </w:rPr>
        <w:t>The first sentence of Article 9.4 should read: Party A proposes that Party B’s office area before and after renovation should be not less than 10 square metres of floor space per person. The date of service of the notice in the case of article 15 (1) and (2) is amended to read: “Service is deemed to have taken place on the date of signature by the addressee.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Annex II.</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Rental Property Fee Payment Schedule</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0"/>
        </w:trPr>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Duration of</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r>
      <w:tr>
        <w:trPr>
          <w:trHeight w:val="245"/>
        </w:trPr>
        <w:tc>
          <w:tcPr>
            <w:tcW w:w="17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100" w:type="dxa"/>
            <w:vAlign w:val="bottom"/>
          </w:tcPr>
          <w:p>
            <w:pPr>
              <w:spacing w:after="0"/>
              <w:rPr>
                <w:sz w:val="21"/>
                <w:szCs w:val="21"/>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representation</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Rent</w:t>
            </w:r>
          </w:p>
        </w:tc>
        <w:tc>
          <w:tcPr>
            <w:tcW w:w="12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Property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payable</w:t>
            </w:r>
          </w:p>
        </w:tc>
      </w:tr>
      <w:tr>
        <w:trPr>
          <w:trHeight w:val="223"/>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Deadline</w:t>
            </w:r>
          </w:p>
        </w:tc>
        <w:tc>
          <w:tcPr>
            <w:tcW w:w="100" w:type="dxa"/>
            <w:vAlign w:val="bottom"/>
          </w:tcPr>
          <w:p>
            <w:pPr>
              <w:spacing w:after="0"/>
              <w:rPr>
                <w:sz w:val="19"/>
                <w:szCs w:val="19"/>
                <w:color w:val="auto"/>
              </w:rPr>
            </w:pPr>
          </w:p>
        </w:tc>
        <w:tc>
          <w:tcPr>
            <w:tcW w:w="1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Start</w:t>
            </w:r>
          </w:p>
        </w:tc>
        <w:tc>
          <w:tcPr>
            <w:tcW w:w="100" w:type="dxa"/>
            <w:vAlign w:val="bottom"/>
          </w:tcPr>
          <w:p>
            <w:pPr>
              <w:spacing w:after="0"/>
              <w:rPr>
                <w:sz w:val="19"/>
                <w:szCs w:val="19"/>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Stop</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payable</w:t>
            </w:r>
          </w:p>
        </w:tc>
        <w:tc>
          <w:tcPr>
            <w:tcW w:w="120" w:type="dxa"/>
            <w:vAlign w:val="bottom"/>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fees payable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Subtotal</w:t>
            </w:r>
          </w:p>
        </w:tc>
      </w:tr>
      <w:tr>
        <w:trPr>
          <w:trHeight w:val="216"/>
        </w:trPr>
        <w:tc>
          <w:tcPr>
            <w:tcW w:w="1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Compliance Guarantee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2021-11-18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2021-12-31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2024-12-30</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324,897.30</w:t>
            </w:r>
          </w:p>
        </w:tc>
      </w:tr>
      <w:tr>
        <w:trPr>
          <w:trHeight w:val="216"/>
        </w:trPr>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2021-11-18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2021-12-31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2022-03-27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171,196.04</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126,811.84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622,905.18</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2022-03-01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2022-03-28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2022-06-27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2022-06-01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2022-06-28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2022-09-27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2022-09-01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2022-09-28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2022-12-27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2022-12-01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2022-12-28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2023-03-27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Property Fee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2023-03-01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2023-03-28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2023-06-27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2023-06-01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2023-06-28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2023-09-27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2023-09-01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2023-09-28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2023-12-27</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2023-12-01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2023-12-28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2024-03-27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2024-03-01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2024-03-28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2024-06-27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171,195.87</w:t>
            </w:r>
          </w:p>
        </w:tc>
        <w:tc>
          <w:tcPr>
            <w:tcW w:w="1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2024-06-01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2024-06-28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2024-09-27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171,195.87</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2024-09-01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2024-09-28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2024-12-30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171,195.87</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126,811.76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298,007.63</w:t>
            </w:r>
          </w:p>
        </w:tc>
      </w:tr>
      <w:tr>
        <w:trPr>
          <w:trHeight w:val="216"/>
        </w:trPr>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2,054,350.61</w:t>
            </w:r>
          </w:p>
        </w:tc>
        <w:tc>
          <w:tcPr>
            <w:tcW w:w="1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1,521,741.20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3,576,091.81</w:t>
            </w:r>
          </w:p>
        </w:tc>
      </w:tr>
      <w:tr>
        <w:trPr>
          <w:trHeight w:val="655"/>
        </w:trPr>
        <w:tc>
          <w:tcPr>
            <w:tcW w:w="1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026"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228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t>Annex III.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In-situ restoration standards</w:t>
      </w:r>
    </w:p>
    <w:p>
      <w:pPr>
        <w:spacing w:after="0" w:line="229"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一、</w:t>
      </w:r>
      <w:r>
        <w:rPr>
          <w:rFonts w:ascii="Times New Roman" w:cs="Times New Roman" w:eastAsia="Times New Roman" w:hAnsi="Times New Roman"/>
          <w:sz w:val="18"/>
          <w:szCs w:val="18"/>
          <w:color w:val="auto"/>
        </w:rPr>
        <w:t>Civil, renovation component.</w:t>
      </w:r>
    </w:p>
    <w:p>
      <w:pPr>
        <w:spacing w:after="0" w:line="240" w:lineRule="exact"/>
        <w:rPr>
          <w:sz w:val="20"/>
          <w:szCs w:val="20"/>
          <w:color w:val="auto"/>
        </w:rPr>
      </w:pPr>
    </w:p>
    <w:p>
      <w:pPr>
        <w:ind w:left="1160" w:hanging="315"/>
        <w:spacing w:after="0" w:line="282" w:lineRule="auto"/>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Flooring: removal of carpets (floor coverings, flooring, partitions, etc.), removal of ground penetrations, etc., restoration to concrete floors and ensuring that the floors are level and free of glue stains.</w:t>
      </w:r>
    </w:p>
    <w:p>
      <w:pPr>
        <w:spacing w:after="0" w:line="161"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Walls: surface potholes and holes filled in, large white walls need to be treated as a whole and restored to a white wall with a neat, even colour and no run-off etc.</w:t>
      </w:r>
    </w:p>
    <w:p>
      <w:pPr>
        <w:spacing w:after="0" w:line="161"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Shed surface: flat keel, neat and undamaged mineral wool board (mineral wool board using the original brand of the building or a brand of the same grade).</w:t>
      </w:r>
    </w:p>
    <w:p>
      <w:pPr>
        <w:spacing w:after="0" w:line="161"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doors and windows should be removed, and doors and windows should be opened, closed and locked properly, and the glass should be clean and tidy; changes to the building’s architecture and structure should be restored to the original state of the building.</w:t>
      </w:r>
    </w:p>
    <w:p>
      <w:pPr>
        <w:spacing w:after="0" w:line="162"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二、</w:t>
      </w:r>
      <w:r>
        <w:rPr>
          <w:rFonts w:ascii="Times New Roman" w:cs="Times New Roman" w:eastAsia="Times New Roman" w:hAnsi="Times New Roman"/>
          <w:sz w:val="18"/>
          <w:szCs w:val="18"/>
          <w:color w:val="auto"/>
        </w:rPr>
        <w:t>Electrical section.</w:t>
      </w:r>
    </w:p>
    <w:p>
      <w:pPr>
        <w:spacing w:after="0" w:line="240" w:lineRule="exact"/>
        <w:rPr>
          <w:sz w:val="20"/>
          <w:szCs w:val="20"/>
          <w:color w:val="auto"/>
        </w:rPr>
      </w:pPr>
    </w:p>
    <w:p>
      <w:pPr>
        <w:jc w:val="both"/>
        <w:ind w:left="1160" w:hanging="315"/>
        <w:spacing w:after="0" w:line="266" w:lineRule="auto"/>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grille lights that are displaced are restored to their original position in the building (with reference to the original drawings of the building, the replacement grille lights are restored to the original brand of the building or to a brand of the same grade), the installation is smooth and the fluorescent tubes are bright and neat.</w:t>
      </w:r>
    </w:p>
    <w:p>
      <w:pPr>
        <w:spacing w:after="0" w:line="175"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hangers of the relocated grilles are secure, properly fixed and free from looseness and shaking.</w:t>
      </w:r>
    </w:p>
    <w:p>
      <w:pPr>
        <w:spacing w:after="0" w:line="225"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roof and wall strong and weak power lines finishing, to ensure that the lines are in the line groove, line pipe, no exposed lines, line pipe, line groove fixed well, across the earth wire connection is secure and reasonable.</w:t>
      </w:r>
    </w:p>
    <w:p>
      <w:pPr>
        <w:spacing w:after="0" w:line="161"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wiring in the distribution box is regular, the air switch is normal and tidy, and the distribution box meets the requirements of the building.</w:t>
      </w:r>
    </w:p>
    <w:p>
      <w:pPr>
        <w:spacing w:after="0" w:line="161"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 switches (relocated switches restored to the building’s original position) are in working order and tidy.</w:t>
      </w:r>
    </w:p>
    <w:p>
      <w:pPr>
        <w:spacing w:after="0" w:line="225"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三、</w:t>
      </w:r>
      <w:r>
        <w:rPr>
          <w:rFonts w:ascii="Times New Roman" w:cs="Times New Roman" w:eastAsia="Times New Roman" w:hAnsi="Times New Roman"/>
          <w:sz w:val="18"/>
          <w:szCs w:val="18"/>
          <w:color w:val="auto"/>
        </w:rPr>
        <w:t>Air conditioning section.</w:t>
      </w:r>
    </w:p>
    <w:p>
      <w:pPr>
        <w:spacing w:after="0" w:line="240" w:lineRule="exact"/>
        <w:rPr>
          <w:sz w:val="20"/>
          <w:szCs w:val="20"/>
          <w:color w:val="auto"/>
        </w:rPr>
      </w:pPr>
    </w:p>
    <w:p>
      <w:pPr>
        <w:ind w:left="1160" w:hanging="315"/>
        <w:spacing w:after="0" w:line="282" w:lineRule="auto"/>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Displacement of fan coils (ceiling-mounted multi-connector panels), restoration of air outlet positions to the original position in the building (refer to the original drawings of the building) and ensuring that the return air outlet filters are clean.</w:t>
      </w:r>
    </w:p>
    <w:p>
      <w:pPr>
        <w:spacing w:after="0" w:line="161" w:lineRule="exact"/>
        <w:rPr>
          <w:rFonts w:ascii="Times New Roman" w:cs="Times New Roman" w:eastAsia="Times New Roman" w:hAnsi="Times New Roman"/>
          <w:sz w:val="18"/>
          <w:szCs w:val="18"/>
          <w:color w:val="auto"/>
        </w:rPr>
      </w:pPr>
    </w:p>
    <w:p>
      <w:pPr>
        <w:ind w:left="1160" w:hanging="315"/>
        <w:spacing w:after="0" w:line="282" w:lineRule="auto"/>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Displacement of the three-speed switch to its original position in the building (the replacement three-speed switch is restored to the original brand of the building or to a brand of the same grade) and to ensure that its various control switches are in order and that the panel is tidy.</w:t>
      </w:r>
    </w:p>
    <w:p>
      <w:pPr>
        <w:spacing w:after="0" w:line="161"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fan coil motor starts, stops and changes speed normally, without any unusual noise.</w:t>
      </w:r>
    </w:p>
    <w:p>
      <w:pPr>
        <w:spacing w:after="0" w:line="225"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四、</w:t>
      </w:r>
      <w:r>
        <w:rPr>
          <w:rFonts w:ascii="Times New Roman" w:cs="Times New Roman" w:eastAsia="Times New Roman" w:hAnsi="Times New Roman"/>
          <w:sz w:val="18"/>
          <w:szCs w:val="18"/>
          <w:color w:val="auto"/>
        </w:rPr>
        <w:t>Firefighting section.</w:t>
      </w:r>
    </w:p>
    <w:p>
      <w:pPr>
        <w:spacing w:after="0" w:line="240" w:lineRule="exact"/>
        <w:rPr>
          <w:sz w:val="20"/>
          <w:szCs w:val="20"/>
          <w:color w:val="auto"/>
        </w:rPr>
      </w:pPr>
    </w:p>
    <w:p>
      <w:pPr>
        <w:ind w:left="1160" w:hanging="315"/>
        <w:spacing w:after="0"/>
        <w:tabs>
          <w:tab w:leader="none" w:pos="1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the building to its original position after spraying has been moved to meet fire protection requirements, free from dirt and leaks.</w:t>
      </w:r>
    </w:p>
    <w:p>
      <w:pPr>
        <w:spacing w:after="0" w:line="225"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fire protection pipework to meet fire protection requirements, with reasonable hanger configurations, firm and free from leaks.</w:t>
      </w:r>
    </w:p>
    <w:p>
      <w:pPr>
        <w:spacing w:after="0" w:line="225" w:lineRule="exact"/>
        <w:rPr>
          <w:rFonts w:ascii="Times New Roman" w:cs="Times New Roman" w:eastAsia="Times New Roman" w:hAnsi="Times New Roman"/>
          <w:sz w:val="18"/>
          <w:szCs w:val="18"/>
          <w:color w:val="auto"/>
        </w:rPr>
      </w:pPr>
    </w:p>
    <w:p>
      <w:pPr>
        <w:jc w:val="both"/>
        <w:ind w:left="1160" w:hanging="315"/>
        <w:spacing w:after="0" w:line="266" w:lineRule="auto"/>
        <w:tabs>
          <w:tab w:leader="none" w:pos="1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smoke sensor is relocated and restored to its original position in the building (the new additional smoke sensor is removed and restored to the original logic of the original fire mainframe in the building) to meet the fire protection requirements, and the smoke signal and feedback is normal.</w:t>
      </w:r>
    </w:p>
    <w:p>
      <w:pPr>
        <w:spacing w:after="0" w:line="175" w:lineRule="exact"/>
        <w:rPr>
          <w:rFonts w:ascii="Times New Roman" w:cs="Times New Roman" w:eastAsia="Times New Roman" w:hAnsi="Times New Roman"/>
          <w:sz w:val="18"/>
          <w:szCs w:val="18"/>
          <w:color w:val="auto"/>
        </w:rPr>
      </w:pPr>
    </w:p>
    <w:p>
      <w:pPr>
        <w:ind w:left="1160" w:hanging="315"/>
        <w:spacing w:after="0"/>
        <w:tabs>
          <w:tab w:leader="none" w:pos="1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layout of the room after restoration meets the requirements of the fire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above standard descriptions are subject to the original drawings of the building if they are not exhaustive.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5246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73209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7132320" cy="732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No:98842022280035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43"/>
          <w:szCs w:val="43"/>
          <w:b w:val="1"/>
          <w:bCs w:val="1"/>
          <w:color w:val="auto"/>
        </w:rPr>
        <w:t>SPD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43"/>
          <w:szCs w:val="43"/>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1282065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contract for loans of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ChinaLink Professional Services Co., Ltd.</w:t>
      </w:r>
    </w:p>
    <w:p>
      <w:pPr>
        <w:spacing w:after="0" w:line="2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Principal business address</w:t>
      </w:r>
      <w:r>
        <w:rPr>
          <w:rFonts w:ascii="SimSun" w:cs="SimSun" w:eastAsia="SimSun" w:hAnsi="SimSun"/>
          <w:sz w:val="17"/>
          <w:szCs w:val="17"/>
          <w:color w:val="auto"/>
        </w:rPr>
        <w:t>：</w:t>
      </w:r>
      <w:r>
        <w:rPr>
          <w:rFonts w:ascii="Times New Roman" w:cs="Times New Roman" w:eastAsia="Times New Roman" w:hAnsi="Times New Roman"/>
          <w:sz w:val="17"/>
          <w:szCs w:val="17"/>
          <w:color w:val="auto"/>
        </w:rPr>
        <w:t>2nd floor, building 18, No. 498, GuoShouJing Road, Pudong New Area, Shanghai</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The contact</w:t>
      </w:r>
      <w:r>
        <w:rPr>
          <w:rFonts w:ascii="SimSun" w:cs="SimSun" w:eastAsia="SimSun" w:hAnsi="SimSun"/>
          <w:sz w:val="17"/>
          <w:szCs w:val="17"/>
          <w:color w:val="auto"/>
        </w:rPr>
        <w:t>：</w:t>
      </w:r>
      <w:r>
        <w:rPr>
          <w:rFonts w:ascii="Times New Roman" w:cs="Times New Roman" w:eastAsia="Times New Roman" w:hAnsi="Times New Roman"/>
          <w:sz w:val="17"/>
          <w:szCs w:val="17"/>
          <w:color w:val="auto"/>
        </w:rPr>
        <w:t>Lisa Wu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Tell</w:t>
      </w:r>
      <w:r>
        <w:rPr>
          <w:rFonts w:ascii="SimSun" w:cs="SimSun" w:eastAsia="SimSun" w:hAnsi="SimSun"/>
          <w:sz w:val="17"/>
          <w:szCs w:val="17"/>
          <w:color w:val="auto"/>
        </w:rPr>
        <w:t>：</w:t>
      </w:r>
      <w:r>
        <w:rPr>
          <w:rFonts w:ascii="Times New Roman" w:cs="Times New Roman" w:eastAsia="Times New Roman" w:hAnsi="Times New Roman"/>
          <w:sz w:val="17"/>
          <w:szCs w:val="17"/>
          <w:color w:val="auto"/>
        </w:rPr>
        <w:t>021-31268010</w:t>
      </w:r>
    </w:p>
    <w:p>
      <w:pPr>
        <w:spacing w:after="0" w:line="200"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p>
      <w:pPr>
        <w:spacing w:after="0" w:line="5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Fax</w:t>
      </w:r>
      <w:r>
        <w:rPr>
          <w:rFonts w:ascii="SimSun" w:cs="SimSun" w:eastAsia="SimSun" w:hAnsi="SimSun"/>
          <w:sz w:val="17"/>
          <w:szCs w:val="17"/>
          <w:color w:val="auto"/>
        </w:rPr>
        <w: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Email</w:t>
      </w:r>
      <w:r>
        <w:rPr>
          <w:rFonts w:ascii="SimSun" w:cs="SimSun" w:eastAsia="SimSun" w:hAnsi="SimSun"/>
          <w:sz w:val="17"/>
          <w:szCs w:val="17"/>
          <w:color w:val="auto"/>
        </w:rPr>
        <w:t>：</w:t>
      </w:r>
      <w:r>
        <w:rPr>
          <w:rFonts w:ascii="Times New Roman" w:cs="Times New Roman" w:eastAsia="Times New Roman" w:hAnsi="Times New Roman"/>
          <w:sz w:val="17"/>
          <w:szCs w:val="17"/>
          <w:color w:val="auto"/>
        </w:rPr>
        <w:t>lisa.wu@clpsglobal.com</w:t>
      </w:r>
    </w:p>
    <w:p>
      <w:pPr>
        <w:spacing w:after="0" w:line="200"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p>
      <w:pPr>
        <w:spacing w:after="0" w:line="5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Lender</w:t>
      </w:r>
      <w:r>
        <w:rPr>
          <w:rFonts w:ascii="SimSun" w:cs="SimSun" w:eastAsia="SimSun" w:hAnsi="SimSun"/>
          <w:sz w:val="18"/>
          <w:szCs w:val="18"/>
          <w:color w:val="auto"/>
        </w:rPr>
        <w:t>：</w:t>
      </w:r>
      <w:r>
        <w:rPr>
          <w:rFonts w:ascii="Times New Roman" w:cs="Times New Roman" w:eastAsia="Times New Roman" w:hAnsi="Times New Roman"/>
          <w:sz w:val="18"/>
          <w:szCs w:val="18"/>
          <w:color w:val="auto"/>
        </w:rPr>
        <w:t>Shanghai Pudong Development Bank Co., LTD. Jinqiao Branch</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Principal business address</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No.509 Jinqiao Road, Pudong New Area, Shanghai</w:t>
      </w:r>
    </w:p>
    <w:p>
      <w:pPr>
        <w:sectPr>
          <w:pgSz w:w="11900" w:h="16838" w:orient="portrait"/>
          <w:cols w:equalWidth="0" w:num="1">
            <w:col w:w="11240"/>
          </w:cols>
          <w:pgMar w:left="320" w:top="900" w:right="339" w:bottom="1440" w:gutter="0" w:footer="0" w:header="0"/>
          <w:type w:val="continuous"/>
        </w:sectPr>
      </w:pPr>
    </w:p>
    <w:p>
      <w:pPr>
        <w:spacing w:after="0" w:line="24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The contact</w:t>
      </w:r>
      <w:r>
        <w:rPr>
          <w:rFonts w:ascii="SimSun" w:cs="SimSun" w:eastAsia="SimSun" w:hAnsi="SimSun"/>
          <w:sz w:val="17"/>
          <w:szCs w:val="17"/>
          <w:color w:val="auto"/>
        </w:rPr>
        <w:t>：</w:t>
      </w:r>
      <w:r>
        <w:rPr>
          <w:rFonts w:ascii="Times New Roman" w:cs="Times New Roman" w:eastAsia="Times New Roman" w:hAnsi="Times New Roman"/>
          <w:sz w:val="17"/>
          <w:szCs w:val="17"/>
          <w:color w:val="auto"/>
        </w:rPr>
        <w:t>Lin Xie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Tell</w:t>
      </w:r>
      <w:r>
        <w:rPr>
          <w:rFonts w:ascii="SimSun" w:cs="SimSun" w:eastAsia="SimSun" w:hAnsi="SimSun"/>
          <w:sz w:val="17"/>
          <w:szCs w:val="17"/>
          <w:color w:val="auto"/>
        </w:rPr>
        <w:t>：</w:t>
      </w:r>
      <w:r>
        <w:rPr>
          <w:rFonts w:ascii="Times New Roman" w:cs="Times New Roman" w:eastAsia="Times New Roman" w:hAnsi="Times New Roman"/>
          <w:sz w:val="17"/>
          <w:szCs w:val="17"/>
          <w:color w:val="auto"/>
        </w:rPr>
        <w:t>021-58994702</w:t>
      </w:r>
    </w:p>
    <w:p>
      <w:pPr>
        <w:spacing w:after="0" w:line="200"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the same time, the borrower and the lender confirm the following principal terms (please select in the box below according to the situation, tick X if not selected);</w:t>
      </w:r>
    </w:p>
    <w:p>
      <w:pPr>
        <w:spacing w:after="0" w:line="162" w:lineRule="exact"/>
        <w:rPr>
          <w:sz w:val="20"/>
          <w:szCs w:val="20"/>
          <w:color w:val="auto"/>
        </w:rPr>
      </w:pPr>
    </w:p>
    <w:p>
      <w:pPr>
        <w:jc w:val="both"/>
        <w:ind w:firstLine="332"/>
        <w:spacing w:after="0" w:line="266" w:lineRule="auto"/>
        <w:tabs>
          <w:tab w:leader="none" w:pos="556" w:val="left"/>
        </w:tabs>
        <w:numPr>
          <w:ilvl w:val="0"/>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176" w:lineRule="exact"/>
        <w:rPr>
          <w:sz w:val="20"/>
          <w:szCs w:val="20"/>
          <w:color w:val="auto"/>
        </w:rPr>
      </w:pPr>
    </w:p>
    <w:p>
      <w:pPr>
        <w:ind w:firstLine="332"/>
        <w:spacing w:after="0" w:line="282" w:lineRule="auto"/>
        <w:tabs>
          <w:tab w:leader="none" w:pos="47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is an independent credit document signed between the borrower and the lender (this item should be selected if the borrower and the lender have not signed the financing line agreement);</w:t>
      </w:r>
    </w:p>
    <w:p>
      <w:pPr>
        <w:spacing w:after="0" w:line="162" w:lineRule="exact"/>
        <w:rPr>
          <w:sz w:val="20"/>
          <w:szCs w:val="20"/>
          <w:color w:val="auto"/>
        </w:rPr>
      </w:pPr>
    </w:p>
    <w:p>
      <w:pPr>
        <w:ind w:firstLine="332"/>
        <w:spacing w:after="0" w:line="282" w:lineRule="auto"/>
        <w:tabs>
          <w:tab w:leader="none" w:pos="550" w:val="left"/>
        </w:tabs>
        <w:numPr>
          <w:ilvl w:val="0"/>
          <w:numId w:val="1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guarantor has been informed that the purpose of the loan under this contract is to repay the loan under the original contract name: Date of signing: No: .(Select this item if the purpose of borrowing is to repay the old or renew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The Part One Commercial terms</w:t>
      </w:r>
    </w:p>
    <w:p>
      <w:pPr>
        <w:spacing w:after="0" w:line="200" w:lineRule="exact"/>
        <w:rPr>
          <w:sz w:val="20"/>
          <w:szCs w:val="20"/>
          <w:color w:val="auto"/>
        </w:rPr>
      </w:pPr>
    </w:p>
    <w:p>
      <w:pPr>
        <w:spacing w:after="0" w:line="230" w:lineRule="exact"/>
        <w:rPr>
          <w:sz w:val="20"/>
          <w:szCs w:val="20"/>
          <w:color w:val="auto"/>
        </w:rPr>
      </w:pPr>
    </w:p>
    <w:p>
      <w:pPr>
        <w:ind w:left="340" w:hanging="332"/>
        <w:spacing w:after="0" w:line="219" w:lineRule="exact"/>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Types of Loans: þ Short-term working capital loans </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mid-term liquidity loan,</w:t>
      </w:r>
    </w:p>
    <w:p>
      <w:pPr>
        <w:spacing w:after="0" w:line="25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 amount under this contract is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10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specific use of loan under this contract as follows: </w:t>
      </w:r>
      <w:r>
        <w:rPr>
          <w:rFonts w:ascii="Times New Roman" w:cs="Times New Roman" w:eastAsia="Times New Roman" w:hAnsi="Times New Roman"/>
          <w:sz w:val="18"/>
          <w:szCs w:val="18"/>
          <w:u w:val="single" w:color="auto"/>
          <w:color w:val="auto"/>
        </w:rPr>
        <w:t>payroll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limit for the loan under this contract (in the following box, please, don't choose to play x)</w:t>
      </w:r>
    </w:p>
    <w:p>
      <w:pPr>
        <w:spacing w:after="0" w:line="229" w:lineRule="exact"/>
        <w:rPr>
          <w:sz w:val="20"/>
          <w:szCs w:val="20"/>
          <w:color w:val="auto"/>
        </w:rPr>
      </w:pPr>
    </w:p>
    <w:p>
      <w:pPr>
        <w:ind w:left="460" w:hanging="128"/>
        <w:spacing w:after="0"/>
        <w:tabs>
          <w:tab w:leader="none" w:pos="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29"/>
          <w:szCs w:val="29"/>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Jan 2022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29"/>
          <w:szCs w:val="29"/>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Jan 2023.</w:t>
      </w:r>
    </w:p>
    <w:p>
      <w:pPr>
        <w:spacing w:after="0" w:line="149" w:lineRule="exact"/>
        <w:rPr>
          <w:sz w:val="20"/>
          <w:szCs w:val="20"/>
          <w:color w:val="auto"/>
        </w:rPr>
      </w:pPr>
    </w:p>
    <w:p>
      <w:pPr>
        <w:ind w:left="540" w:hanging="208"/>
        <w:spacing w:after="0" w:line="219" w:lineRule="exact"/>
        <w:tabs>
          <w:tab w:leader="none" w:pos="540" w:val="left"/>
        </w:tabs>
        <w:numPr>
          <w:ilvl w:val="0"/>
          <w:numId w:val="1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From the date of first withdrawal _</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year</w:t>
      </w:r>
      <w:r>
        <w:rPr>
          <w:rFonts w:ascii="SimSun" w:cs="SimSun" w:eastAsia="SimSun" w:hAnsi="SimSun"/>
          <w:sz w:val="18"/>
          <w:szCs w:val="18"/>
          <w:color w:val="auto"/>
        </w:rPr>
        <w:t>（</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months</w:t>
      </w:r>
      <w:r>
        <w:rPr>
          <w:rFonts w:ascii="SimSun" w:cs="SimSun" w:eastAsia="SimSun" w:hAnsi="SimSun"/>
          <w:sz w:val="18"/>
          <w:szCs w:val="18"/>
          <w:color w:val="auto"/>
        </w:rPr>
        <w: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5</w:t>
      </w:r>
      <w:r>
        <w:rPr>
          <w:rFonts w:ascii="SimSun" w:cs="SimSun" w:eastAsia="SimSun" w:hAnsi="SimSun"/>
          <w:sz w:val="18"/>
          <w:szCs w:val="18"/>
          <w:color w:val="auto"/>
        </w:rPr>
        <w:t>．</w:t>
      </w:r>
      <w:r>
        <w:rPr>
          <w:rFonts w:ascii="Times New Roman" w:cs="Times New Roman" w:eastAsia="Times New Roman" w:hAnsi="Times New Roman"/>
          <w:sz w:val="18"/>
          <w:szCs w:val="18"/>
          <w:color w:val="auto"/>
        </w:rPr>
        <w:t>The interest rate of the loan under this Contract is (please tick V in the box below and x if not)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þ (1) the RMB loans Interest Rate :</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loan under this Contract shall be issued according to the loan market quoted APR (term) -1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each loan is issued, if the quoted interest rate of the loan market is adjusted during the loan term, the loan interest rate (please put a in the box below and x in case of non-I):</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þ Fixed interest rate without adjustment;</w:t>
      </w:r>
    </w:p>
    <w:p>
      <w:pPr>
        <w:spacing w:after="0" w:line="225" w:lineRule="exact"/>
        <w:rPr>
          <w:sz w:val="20"/>
          <w:szCs w:val="20"/>
          <w:color w:val="auto"/>
        </w:rPr>
      </w:pPr>
    </w:p>
    <w:p>
      <w:pPr>
        <w:jc w:val="both"/>
        <w:ind w:firstLine="291"/>
        <w:spacing w:after="0" w:line="266" w:lineRule="auto"/>
        <w:tabs>
          <w:tab w:leader="none" w:pos="501"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v is selected in the following box, does not escape the x) :</w:t>
      </w:r>
    </w:p>
    <w:p>
      <w:pPr>
        <w:spacing w:after="0" w:line="175" w:lineRule="exact"/>
        <w:rPr>
          <w:rFonts w:ascii="MS PGothic" w:cs="MS PGothic" w:eastAsia="MS PGothic" w:hAnsi="MS PGothic"/>
          <w:sz w:val="18"/>
          <w:szCs w:val="18"/>
          <w:color w:val="auto"/>
        </w:rPr>
      </w:pPr>
    </w:p>
    <w:p>
      <w:pPr>
        <w:jc w:val="both"/>
        <w:ind w:firstLine="291"/>
        <w:spacing w:after="0" w:line="261" w:lineRule="auto"/>
        <w:tabs>
          <w:tab w:leader="none" w:pos="491"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93"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year, the interest rate adjustment date is January 1 of each year</w:t>
      </w:r>
      <w:r>
        <w:rPr>
          <w:rFonts w:ascii="SimSun" w:cs="SimSun" w:eastAsia="SimSun" w:hAnsi="SimSun"/>
          <w:sz w:val="18"/>
          <w:szCs w:val="18"/>
          <w:color w:val="auto"/>
        </w:rPr>
        <w:t>；</w:t>
      </w:r>
    </w:p>
    <w:p>
      <w:pPr>
        <w:spacing w:after="0" w:line="240"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the interest settlement date, and the interest rate adjustment day is the next day of the interest settlement date</w:t>
      </w:r>
      <w:r>
        <w:rPr>
          <w:rFonts w:ascii="SimSun" w:cs="SimSun" w:eastAsia="SimSun" w:hAnsi="SimSun"/>
          <w:sz w:val="18"/>
          <w:szCs w:val="18"/>
          <w:color w:val="auto"/>
        </w:rPr>
        <w:t>；</w:t>
      </w:r>
    </w:p>
    <w:p>
      <w:pPr>
        <w:spacing w:after="0" w:line="240"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adjustment of interest rate, interest rate adjustment day for the end of each quarter on a monthly basis,</w:t>
      </w:r>
      <w:r>
        <w:rPr>
          <w:rFonts w:ascii="SimSun" w:cs="SimSun" w:eastAsia="SimSun" w:hAnsi="SimSu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6" w:name="page247"/>
    <w:bookmarkEnd w:id="246"/>
    <w:p>
      <w:pPr>
        <w:ind w:left="500" w:hanging="209"/>
        <w:spacing w:after="0"/>
        <w:tabs>
          <w:tab w:leader="none" w:pos="500" w:val="left"/>
        </w:tabs>
        <w:numPr>
          <w:ilvl w:val="0"/>
          <w:numId w:val="1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interest rate adjustment day for a monthly/daily</w:t>
      </w:r>
    </w:p>
    <w:p>
      <w:pPr>
        <w:spacing w:after="0" w:line="225" w:lineRule="exact"/>
        <w:rPr>
          <w:rFonts w:ascii="MS PGothic" w:cs="MS PGothic" w:eastAsia="MS PGothic" w:hAnsi="MS PGothic"/>
          <w:sz w:val="18"/>
          <w:szCs w:val="18"/>
          <w:color w:val="auto"/>
        </w:rPr>
      </w:pPr>
    </w:p>
    <w:p>
      <w:pPr>
        <w:ind w:left="500" w:hanging="209"/>
        <w:spacing w:after="0"/>
        <w:tabs>
          <w:tab w:leader="none" w:pos="500" w:val="left"/>
        </w:tabs>
        <w:numPr>
          <w:ilvl w:val="0"/>
          <w:numId w:val="1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agreement (specific interest rate adjustment day),</w:t>
      </w:r>
    </w:p>
    <w:p>
      <w:pPr>
        <w:spacing w:after="0" w:line="225" w:lineRule="exact"/>
        <w:rPr>
          <w:rFonts w:ascii="MS PGothic" w:cs="MS PGothic" w:eastAsia="MS PGothic" w:hAnsi="MS PGothic"/>
          <w:sz w:val="18"/>
          <w:szCs w:val="18"/>
          <w:color w:val="auto"/>
        </w:rPr>
      </w:pPr>
    </w:p>
    <w:p>
      <w:pPr>
        <w:ind w:left="500" w:hanging="209"/>
        <w:spacing w:after="0"/>
        <w:tabs>
          <w:tab w:leader="none" w:pos="500" w:val="left"/>
        </w:tabs>
        <w:numPr>
          <w:ilvl w:val="0"/>
          <w:numId w:val="1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interest rate of foreign currency loan;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loan under this Contract will be issued at the rate of ___(LIBORAHIBORSIBOR) published by the Lender on the date of disbursement plus/BPS.</w:t>
      </w:r>
    </w:p>
    <w:p>
      <w:pPr>
        <w:spacing w:after="0" w:line="225" w:lineRule="exact"/>
        <w:rPr>
          <w:sz w:val="20"/>
          <w:szCs w:val="20"/>
          <w:color w:val="auto"/>
        </w:rPr>
      </w:pPr>
    </w:p>
    <w:p>
      <w:pPr>
        <w:ind w:left="500" w:hanging="209"/>
        <w:spacing w:after="0"/>
        <w:tabs>
          <w:tab w:leader="none" w:pos="500" w:val="left"/>
        </w:tabs>
        <w:numPr>
          <w:ilvl w:val="1"/>
          <w:numId w:val="1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After each loan under this joint venture is issued, the loan interest rate shall be adjusted by .</w:t>
      </w:r>
    </w:p>
    <w:p>
      <w:pPr>
        <w:spacing w:after="0" w:line="225" w:lineRule="exact"/>
        <w:rPr>
          <w:rFonts w:ascii="MS PGothic" w:cs="MS PGothic" w:eastAsia="MS PGothic" w:hAnsi="MS PGothic"/>
          <w:sz w:val="18"/>
          <w:szCs w:val="18"/>
          <w:color w:val="auto"/>
        </w:rPr>
      </w:pPr>
    </w:p>
    <w:p>
      <w:pPr>
        <w:ind w:left="500" w:hanging="209"/>
        <w:spacing w:after="0"/>
        <w:tabs>
          <w:tab w:leader="none" w:pos="500" w:val="left"/>
        </w:tabs>
        <w:numPr>
          <w:ilvl w:val="1"/>
          <w:numId w:val="1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Fixed rate, that is, the interest rate is not adjusted.</w:t>
      </w:r>
    </w:p>
    <w:p>
      <w:pPr>
        <w:spacing w:after="0" w:line="225" w:lineRule="exact"/>
        <w:rPr>
          <w:rFonts w:ascii="MS PGothic" w:cs="MS PGothic" w:eastAsia="MS PGothic" w:hAnsi="MS PGothic"/>
          <w:sz w:val="18"/>
          <w:szCs w:val="18"/>
          <w:color w:val="auto"/>
        </w:rPr>
      </w:pPr>
    </w:p>
    <w:p>
      <w:pPr>
        <w:ind w:left="180" w:hanging="172"/>
        <w:spacing w:after="0"/>
        <w:tabs>
          <w:tab w:leader="none" w:pos="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loan settlement under this Contract is (please check the box below/tick X if not selected):</w:t>
      </w:r>
    </w:p>
    <w:p>
      <w:pPr>
        <w:spacing w:after="0" w:line="238" w:lineRule="exact"/>
        <w:rPr>
          <w:rFonts w:ascii="Times New Roman" w:cs="Times New Roman" w:eastAsia="Times New Roman" w:hAnsi="Times New Roman"/>
          <w:sz w:val="18"/>
          <w:szCs w:val="18"/>
          <w:color w:val="auto"/>
        </w:rPr>
      </w:pPr>
    </w:p>
    <w:p>
      <w:pPr>
        <w:ind w:left="540" w:hanging="208"/>
        <w:spacing w:after="0" w:line="219" w:lineRule="exact"/>
        <w:tabs>
          <w:tab w:leader="none" w:pos="540" w:val="left"/>
        </w:tabs>
        <w:numPr>
          <w:ilvl w:val="2"/>
          <w:numId w:val="1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On a monthly basis, the settlement date is the second +(20) day of each month</w:t>
      </w:r>
      <w:r>
        <w:rPr>
          <w:rFonts w:ascii="SimSun" w:cs="SimSun" w:eastAsia="SimSun" w:hAnsi="SimSun"/>
          <w:sz w:val="18"/>
          <w:szCs w:val="18"/>
          <w:color w:val="auto"/>
        </w:rPr>
        <w: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þ Quarterly, then the settlement date is the twentieth (20th) day of the last month of each quarter:</w:t>
      </w:r>
    </w:p>
    <w:p>
      <w:pPr>
        <w:spacing w:after="0" w:line="225" w:lineRule="exact"/>
        <w:rPr>
          <w:sz w:val="20"/>
          <w:szCs w:val="20"/>
          <w:color w:val="auto"/>
        </w:rPr>
      </w:pPr>
    </w:p>
    <w:p>
      <w:pPr>
        <w:ind w:left="540" w:hanging="208"/>
        <w:spacing w:after="0"/>
        <w:tabs>
          <w:tab w:leader="none" w:pos="540" w:val="left"/>
        </w:tabs>
        <w:numPr>
          <w:ilvl w:val="0"/>
          <w:numId w:val="1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methods: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interest rate under the Contract is: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overdue penalty interest rate shall be applied at the loan execution rate applicable on the date of penalty interest collection plus </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loan is not used in accordance with the purpose agreed herein, the penalty interest rate will be calculated and the loan execution interest rate applied on the penalty interest date shall be charged plus </w:t>
      </w:r>
      <w:r>
        <w:rPr>
          <w:rFonts w:ascii="Times New Roman" w:cs="Times New Roman" w:eastAsia="Times New Roman" w:hAnsi="Times New Roman"/>
          <w:sz w:val="18"/>
          <w:szCs w:val="18"/>
          <w:u w:val="single" w:color="auto"/>
          <w:color w:val="auto"/>
        </w:rPr>
        <w:t>50</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drawdown period of the loan under the Contract is from </w:t>
      </w:r>
      <w:r>
        <w:rPr>
          <w:rFonts w:ascii="Times New Roman" w:cs="Times New Roman" w:eastAsia="Times New Roman" w:hAnsi="Times New Roman"/>
          <w:sz w:val="18"/>
          <w:szCs w:val="18"/>
          <w:u w:val="single" w:color="auto"/>
          <w:color w:val="auto"/>
        </w:rPr>
        <w:t>Jan 26, 2022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Jan 31</w:t>
      </w:r>
      <w:r>
        <w:rPr>
          <w:rFonts w:ascii="Times New Roman" w:cs="Times New Roman" w:eastAsia="Times New Roman" w:hAnsi="Times New Roman"/>
          <w:sz w:val="29"/>
          <w:szCs w:val="29"/>
          <w:u w:val="single" w:color="auto"/>
          <w:color w:val="auto"/>
          <w:vertAlign w:val="superscript"/>
        </w:rPr>
        <w:t>st</w:t>
      </w:r>
      <w:r>
        <w:rPr>
          <w:rFonts w:ascii="Times New Roman" w:cs="Times New Roman" w:eastAsia="Times New Roman" w:hAnsi="Times New Roman"/>
          <w:sz w:val="18"/>
          <w:szCs w:val="18"/>
          <w:u w:val="single" w:color="auto"/>
          <w:color w:val="auto"/>
        </w:rPr>
        <w:t>, 2022</w:t>
      </w:r>
      <w:r>
        <w:rPr>
          <w:rFonts w:ascii="Times New Roman" w:cs="Times New Roman" w:eastAsia="Times New Roman" w:hAnsi="Times New Roman"/>
          <w:sz w:val="18"/>
          <w:szCs w:val="18"/>
          <w:color w:val="auto"/>
        </w:rPr>
        <w:t xml:space="preserve">. The first withdrawal shall be made before </w:t>
      </w:r>
      <w:r>
        <w:rPr>
          <w:rFonts w:ascii="Times New Roman" w:cs="Times New Roman" w:eastAsia="Times New Roman" w:hAnsi="Times New Roman"/>
          <w:sz w:val="18"/>
          <w:szCs w:val="18"/>
          <w:u w:val="single" w:color="auto"/>
          <w:color w:val="auto"/>
        </w:rPr>
        <w:t>Jan 31</w:t>
      </w:r>
      <w:r>
        <w:rPr>
          <w:rFonts w:ascii="Times New Roman" w:cs="Times New Roman" w:eastAsia="Times New Roman" w:hAnsi="Times New Roman"/>
          <w:sz w:val="29"/>
          <w:szCs w:val="29"/>
          <w:u w:val="single" w:color="auto"/>
          <w:color w:val="auto"/>
          <w:vertAlign w:val="superscript"/>
        </w:rPr>
        <w:t>st</w:t>
      </w:r>
      <w:r>
        <w:rPr>
          <w:rFonts w:ascii="Times New Roman" w:cs="Times New Roman" w:eastAsia="Times New Roman" w:hAnsi="Times New Roman"/>
          <w:sz w:val="18"/>
          <w:szCs w:val="18"/>
          <w:u w:val="single" w:color="auto"/>
          <w:color w:val="auto"/>
        </w:rPr>
        <w:t>, 2022</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plan for the loan under this Contract is as follows (please select √ in the box below, tick X if you do not select)</w:t>
      </w:r>
    </w:p>
    <w:p>
      <w:pPr>
        <w:spacing w:after="0" w:line="2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withdrawal plan is shown in the table below</w:t>
      </w:r>
      <w:r>
        <w:rPr>
          <w:rFonts w:ascii="SimSun" w:cs="SimSun" w:eastAsia="SimSun" w:hAnsi="SimSun"/>
          <w:sz w:val="18"/>
          <w:szCs w:val="18"/>
          <w:color w:val="auto"/>
        </w:rPr>
        <w:t>：</w:t>
      </w:r>
    </w:p>
    <w:p>
      <w:pPr>
        <w:spacing w:after="0" w:line="240" w:lineRule="exact"/>
        <w:rPr>
          <w:sz w:val="20"/>
          <w:szCs w:val="20"/>
          <w:color w:val="auto"/>
        </w:rPr>
      </w:pPr>
    </w:p>
    <w:p>
      <w:pPr>
        <w:ind w:left="120"/>
        <w:spacing w:after="0"/>
        <w:tabs>
          <w:tab w:leader="none" w:pos="1580" w:val="left"/>
          <w:tab w:leader="none" w:pos="67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The withdrawal date</w:t>
      </w:r>
      <w:r>
        <w:rPr>
          <w:sz w:val="20"/>
          <w:szCs w:val="20"/>
          <w:color w:val="auto"/>
        </w:rPr>
        <w:tab/>
      </w:r>
      <w:r>
        <w:rPr>
          <w:rFonts w:ascii="Times New Roman" w:cs="Times New Roman" w:eastAsia="Times New Roman" w:hAnsi="Times New Roman"/>
          <w:sz w:val="18"/>
          <w:szCs w:val="18"/>
          <w:color w:val="auto"/>
        </w:rPr>
        <w:t>On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003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w:t>
      </w:r>
    </w:p>
    <w:p>
      <w:pPr>
        <w:spacing w:after="0" w:line="205" w:lineRule="exact"/>
        <w:rPr>
          <w:sz w:val="20"/>
          <w:szCs w:val="20"/>
          <w:color w:val="auto"/>
        </w:rPr>
      </w:pPr>
    </w:p>
    <w:p>
      <w:pPr>
        <w:spacing w:after="0" w:line="207" w:lineRule="exact"/>
        <w:tabs>
          <w:tab w:leader="none" w:pos="23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withdrawal plans:</w:t>
      </w:r>
      <w:r>
        <w:rPr>
          <w:sz w:val="20"/>
          <w:szCs w:val="20"/>
          <w:color w:val="auto"/>
        </w:rPr>
        <w:tab/>
      </w:r>
      <w:r>
        <w:rPr>
          <w:rFonts w:ascii="Times New Roman" w:cs="Times New Roman" w:eastAsia="Times New Roman" w:hAnsi="Times New Roman"/>
          <w:sz w:val="17"/>
          <w:szCs w:val="17"/>
          <w:color w:val="auto"/>
        </w:rPr>
        <w:t>one-time withdraw.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10160</wp:posOffset>
            </wp:positionV>
            <wp:extent cx="13157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The repayment plan of the loan under this Contract is as follows (Please tick √ in the box below, if not, tick x)</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3920" w:type="dxa"/>
            <w:vAlign w:val="bottom"/>
            <w:tcBorders>
              <w:top w:val="single" w:sz="8" w:color="auto"/>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Repayment date</w:t>
            </w:r>
          </w:p>
        </w:tc>
        <w:tc>
          <w:tcPr>
            <w:tcW w:w="58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Reimbursement amount</w:t>
            </w:r>
          </w:p>
        </w:tc>
      </w:tr>
      <w:tr>
        <w:trPr>
          <w:trHeight w:val="210"/>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spacing w:after="0"/>
              <w:rPr>
                <w:sz w:val="18"/>
                <w:szCs w:val="18"/>
                <w:color w:val="auto"/>
              </w:rPr>
            </w:pPr>
          </w:p>
        </w:tc>
      </w:tr>
      <w:tr>
        <w:trPr>
          <w:trHeight w:val="385"/>
        </w:trPr>
        <w:tc>
          <w:tcPr>
            <w:tcW w:w="20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withdrawal plans:</w:t>
            </w:r>
          </w:p>
        </w:tc>
        <w:tc>
          <w:tcPr>
            <w:tcW w:w="2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one-time withdraw.</w:t>
            </w:r>
          </w:p>
        </w:tc>
        <w:tc>
          <w:tcPr>
            <w:tcW w:w="1260" w:type="dxa"/>
            <w:vAlign w:val="bottom"/>
          </w:tcPr>
          <w:p>
            <w:pPr>
              <w:spacing w:after="0"/>
              <w:rPr>
                <w:sz w:val="24"/>
                <w:szCs w:val="24"/>
                <w:color w:val="auto"/>
              </w:rPr>
            </w:pPr>
          </w:p>
        </w:tc>
        <w:tc>
          <w:tcPr>
            <w:tcW w:w="5820" w:type="dxa"/>
            <w:vAlign w:val="bottom"/>
          </w:tcPr>
          <w:p>
            <w:pPr>
              <w:spacing w:after="0"/>
              <w:rPr>
                <w:sz w:val="24"/>
                <w:szCs w:val="24"/>
                <w:color w:val="auto"/>
              </w:rPr>
            </w:pPr>
          </w:p>
        </w:tc>
      </w:tr>
    </w:tbl>
    <w:p>
      <w:pPr>
        <w:spacing w:after="0" w:line="225" w:lineRule="exact"/>
        <w:rPr>
          <w:sz w:val="20"/>
          <w:szCs w:val="20"/>
          <w:color w:val="auto"/>
        </w:rPr>
      </w:pPr>
    </w:p>
    <w:p>
      <w:pPr>
        <w:ind w:left="280" w:hanging="272"/>
        <w:spacing w:after="0"/>
        <w:tabs>
          <w:tab w:leader="none" w:pos="2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Liquidated damages for loan repayment in advance; Equivalent to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the actual amount of loan repaid in advance</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of loan repayment in advance shall not be less than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ind w:left="-8" w:firstLine="8"/>
        <w:spacing w:after="0" w:line="282" w:lineRule="auto"/>
        <w:tabs>
          <w:tab w:leader="none" w:pos="26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opening (select one of the following modes for RMB loans, select the special account mode for foreign currency loans, and mark X for those not selected)</w:t>
      </w:r>
    </w:p>
    <w:p>
      <w:pPr>
        <w:spacing w:after="0" w:line="175" w:lineRule="exact"/>
        <w:rPr>
          <w:sz w:val="20"/>
          <w:szCs w:val="20"/>
          <w:color w:val="auto"/>
        </w:rPr>
      </w:pPr>
    </w:p>
    <w:p>
      <w:pPr>
        <w:ind w:left="332"/>
        <w:spacing w:after="0" w:line="219" w:lineRule="exact"/>
        <w:rPr>
          <w:sz w:val="20"/>
          <w:szCs w:val="20"/>
          <w:color w:val="auto"/>
        </w:rPr>
      </w:pPr>
      <w:r>
        <w:rPr>
          <w:rFonts w:ascii="Times New Roman" w:cs="Times New Roman" w:eastAsia="Times New Roman" w:hAnsi="Times New Roman"/>
          <w:sz w:val="18"/>
          <w:szCs w:val="18"/>
          <w:color w:val="auto"/>
        </w:rPr>
        <w:t>þ Unsegregated account mode</w:t>
      </w:r>
      <w:r>
        <w:rPr>
          <w:rFonts w:ascii="SimSun" w:cs="SimSun" w:eastAsia="SimSun" w:hAnsi="SimSun"/>
          <w:sz w:val="18"/>
          <w:szCs w:val="18"/>
          <w:color w:val="auto"/>
        </w:rPr>
        <w:t>：</w:t>
      </w:r>
    </w:p>
    <w:p>
      <w:pPr>
        <w:spacing w:after="0" w:line="227" w:lineRule="exact"/>
        <w:rPr>
          <w:sz w:val="20"/>
          <w:szCs w:val="20"/>
          <w:color w:val="auto"/>
        </w:rPr>
      </w:pPr>
    </w:p>
    <w:p>
      <w:pPr>
        <w:ind w:left="612" w:right="5280" w:hanging="329"/>
        <w:spacing w:after="0" w:line="379" w:lineRule="exact"/>
        <w:tabs>
          <w:tab w:leader="none" w:pos="60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settlement account opened by the borrower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Shanghai Pudong Development Bank Co., LTD. Jinqiao Branch</w:t>
      </w:r>
      <w:r>
        <w:rPr>
          <w:rFonts w:ascii="Times New Roman" w:cs="Times New Roman" w:eastAsia="Times New Roman" w:hAnsi="Times New Roman"/>
          <w:sz w:val="18"/>
          <w:szCs w:val="18"/>
          <w:color w:val="auto"/>
        </w:rPr>
        <w:t xml:space="preserve"> Bank account name</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ChinaLink Professional Services Co., Ltd.</w:t>
      </w:r>
    </w:p>
    <w:p>
      <w:pPr>
        <w:spacing w:after="0" w:line="213" w:lineRule="exact"/>
        <w:rPr>
          <w:rFonts w:ascii="Times New Roman" w:cs="Times New Roman" w:eastAsia="Times New Roman" w:hAnsi="Times New Roman"/>
          <w:sz w:val="18"/>
          <w:szCs w:val="18"/>
          <w:color w:val="auto"/>
        </w:rPr>
      </w:pP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 account number: </w:t>
      </w:r>
      <w:r>
        <w:rPr>
          <w:rFonts w:ascii="Times New Roman" w:cs="Times New Roman" w:eastAsia="Times New Roman" w:hAnsi="Times New Roman"/>
          <w:sz w:val="18"/>
          <w:szCs w:val="18"/>
          <w:u w:val="single" w:color="auto"/>
          <w:color w:val="auto"/>
        </w:rPr>
        <w:t>98840078801600002917</w:t>
      </w:r>
    </w:p>
    <w:p>
      <w:pPr>
        <w:spacing w:after="0" w:line="225" w:lineRule="exact"/>
        <w:rPr>
          <w:rFonts w:ascii="Times New Roman" w:cs="Times New Roman" w:eastAsia="Times New Roman" w:hAnsi="Times New Roman"/>
          <w:sz w:val="18"/>
          <w:szCs w:val="18"/>
          <w:color w:val="auto"/>
        </w:rPr>
      </w:pPr>
    </w:p>
    <w:p>
      <w:pPr>
        <w:ind w:left="612" w:hanging="329"/>
        <w:spacing w:after="0"/>
        <w:tabs>
          <w:tab w:leader="none" w:pos="61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fund recovery account opened with the lender is:</w:t>
      </w:r>
    </w:p>
    <w:p>
      <w:pPr>
        <w:spacing w:after="0" w:line="238" w:lineRule="exact"/>
        <w:rPr>
          <w:rFonts w:ascii="Times New Roman" w:cs="Times New Roman" w:eastAsia="Times New Roman" w:hAnsi="Times New Roman"/>
          <w:sz w:val="18"/>
          <w:szCs w:val="18"/>
          <w:color w:val="auto"/>
        </w:rPr>
      </w:pPr>
    </w:p>
    <w:p>
      <w:pPr>
        <w:ind w:left="612"/>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Shanghai Pudong Development Bank Co., LTD. Jinqiao Branch</w:t>
      </w:r>
    </w:p>
    <w:p>
      <w:pPr>
        <w:spacing w:after="0" w:line="240" w:lineRule="exact"/>
        <w:rPr>
          <w:rFonts w:ascii="Times New Roman" w:cs="Times New Roman" w:eastAsia="Times New Roman" w:hAnsi="Times New Roman"/>
          <w:sz w:val="18"/>
          <w:szCs w:val="18"/>
          <w:color w:val="auto"/>
        </w:rPr>
      </w:pPr>
    </w:p>
    <w:p>
      <w:pPr>
        <w:ind w:left="612"/>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ChinaLink Professional Services Co., Ltd.</w:t>
      </w:r>
    </w:p>
    <w:p>
      <w:pPr>
        <w:spacing w:after="0" w:line="227"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8"/>
          <w:szCs w:val="18"/>
          <w:color w:val="auto"/>
        </w:rPr>
        <w:t xml:space="preserve">Bank account number: </w:t>
      </w:r>
      <w:r>
        <w:rPr>
          <w:rFonts w:ascii="Times New Roman" w:cs="Times New Roman" w:eastAsia="Times New Roman" w:hAnsi="Times New Roman"/>
          <w:sz w:val="18"/>
          <w:szCs w:val="18"/>
          <w:u w:val="single" w:color="auto"/>
          <w:color w:val="auto"/>
        </w:rPr>
        <w:t>98840078801600002917</w:t>
      </w:r>
    </w:p>
    <w:p>
      <w:pPr>
        <w:spacing w:after="0" w:line="196" w:lineRule="exact"/>
        <w:rPr>
          <w:sz w:val="20"/>
          <w:szCs w:val="20"/>
          <w:color w:val="auto"/>
        </w:rPr>
      </w:pPr>
    </w:p>
    <w:p>
      <w:pPr>
        <w:ind w:left="612"/>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Special Account mode</w:t>
      </w:r>
    </w:p>
    <w:p>
      <w:pPr>
        <w:spacing w:after="0" w:line="253" w:lineRule="exact"/>
        <w:rPr>
          <w:sz w:val="20"/>
          <w:szCs w:val="20"/>
          <w:color w:val="auto"/>
        </w:rPr>
      </w:pPr>
    </w:p>
    <w:p>
      <w:pPr>
        <w:ind w:left="612" w:right="4320" w:hanging="329"/>
        <w:spacing w:after="0" w:line="340" w:lineRule="exact"/>
        <w:tabs>
          <w:tab w:leader="none" w:pos="60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account for working capital loan opened by the borrower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p>
    <w:p>
      <w:pPr>
        <w:spacing w:after="0" w:line="224" w:lineRule="exact"/>
        <w:rPr>
          <w:rFonts w:ascii="Times New Roman" w:cs="Times New Roman" w:eastAsia="Times New Roman" w:hAnsi="Times New Roman"/>
          <w:sz w:val="18"/>
          <w:szCs w:val="18"/>
          <w:color w:val="auto"/>
        </w:rPr>
      </w:pPr>
    </w:p>
    <w:p>
      <w:pPr>
        <w:jc w:val="both"/>
        <w:ind w:left="612" w:right="7540"/>
        <w:spacing w:after="0" w:line="34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r>
        <w:rPr>
          <w:rFonts w:ascii="Times New Roman" w:cs="Times New Roman" w:eastAsia="Times New Roman" w:hAnsi="Times New Roman"/>
          <w:sz w:val="18"/>
          <w:szCs w:val="18"/>
          <w:color w:val="auto"/>
        </w:rPr>
        <w:t xml:space="preserve"> Bank account number: </w:t>
      </w:r>
      <w:r>
        <w:rPr>
          <w:rFonts w:ascii="Times New Roman" w:cs="Times New Roman" w:eastAsia="Times New Roman" w:hAnsi="Times New Roman"/>
          <w:sz w:val="18"/>
          <w:szCs w:val="18"/>
          <w:u w:val="single" w:color="auto"/>
          <w:color w:val="auto"/>
        </w:rPr>
        <w:t>_____/_________ .</w:t>
      </w:r>
    </w:p>
    <w:p>
      <w:pPr>
        <w:spacing w:after="0" w:line="197" w:lineRule="exact"/>
        <w:rPr>
          <w:rFonts w:ascii="Times New Roman" w:cs="Times New Roman" w:eastAsia="Times New Roman" w:hAnsi="Times New Roman"/>
          <w:sz w:val="18"/>
          <w:szCs w:val="18"/>
          <w:color w:val="auto"/>
        </w:rPr>
      </w:pPr>
    </w:p>
    <w:p>
      <w:pPr>
        <w:ind w:left="612" w:right="5280" w:hanging="329"/>
        <w:spacing w:after="0" w:line="340" w:lineRule="exact"/>
        <w:tabs>
          <w:tab w:leader="none" w:pos="60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settlement account opened by the borrower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p>
    <w:p>
      <w:pPr>
        <w:spacing w:after="0" w:line="224" w:lineRule="exact"/>
        <w:rPr>
          <w:rFonts w:ascii="Times New Roman" w:cs="Times New Roman" w:eastAsia="Times New Roman" w:hAnsi="Times New Roman"/>
          <w:sz w:val="18"/>
          <w:szCs w:val="18"/>
          <w:color w:val="auto"/>
        </w:rPr>
      </w:pPr>
    </w:p>
    <w:p>
      <w:pPr>
        <w:jc w:val="both"/>
        <w:ind w:left="612" w:right="7540"/>
        <w:spacing w:after="0" w:line="34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r>
        <w:rPr>
          <w:rFonts w:ascii="Times New Roman" w:cs="Times New Roman" w:eastAsia="Times New Roman" w:hAnsi="Times New Roman"/>
          <w:sz w:val="18"/>
          <w:szCs w:val="18"/>
          <w:color w:val="auto"/>
        </w:rPr>
        <w:t xml:space="preserve"> Bank account number: </w:t>
      </w:r>
      <w:r>
        <w:rPr>
          <w:rFonts w:ascii="Times New Roman" w:cs="Times New Roman" w:eastAsia="Times New Roman" w:hAnsi="Times New Roman"/>
          <w:sz w:val="18"/>
          <w:szCs w:val="18"/>
          <w:u w:val="single" w:color="auto"/>
          <w:color w:val="auto"/>
        </w:rPr>
        <w:t>_____/_________ .</w:t>
      </w:r>
    </w:p>
    <w:p>
      <w:pPr>
        <w:spacing w:after="0" w:line="197" w:lineRule="exact"/>
        <w:rPr>
          <w:rFonts w:ascii="Times New Roman" w:cs="Times New Roman" w:eastAsia="Times New Roman" w:hAnsi="Times New Roman"/>
          <w:sz w:val="18"/>
          <w:szCs w:val="18"/>
          <w:color w:val="auto"/>
        </w:rPr>
      </w:pPr>
    </w:p>
    <w:p>
      <w:pPr>
        <w:ind w:left="612" w:right="5900" w:hanging="329"/>
        <w:spacing w:after="0" w:line="340" w:lineRule="exact"/>
        <w:tabs>
          <w:tab w:leader="none" w:pos="60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fund recovery account opened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p>
    <w:p>
      <w:pPr>
        <w:spacing w:after="0" w:line="224" w:lineRule="exact"/>
        <w:rPr>
          <w:rFonts w:ascii="Times New Roman" w:cs="Times New Roman" w:eastAsia="Times New Roman" w:hAnsi="Times New Roman"/>
          <w:sz w:val="18"/>
          <w:szCs w:val="18"/>
          <w:color w:val="auto"/>
        </w:rPr>
      </w:pPr>
    </w:p>
    <w:p>
      <w:pPr>
        <w:jc w:val="both"/>
        <w:ind w:left="612" w:right="7540"/>
        <w:spacing w:after="0" w:line="34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r>
        <w:rPr>
          <w:rFonts w:ascii="Times New Roman" w:cs="Times New Roman" w:eastAsia="Times New Roman" w:hAnsi="Times New Roman"/>
          <w:sz w:val="18"/>
          <w:szCs w:val="18"/>
          <w:color w:val="auto"/>
        </w:rPr>
        <w:t xml:space="preserve"> Bank account number: </w:t>
      </w:r>
      <w:r>
        <w:rPr>
          <w:rFonts w:ascii="Times New Roman" w:cs="Times New Roman" w:eastAsia="Times New Roman" w:hAnsi="Times New Roman"/>
          <w:sz w:val="18"/>
          <w:szCs w:val="18"/>
          <w:u w:val="single" w:color="auto"/>
          <w:color w:val="auto"/>
        </w:rPr>
        <w:t>_____/_________ .</w:t>
      </w:r>
    </w:p>
    <w:p>
      <w:pPr>
        <w:spacing w:after="0" w:line="197" w:lineRule="exact"/>
        <w:rPr>
          <w:rFonts w:ascii="Times New Roman" w:cs="Times New Roman" w:eastAsia="Times New Roman" w:hAnsi="Times New Roman"/>
          <w:sz w:val="18"/>
          <w:szCs w:val="18"/>
          <w:color w:val="auto"/>
        </w:rPr>
      </w:pPr>
    </w:p>
    <w:p>
      <w:pPr>
        <w:ind w:left="-8" w:firstLine="8"/>
        <w:spacing w:after="0" w:line="282" w:lineRule="auto"/>
        <w:tabs>
          <w:tab w:leader="none" w:pos="27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Entrusted Payment by the Lender: if the payment object is clear and the single managed payment amount exceeds (currency amount) the loan fund payment, the entrusted payment method of the Lender shall be</w:t>
      </w:r>
    </w:p>
    <w:p>
      <w:pPr>
        <w:spacing w:after="0" w:line="175" w:lineRule="exact"/>
        <w:rPr>
          <w:rFonts w:ascii="Times New Roman" w:cs="Times New Roman" w:eastAsia="Times New Roman" w:hAnsi="Times New Roman"/>
          <w:sz w:val="18"/>
          <w:szCs w:val="18"/>
          <w:color w:val="auto"/>
        </w:rPr>
      </w:pPr>
    </w:p>
    <w:p>
      <w:pPr>
        <w:ind w:left="292" w:right="2960" w:hanging="292"/>
        <w:spacing w:after="0" w:line="356" w:lineRule="exact"/>
        <w:tabs>
          <w:tab w:leader="none" w:pos="27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and security contracts providing security for the debt hereunder include but are not limited to</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guarantor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guaranty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 ]</w:t>
      </w:r>
    </w:p>
    <w:p>
      <w:pPr>
        <w:spacing w:after="0" w:line="177" w:lineRule="exact"/>
        <w:rPr>
          <w:rFonts w:ascii="Times New Roman" w:cs="Times New Roman" w:eastAsia="Times New Roman" w:hAnsi="Times New Roman"/>
          <w:sz w:val="18"/>
          <w:szCs w:val="18"/>
          <w:color w:val="auto"/>
        </w:rPr>
      </w:pPr>
    </w:p>
    <w:p>
      <w:pPr>
        <w:ind w:left="292" w:right="6160"/>
        <w:spacing w:after="0" w:line="37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mortgagor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Mortgage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NO[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pledger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Pledger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 ]</w:t>
      </w:r>
    </w:p>
    <w:p>
      <w:pPr>
        <w:spacing w:after="0" w:line="163" w:lineRule="exact"/>
        <w:rPr>
          <w:rFonts w:ascii="Times New Roman" w:cs="Times New Roman" w:eastAsia="Times New Roman" w:hAnsi="Times New Roman"/>
          <w:sz w:val="18"/>
          <w:szCs w:val="18"/>
          <w:color w:val="auto"/>
        </w:rPr>
      </w:pPr>
    </w:p>
    <w:p>
      <w:pPr>
        <w:ind w:left="292"/>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guarantee </w:t>
      </w:r>
      <w:r>
        <w:rPr>
          <w:rFonts w:ascii="Times New Roman" w:cs="Times New Roman" w:eastAsia="Times New Roman" w:hAnsi="Times New Roman"/>
          <w:sz w:val="18"/>
          <w:szCs w:val="18"/>
          <w:u w:val="single" w:color="auto"/>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48" w:name="page249"/>
    <w:bookmarkEnd w:id="248"/>
    <w:p>
      <w:pPr>
        <w:ind w:left="272" w:hanging="272"/>
        <w:spacing w:after="0"/>
        <w:tabs>
          <w:tab w:leader="none" w:pos="27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 of contract liquidated damages. It is equivalent to </w:t>
      </w:r>
      <w:r>
        <w:rPr>
          <w:rFonts w:ascii="Times New Roman" w:cs="Times New Roman" w:eastAsia="Times New Roman" w:hAnsi="Times New Roman"/>
          <w:sz w:val="18"/>
          <w:szCs w:val="18"/>
          <w:u w:val="single" w:color="auto"/>
          <w:color w:val="auto"/>
        </w:rPr>
        <w:t>zero</w:t>
      </w:r>
      <w:r>
        <w:rPr>
          <w:rFonts w:ascii="Times New Roman" w:cs="Times New Roman" w:eastAsia="Times New Roman" w:hAnsi="Times New Roman"/>
          <w:sz w:val="18"/>
          <w:szCs w:val="18"/>
          <w:color w:val="auto"/>
        </w:rPr>
        <w:t xml:space="preserve"> percent of the principal amount borrowed or</w:t>
      </w:r>
      <w:r>
        <w:rPr>
          <w:rFonts w:ascii="Times New Roman" w:cs="Times New Roman" w:eastAsia="Times New Roman" w:hAnsi="Times New Roman"/>
          <w:sz w:val="18"/>
          <w:szCs w:val="18"/>
          <w:u w:val="single" w:color="auto"/>
          <w:color w:val="auto"/>
        </w:rPr>
        <w:t>__ / .</w:t>
      </w:r>
    </w:p>
    <w:p>
      <w:pPr>
        <w:spacing w:after="0" w:line="22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to this contract include:</w:t>
      </w:r>
    </w:p>
    <w:p>
      <w:pPr>
        <w:spacing w:after="0" w:line="238" w:lineRule="exact"/>
        <w:rPr>
          <w:rFonts w:ascii="Times New Roman" w:cs="Times New Roman" w:eastAsia="Times New Roman" w:hAnsi="Times New Roman"/>
          <w:sz w:val="18"/>
          <w:szCs w:val="18"/>
          <w:color w:val="auto"/>
        </w:rPr>
      </w:pPr>
    </w:p>
    <w:p>
      <w:pPr>
        <w:ind w:left="552" w:hanging="264"/>
        <w:spacing w:after="0" w:line="219" w:lineRule="exact"/>
        <w:tabs>
          <w:tab w:leader="none" w:pos="552" w:val="left"/>
        </w:tabs>
        <w:numPr>
          <w:ilvl w:val="1"/>
          <w:numId w:val="153"/>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Application for withdrawal</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52" w:hanging="264"/>
        <w:spacing w:after="0" w:line="219" w:lineRule="exact"/>
        <w:tabs>
          <w:tab w:leader="none" w:pos="552" w:val="left"/>
        </w:tabs>
        <w:numPr>
          <w:ilvl w:val="1"/>
          <w:numId w:val="153"/>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52" w:hanging="264"/>
        <w:spacing w:after="0" w:line="219" w:lineRule="exact"/>
        <w:tabs>
          <w:tab w:leader="none" w:pos="552" w:val="left"/>
        </w:tabs>
        <w:numPr>
          <w:ilvl w:val="1"/>
          <w:numId w:val="153"/>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52" w:hanging="264"/>
        <w:spacing w:after="0" w:line="219" w:lineRule="exact"/>
        <w:tabs>
          <w:tab w:leader="none" w:pos="552" w:val="left"/>
        </w:tabs>
        <w:numPr>
          <w:ilvl w:val="1"/>
          <w:numId w:val="153"/>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52" w:hanging="264"/>
        <w:spacing w:after="0" w:line="219" w:lineRule="exact"/>
        <w:tabs>
          <w:tab w:leader="none" w:pos="552" w:val="left"/>
        </w:tabs>
        <w:numPr>
          <w:ilvl w:val="1"/>
          <w:numId w:val="153"/>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26" w:lineRule="exact"/>
        <w:rPr>
          <w:rFonts w:ascii="Times New Roman" w:cs="Times New Roman" w:eastAsia="Times New Roman" w:hAnsi="Times New Roman"/>
          <w:sz w:val="18"/>
          <w:szCs w:val="18"/>
          <w:color w:val="auto"/>
        </w:rPr>
      </w:pPr>
    </w:p>
    <w:p>
      <w:pPr>
        <w:ind w:left="292" w:right="6839" w:hanging="292"/>
        <w:spacing w:after="0" w:line="500" w:lineRule="auto"/>
        <w:tabs>
          <w:tab w:leader="none" w:pos="27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matters agreed upon by both parties </w:t>
      </w:r>
      <w:r>
        <w:rPr>
          <w:rFonts w:ascii="Times New Roman" w:cs="Times New Roman" w:eastAsia="Times New Roman" w:hAnsi="Times New Roman"/>
          <w:sz w:val="18"/>
          <w:szCs w:val="18"/>
          <w:u w:val="single" w:color="auto"/>
          <w:color w:val="auto"/>
        </w:rPr>
        <w:t>None /</w:t>
      </w:r>
      <w:r>
        <w:rPr>
          <w:rFonts w:ascii="Times New Roman" w:cs="Times New Roman" w:eastAsia="Times New Roman" w:hAnsi="Times New Roman"/>
          <w:sz w:val="18"/>
          <w:szCs w:val="18"/>
          <w:color w:val="auto"/>
        </w:rPr>
        <w:t xml:space="preserve"> .</w:t>
      </w:r>
    </w:p>
    <w:p>
      <w:pPr>
        <w:spacing w:after="0" w:line="1" w:lineRule="exact"/>
        <w:rPr>
          <w:rFonts w:ascii="Times New Roman" w:cs="Times New Roman" w:eastAsia="Times New Roman" w:hAnsi="Times New Roman"/>
          <w:sz w:val="18"/>
          <w:szCs w:val="18"/>
          <w:color w:val="auto"/>
        </w:rPr>
      </w:pPr>
    </w:p>
    <w:p>
      <w:pPr>
        <w:ind w:left="292" w:right="219" w:hanging="292"/>
        <w:spacing w:after="0" w:line="532" w:lineRule="auto"/>
        <w:tabs>
          <w:tab w:leader="none" w:pos="27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Contract is made in </w:t>
      </w:r>
      <w:r>
        <w:rPr>
          <w:rFonts w:ascii="Times New Roman" w:cs="Times New Roman" w:eastAsia="Times New Roman" w:hAnsi="Times New Roman"/>
          <w:sz w:val="18"/>
          <w:szCs w:val="18"/>
          <w:u w:val="single" w:color="auto"/>
          <w:color w:val="auto"/>
        </w:rPr>
        <w:t>three</w:t>
      </w:r>
      <w:r>
        <w:rPr>
          <w:rFonts w:ascii="Times New Roman" w:cs="Times New Roman" w:eastAsia="Times New Roman" w:hAnsi="Times New Roman"/>
          <w:sz w:val="18"/>
          <w:szCs w:val="18"/>
          <w:color w:val="auto"/>
        </w:rPr>
        <w:t xml:space="preserve"> originals,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held by the borrower and </w:t>
      </w:r>
      <w:r>
        <w:rPr>
          <w:rFonts w:ascii="Times New Roman" w:cs="Times New Roman" w:eastAsia="Times New Roman" w:hAnsi="Times New Roman"/>
          <w:sz w:val="18"/>
          <w:szCs w:val="18"/>
          <w:u w:val="single" w:color="auto"/>
          <w:color w:val="auto"/>
        </w:rPr>
        <w:t>two</w:t>
      </w:r>
      <w:r>
        <w:rPr>
          <w:rFonts w:ascii="Times New Roman" w:cs="Times New Roman" w:eastAsia="Times New Roman" w:hAnsi="Times New Roman"/>
          <w:sz w:val="18"/>
          <w:szCs w:val="18"/>
          <w:color w:val="auto"/>
        </w:rPr>
        <w:t xml:space="preserve"> held by the lender, each of which has the same legal effect. (End of 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The Part Two General terms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borrowing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80" w:lineRule="exact"/>
        <w:rPr>
          <w:sz w:val="20"/>
          <w:szCs w:val="20"/>
          <w:color w:val="auto"/>
        </w:rPr>
      </w:pPr>
    </w:p>
    <w:p>
      <w:pPr>
        <w:jc w:val="both"/>
        <w:ind w:firstLine="8"/>
        <w:spacing w:after="0" w:line="266" w:lineRule="auto"/>
        <w:tabs>
          <w:tab w:leader="none" w:pos="19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borrowing rate and interest calculation method</w:t>
      </w:r>
    </w:p>
    <w:p>
      <w:pPr>
        <w:spacing w:after="0" w:line="229" w:lineRule="exact"/>
        <w:rPr>
          <w:sz w:val="20"/>
          <w:szCs w:val="20"/>
          <w:color w:val="auto"/>
        </w:rPr>
      </w:pPr>
    </w:p>
    <w:p>
      <w:pPr>
        <w:jc w:val="both"/>
        <w:ind w:left="900" w:hanging="325"/>
        <w:spacing w:after="0" w:line="266"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61"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79"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58"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market paralysis 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0" w:name="page251"/>
    <w:bookmarkEnd w:id="250"/>
    <w:p>
      <w:pPr>
        <w:ind w:left="4820"/>
        <w:spacing w:after="0"/>
        <w:rPr>
          <w:sz w:val="20"/>
          <w:szCs w:val="20"/>
          <w:color w:val="auto"/>
        </w:rPr>
      </w:pPr>
      <w:r>
        <w:rPr>
          <w:rFonts w:ascii="Times New Roman" w:cs="Times New Roman" w:eastAsia="Times New Roman" w:hAnsi="Times New Roman"/>
          <w:sz w:val="18"/>
          <w:szCs w:val="18"/>
          <w:b w:val="1"/>
          <w:bCs w:val="1"/>
          <w:color w:val="auto"/>
        </w:rPr>
        <w:t>Article 3 withdrawal</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before the first withdrawal, the borrower shall meet the following conditions:</w:t>
      </w:r>
    </w:p>
    <w:p>
      <w:pPr>
        <w:spacing w:after="0" w:line="225" w:lineRule="exact"/>
        <w:rPr>
          <w:sz w:val="20"/>
          <w:szCs w:val="20"/>
          <w:color w:val="auto"/>
        </w:rPr>
      </w:pPr>
    </w:p>
    <w:p>
      <w:pPr>
        <w:ind w:firstLine="584"/>
        <w:spacing w:after="0" w:line="282" w:lineRule="auto"/>
        <w:tabs>
          <w:tab w:leader="none" w:pos="83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and the corresponding guarantee contract (if any) have been signed and remain valid, and the security right has been effectively established;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opened relevant accounts with the lender according to the lender’s requirements;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except for the first withdrawal, the borrower shall meet the following conditions before each withdrawal:</w:t>
      </w:r>
    </w:p>
    <w:p>
      <w:pPr>
        <w:spacing w:after="0" w:line="225" w:lineRule="exact"/>
        <w:rPr>
          <w:sz w:val="20"/>
          <w:szCs w:val="20"/>
          <w:color w:val="auto"/>
        </w:rPr>
      </w:pPr>
    </w:p>
    <w:p>
      <w:pPr>
        <w:ind w:firstLine="584"/>
        <w:spacing w:after="0" w:line="282" w:lineRule="auto"/>
        <w:tabs>
          <w:tab w:leader="none" w:pos="83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the borrower under this contract shall remain valid;</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withdrawal</w:t>
      </w:r>
    </w:p>
    <w:p>
      <w:pPr>
        <w:spacing w:after="0" w:line="225" w:lineRule="exact"/>
        <w:rPr>
          <w:sz w:val="20"/>
          <w:szCs w:val="20"/>
          <w:color w:val="auto"/>
        </w:rPr>
      </w:pPr>
    </w:p>
    <w:p>
      <w:pPr>
        <w:jc w:val="both"/>
        <w:ind w:firstLine="584"/>
        <w:spacing w:after="0" w:line="266" w:lineRule="auto"/>
        <w:tabs>
          <w:tab w:leader="none" w:pos="84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84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85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withdrawal conditions without affecting any right enjoyed by the Lender under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t>Article 4 account opening and management</w:t>
      </w:r>
    </w:p>
    <w:p>
      <w:pPr>
        <w:spacing w:after="0" w:line="229" w:lineRule="exact"/>
        <w:rPr>
          <w:sz w:val="20"/>
          <w:szCs w:val="20"/>
          <w:color w:val="auto"/>
        </w:rPr>
      </w:pPr>
    </w:p>
    <w:p>
      <w:pPr>
        <w:jc w:val="both"/>
        <w:ind w:firstLine="584"/>
        <w:spacing w:after="0" w:line="266" w:lineRule="auto"/>
        <w:tabs>
          <w:tab w:leader="none" w:pos="7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75" w:lineRule="exact"/>
        <w:rPr>
          <w:rFonts w:ascii="Times New Roman" w:cs="Times New Roman" w:eastAsia="Times New Roman" w:hAnsi="Times New Roman"/>
          <w:sz w:val="18"/>
          <w:szCs w:val="18"/>
          <w:color w:val="auto"/>
        </w:rPr>
      </w:pPr>
    </w:p>
    <w:p>
      <w:pPr>
        <w:ind w:right="20" w:firstLine="584"/>
        <w:spacing w:after="0" w:line="282" w:lineRule="auto"/>
        <w:tabs>
          <w:tab w:leader="none" w:pos="77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special working capital loan account is opened, the general settlement account is used to calculate the loan fund issuance and loan fund payment applied by the borrower at the lender.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Without the written consent of the lender, the borrower shall not change the reserved seal of the special working capital loan account at will.</w:t>
      </w:r>
    </w:p>
    <w:p>
      <w:pPr>
        <w:spacing w:after="0" w:line="225" w:lineRule="exact"/>
        <w:rPr>
          <w:sz w:val="20"/>
          <w:szCs w:val="20"/>
          <w:color w:val="auto"/>
        </w:rPr>
      </w:pPr>
    </w:p>
    <w:p>
      <w:pPr>
        <w:ind w:firstLine="584"/>
        <w:spacing w:after="0" w:line="282" w:lineRule="auto"/>
        <w:tabs>
          <w:tab w:leader="none" w:pos="76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62"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87"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Payment supervision</w:t>
      </w:r>
    </w:p>
    <w:p>
      <w:pPr>
        <w:spacing w:after="0" w:line="229" w:lineRule="exact"/>
        <w:rPr>
          <w:sz w:val="20"/>
          <w:szCs w:val="20"/>
          <w:color w:val="auto"/>
        </w:rPr>
      </w:pPr>
    </w:p>
    <w:p>
      <w:pPr>
        <w:ind w:firstLine="584"/>
        <w:spacing w:after="0" w:line="282" w:lineRule="auto"/>
        <w:tabs>
          <w:tab w:leader="none" w:pos="77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lender has the right to manage and control the payment of the loan funds through the entrusted payment of the lender or / and the independent payment of the borrower, so as to supervise the use of the loan funds according to the purpose agreed in the contract.</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162" w:lineRule="exact"/>
        <w:rPr>
          <w:sz w:val="20"/>
          <w:szCs w:val="20"/>
          <w:color w:val="auto"/>
        </w:rPr>
      </w:pPr>
    </w:p>
    <w:p>
      <w:pPr>
        <w:jc w:val="both"/>
        <w:ind w:firstLine="584"/>
        <w:spacing w:after="0" w:line="266" w:lineRule="auto"/>
        <w:tabs>
          <w:tab w:leader="none" w:pos="7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176"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After approval, the lender shall pay the loan funds to the borrower’s trading partner through the borrower’s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2" w:name="page253"/>
    <w:bookmarkEnd w:id="252"/>
    <w:p>
      <w:pPr>
        <w:ind w:right="20" w:firstLine="584"/>
        <w:spacing w:after="0" w:line="282" w:lineRule="auto"/>
        <w:tabs>
          <w:tab w:leader="none" w:pos="79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applying to the lender for external payment of loan funds, the borrower shall submit supporting materials meeting the lender’s requirements, including but not limited to:</w:t>
      </w:r>
    </w:p>
    <w:p>
      <w:pPr>
        <w:spacing w:after="0" w:line="162" w:lineRule="exact"/>
        <w:rPr>
          <w:sz w:val="20"/>
          <w:szCs w:val="20"/>
          <w:color w:val="auto"/>
        </w:rPr>
      </w:pPr>
    </w:p>
    <w:p>
      <w:pPr>
        <w:ind w:left="840" w:hanging="256"/>
        <w:spacing w:after="0"/>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certifying that the purpose of payment is in accordance with the purpose agreed in the contract: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valid payment voucher:</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required by the lender.</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supporting materials without affecting any rights enjoyed by the Lender under this contract</w:t>
      </w:r>
    </w:p>
    <w:p>
      <w:pPr>
        <w:spacing w:after="0" w:line="162" w:lineRule="exact"/>
        <w:rPr>
          <w:sz w:val="20"/>
          <w:szCs w:val="20"/>
          <w:color w:val="auto"/>
        </w:rPr>
      </w:pPr>
    </w:p>
    <w:p>
      <w:pPr>
        <w:jc w:val="both"/>
        <w:ind w:firstLine="584"/>
        <w:spacing w:after="0" w:line="261" w:lineRule="auto"/>
        <w:tabs>
          <w:tab w:leader="none" w:pos="75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contract.If the lender approves, the borrower shall fill in the payment voucher (the amount of each summary payment voucher shall not exceed the entrusted payment amount of the lender agreed in this contract).After review, the lender shall affix the special seal for loan fund payment supervision on the summary payment voucher, and transfer the corresponding funds to the borrower’s general settlement account.</w:t>
      </w:r>
    </w:p>
    <w:p>
      <w:pPr>
        <w:spacing w:after="0" w:line="194" w:lineRule="exact"/>
        <w:rPr>
          <w:sz w:val="20"/>
          <w:szCs w:val="20"/>
          <w:color w:val="auto"/>
        </w:rPr>
      </w:pPr>
    </w:p>
    <w:p>
      <w:pPr>
        <w:jc w:val="both"/>
        <w:ind w:firstLine="584"/>
        <w:spacing w:after="0" w:line="266" w:lineRule="auto"/>
        <w:tabs>
          <w:tab w:leader="none" w:pos="76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76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it shall pay to the lender the remittance fee arising from the payment of funds. When the remittance fee occurs, the lender has the right to deduct it directly according to the actual amount.</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76" w:lineRule="exact"/>
        <w:rPr>
          <w:sz w:val="20"/>
          <w:szCs w:val="20"/>
          <w:color w:val="auto"/>
        </w:rPr>
      </w:pPr>
    </w:p>
    <w:p>
      <w:pPr>
        <w:ind w:left="840" w:hanging="256"/>
        <w:spacing w:after="0"/>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credit status;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main business is not strong;</w:t>
      </w:r>
    </w:p>
    <w:p>
      <w:pPr>
        <w:spacing w:after="0" w:line="225" w:lineRule="exact"/>
        <w:rPr>
          <w:rFonts w:ascii="Times New Roman" w:cs="Times New Roman" w:eastAsia="Times New Roman" w:hAnsi="Times New Roman"/>
          <w:sz w:val="18"/>
          <w:szCs w:val="18"/>
          <w:color w:val="auto"/>
        </w:rPr>
      </w:pPr>
    </w:p>
    <w:p>
      <w:pPr>
        <w:ind w:left="820" w:hanging="236"/>
        <w:spacing w:after="0"/>
        <w:tabs>
          <w:tab w:leader="none" w:pos="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 use of loan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Article 6 repayment</w:t>
      </w:r>
    </w:p>
    <w:p>
      <w:pPr>
        <w:spacing w:after="0" w:line="229" w:lineRule="exact"/>
        <w:rPr>
          <w:sz w:val="20"/>
          <w:szCs w:val="20"/>
          <w:color w:val="auto"/>
        </w:rPr>
      </w:pPr>
    </w:p>
    <w:p>
      <w:pPr>
        <w:jc w:val="both"/>
        <w:ind w:firstLine="584"/>
        <w:spacing w:after="0" w:line="266" w:lineRule="auto"/>
        <w:tabs>
          <w:tab w:leader="none" w:pos="76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76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76" w:lineRule="exact"/>
        <w:rPr>
          <w:sz w:val="20"/>
          <w:szCs w:val="20"/>
          <w:color w:val="auto"/>
        </w:rPr>
      </w:pPr>
    </w:p>
    <w:p>
      <w:pPr>
        <w:jc w:val="both"/>
        <w:ind w:firstLine="584"/>
        <w:spacing w:after="0" w:line="258" w:lineRule="auto"/>
        <w:tabs>
          <w:tab w:leader="none" w:pos="77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183"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withdraw any returned loan funds again.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representations and warranties</w:t>
      </w:r>
    </w:p>
    <w:p>
      <w:pPr>
        <w:spacing w:after="0" w:line="229"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borrower makes the following representations and warranties to the lender, which are made at the time of signing this contract and remain valid during the validity of this contract.</w:t>
      </w:r>
    </w:p>
    <w:p>
      <w:pPr>
        <w:spacing w:after="0" w:line="162" w:lineRule="exact"/>
        <w:rPr>
          <w:sz w:val="20"/>
          <w:szCs w:val="20"/>
          <w:color w:val="auto"/>
        </w:rPr>
      </w:pPr>
    </w:p>
    <w:p>
      <w:pPr>
        <w:ind w:firstLine="584"/>
        <w:spacing w:after="0" w:line="282" w:lineRule="auto"/>
        <w:tabs>
          <w:tab w:leader="none" w:pos="76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76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7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all financial statements (if any) issued by it comply with the provisions of applicable laws and that the statements truly, completely and fairly reflect the financial situation of the borrower.</w:t>
      </w:r>
    </w:p>
    <w:p>
      <w:pPr>
        <w:spacing w:after="0" w:line="161" w:lineRule="exact"/>
        <w:rPr>
          <w:rFonts w:ascii="Times New Roman" w:cs="Times New Roman" w:eastAsia="Times New Roman" w:hAnsi="Times New Roman"/>
          <w:sz w:val="18"/>
          <w:szCs w:val="18"/>
          <w:color w:val="auto"/>
        </w:rPr>
      </w:pPr>
    </w:p>
    <w:p>
      <w:pPr>
        <w:jc w:val="both"/>
        <w:ind w:firstLine="584"/>
        <w:spacing w:after="0" w:line="261" w:lineRule="auto"/>
        <w:tabs>
          <w:tab w:leader="none" w:pos="77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179" w:lineRule="exact"/>
        <w:rPr>
          <w:rFonts w:ascii="Times New Roman" w:cs="Times New Roman" w:eastAsia="Times New Roman" w:hAnsi="Times New Roman"/>
          <w:sz w:val="18"/>
          <w:szCs w:val="18"/>
          <w:color w:val="auto"/>
        </w:rPr>
      </w:pPr>
    </w:p>
    <w:p>
      <w:pPr>
        <w:ind w:left="780" w:hanging="196"/>
        <w:spacing w:after="0"/>
        <w:tabs>
          <w:tab w:leader="none" w:pos="7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to complete the filing, registration or other procedures required for the effectiveness and legal performance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firstLine="584"/>
        <w:spacing w:after="0" w:line="282" w:lineRule="auto"/>
        <w:tabs>
          <w:tab w:leader="none" w:pos="7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issuance of the latest audited financial statements, there has been no significant adverse change in the borrower’s operating and financial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4" w:name="page255"/>
    <w:bookmarkEnd w:id="254"/>
    <w:p>
      <w:pPr>
        <w:jc w:val="both"/>
        <w:ind w:firstLine="584"/>
        <w:spacing w:after="0" w:line="266" w:lineRule="auto"/>
        <w:tabs>
          <w:tab w:leader="none" w:pos="79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175"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up any due creditor’s rights, nor dispose of the existing main property free of charge or in other inappropriate ways.</w:t>
      </w:r>
    </w:p>
    <w:p>
      <w:pPr>
        <w:spacing w:after="0" w:line="225" w:lineRule="exact"/>
        <w:rPr>
          <w:rFonts w:ascii="Times New Roman" w:cs="Times New Roman" w:eastAsia="Times New Roman" w:hAnsi="Times New Roman"/>
          <w:sz w:val="18"/>
          <w:szCs w:val="18"/>
          <w:color w:val="auto"/>
        </w:rPr>
      </w:pPr>
    </w:p>
    <w:p>
      <w:pPr>
        <w:ind w:left="860" w:hanging="276"/>
        <w:spacing w:after="0"/>
        <w:tabs>
          <w:tab w:leader="none" w:pos="8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disclosed to the lender what it knows or should know and decided whether to grant the loan under this contract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Important facts and conditions (including but not limited to business status, financial status, external guarantee, etc.).</w:t>
      </w:r>
    </w:p>
    <w:p>
      <w:pPr>
        <w:spacing w:after="0" w:line="225" w:lineRule="exact"/>
        <w:rPr>
          <w:sz w:val="20"/>
          <w:szCs w:val="20"/>
          <w:color w:val="auto"/>
        </w:rPr>
      </w:pPr>
    </w:p>
    <w:p>
      <w:pPr>
        <w:ind w:left="840" w:hanging="256"/>
        <w:spacing w:after="0"/>
        <w:tabs>
          <w:tab w:leader="none" w:pos="8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it is in good credit condition and has no major bad record.</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there are no other circumstances or events that have or may have a material adverse impact on the borrower’s performance ability.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covenants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borrower and the lender agree as follows:</w:t>
      </w:r>
    </w:p>
    <w:p>
      <w:pPr>
        <w:spacing w:after="0" w:line="225" w:lineRule="exact"/>
        <w:rPr>
          <w:sz w:val="20"/>
          <w:szCs w:val="20"/>
          <w:color w:val="auto"/>
        </w:rPr>
      </w:pPr>
    </w:p>
    <w:p>
      <w:pPr>
        <w:jc w:val="both"/>
        <w:ind w:firstLine="584"/>
        <w:spacing w:after="0" w:line="261" w:lineRule="auto"/>
        <w:tabs>
          <w:tab w:leader="none" w:pos="75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179" w:lineRule="exact"/>
        <w:rPr>
          <w:rFonts w:ascii="Times New Roman" w:cs="Times New Roman" w:eastAsia="Times New Roman" w:hAnsi="Times New Roman"/>
          <w:sz w:val="18"/>
          <w:szCs w:val="18"/>
          <w:color w:val="auto"/>
        </w:rPr>
      </w:pPr>
    </w:p>
    <w:p>
      <w:pPr>
        <w:ind w:firstLine="584"/>
        <w:spacing w:after="0" w:line="282" w:lineRule="auto"/>
        <w:tabs>
          <w:tab w:leader="none" w:pos="77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the principal and interest of the loan under the contract according to the time, amount, currency and interest rate specified in the contract, application and loan (loan) certificate.</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75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161"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that the borrower will not take the following actions without the written consent of the lender:</w:t>
      </w:r>
    </w:p>
    <w:p>
      <w:pPr>
        <w:spacing w:after="0" w:line="225" w:lineRule="exact"/>
        <w:rPr>
          <w:sz w:val="20"/>
          <w:szCs w:val="20"/>
          <w:color w:val="auto"/>
        </w:rPr>
      </w:pPr>
    </w:p>
    <w:p>
      <w:pPr>
        <w:ind w:left="840" w:hanging="256"/>
        <w:spacing w:after="0"/>
        <w:tabs>
          <w:tab w:leader="none" w:pos="8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(including sale, gift, debt repayment, exchange, etc.), mortgage, pledge or otherwise dispose of all or most of its major assets;</w:t>
      </w:r>
    </w:p>
    <w:p>
      <w:pPr>
        <w:spacing w:after="0" w:line="225" w:lineRule="exact"/>
        <w:rPr>
          <w:rFonts w:ascii="Times New Roman" w:cs="Times New Roman" w:eastAsia="Times New Roman" w:hAnsi="Times New Roman"/>
          <w:sz w:val="18"/>
          <w:szCs w:val="18"/>
          <w:color w:val="auto"/>
        </w:rPr>
      </w:pPr>
    </w:p>
    <w:p>
      <w:pPr>
        <w:jc w:val="both"/>
        <w:ind w:firstLine="584"/>
        <w:spacing w:after="0" w:line="261" w:lineRule="auto"/>
        <w:tabs>
          <w:tab w:leader="none" w:pos="8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79" w:lineRule="exact"/>
        <w:rPr>
          <w:rFonts w:ascii="Times New Roman" w:cs="Times New Roman" w:eastAsia="Times New Roman" w:hAnsi="Times New Roman"/>
          <w:sz w:val="18"/>
          <w:szCs w:val="18"/>
          <w:color w:val="auto"/>
        </w:rPr>
      </w:pPr>
    </w:p>
    <w:p>
      <w:pPr>
        <w:ind w:firstLine="584"/>
        <w:spacing w:after="0" w:line="282" w:lineRule="auto"/>
        <w:tabs>
          <w:tab w:leader="none" w:pos="8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third party with a guarantee sufficient to have a material adverse impact on its financial condition or its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5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off other long-term debts in advance and may have a significant adverse impact on the borrower’s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contracts / agreements or undertake relevant obligations that have a significant adverse impact on the borrower’s ability to perform its obligations under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left="-8" w:firstLine="584"/>
        <w:spacing w:after="0" w:line="282" w:lineRule="auto"/>
        <w:tabs>
          <w:tab w:leader="none" w:pos="76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62" w:lineRule="exact"/>
        <w:rPr>
          <w:sz w:val="20"/>
          <w:szCs w:val="20"/>
          <w:color w:val="auto"/>
        </w:rPr>
      </w:pPr>
    </w:p>
    <w:p>
      <w:pPr>
        <w:ind w:left="832" w:hanging="256"/>
        <w:spacing w:after="0"/>
        <w:tabs>
          <w:tab w:leader="none" w:pos="8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relevant events makes the representations and warranties made by the borrower in this contract untrue, inaccurate or invalid.</w:t>
      </w:r>
    </w:p>
    <w:p>
      <w:pPr>
        <w:spacing w:after="0" w:line="225" w:lineRule="exact"/>
        <w:rPr>
          <w:rFonts w:ascii="Times New Roman" w:cs="Times New Roman" w:eastAsia="Times New Roman" w:hAnsi="Times New Roman"/>
          <w:sz w:val="18"/>
          <w:szCs w:val="18"/>
          <w:color w:val="auto"/>
        </w:rPr>
      </w:pPr>
    </w:p>
    <w:p>
      <w:pPr>
        <w:jc w:val="both"/>
        <w:ind w:left="-8" w:firstLine="584"/>
        <w:spacing w:after="0" w:line="266" w:lineRule="auto"/>
        <w:tabs>
          <w:tab w:leader="none" w:pos="82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75" w:lineRule="exact"/>
        <w:rPr>
          <w:rFonts w:ascii="Times New Roman" w:cs="Times New Roman" w:eastAsia="Times New Roman" w:hAnsi="Times New Roman"/>
          <w:sz w:val="18"/>
          <w:szCs w:val="18"/>
          <w:color w:val="auto"/>
        </w:rPr>
      </w:pPr>
    </w:p>
    <w:p>
      <w:pPr>
        <w:ind w:left="-8" w:firstLine="584"/>
        <w:spacing w:after="0" w:line="282" w:lineRule="auto"/>
        <w:tabs>
          <w:tab w:leader="none" w:pos="83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legal representative or its authorized agent, principal, main financial principal, mailing address, enterprise name, office space and other matters are changed;</w:t>
      </w:r>
    </w:p>
    <w:p>
      <w:pPr>
        <w:spacing w:after="0" w:line="161"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applied for reorganization or bankruptcy by other creditors or being revoked by the superior competent authority;</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major adverse events that may affect the borrower’s solvency.</w:t>
      </w:r>
    </w:p>
    <w:p>
      <w:pPr>
        <w:spacing w:after="0" w:line="225" w:lineRule="exact"/>
        <w:rPr>
          <w:sz w:val="20"/>
          <w:szCs w:val="20"/>
          <w:color w:val="auto"/>
        </w:rPr>
      </w:pPr>
    </w:p>
    <w:p>
      <w:pPr>
        <w:ind w:left="-8" w:firstLine="584"/>
        <w:spacing w:after="0" w:line="282" w:lineRule="auto"/>
        <w:tabs>
          <w:tab w:leader="none" w:pos="74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it will not pay off other loans in priority in violation of the normal repayment order, and will not sign any contract or agreement that will subordinate the loan under this contract now and in the future.</w:t>
      </w:r>
    </w:p>
    <w:p>
      <w:pPr>
        <w:spacing w:after="0" w:line="161" w:lineRule="exact"/>
        <w:rPr>
          <w:rFonts w:ascii="Times New Roman" w:cs="Times New Roman" w:eastAsia="Times New Roman" w:hAnsi="Times New Roman"/>
          <w:sz w:val="18"/>
          <w:szCs w:val="18"/>
          <w:color w:val="auto"/>
        </w:rPr>
      </w:pPr>
    </w:p>
    <w:p>
      <w:pPr>
        <w:jc w:val="both"/>
        <w:ind w:left="-8" w:firstLine="584"/>
        <w:spacing w:after="0" w:line="261" w:lineRule="auto"/>
        <w:tabs>
          <w:tab w:leader="none" w:pos="74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179" w:lineRule="exact"/>
        <w:rPr>
          <w:rFonts w:ascii="Times New Roman" w:cs="Times New Roman" w:eastAsia="Times New Roman" w:hAnsi="Times New Roman"/>
          <w:sz w:val="18"/>
          <w:szCs w:val="18"/>
          <w:color w:val="auto"/>
        </w:rPr>
      </w:pPr>
    </w:p>
    <w:p>
      <w:pPr>
        <w:jc w:val="both"/>
        <w:ind w:left="-8" w:firstLine="584"/>
        <w:spacing w:after="0" w:line="256" w:lineRule="auto"/>
        <w:tabs>
          <w:tab w:leader="none" w:pos="75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87" w:lineRule="exact"/>
        <w:rPr>
          <w:rFonts w:ascii="Times New Roman" w:cs="Times New Roman" w:eastAsia="Times New Roman" w:hAnsi="Times New Roman"/>
          <w:sz w:val="18"/>
          <w:szCs w:val="18"/>
          <w:color w:val="auto"/>
        </w:rPr>
      </w:pPr>
    </w:p>
    <w:p>
      <w:pPr>
        <w:jc w:val="both"/>
        <w:ind w:left="-8" w:firstLine="584"/>
        <w:spacing w:after="0" w:line="266" w:lineRule="auto"/>
        <w:tabs>
          <w:tab w:leader="none" w:pos="77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75" w:lineRule="exact"/>
        <w:rPr>
          <w:rFonts w:ascii="Times New Roman" w:cs="Times New Roman" w:eastAsia="Times New Roman" w:hAnsi="Times New Roman"/>
          <w:sz w:val="18"/>
          <w:szCs w:val="18"/>
          <w:color w:val="auto"/>
        </w:rPr>
      </w:pPr>
    </w:p>
    <w:p>
      <w:pPr>
        <w:ind w:left="852" w:hanging="276"/>
        <w:spacing w:after="0"/>
        <w:tabs>
          <w:tab w:leader="none" w:pos="8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recover the loan funds under this contract in advance according to the withdrawal of the borrower’s funds.</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agreements on group customers (applicable to group customers).</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If the borrower of this contract is a group customer, the borrower hereby undertakes:</w:t>
      </w:r>
    </w:p>
    <w:p>
      <w:pPr>
        <w:spacing w:after="0" w:line="196" w:lineRule="exact"/>
        <w:rPr>
          <w:sz w:val="20"/>
          <w:szCs w:val="20"/>
          <w:color w:val="auto"/>
        </w:rPr>
      </w:pPr>
    </w:p>
    <w:p>
      <w:pPr>
        <w:jc w:val="both"/>
        <w:ind w:left="-8" w:firstLine="584"/>
        <w:spacing w:after="0" w:line="240" w:lineRule="exact"/>
        <w:tabs>
          <w:tab w:leader="none" w:pos="82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timely report the related party transactions of more than 10% of the net assets of the actual trustee,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related party relationships of all parties to the transaction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Transaction items and nature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The amount of the transaction or the corresponding proportion</w:t>
      </w:r>
    </w:p>
    <w:p>
      <w:pPr>
        <w:spacing w:after="0" w:line="1" w:lineRule="exact"/>
        <w:rPr>
          <w:rFonts w:ascii="Times New Roman" w:cs="Times New Roman" w:eastAsia="Times New Roman" w:hAnsi="Times New Roman"/>
          <w:sz w:val="18"/>
          <w:szCs w:val="18"/>
          <w:color w:val="auto"/>
        </w:rPr>
      </w:pPr>
    </w:p>
    <w:p>
      <w:pPr>
        <w:ind w:left="212" w:hanging="212"/>
        <w:spacing w:after="0"/>
        <w:tabs>
          <w:tab w:leader="none" w:pos="212" w:val="left"/>
        </w:tabs>
        <w:numPr>
          <w:ilvl w:val="0"/>
          <w:numId w:val="1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Pricing policy (including transactions with no amount or only symbolic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56" w:name="page257"/>
    <w:bookmarkEnd w:id="256"/>
    <w:p>
      <w:pPr>
        <w:jc w:val="both"/>
        <w:ind w:firstLine="584"/>
        <w:spacing w:after="0" w:line="219" w:lineRule="exact"/>
        <w:tabs>
          <w:tab w:leader="none" w:pos="83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providing false materials or concealing important business financial facts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Changing the original purpose of the credit without the consent of the lender, misappropriating the credit or using the bank credit to engage in illegal and illegal transactions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Taking advantage of false contracts with related parties to obtain bank funds or credit by discounting or pledging creditor’s rights such as notes receivable and accounts receivable without actual trade background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refusing to accept the lender’s supervision and inspection of its use of credit funds and relevant business and financial activities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In case of major merger, acquisition and reorganization, the lender believes that it may affect the credit security </w:t>
      </w:r>
      <w:r>
        <w:rPr>
          <w:rFonts w:ascii="MS PGothic" w:cs="MS PGothic" w:eastAsia="MS PGothic" w:hAnsi="MS PGothic"/>
          <w:sz w:val="18"/>
          <w:szCs w:val="18"/>
          <w:color w:val="auto"/>
        </w:rPr>
        <w:t>⑥</w:t>
      </w:r>
      <w:r>
        <w:rPr>
          <w:rFonts w:ascii="Times New Roman" w:cs="Times New Roman" w:eastAsia="Times New Roman" w:hAnsi="Times New Roman"/>
          <w:sz w:val="18"/>
          <w:szCs w:val="18"/>
          <w:color w:val="auto"/>
        </w:rPr>
        <w:t xml:space="preserve"> Intentionally evading bank creditor’s rights through related party transactions.</w:t>
      </w:r>
    </w:p>
    <w:p>
      <w:pPr>
        <w:spacing w:after="0" w:line="198" w:lineRule="exact"/>
        <w:rPr>
          <w:sz w:val="20"/>
          <w:szCs w:val="20"/>
          <w:color w:val="auto"/>
        </w:rPr>
      </w:pPr>
    </w:p>
    <w:p>
      <w:pPr>
        <w:jc w:val="both"/>
        <w:ind w:firstLine="584"/>
        <w:spacing w:after="0" w:line="258" w:lineRule="auto"/>
        <w:tabs>
          <w:tab w:leader="none" w:pos="88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155" w:lineRule="exact"/>
        <w:rPr>
          <w:sz w:val="20"/>
          <w:szCs w:val="20"/>
          <w:color w:val="auto"/>
        </w:rPr>
      </w:pPr>
    </w:p>
    <w:p>
      <w:pPr>
        <w:jc w:val="both"/>
        <w:ind w:firstLine="584"/>
        <w:spacing w:after="0" w:line="232" w:lineRule="exact"/>
        <w:tabs>
          <w:tab w:leader="none" w:pos="83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declares and guarantees that the management of environmental and social risks,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internal management documents related to environmental and social risks comply with the requirements of laws and regulations and are effectively implemented;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there are no major litigation cases involving environmental and social risks;</w:t>
      </w:r>
    </w:p>
    <w:p>
      <w:pPr>
        <w:spacing w:after="0" w:line="170" w:lineRule="exact"/>
        <w:rPr>
          <w:rFonts w:ascii="Times New Roman" w:cs="Times New Roman" w:eastAsia="Times New Roman" w:hAnsi="Times New Roman"/>
          <w:sz w:val="18"/>
          <w:szCs w:val="18"/>
          <w:color w:val="auto"/>
        </w:rPr>
      </w:pPr>
    </w:p>
    <w:p>
      <w:pPr>
        <w:jc w:val="both"/>
        <w:ind w:firstLine="584"/>
        <w:spacing w:after="0" w:line="228" w:lineRule="exact"/>
        <w:tabs>
          <w:tab w:leader="none" w:pos="85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promises to accept the supervision of the lender and strengthen environmental and social risk management,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commitment to compliance of all behaviors and performances related to environmental and social risks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Commit to establish and improve the internal management system of environmental and social risks, and specify the responsibilities, obligations and punishment measures of relevant responsible personnel of the borrower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Commit to establish and improve the emergency mechanism and measures for environmental and social risk emergencies</w:t>
      </w:r>
    </w:p>
    <w:p>
      <w:pPr>
        <w:spacing w:after="0" w:line="1" w:lineRule="exact"/>
        <w:rPr>
          <w:rFonts w:ascii="Times New Roman" w:cs="Times New Roman" w:eastAsia="Times New Roman" w:hAnsi="Times New Roman"/>
          <w:sz w:val="18"/>
          <w:szCs w:val="18"/>
          <w:color w:val="auto"/>
        </w:rPr>
      </w:pPr>
    </w:p>
    <w:p>
      <w:pPr>
        <w:jc w:val="both"/>
        <w:ind w:firstLine="8"/>
        <w:spacing w:after="0" w:line="216" w:lineRule="exact"/>
        <w:tabs>
          <w:tab w:leader="none" w:pos="265" w:val="left"/>
        </w:tabs>
        <w:numPr>
          <w:ilvl w:val="0"/>
          <w:numId w:val="1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Commit to establish special departments and / or designate special personnel to be responsible for environmental and social risks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Promise to cooperate with the lender or its recognized third party in the assessment and inspection of the borrower’s environmental and social risks </w:t>
      </w:r>
      <w:r>
        <w:rPr>
          <w:rFonts w:ascii="MS PGothic" w:cs="MS PGothic" w:eastAsia="MS PGothic" w:hAnsi="MS PGothic"/>
          <w:sz w:val="18"/>
          <w:szCs w:val="18"/>
          <w:color w:val="auto"/>
        </w:rPr>
        <w:t>⑥</w:t>
      </w:r>
      <w:r>
        <w:rPr>
          <w:rFonts w:ascii="Times New Roman" w:cs="Times New Roman" w:eastAsia="Times New Roman" w:hAnsi="Times New Roman"/>
          <w:sz w:val="18"/>
          <w:szCs w:val="18"/>
          <w:color w:val="auto"/>
        </w:rPr>
        <w:t xml:space="preserve"> in the face of strong doubts from the public or other stakeholders about the borrower’s performance in controlling environmental and social risks, promise to respond appropriately or take other necessary actions </w:t>
      </w:r>
      <w:r>
        <w:rPr>
          <w:rFonts w:ascii="MS PGothic" w:cs="MS PGothic" w:eastAsia="MS PGothic" w:hAnsi="MS PGothic"/>
          <w:sz w:val="18"/>
          <w:szCs w:val="18"/>
          <w:color w:val="auto"/>
        </w:rPr>
        <w:t>⑦</w:t>
      </w:r>
      <w:r>
        <w:rPr>
          <w:rFonts w:ascii="Times New Roman" w:cs="Times New Roman" w:eastAsia="Times New Roman" w:hAnsi="Times New Roman"/>
          <w:sz w:val="18"/>
          <w:szCs w:val="18"/>
          <w:color w:val="auto"/>
        </w:rPr>
        <w:t xml:space="preserve"> undertake to urge the borrower’s vital related parties to strengthen management and prevent the environmental and social risks of related parties from infecting the borrower </w:t>
      </w:r>
      <w:r>
        <w:rPr>
          <w:rFonts w:ascii="MS PGothic" w:cs="MS PGothic" w:eastAsia="MS PGothic" w:hAnsi="MS PGothic"/>
          <w:sz w:val="18"/>
          <w:szCs w:val="18"/>
          <w:color w:val="auto"/>
        </w:rPr>
        <w:t>⑧</w:t>
      </w:r>
      <w:r>
        <w:rPr>
          <w:rFonts w:ascii="Times New Roman" w:cs="Times New Roman" w:eastAsia="Times New Roman" w:hAnsi="Times New Roman"/>
          <w:sz w:val="18"/>
          <w:szCs w:val="18"/>
          <w:color w:val="auto"/>
        </w:rPr>
        <w:t xml:space="preserve"> undertake to perform other matters that the lender considers relevant to controlling environmental and social risks</w:t>
      </w:r>
    </w:p>
    <w:p>
      <w:pPr>
        <w:spacing w:after="0" w:line="169" w:lineRule="exact"/>
        <w:rPr>
          <w:rFonts w:ascii="MS PGothic" w:cs="MS PGothic" w:eastAsia="MS PGothic" w:hAnsi="MS PGothic"/>
          <w:sz w:val="18"/>
          <w:szCs w:val="18"/>
          <w:color w:val="auto"/>
        </w:rPr>
      </w:pPr>
    </w:p>
    <w:p>
      <w:pPr>
        <w:jc w:val="both"/>
        <w:ind w:firstLine="584"/>
        <w:spacing w:after="0" w:line="227" w:lineRule="exact"/>
        <w:tabs>
          <w:tab w:leader="none" w:pos="833"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promises to timely and fully inform the lender of various permits </w:t>
      </w:r>
      <w:r>
        <w:rPr>
          <w:rFonts w:ascii="MS PGothic" w:cs="MS PGothic" w:eastAsia="MS PGothic" w:hAnsi="MS PGothic"/>
          <w:sz w:val="17"/>
          <w:szCs w:val="17"/>
          <w:color w:val="auto"/>
        </w:rPr>
        <w:t>①</w:t>
      </w:r>
      <w:r>
        <w:rPr>
          <w:rFonts w:ascii="Times New Roman" w:cs="Times New Roman" w:eastAsia="Times New Roman" w:hAnsi="Times New Roman"/>
          <w:sz w:val="17"/>
          <w:szCs w:val="17"/>
          <w:color w:val="auto"/>
        </w:rPr>
        <w:t xml:space="preserve"> approvals and approvals related to environmental and social risks in the process of commencement, construction, operation and shutdown </w:t>
      </w:r>
      <w:r>
        <w:rPr>
          <w:rFonts w:ascii="MS PGothic" w:cs="MS PGothic" w:eastAsia="MS PGothic" w:hAnsi="MS PGothic"/>
          <w:sz w:val="17"/>
          <w:szCs w:val="17"/>
          <w:color w:val="auto"/>
        </w:rPr>
        <w:t>②</w:t>
      </w:r>
      <w:r>
        <w:rPr>
          <w:rFonts w:ascii="Times New Roman" w:cs="Times New Roman" w:eastAsia="Times New Roman" w:hAnsi="Times New Roman"/>
          <w:sz w:val="17"/>
          <w:szCs w:val="17"/>
          <w:color w:val="auto"/>
        </w:rPr>
        <w:t xml:space="preserve"> Assessment and inspection of the borrower’s environmental and social risks by the environmental and social risk regulatory authority or its recognized institutions </w:t>
      </w:r>
      <w:r>
        <w:rPr>
          <w:rFonts w:ascii="MS PGothic" w:cs="MS PGothic" w:eastAsia="MS PGothic" w:hAnsi="MS PGothic"/>
          <w:sz w:val="17"/>
          <w:szCs w:val="17"/>
          <w:color w:val="auto"/>
        </w:rPr>
        <w:t>③</w:t>
      </w:r>
      <w:r>
        <w:rPr>
          <w:rFonts w:ascii="Times New Roman" w:cs="Times New Roman" w:eastAsia="Times New Roman" w:hAnsi="Times New Roman"/>
          <w:sz w:val="17"/>
          <w:szCs w:val="17"/>
          <w:color w:val="auto"/>
        </w:rPr>
        <w:t xml:space="preserve"> supporting construction and operation of environmental facilities </w:t>
      </w:r>
      <w:r>
        <w:rPr>
          <w:rFonts w:ascii="MS PGothic" w:cs="MS PGothic" w:eastAsia="MS PGothic" w:hAnsi="MS PGothic"/>
          <w:sz w:val="17"/>
          <w:szCs w:val="17"/>
          <w:color w:val="auto"/>
        </w:rPr>
        <w:t>④</w:t>
      </w:r>
      <w:r>
        <w:rPr>
          <w:rFonts w:ascii="Times New Roman" w:cs="Times New Roman" w:eastAsia="Times New Roman" w:hAnsi="Times New Roman"/>
          <w:sz w:val="17"/>
          <w:szCs w:val="17"/>
          <w:color w:val="auto"/>
        </w:rPr>
        <w:t xml:space="preserve"> Discharge and compliance of pollutants </w:t>
      </w:r>
      <w:r>
        <w:rPr>
          <w:rFonts w:ascii="MS PGothic" w:cs="MS PGothic" w:eastAsia="MS PGothic" w:hAnsi="MS PGothic"/>
          <w:sz w:val="17"/>
          <w:szCs w:val="17"/>
          <w:color w:val="auto"/>
        </w:rPr>
        <w:t>⑤</w:t>
      </w:r>
      <w:r>
        <w:rPr>
          <w:rFonts w:ascii="Times New Roman" w:cs="Times New Roman" w:eastAsia="Times New Roman" w:hAnsi="Times New Roman"/>
          <w:sz w:val="17"/>
          <w:szCs w:val="17"/>
          <w:color w:val="auto"/>
        </w:rPr>
        <w:t xml:space="preserve"> Safety and health of employees </w:t>
      </w:r>
      <w:r>
        <w:rPr>
          <w:rFonts w:ascii="MS PGothic" w:cs="MS PGothic" w:eastAsia="MS PGothic" w:hAnsi="MS PGothic"/>
          <w:sz w:val="17"/>
          <w:szCs w:val="17"/>
          <w:color w:val="auto"/>
        </w:rPr>
        <w:t>⑥</w:t>
      </w:r>
      <w:r>
        <w:rPr>
          <w:rFonts w:ascii="Times New Roman" w:cs="Times New Roman" w:eastAsia="Times New Roman" w:hAnsi="Times New Roman"/>
          <w:sz w:val="17"/>
          <w:szCs w:val="17"/>
          <w:color w:val="auto"/>
        </w:rPr>
        <w:t xml:space="preserve"> neighboring communities for the borrower Major complaints and</w:t>
      </w:r>
    </w:p>
    <w:p>
      <w:pPr>
        <w:ind w:right="20"/>
        <w:spacing w:after="0" w:line="219" w:lineRule="exact"/>
        <w:rPr>
          <w:sz w:val="20"/>
          <w:szCs w:val="20"/>
          <w:color w:val="auto"/>
        </w:rPr>
      </w:pPr>
      <w:r>
        <w:rPr>
          <w:rFonts w:ascii="Times New Roman" w:cs="Times New Roman" w:eastAsia="Times New Roman" w:hAnsi="Times New Roman"/>
          <w:sz w:val="18"/>
          <w:szCs w:val="18"/>
          <w:color w:val="auto"/>
        </w:rPr>
        <w:t xml:space="preserve">protests </w:t>
      </w:r>
      <w:r>
        <w:rPr>
          <w:rFonts w:ascii="MS PGothic" w:cs="MS PGothic" w:eastAsia="MS PGothic" w:hAnsi="MS PGothic"/>
          <w:sz w:val="18"/>
          <w:szCs w:val="18"/>
          <w:color w:val="auto"/>
        </w:rPr>
        <w:t>⑦</w:t>
      </w:r>
      <w:r>
        <w:rPr>
          <w:rFonts w:ascii="Times New Roman" w:cs="Times New Roman" w:eastAsia="Times New Roman" w:hAnsi="Times New Roman"/>
          <w:sz w:val="18"/>
          <w:szCs w:val="18"/>
          <w:color w:val="auto"/>
        </w:rPr>
        <w:t xml:space="preserve"> Major environmental and social claims </w:t>
      </w:r>
      <w:r>
        <w:rPr>
          <w:rFonts w:ascii="MS PGothic" w:cs="MS PGothic" w:eastAsia="MS PGothic" w:hAnsi="MS PGothic"/>
          <w:sz w:val="18"/>
          <w:szCs w:val="18"/>
          <w:color w:val="auto"/>
        </w:rPr>
        <w:t>⑧</w:t>
      </w:r>
      <w:r>
        <w:rPr>
          <w:rFonts w:ascii="Times New Roman" w:cs="Times New Roman" w:eastAsia="Times New Roman" w:hAnsi="Times New Roman"/>
          <w:sz w:val="18"/>
          <w:szCs w:val="18"/>
          <w:color w:val="auto"/>
        </w:rPr>
        <w:t xml:space="preserve"> Other lenders believe that it is related to environmental and social winds Skillfully Major information related to insurance;</w:t>
      </w:r>
    </w:p>
    <w:p>
      <w:pPr>
        <w:spacing w:after="0" w:line="198" w:lineRule="exact"/>
        <w:rPr>
          <w:sz w:val="20"/>
          <w:szCs w:val="20"/>
          <w:color w:val="auto"/>
        </w:rPr>
      </w:pPr>
    </w:p>
    <w:p>
      <w:pPr>
        <w:jc w:val="both"/>
        <w:ind w:firstLine="584"/>
        <w:spacing w:after="0" w:line="220" w:lineRule="exact"/>
        <w:tabs>
          <w:tab w:leader="none" w:pos="84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and the actual Credit Lender have the following circumstances, it shall be deemed that the borrower has an event of default under this Contract: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borrower’s statement, guarantee and commitment on environmental and social risk management have not been seriously fulfilled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 borrower is punished by relevant government departments due to poor environmental and social risk management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the borrower is strongly questioned by the public and / or the media due to poor environmental and social risk management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Other events of default related to environmental and social risk management agreed between the lender and the borrower, including cross events of default;</w:t>
      </w:r>
    </w:p>
    <w:p>
      <w:pPr>
        <w:spacing w:after="0" w:line="172" w:lineRule="exact"/>
        <w:rPr>
          <w:sz w:val="20"/>
          <w:szCs w:val="20"/>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In case of the above events of default of the borrower, the lender has the right to unilaterally decide: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cancel the credit commitment already made</w:t>
      </w:r>
    </w:p>
    <w:p>
      <w:pPr>
        <w:spacing w:after="0" w:line="51" w:lineRule="exact"/>
        <w:rPr>
          <w:sz w:val="20"/>
          <w:szCs w:val="20"/>
          <w:color w:val="auto"/>
        </w:rPr>
      </w:pPr>
    </w:p>
    <w:p>
      <w:pPr>
        <w:jc w:val="both"/>
        <w:ind w:firstLine="8"/>
        <w:spacing w:after="0" w:line="218" w:lineRule="exact"/>
        <w:tabs>
          <w:tab w:leader="none" w:pos="306" w:val="left"/>
        </w:tabs>
        <w:numPr>
          <w:ilvl w:val="0"/>
          <w:numId w:val="1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Suspend the disbursement of the loan until the borrower takes rescue measures satisfactory to the lender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recover the allocated loan in advance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When the loan cannot be repaid, relevant mortgage and pledge rights and other punishment measures shall be exercised in advance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other punishment measures agreed by the lender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both"/>
        <w:ind w:firstLine="584"/>
        <w:spacing w:after="0" w:line="254" w:lineRule="auto"/>
        <w:tabs>
          <w:tab w:leader="none" w:pos="84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91" w:lineRule="exact"/>
        <w:rPr>
          <w:rFonts w:ascii="Times New Roman" w:cs="Times New Roman" w:eastAsia="Times New Roman" w:hAnsi="Times New Roman"/>
          <w:sz w:val="18"/>
          <w:szCs w:val="18"/>
          <w:color w:val="auto"/>
        </w:rPr>
      </w:pPr>
    </w:p>
    <w:p>
      <w:pPr>
        <w:jc w:val="both"/>
        <w:ind w:firstLine="584"/>
        <w:spacing w:after="0" w:line="254" w:lineRule="auto"/>
        <w:tabs>
          <w:tab w:leader="none" w:pos="84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91" w:lineRule="exact"/>
        <w:rPr>
          <w:rFonts w:ascii="Times New Roman" w:cs="Times New Roman" w:eastAsia="Times New Roman" w:hAnsi="Times New Roman"/>
          <w:sz w:val="18"/>
          <w:szCs w:val="18"/>
          <w:color w:val="auto"/>
        </w:rPr>
      </w:pPr>
    </w:p>
    <w:p>
      <w:pPr>
        <w:jc w:val="both"/>
        <w:ind w:firstLine="584"/>
        <w:spacing w:after="0" w:line="261" w:lineRule="auto"/>
        <w:tabs>
          <w:tab w:leader="none" w:pos="8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 deduction agreement</w:t>
      </w:r>
    </w:p>
    <w:p>
      <w:pPr>
        <w:spacing w:after="0" w:line="229" w:lineRule="exact"/>
        <w:rPr>
          <w:sz w:val="20"/>
          <w:szCs w:val="20"/>
          <w:color w:val="auto"/>
        </w:rPr>
      </w:pPr>
    </w:p>
    <w:p>
      <w:pPr>
        <w:jc w:val="both"/>
        <w:ind w:firstLine="584"/>
        <w:spacing w:after="0" w:line="261" w:lineRule="auto"/>
        <w:tabs>
          <w:tab w:leader="none" w:pos="75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79" w:lineRule="exact"/>
        <w:rPr>
          <w:rFonts w:ascii="Times New Roman" w:cs="Times New Roman" w:eastAsia="Times New Roman" w:hAnsi="Times New Roman"/>
          <w:sz w:val="18"/>
          <w:szCs w:val="18"/>
          <w:color w:val="auto"/>
        </w:rPr>
      </w:pPr>
    </w:p>
    <w:p>
      <w:pPr>
        <w:ind w:right="20" w:firstLine="584"/>
        <w:spacing w:after="0" w:line="282" w:lineRule="auto"/>
        <w:tabs>
          <w:tab w:leader="none" w:pos="75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use the proceeds to repay the loan principal, interest or other expenses. If there are multiple claims unpaid at the same time, the lender shall determine the repayment order of the claims.</w:t>
      </w:r>
    </w:p>
    <w:p>
      <w:pPr>
        <w:spacing w:after="0" w:line="161"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deducted income is inconsistent with the currency to be repaid, it shall be handled in the following ways:</w:t>
      </w:r>
    </w:p>
    <w:p>
      <w:pPr>
        <w:spacing w:after="0" w:line="225" w:lineRule="exact"/>
        <w:rPr>
          <w:sz w:val="20"/>
          <w:szCs w:val="20"/>
          <w:color w:val="auto"/>
        </w:rPr>
      </w:pPr>
    </w:p>
    <w:p>
      <w:pPr>
        <w:ind w:right="20" w:firstLine="584"/>
        <w:spacing w:after="0" w:line="282" w:lineRule="auto"/>
        <w:tabs>
          <w:tab w:leader="none" w:pos="84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both"/>
        <w:ind w:firstLine="584"/>
        <w:spacing w:after="0" w:line="261" w:lineRule="auto"/>
        <w:tabs>
          <w:tab w:leader="none" w:pos="84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proof of creditor’s rights</w:t>
      </w:r>
    </w:p>
    <w:p>
      <w:pPr>
        <w:spacing w:after="0" w:line="22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 agreed service address</w:t>
      </w:r>
    </w:p>
    <w:p>
      <w:pPr>
        <w:spacing w:after="0" w:line="229" w:lineRule="exact"/>
        <w:rPr>
          <w:sz w:val="20"/>
          <w:szCs w:val="20"/>
          <w:color w:val="auto"/>
        </w:rPr>
      </w:pPr>
    </w:p>
    <w:p>
      <w:pPr>
        <w:jc w:val="both"/>
        <w:ind w:right="20" w:firstLine="584"/>
        <w:spacing w:after="0" w:line="266" w:lineRule="auto"/>
        <w:tabs>
          <w:tab w:leader="none" w:pos="75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75" w:lineRule="exact"/>
        <w:rPr>
          <w:rFonts w:ascii="Times New Roman" w:cs="Times New Roman" w:eastAsia="Times New Roman" w:hAnsi="Times New Roman"/>
          <w:sz w:val="18"/>
          <w:szCs w:val="18"/>
          <w:color w:val="auto"/>
        </w:rPr>
      </w:pPr>
    </w:p>
    <w:p>
      <w:pPr>
        <w:jc w:val="both"/>
        <w:ind w:firstLine="584"/>
        <w:spacing w:after="0" w:line="255" w:lineRule="auto"/>
        <w:tabs>
          <w:tab w:leader="none" w:pos="75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 events of default and handling</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Event of default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 following circumstances shall constitute a breach of contract by the borrower against the lender:</w:t>
      </w:r>
    </w:p>
    <w:p>
      <w:pPr>
        <w:spacing w:after="0" w:line="225" w:lineRule="exact"/>
        <w:rPr>
          <w:sz w:val="20"/>
          <w:szCs w:val="20"/>
          <w:color w:val="auto"/>
        </w:rPr>
      </w:pPr>
    </w:p>
    <w:p>
      <w:pPr>
        <w:jc w:val="both"/>
        <w:ind w:firstLine="584"/>
        <w:spacing w:after="0" w:line="266" w:lineRule="auto"/>
        <w:tabs>
          <w:tab w:leader="none" w:pos="85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violated "other matters agreed by both parties" (if any) in part I of the contract or any agreed matter in Article 8 of Part II.</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investors withdraw funds, transfer assets or transfer equity without authorization.</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has or will no longer have the ability to provide guarantee corresponding to the loan, or violates the guarantee documents signed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w:t>
      </w:r>
    </w:p>
    <w:p>
      <w:pPr>
        <w:spacing w:after="0" w:line="206" w:lineRule="exact"/>
        <w:rPr>
          <w:rFonts w:ascii="Times New Roman" w:cs="Times New Roman" w:eastAsia="Times New Roman" w:hAnsi="Times New Roman"/>
          <w:sz w:val="18"/>
          <w:szCs w:val="18"/>
          <w:color w:val="auto"/>
        </w:rPr>
      </w:pPr>
    </w:p>
    <w:p>
      <w:pPr>
        <w:ind w:right="20" w:firstLine="584"/>
        <w:spacing w:after="0" w:line="282" w:lineRule="auto"/>
        <w:tabs>
          <w:tab w:leader="none" w:pos="8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left="-580" w:firstLine="584"/>
        <w:spacing w:after="0" w:line="282" w:lineRule="auto"/>
        <w:tabs>
          <w:tab w:leader="none" w:pos="2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61" w:lineRule="exact"/>
        <w:rPr>
          <w:rFonts w:ascii="Times New Roman" w:cs="Times New Roman" w:eastAsia="Times New Roman" w:hAnsi="Times New Roman"/>
          <w:sz w:val="18"/>
          <w:szCs w:val="18"/>
          <w:color w:val="auto"/>
        </w:rPr>
      </w:pPr>
    </w:p>
    <w:p>
      <w:pPr>
        <w:jc w:val="both"/>
        <w:ind w:left="-580" w:firstLine="584"/>
        <w:spacing w:after="0" w:line="266" w:lineRule="auto"/>
        <w:tabs>
          <w:tab w:leader="none" w:pos="2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75"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repay the principal and interest on schedule or use the loan for the agreed purpose.</w:t>
      </w:r>
    </w:p>
    <w:p>
      <w:pPr>
        <w:spacing w:after="0" w:line="225" w:lineRule="exact"/>
        <w:rPr>
          <w:rFonts w:ascii="Times New Roman" w:cs="Times New Roman" w:eastAsia="Times New Roman" w:hAnsi="Times New Roman"/>
          <w:sz w:val="18"/>
          <w:szCs w:val="18"/>
          <w:color w:val="auto"/>
        </w:rPr>
      </w:pPr>
    </w:p>
    <w:p>
      <w:pPr>
        <w:ind w:left="340" w:hanging="336"/>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funds are not paid in the agreed manner.</w:t>
      </w:r>
    </w:p>
    <w:p>
      <w:pPr>
        <w:spacing w:after="0" w:line="225" w:lineRule="exact"/>
        <w:rPr>
          <w:rFonts w:ascii="Times New Roman" w:cs="Times New Roman" w:eastAsia="Times New Roman" w:hAnsi="Times New Roman"/>
          <w:sz w:val="18"/>
          <w:szCs w:val="18"/>
          <w:color w:val="auto"/>
        </w:rPr>
      </w:pPr>
    </w:p>
    <w:p>
      <w:pPr>
        <w:ind w:left="340" w:hanging="336"/>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and information submitted for loan application are false and incorrect.</w:t>
      </w:r>
    </w:p>
    <w:p>
      <w:pPr>
        <w:spacing w:after="0" w:line="225" w:lineRule="exact"/>
        <w:rPr>
          <w:rFonts w:ascii="Times New Roman" w:cs="Times New Roman" w:eastAsia="Times New Roman" w:hAnsi="Times New Roman"/>
          <w:sz w:val="18"/>
          <w:szCs w:val="18"/>
          <w:color w:val="auto"/>
        </w:rPr>
      </w:pPr>
    </w:p>
    <w:p>
      <w:pPr>
        <w:ind w:left="340" w:hanging="336"/>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meet or exceed the constraints of relevant financial indicators agreed in the contract.</w:t>
      </w:r>
    </w:p>
    <w:p>
      <w:pPr>
        <w:spacing w:after="0" w:line="225" w:lineRule="exact"/>
        <w:rPr>
          <w:rFonts w:ascii="Times New Roman" w:cs="Times New Roman" w:eastAsia="Times New Roman" w:hAnsi="Times New Roman"/>
          <w:sz w:val="18"/>
          <w:szCs w:val="18"/>
          <w:color w:val="auto"/>
        </w:rPr>
      </w:pPr>
    </w:p>
    <w:p>
      <w:pPr>
        <w:ind w:left="-580" w:firstLine="584"/>
        <w:spacing w:after="0" w:line="282" w:lineRule="auto"/>
        <w:tabs>
          <w:tab w:leader="none" w:pos="36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161" w:lineRule="exact"/>
        <w:rPr>
          <w:rFonts w:ascii="Times New Roman" w:cs="Times New Roman" w:eastAsia="Times New Roman" w:hAnsi="Times New Roman"/>
          <w:sz w:val="18"/>
          <w:szCs w:val="18"/>
          <w:color w:val="auto"/>
        </w:rPr>
      </w:pPr>
    </w:p>
    <w:p>
      <w:pPr>
        <w:ind w:left="340" w:hanging="336"/>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flow in the general settlement account / capital return account is abnormal.</w:t>
      </w:r>
    </w:p>
    <w:p>
      <w:pPr>
        <w:spacing w:after="0" w:line="225" w:lineRule="exact"/>
        <w:rPr>
          <w:rFonts w:ascii="Times New Roman" w:cs="Times New Roman" w:eastAsia="Times New Roman" w:hAnsi="Times New Roman"/>
          <w:sz w:val="18"/>
          <w:szCs w:val="18"/>
          <w:color w:val="auto"/>
        </w:rPr>
      </w:pPr>
    </w:p>
    <w:p>
      <w:pPr>
        <w:ind w:left="-580" w:firstLine="584"/>
        <w:spacing w:after="0" w:line="282" w:lineRule="auto"/>
        <w:tabs>
          <w:tab w:leader="none" w:pos="34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other acts in violation of this contract that are sufficient to hinder the normal performance of this contract, or other acts that damage the legitimate interests of the lender.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Handling of breach of contract</w:t>
      </w:r>
    </w:p>
    <w:p>
      <w:pPr>
        <w:spacing w:after="0" w:line="225" w:lineRule="exact"/>
        <w:rPr>
          <w:sz w:val="20"/>
          <w:szCs w:val="20"/>
          <w:color w:val="auto"/>
        </w:rPr>
      </w:pPr>
    </w:p>
    <w:p>
      <w:pPr>
        <w:ind w:left="-580" w:right="20" w:firstLine="584"/>
        <w:spacing w:after="0" w:line="282" w:lineRule="auto"/>
        <w:tabs>
          <w:tab w:leader="none" w:pos="25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one or more of the default circumstances listed in the current paragraph occur, the lender may take one or more of the following measures at its discretion:</w:t>
      </w:r>
    </w:p>
    <w:p>
      <w:pPr>
        <w:spacing w:after="0" w:line="162" w:lineRule="exact"/>
        <w:rPr>
          <w:sz w:val="20"/>
          <w:szCs w:val="20"/>
          <w:color w:val="auto"/>
        </w:rPr>
      </w:pPr>
    </w:p>
    <w:p>
      <w:pPr>
        <w:ind w:left="260" w:hanging="256"/>
        <w:spacing w:after="0"/>
        <w:tabs>
          <w:tab w:leader="none" w:pos="260" w:val="left"/>
        </w:tabs>
        <w:numPr>
          <w:ilvl w:val="0"/>
          <w:numId w:val="1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correct within a time limit.</w:t>
      </w:r>
    </w:p>
    <w:p>
      <w:pPr>
        <w:spacing w:after="0" w:line="225" w:lineRule="exact"/>
        <w:rPr>
          <w:sz w:val="20"/>
          <w:szCs w:val="20"/>
          <w:color w:val="auto"/>
        </w:rPr>
      </w:pPr>
    </w:p>
    <w:p>
      <w:pPr>
        <w:ind w:left="260" w:hanging="256"/>
        <w:spacing w:after="0"/>
        <w:tabs>
          <w:tab w:leader="none" w:pos="260" w:val="left"/>
        </w:tabs>
        <w:numPr>
          <w:ilvl w:val="0"/>
          <w:numId w:val="19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cancel the unused loan of the borrower and stop issuing and paying the unused loan of the borrower.</w:t>
      </w:r>
    </w:p>
    <w:p>
      <w:pPr>
        <w:spacing w:after="0" w:line="225" w:lineRule="exact"/>
        <w:rPr>
          <w:sz w:val="20"/>
          <w:szCs w:val="20"/>
          <w:color w:val="auto"/>
        </w:rPr>
      </w:pPr>
    </w:p>
    <w:p>
      <w:pPr>
        <w:ind w:left="-580" w:firstLine="584"/>
        <w:spacing w:after="0" w:line="282" w:lineRule="auto"/>
        <w:tabs>
          <w:tab w:leader="none" w:pos="254" w:val="left"/>
        </w:tabs>
        <w:numPr>
          <w:ilvl w:val="0"/>
          <w:numId w:val="1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62" w:lineRule="exact"/>
        <w:rPr>
          <w:sz w:val="20"/>
          <w:szCs w:val="20"/>
          <w:color w:val="auto"/>
        </w:rPr>
      </w:pPr>
    </w:p>
    <w:p>
      <w:pPr>
        <w:ind w:left="220" w:hanging="216"/>
        <w:spacing w:after="0"/>
        <w:tabs>
          <w:tab w:leader="none" w:pos="220" w:val="left"/>
        </w:tabs>
        <w:numPr>
          <w:ilvl w:val="0"/>
          <w:numId w:val="1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Penalty interest and compound interest shall be charged for overdue loans and misappropriated loans.</w:t>
      </w:r>
    </w:p>
    <w:p>
      <w:pPr>
        <w:spacing w:after="0" w:line="225" w:lineRule="exact"/>
        <w:rPr>
          <w:sz w:val="20"/>
          <w:szCs w:val="20"/>
          <w:color w:val="auto"/>
        </w:rPr>
      </w:pPr>
    </w:p>
    <w:p>
      <w:pPr>
        <w:ind w:left="220" w:hanging="216"/>
        <w:spacing w:after="0"/>
        <w:tabs>
          <w:tab w:leader="none" w:pos="220" w:val="left"/>
        </w:tabs>
        <w:numPr>
          <w:ilvl w:val="0"/>
          <w:numId w:val="1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Deduct from any account opened by the borrower in each branch of Shanghai Pudong Development Bank Co., Ltd</w:t>
      </w:r>
    </w:p>
    <w:p>
      <w:pPr>
        <w:spacing w:after="0" w:line="225" w:lineRule="exact"/>
        <w:rPr>
          <w:sz w:val="20"/>
          <w:szCs w:val="20"/>
          <w:color w:val="auto"/>
        </w:rPr>
      </w:pPr>
    </w:p>
    <w:p>
      <w:pPr>
        <w:ind w:left="220" w:hanging="216"/>
        <w:spacing w:after="0"/>
        <w:tabs>
          <w:tab w:leader="none" w:pos="220" w:val="left"/>
        </w:tabs>
        <w:numPr>
          <w:ilvl w:val="0"/>
          <w:numId w:val="1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supplement the loan issuance and payment conditions, or change the loan payment method.</w:t>
      </w:r>
    </w:p>
    <w:p>
      <w:pPr>
        <w:spacing w:after="0" w:line="225" w:lineRule="exact"/>
        <w:rPr>
          <w:sz w:val="20"/>
          <w:szCs w:val="20"/>
          <w:color w:val="auto"/>
        </w:rPr>
      </w:pPr>
    </w:p>
    <w:p>
      <w:pPr>
        <w:ind w:left="260" w:hanging="256"/>
        <w:spacing w:after="0"/>
        <w:tabs>
          <w:tab w:leader="none" w:pos="260" w:val="left"/>
        </w:tabs>
        <w:numPr>
          <w:ilvl w:val="0"/>
          <w:numId w:val="1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provide other guarantees approved by the lender.</w:t>
      </w:r>
    </w:p>
    <w:p>
      <w:pPr>
        <w:spacing w:after="0" w:line="225" w:lineRule="exact"/>
        <w:rPr>
          <w:sz w:val="20"/>
          <w:szCs w:val="20"/>
          <w:color w:val="auto"/>
        </w:rPr>
      </w:pPr>
    </w:p>
    <w:p>
      <w:pPr>
        <w:ind w:left="260" w:hanging="256"/>
        <w:spacing w:after="0"/>
        <w:tabs>
          <w:tab w:leader="none" w:pos="260" w:val="left"/>
        </w:tabs>
        <w:numPr>
          <w:ilvl w:val="0"/>
          <w:numId w:val="20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necessary measures stipulated by law.</w:t>
      </w:r>
    </w:p>
    <w:p>
      <w:pPr>
        <w:spacing w:after="0" w:line="225" w:lineRule="exact"/>
        <w:rPr>
          <w:sz w:val="20"/>
          <w:szCs w:val="20"/>
          <w:color w:val="auto"/>
        </w:rPr>
      </w:pPr>
    </w:p>
    <w:p>
      <w:pPr>
        <w:jc w:val="both"/>
        <w:ind w:left="-580" w:firstLine="584"/>
        <w:spacing w:after="0" w:line="266" w:lineRule="auto"/>
        <w:tabs>
          <w:tab w:leader="none" w:pos="25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75" w:lineRule="exact"/>
        <w:rPr>
          <w:rFonts w:ascii="Times New Roman" w:cs="Times New Roman" w:eastAsia="Times New Roman" w:hAnsi="Times New Roman"/>
          <w:sz w:val="18"/>
          <w:szCs w:val="18"/>
          <w:color w:val="auto"/>
        </w:rPr>
      </w:pPr>
    </w:p>
    <w:p>
      <w:pPr>
        <w:jc w:val="both"/>
        <w:ind w:left="-580" w:firstLine="584"/>
        <w:spacing w:after="0" w:line="266" w:lineRule="auto"/>
        <w:tabs>
          <w:tab w:leader="none" w:pos="25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414655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904"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Article 13 effectiveness, alteration and dissolution</w:t>
      </w:r>
    </w:p>
    <w:p>
      <w:pPr>
        <w:spacing w:after="0" w:line="229" w:lineRule="exact"/>
        <w:rPr>
          <w:sz w:val="20"/>
          <w:szCs w:val="20"/>
          <w:color w:val="auto"/>
        </w:rPr>
      </w:pPr>
    </w:p>
    <w:p>
      <w:pPr>
        <w:jc w:val="both"/>
        <w:ind w:firstLine="584"/>
        <w:spacing w:after="0" w:line="266" w:lineRule="auto"/>
        <w:tabs>
          <w:tab w:leader="none" w:pos="76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75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contract takes effect, neither party shall change or terminate the contract in advance without authorization. If the contract needs to be changed or terminated, both parties shall reach a written agreement through consultation.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 other provisions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definition</w:t>
      </w:r>
    </w:p>
    <w:p>
      <w:pPr>
        <w:spacing w:after="0" w:line="225" w:lineRule="exact"/>
        <w:rPr>
          <w:sz w:val="20"/>
          <w:szCs w:val="20"/>
          <w:color w:val="auto"/>
        </w:rPr>
      </w:pPr>
    </w:p>
    <w:p>
      <w:pPr>
        <w:ind w:firstLine="584"/>
        <w:spacing w:after="0" w:line="282" w:lineRule="auto"/>
        <w:tabs>
          <w:tab w:leader="none" w:pos="84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creditor’s rights" under this contract refers to the loan principal, interest, liquidated damages and various expenses incurred to realize the creditor’s rights.</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"interest" under this contract includes interest, penalty interest and compound interest.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Applicable law</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Settlement of disputes</w:t>
      </w:r>
    </w:p>
    <w:p>
      <w:pPr>
        <w:spacing w:after="0" w:line="225"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 Miscellaneous</w:t>
      </w:r>
    </w:p>
    <w:p>
      <w:pPr>
        <w:spacing w:after="0" w:line="225" w:lineRule="exact"/>
        <w:rPr>
          <w:sz w:val="20"/>
          <w:szCs w:val="20"/>
          <w:color w:val="auto"/>
        </w:rPr>
      </w:pPr>
    </w:p>
    <w:p>
      <w:pPr>
        <w:jc w:val="both"/>
        <w:ind w:firstLine="584"/>
        <w:spacing w:after="0" w:line="266" w:lineRule="auto"/>
        <w:tabs>
          <w:tab w:leader="none" w:pos="84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75" w:lineRule="exact"/>
        <w:rPr>
          <w:rFonts w:ascii="Times New Roman" w:cs="Times New Roman" w:eastAsia="Times New Roman" w:hAnsi="Times New Roman"/>
          <w:sz w:val="18"/>
          <w:szCs w:val="18"/>
          <w:color w:val="auto"/>
        </w:rPr>
      </w:pPr>
    </w:p>
    <w:p>
      <w:pPr>
        <w:jc w:val="both"/>
        <w:ind w:firstLine="584"/>
        <w:spacing w:after="0" w:line="261" w:lineRule="auto"/>
        <w:tabs>
          <w:tab w:leader="none" w:pos="83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79"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of one clause of the contract shall not affect the validity of other clauses of the contract. This contract is not valid for any reason</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jc w:val="both"/>
        <w:ind w:firstLine="584"/>
        <w:spacing w:after="0" w:line="266" w:lineRule="auto"/>
        <w:tabs>
          <w:tab w:leader="none" w:pos="83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contract, relevant terms and expressions in the annexes to the contract have the same meanings as those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under this contract are for convenience only and shall not be used as the basis for the contents under this heading.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text below this page)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page is the signature page without text)</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 xml:space="preserve">This contract is signed by and between the borrower and the lender on </w:t>
      </w:r>
      <w:r>
        <w:rPr>
          <w:rFonts w:ascii="Times New Roman" w:cs="Times New Roman" w:eastAsia="Times New Roman" w:hAnsi="Times New Roman"/>
          <w:sz w:val="18"/>
          <w:szCs w:val="18"/>
          <w:u w:val="single" w:color="auto"/>
          <w:color w:val="auto"/>
        </w:rPr>
        <w:t>Jan 26, 2022</w:t>
      </w:r>
      <w:r>
        <w:rPr>
          <w:rFonts w:ascii="Times New Roman" w:cs="Times New Roman" w:eastAsia="Times New Roman" w:hAnsi="Times New Roman"/>
          <w:sz w:val="18"/>
          <w:szCs w:val="18"/>
          <w:color w:val="auto"/>
        </w:rPr>
        <w:t>.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Borrower (Official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or authorized agent (signature or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Lender (Official seal or contract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 person in charge (authorized or sealed)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SPD BANK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43"/>
          <w:szCs w:val="43"/>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716280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color w:val="auto"/>
        </w:rPr>
        <w:t>contract for loans of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ChinaLink Professional Services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business address: 2nd floor, building 18, No. 498, GuoShouJing Road, Pudong New Area, Shanghai</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Lisa Wu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Tell: 021-31268010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lisa.wu@clpsglobal.com</w:t>
      </w:r>
    </w:p>
    <w:p>
      <w:pPr>
        <w:spacing w:after="0" w:line="211" w:lineRule="exact"/>
        <w:rPr>
          <w:sz w:val="20"/>
          <w:szCs w:val="20"/>
          <w:color w:val="auto"/>
        </w:rPr>
      </w:pPr>
    </w:p>
    <w:p>
      <w:pPr>
        <w:sectPr>
          <w:pgSz w:w="11900" w:h="16838" w:orient="portrait"/>
          <w:cols w:equalWidth="0" w:num="2">
            <w:col w:w="4900" w:space="720"/>
            <w:col w:w="562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Shanghai Pudong Development Bank Co., LTD. Jinqiao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business address: No.509 Jinqiao Road, Pudong New Area, Shanghai</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Lin Xie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7"/>
          <w:szCs w:val="17"/>
          <w:color w:val="auto"/>
        </w:rPr>
        <w:t>Tell: 021-58994702</w:t>
      </w:r>
    </w:p>
    <w:p>
      <w:pPr>
        <w:spacing w:after="0" w:line="211" w:lineRule="exact"/>
        <w:rPr>
          <w:sz w:val="20"/>
          <w:szCs w:val="20"/>
          <w:color w:val="auto"/>
        </w:rPr>
      </w:pPr>
    </w:p>
    <w:p>
      <w:pPr>
        <w:sectPr>
          <w:pgSz w:w="11900" w:h="16838" w:orient="portrait"/>
          <w:cols w:equalWidth="0" w:num="2">
            <w:col w:w="4900" w:space="720"/>
            <w:col w:w="562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At the same time, the borrower and the lender confirm the following principal terms (please select in the box below according to the situation, tick X if not selected);</w:t>
      </w:r>
    </w:p>
    <w:p>
      <w:pPr>
        <w:spacing w:after="0" w:line="162" w:lineRule="exact"/>
        <w:rPr>
          <w:sz w:val="20"/>
          <w:szCs w:val="20"/>
          <w:color w:val="auto"/>
        </w:rPr>
      </w:pPr>
    </w:p>
    <w:p>
      <w:pPr>
        <w:jc w:val="both"/>
        <w:ind w:firstLine="584"/>
        <w:spacing w:after="0" w:line="266" w:lineRule="auto"/>
        <w:tabs>
          <w:tab w:leader="none" w:pos="847" w:val="left"/>
        </w:tabs>
        <w:numPr>
          <w:ilvl w:val="0"/>
          <w:numId w:val="2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176" w:lineRule="exact"/>
        <w:rPr>
          <w:sz w:val="20"/>
          <w:szCs w:val="20"/>
          <w:color w:val="auto"/>
        </w:rPr>
      </w:pPr>
    </w:p>
    <w:p>
      <w:pPr>
        <w:ind w:right="20" w:firstLine="584"/>
        <w:spacing w:after="0" w:line="282" w:lineRule="auto"/>
        <w:tabs>
          <w:tab w:leader="none" w:pos="783" w:val="left"/>
        </w:tabs>
        <w:numPr>
          <w:ilvl w:val="0"/>
          <w:numId w:val="2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contract is an independent credit document signed between the borrower and the lender (this item should be selected if the borrower and the lender have not signed the financing line agreement);</w:t>
      </w:r>
    </w:p>
    <w:p>
      <w:pPr>
        <w:spacing w:after="0" w:line="162" w:lineRule="exact"/>
        <w:rPr>
          <w:sz w:val="20"/>
          <w:szCs w:val="20"/>
          <w:color w:val="auto"/>
        </w:rPr>
      </w:pPr>
    </w:p>
    <w:p>
      <w:pPr>
        <w:ind w:left="840" w:hanging="256"/>
        <w:spacing w:after="0"/>
        <w:tabs>
          <w:tab w:leader="none" w:pos="840" w:val="left"/>
        </w:tabs>
        <w:numPr>
          <w:ilvl w:val="0"/>
          <w:numId w:val="2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guarantor has been informed that the purpose of the loan under this contract is to repay the loan under the original contract name: _____</w:t>
      </w:r>
    </w:p>
    <w:p>
      <w:pPr>
        <w:spacing w:after="0" w:line="29" w:lineRule="exact"/>
        <w:rPr>
          <w:rFonts w:ascii="MS PGothic" w:cs="MS PGothic" w:eastAsia="MS PGothic" w:hAnsi="MS PGothic"/>
          <w:sz w:val="18"/>
          <w:szCs w:val="18"/>
          <w:color w:val="auto"/>
        </w:rPr>
      </w:pPr>
    </w:p>
    <w:p>
      <w:pPr>
        <w:ind w:left="180" w:right="2800" w:hanging="180"/>
        <w:spacing w:after="0" w:line="258"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Date of signing: _____ No: _____ .(Select this item if the purpose of borrowing is to repay the old or renew the loan)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Part One Commercial terms</w:t>
      </w:r>
    </w:p>
    <w:p>
      <w:pPr>
        <w:spacing w:after="0" w:line="200" w:lineRule="exact"/>
        <w:rPr>
          <w:sz w:val="20"/>
          <w:szCs w:val="20"/>
          <w:color w:val="auto"/>
        </w:rPr>
      </w:pPr>
    </w:p>
    <w:p>
      <w:pPr>
        <w:ind w:left="180" w:hanging="172"/>
        <w:spacing w:after="0" w:line="207" w:lineRule="exact"/>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Types of Loans: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Short-term working capital loans;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mid-term liquidity loan,</w:t>
      </w:r>
    </w:p>
    <w:p>
      <w:pPr>
        <w:spacing w:after="0" w:line="25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 amount under this contract is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10 million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specific use of loan under this contract as follows: </w:t>
      </w:r>
      <w:r>
        <w:rPr>
          <w:rFonts w:ascii="Times New Roman" w:cs="Times New Roman" w:eastAsia="Times New Roman" w:hAnsi="Times New Roman"/>
          <w:sz w:val="18"/>
          <w:szCs w:val="18"/>
          <w:u w:val="single" w:color="auto"/>
          <w:color w:val="auto"/>
        </w:rPr>
        <w:t>payroll</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limit for the loan under this contract (in the following box, please, don’t choose to play x)</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þ since</w:t>
            </w:r>
          </w:p>
        </w:tc>
        <w:tc>
          <w:tcPr>
            <w:tcW w:w="460" w:type="dxa"/>
            <w:vAlign w:val="bottom"/>
            <w:tcBorders>
              <w:bottom w:val="single" w:sz="8" w:color="auto"/>
            </w:tcBorders>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7"/>
                <w:szCs w:val="17"/>
                <w:color w:val="auto"/>
              </w:rPr>
            </w:pPr>
          </w:p>
        </w:tc>
        <w:tc>
          <w:tcPr>
            <w:tcW w:w="96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0"/>
              </w:rPr>
              <w:t>.</w:t>
            </w: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2"/>
        </w:trPr>
        <w:tc>
          <w:tcPr>
            <w:tcW w:w="2640" w:type="dxa"/>
            <w:vAlign w:val="bottom"/>
            <w:gridSpan w:val="5"/>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From the date of first withdrawal</w:t>
            </w: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year(or  /</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4"/>
              </w:rPr>
              <w:t>months)</w:t>
            </w:r>
          </w:p>
        </w:tc>
      </w:tr>
      <w:tr>
        <w:trPr>
          <w:trHeight w:val="20"/>
        </w:trPr>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5</w:t>
      </w:r>
      <w:r>
        <w:rPr>
          <w:rFonts w:ascii="SimSun" w:cs="SimSun" w:eastAsia="SimSun" w:hAnsi="SimSun"/>
          <w:sz w:val="18"/>
          <w:szCs w:val="18"/>
          <w:color w:val="auto"/>
        </w:rPr>
        <w:t>．</w:t>
      </w:r>
      <w:r>
        <w:rPr>
          <w:rFonts w:ascii="Times New Roman" w:cs="Times New Roman" w:eastAsia="Times New Roman" w:hAnsi="Times New Roman"/>
          <w:sz w:val="18"/>
          <w:szCs w:val="18"/>
          <w:color w:val="auto"/>
        </w:rPr>
        <w:t>The interest rate of the loan under this Contract is (please tick V in the box below and x if not)</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þ (1) the RMB loans Interest Rate :</w:t>
      </w:r>
    </w:p>
    <w:p>
      <w:pPr>
        <w:spacing w:after="0" w:line="225"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Each loan under this Contract shall be issued according to the loan market quoted APR (term) -1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After each loan is issued, if the quoted interest rate of the loan market is adjusted during the loan term, the loan interest rate (please put a in the box below and x in case of non-I):</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þ Fixed interest rate without adjustment;</w:t>
      </w:r>
    </w:p>
    <w:p>
      <w:pPr>
        <w:spacing w:after="0" w:line="225" w:lineRule="exact"/>
        <w:rPr>
          <w:sz w:val="20"/>
          <w:szCs w:val="20"/>
          <w:color w:val="auto"/>
        </w:rPr>
      </w:pPr>
    </w:p>
    <w:p>
      <w:pPr>
        <w:jc w:val="both"/>
        <w:ind w:firstLine="584"/>
        <w:spacing w:after="0" w:line="266" w:lineRule="auto"/>
        <w:tabs>
          <w:tab w:leader="none" w:pos="783"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v is selected in the following box, does not escape the x) :</w:t>
      </w:r>
    </w:p>
    <w:p>
      <w:pPr>
        <w:spacing w:after="0" w:line="175" w:lineRule="exact"/>
        <w:rPr>
          <w:rFonts w:ascii="MS PGothic" w:cs="MS PGothic" w:eastAsia="MS PGothic" w:hAnsi="MS PGothic"/>
          <w:sz w:val="18"/>
          <w:szCs w:val="18"/>
          <w:color w:val="auto"/>
        </w:rPr>
      </w:pPr>
    </w:p>
    <w:p>
      <w:pPr>
        <w:jc w:val="both"/>
        <w:ind w:firstLine="584"/>
        <w:spacing w:after="0" w:line="261" w:lineRule="auto"/>
        <w:tabs>
          <w:tab w:leader="none" w:pos="810"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79" w:lineRule="exact"/>
        <w:rPr>
          <w:rFonts w:ascii="MS PGothic" w:cs="MS PGothic" w:eastAsia="MS PGothic" w:hAnsi="MS PGothic"/>
          <w:sz w:val="18"/>
          <w:szCs w:val="18"/>
          <w:color w:val="auto"/>
        </w:rPr>
      </w:pPr>
    </w:p>
    <w:p>
      <w:pPr>
        <w:ind w:left="800" w:hanging="216"/>
        <w:spacing w:after="0"/>
        <w:tabs>
          <w:tab w:leader="none" w:pos="800"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year, the interest rate adjustment date is January 1 of each year;</w:t>
      </w:r>
    </w:p>
    <w:p>
      <w:pPr>
        <w:spacing w:after="0" w:line="225" w:lineRule="exact"/>
        <w:rPr>
          <w:rFonts w:ascii="MS PGothic" w:cs="MS PGothic" w:eastAsia="MS PGothic" w:hAnsi="MS PGothic"/>
          <w:sz w:val="18"/>
          <w:szCs w:val="18"/>
          <w:color w:val="auto"/>
        </w:rPr>
      </w:pPr>
    </w:p>
    <w:p>
      <w:pPr>
        <w:ind w:left="800" w:hanging="216"/>
        <w:spacing w:after="0"/>
        <w:tabs>
          <w:tab w:leader="none" w:pos="800"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the interest settlement date, and the interest rate adjustment day is the next day of the interest settlement</w:t>
      </w:r>
    </w:p>
    <w:p>
      <w:pPr>
        <w:spacing w:after="0" w:line="29"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date;</w:t>
      </w:r>
    </w:p>
    <w:p>
      <w:pPr>
        <w:spacing w:after="0" w:line="205" w:lineRule="exact"/>
        <w:rPr>
          <w:rFonts w:ascii="MS PGothic" w:cs="MS PGothic" w:eastAsia="MS PGothic" w:hAnsi="MS PGothic"/>
          <w:sz w:val="18"/>
          <w:szCs w:val="18"/>
          <w:color w:val="auto"/>
        </w:rPr>
      </w:pPr>
    </w:p>
    <w:p>
      <w:pPr>
        <w:ind w:left="800" w:hanging="216"/>
        <w:spacing w:after="0"/>
        <w:tabs>
          <w:tab w:leader="none" w:pos="800"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adjustment of interest rate, interest rate adjustment day for the end of each quarter on a monthly basis,;</w:t>
      </w:r>
    </w:p>
    <w:p>
      <w:pPr>
        <w:spacing w:after="0" w:line="225" w:lineRule="exact"/>
        <w:rPr>
          <w:rFonts w:ascii="MS PGothic" w:cs="MS PGothic" w:eastAsia="MS PGothic" w:hAnsi="MS PGothic"/>
          <w:sz w:val="18"/>
          <w:szCs w:val="18"/>
          <w:color w:val="auto"/>
        </w:rPr>
      </w:pPr>
    </w:p>
    <w:p>
      <w:pPr>
        <w:ind w:left="800" w:hanging="216"/>
        <w:spacing w:after="0"/>
        <w:tabs>
          <w:tab w:leader="none" w:pos="800"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interest rate adjustment day for a monthly/daily</w:t>
      </w:r>
    </w:p>
    <w:p>
      <w:pPr>
        <w:spacing w:after="0" w:line="225" w:lineRule="exact"/>
        <w:rPr>
          <w:rFonts w:ascii="MS PGothic" w:cs="MS PGothic" w:eastAsia="MS PGothic" w:hAnsi="MS PGothic"/>
          <w:sz w:val="18"/>
          <w:szCs w:val="18"/>
          <w:color w:val="auto"/>
        </w:rPr>
      </w:pPr>
    </w:p>
    <w:p>
      <w:pPr>
        <w:ind w:left="800" w:hanging="216"/>
        <w:spacing w:after="0"/>
        <w:tabs>
          <w:tab w:leader="none" w:pos="800"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agreement (specific interest rate adjustment day),</w:t>
      </w:r>
    </w:p>
    <w:p>
      <w:pPr>
        <w:spacing w:after="0" w:line="225" w:lineRule="exact"/>
        <w:rPr>
          <w:rFonts w:ascii="MS PGothic" w:cs="MS PGothic" w:eastAsia="MS PGothic" w:hAnsi="MS PGothic"/>
          <w:sz w:val="18"/>
          <w:szCs w:val="18"/>
          <w:color w:val="auto"/>
        </w:rPr>
      </w:pPr>
    </w:p>
    <w:p>
      <w:pPr>
        <w:ind w:left="800" w:hanging="216"/>
        <w:spacing w:after="0"/>
        <w:tabs>
          <w:tab w:leader="none" w:pos="800" w:val="left"/>
        </w:tabs>
        <w:numPr>
          <w:ilvl w:val="0"/>
          <w:numId w:val="2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interest rate of foreign currency loan;</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each loan under this Contract will be issued ___ at the rate of ___(LIBORAHIBORSIBOR) published by the Lender on the date of disbursement plus/BPS.</w:t>
      </w:r>
    </w:p>
    <w:p>
      <w:pPr>
        <w:spacing w:after="0" w:line="162" w:lineRule="exact"/>
        <w:rPr>
          <w:sz w:val="20"/>
          <w:szCs w:val="20"/>
          <w:color w:val="auto"/>
        </w:rPr>
      </w:pPr>
    </w:p>
    <w:p>
      <w:pPr>
        <w:ind w:left="800" w:hanging="216"/>
        <w:spacing w:after="0"/>
        <w:tabs>
          <w:tab w:leader="none" w:pos="800" w:val="left"/>
        </w:tabs>
        <w:numPr>
          <w:ilvl w:val="0"/>
          <w:numId w:val="2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After each loan under this joint venture is issued, the loan interest rate shall be adjusted by _____.</w:t>
      </w:r>
    </w:p>
    <w:p>
      <w:pPr>
        <w:spacing w:after="0" w:line="225" w:lineRule="exact"/>
        <w:rPr>
          <w:rFonts w:ascii="MS PGothic" w:cs="MS PGothic" w:eastAsia="MS PGothic" w:hAnsi="MS PGothic"/>
          <w:sz w:val="18"/>
          <w:szCs w:val="18"/>
          <w:color w:val="auto"/>
        </w:rPr>
      </w:pPr>
    </w:p>
    <w:p>
      <w:pPr>
        <w:ind w:left="800" w:hanging="216"/>
        <w:spacing w:after="0"/>
        <w:tabs>
          <w:tab w:leader="none" w:pos="800" w:val="left"/>
        </w:tabs>
        <w:numPr>
          <w:ilvl w:val="0"/>
          <w:numId w:val="2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Fixed rate, that is, the interest rate is not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5" w:name="page266"/>
    <w:bookmarkEnd w:id="265"/>
    <w:p>
      <w:pPr>
        <w:ind w:left="180" w:hanging="172"/>
        <w:spacing w:after="0"/>
        <w:tabs>
          <w:tab w:leader="none" w:pos="1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loan settlement under this Contract is (please check the box below/tick X if not selected):</w:t>
      </w:r>
    </w:p>
    <w:p>
      <w:pPr>
        <w:spacing w:after="0" w:line="225" w:lineRule="exact"/>
        <w:rPr>
          <w:rFonts w:ascii="Times New Roman" w:cs="Times New Roman" w:eastAsia="Times New Roman" w:hAnsi="Times New Roman"/>
          <w:sz w:val="18"/>
          <w:szCs w:val="18"/>
          <w:color w:val="auto"/>
        </w:rPr>
      </w:pPr>
    </w:p>
    <w:p>
      <w:pPr>
        <w:ind w:left="800" w:hanging="216"/>
        <w:spacing w:after="0"/>
        <w:tabs>
          <w:tab w:leader="none" w:pos="800" w:val="left"/>
        </w:tabs>
        <w:numPr>
          <w:ilvl w:val="1"/>
          <w:numId w:val="2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On a monthly basis, the settlement date is the second +(20) day of each month;</w:t>
      </w:r>
    </w:p>
    <w:p>
      <w:pPr>
        <w:spacing w:after="0" w:line="225" w:lineRule="exact"/>
        <w:rPr>
          <w:sz w:val="20"/>
          <w:szCs w:val="20"/>
          <w:color w:val="auto"/>
        </w:rPr>
      </w:pPr>
    </w:p>
    <w:p>
      <w:pPr>
        <w:ind w:left="800" w:hanging="216"/>
        <w:spacing w:after="0"/>
        <w:tabs>
          <w:tab w:leader="none" w:pos="800" w:val="left"/>
        </w:tabs>
        <w:numPr>
          <w:ilvl w:val="0"/>
          <w:numId w:val="2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then the settlement date is the twentieth (20th) day of the last month of each quarter:</w:t>
      </w:r>
    </w:p>
    <w:p>
      <w:pPr>
        <w:spacing w:after="0" w:line="225" w:lineRule="exact"/>
        <w:rPr>
          <w:sz w:val="20"/>
          <w:szCs w:val="20"/>
          <w:color w:val="auto"/>
        </w:rPr>
      </w:pPr>
    </w:p>
    <w:p>
      <w:pPr>
        <w:ind w:left="800" w:hanging="216"/>
        <w:spacing w:after="0"/>
        <w:tabs>
          <w:tab w:leader="none" w:pos="800" w:val="left"/>
        </w:tabs>
        <w:numPr>
          <w:ilvl w:val="0"/>
          <w:numId w:val="2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methods: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interest rate under the Contract is:</w:t>
      </w:r>
    </w:p>
    <w:p>
      <w:pPr>
        <w:spacing w:after="0" w:line="225"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overdue penalty interest rate shall be applied at the loan execution rate applicable on the date of penalty interest collection plus </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w:t>
      </w:r>
    </w:p>
    <w:p>
      <w:pPr>
        <w:spacing w:after="0" w:line="225" w:lineRule="exact"/>
        <w:rPr>
          <w:rFonts w:ascii="Times New Roman" w:cs="Times New Roman" w:eastAsia="Times New Roman" w:hAnsi="Times New Roman"/>
          <w:sz w:val="18"/>
          <w:szCs w:val="18"/>
          <w:color w:val="auto"/>
        </w:rPr>
      </w:pPr>
    </w:p>
    <w:p>
      <w:pPr>
        <w:ind w:left="1220" w:right="20" w:hanging="645"/>
        <w:spacing w:after="0" w:line="282" w:lineRule="auto"/>
        <w:tabs>
          <w:tab w:leader="none" w:pos="12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loan is not used in accordance with the purpose agreed herein, the penalty interest rate will be calculated and the loan execution interest rate applied on the penalty interest date shall be charged plus </w:t>
      </w:r>
      <w:r>
        <w:rPr>
          <w:rFonts w:ascii="Times New Roman" w:cs="Times New Roman" w:eastAsia="Times New Roman" w:hAnsi="Times New Roman"/>
          <w:sz w:val="18"/>
          <w:szCs w:val="18"/>
          <w:u w:val="single" w:color="auto"/>
          <w:color w:val="auto"/>
        </w:rPr>
        <w:t>50</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8</w:t>
      </w:r>
      <w:r>
        <w:rPr>
          <w:rFonts w:ascii="SimSun" w:cs="SimSun" w:eastAsia="SimSun" w:hAnsi="SimSun"/>
          <w:sz w:val="18"/>
          <w:szCs w:val="18"/>
          <w:color w:val="auto"/>
        </w:rPr>
        <w:t>．</w:t>
      </w:r>
      <w:r>
        <w:rPr>
          <w:rFonts w:ascii="Times New Roman" w:cs="Times New Roman" w:eastAsia="Times New Roman" w:hAnsi="Times New Roman"/>
          <w:sz w:val="18"/>
          <w:szCs w:val="18"/>
          <w:color w:val="auto"/>
        </w:rPr>
        <w:t>The drawdown period of the loan under the Contract is from to . The first withdrawal shall be made before .</w:t>
      </w:r>
    </w:p>
    <w:p>
      <w:pPr>
        <w:spacing w:after="0" w:line="198" w:lineRule="exact"/>
        <w:rPr>
          <w:sz w:val="20"/>
          <w:szCs w:val="20"/>
          <w:color w:val="auto"/>
        </w:rPr>
      </w:pPr>
    </w:p>
    <w:p>
      <w:pPr>
        <w:ind w:firstLine="8"/>
        <w:spacing w:after="0" w:line="239" w:lineRule="exact"/>
        <w:tabs>
          <w:tab w:leader="none" w:pos="18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plan for the loan under this Contract is as follows (please select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box below, tick X if you do not select) the withdrawal plan is shown in the table below:</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50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withdrawal date</w:t>
            </w:r>
          </w:p>
        </w:tc>
        <w:tc>
          <w:tcPr>
            <w:tcW w:w="45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withdrawals</w:t>
            </w:r>
          </w:p>
        </w:tc>
      </w:tr>
      <w:tr>
        <w:trPr>
          <w:trHeight w:val="209"/>
        </w:trPr>
        <w:tc>
          <w:tcPr>
            <w:tcW w:w="1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6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800" w:hanging="216"/>
        <w:spacing w:after="0"/>
        <w:tabs>
          <w:tab w:leader="none" w:pos="800" w:val="left"/>
        </w:tabs>
        <w:numPr>
          <w:ilvl w:val="1"/>
          <w:numId w:val="2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withdrawal plans: </w:t>
      </w:r>
      <w:r>
        <w:rPr>
          <w:rFonts w:ascii="Times New Roman" w:cs="Times New Roman" w:eastAsia="Times New Roman" w:hAnsi="Times New Roman"/>
          <w:sz w:val="18"/>
          <w:szCs w:val="18"/>
          <w:u w:val="single" w:color="auto"/>
          <w:color w:val="auto"/>
        </w:rPr>
        <w:t>One-time Withdraw .</w:t>
      </w:r>
    </w:p>
    <w:p>
      <w:pPr>
        <w:spacing w:after="0" w:line="196" w:lineRule="exact"/>
        <w:rPr>
          <w:rFonts w:ascii="MS PGothic" w:cs="MS PGothic" w:eastAsia="MS PGothic" w:hAnsi="MS PGothic"/>
          <w:sz w:val="18"/>
          <w:szCs w:val="18"/>
          <w:color w:val="auto"/>
        </w:rPr>
      </w:pPr>
    </w:p>
    <w:p>
      <w:pPr>
        <w:ind w:left="280" w:hanging="272"/>
        <w:spacing w:after="0" w:line="207" w:lineRule="exact"/>
        <w:tabs>
          <w:tab w:leader="none" w:pos="2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repayment plan of the loan under this Contract is as follows (Please tick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box below, if not, tick x)</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6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Repayment date</w:t>
            </w:r>
          </w:p>
        </w:tc>
        <w:tc>
          <w:tcPr>
            <w:tcW w:w="5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Reimbursement amount</w:t>
            </w:r>
          </w:p>
        </w:tc>
      </w:tr>
      <w:tr>
        <w:trPr>
          <w:trHeight w:val="210"/>
        </w:trPr>
        <w:tc>
          <w:tcPr>
            <w:tcW w:w="1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tcBorders>
              <w:bottom w:val="single" w:sz="8" w:color="auto"/>
              <w:right w:val="single" w:sz="8" w:color="auto"/>
            </w:tcBorders>
          </w:tcPr>
          <w:p>
            <w:pPr>
              <w:spacing w:after="0"/>
              <w:rPr>
                <w:sz w:val="18"/>
                <w:szCs w:val="18"/>
                <w:color w:val="auto"/>
              </w:rPr>
            </w:pPr>
          </w:p>
        </w:tc>
        <w:tc>
          <w:tcPr>
            <w:tcW w:w="57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800" w:hanging="216"/>
        <w:spacing w:after="0"/>
        <w:tabs>
          <w:tab w:leader="none" w:pos="800" w:val="left"/>
        </w:tabs>
        <w:numPr>
          <w:ilvl w:val="1"/>
          <w:numId w:val="2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withdrawal plans: </w:t>
      </w:r>
      <w:r>
        <w:rPr>
          <w:rFonts w:ascii="Times New Roman" w:cs="Times New Roman" w:eastAsia="Times New Roman" w:hAnsi="Times New Roman"/>
          <w:sz w:val="18"/>
          <w:szCs w:val="18"/>
          <w:u w:val="single" w:color="auto"/>
          <w:color w:val="auto"/>
        </w:rPr>
        <w:t>One-time Withdraw .</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Liquidated damages for loan repayment in advance; Equivalent to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the actual amount of loan repaid in advance</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of loan repayment in advance shall not be less than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 currency) </w:t>
      </w:r>
      <w:r>
        <w:rPr>
          <w:rFonts w:ascii="Times New Roman" w:cs="Times New Roman" w:eastAsia="Times New Roman" w:hAnsi="Times New Roman"/>
          <w:sz w:val="18"/>
          <w:szCs w:val="18"/>
          <w:u w:val="single" w:color="auto"/>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ind w:left="-8" w:firstLine="8"/>
        <w:spacing w:after="0" w:line="282" w:lineRule="auto"/>
        <w:tabs>
          <w:tab w:leader="none" w:pos="25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opening (select one of the following modes for RMB loans, select the special account mode for foreign currency loans, and mark X for those not selected)</w:t>
      </w:r>
    </w:p>
    <w:p>
      <w:pPr>
        <w:spacing w:after="0" w:line="161" w:lineRule="exact"/>
        <w:rPr>
          <w:rFonts w:ascii="Times New Roman" w:cs="Times New Roman" w:eastAsia="Times New Roman" w:hAnsi="Times New Roman"/>
          <w:sz w:val="18"/>
          <w:szCs w:val="18"/>
          <w:color w:val="auto"/>
        </w:rPr>
      </w:pPr>
    </w:p>
    <w:p>
      <w:pPr>
        <w:ind w:left="792" w:hanging="216"/>
        <w:spacing w:after="0"/>
        <w:tabs>
          <w:tab w:leader="none" w:pos="792" w:val="left"/>
        </w:tabs>
        <w:numPr>
          <w:ilvl w:val="1"/>
          <w:numId w:val="2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Unsegregated account mode:</w:t>
      </w:r>
    </w:p>
    <w:p>
      <w:pPr>
        <w:spacing w:after="0" w:line="225" w:lineRule="exact"/>
        <w:rPr>
          <w:sz w:val="20"/>
          <w:szCs w:val="20"/>
          <w:color w:val="auto"/>
        </w:rPr>
      </w:pPr>
    </w:p>
    <w:p>
      <w:pPr>
        <w:ind w:left="1232" w:right="4680" w:hanging="665"/>
        <w:spacing w:after="0" w:line="500" w:lineRule="auto"/>
        <w:tabs>
          <w:tab w:leader="none" w:pos="122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settlement account opened by the borrower with the lender is: Bank: </w:t>
      </w:r>
      <w:r>
        <w:rPr>
          <w:rFonts w:ascii="Times New Roman" w:cs="Times New Roman" w:eastAsia="Times New Roman" w:hAnsi="Times New Roman"/>
          <w:sz w:val="18"/>
          <w:szCs w:val="18"/>
          <w:u w:val="single" w:color="auto"/>
          <w:color w:val="auto"/>
        </w:rPr>
        <w:t>Shanghai Pudong Development Bank Co., LTD. Jinqiao Branch</w:t>
      </w:r>
      <w:r>
        <w:rPr>
          <w:rFonts w:ascii="Times New Roman" w:cs="Times New Roman" w:eastAsia="Times New Roman" w:hAnsi="Times New Roman"/>
          <w:sz w:val="18"/>
          <w:szCs w:val="18"/>
          <w:color w:val="auto"/>
        </w:rPr>
        <w:t xml:space="preserve"> Bank account name: </w:t>
      </w:r>
      <w:r>
        <w:rPr>
          <w:rFonts w:ascii="Times New Roman" w:cs="Times New Roman" w:eastAsia="Times New Roman" w:hAnsi="Times New Roman"/>
          <w:sz w:val="18"/>
          <w:szCs w:val="18"/>
          <w:u w:val="single" w:color="auto"/>
          <w:color w:val="auto"/>
        </w:rPr>
        <w:t>ChinaLink Professional Services Co., Ltd.</w:t>
      </w:r>
    </w:p>
    <w:p>
      <w:pPr>
        <w:spacing w:after="0" w:line="2" w:lineRule="exact"/>
        <w:rPr>
          <w:rFonts w:ascii="Times New Roman" w:cs="Times New Roman" w:eastAsia="Times New Roman" w:hAnsi="Times New Roman"/>
          <w:sz w:val="18"/>
          <w:szCs w:val="18"/>
          <w:color w:val="auto"/>
        </w:rPr>
      </w:pPr>
    </w:p>
    <w:p>
      <w:pPr>
        <w:ind w:left="12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number:</w:t>
      </w:r>
      <w:r>
        <w:rPr>
          <w:rFonts w:ascii="Times New Roman" w:cs="Times New Roman" w:eastAsia="Times New Roman" w:hAnsi="Times New Roman"/>
          <w:sz w:val="18"/>
          <w:szCs w:val="18"/>
          <w:u w:val="single" w:color="auto"/>
          <w:color w:val="auto"/>
        </w:rPr>
        <w:t>98840078801600002917</w:t>
      </w:r>
    </w:p>
    <w:p>
      <w:pPr>
        <w:spacing w:after="0" w:line="225" w:lineRule="exact"/>
        <w:rPr>
          <w:rFonts w:ascii="Times New Roman" w:cs="Times New Roman" w:eastAsia="Times New Roman" w:hAnsi="Times New Roman"/>
          <w:sz w:val="18"/>
          <w:szCs w:val="18"/>
          <w:color w:val="auto"/>
        </w:rPr>
      </w:pPr>
    </w:p>
    <w:p>
      <w:pPr>
        <w:ind w:left="1232" w:right="4940" w:hanging="665"/>
        <w:spacing w:after="0" w:line="530" w:lineRule="auto"/>
        <w:tabs>
          <w:tab w:leader="none" w:pos="1223"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borrower’s fund recovery account opened with the lender is: Bank: </w:t>
      </w:r>
      <w:r>
        <w:rPr>
          <w:rFonts w:ascii="Times New Roman" w:cs="Times New Roman" w:eastAsia="Times New Roman" w:hAnsi="Times New Roman"/>
          <w:sz w:val="17"/>
          <w:szCs w:val="17"/>
          <w:u w:val="single" w:color="auto"/>
          <w:color w:val="auto"/>
        </w:rPr>
        <w:t>Shanghai Pudong Development Bank Co., LTD. Jinqiao Branch</w:t>
      </w:r>
    </w:p>
    <w:p>
      <w:pPr>
        <w:spacing w:after="0" w:line="1" w:lineRule="exact"/>
        <w:rPr>
          <w:sz w:val="20"/>
          <w:szCs w:val="20"/>
          <w:color w:val="auto"/>
        </w:rPr>
      </w:pPr>
    </w:p>
    <w:p>
      <w:pPr>
        <w:ind w:left="1232"/>
        <w:spacing w:after="0"/>
        <w:rPr>
          <w:sz w:val="20"/>
          <w:szCs w:val="20"/>
          <w:color w:val="auto"/>
        </w:rPr>
      </w:pPr>
      <w:r>
        <w:rPr>
          <w:rFonts w:ascii="Times New Roman" w:cs="Times New Roman" w:eastAsia="Times New Roman" w:hAnsi="Times New Roman"/>
          <w:sz w:val="18"/>
          <w:szCs w:val="18"/>
          <w:color w:val="auto"/>
        </w:rPr>
        <w:t xml:space="preserve">Bank account name: </w:t>
      </w:r>
      <w:r>
        <w:rPr>
          <w:rFonts w:ascii="Times New Roman" w:cs="Times New Roman" w:eastAsia="Times New Roman" w:hAnsi="Times New Roman"/>
          <w:sz w:val="18"/>
          <w:szCs w:val="18"/>
          <w:u w:val="single" w:color="auto"/>
          <w:color w:val="auto"/>
        </w:rPr>
        <w:t>ChinaLink Professional Services Co., Ltd.</w:t>
      </w:r>
    </w:p>
    <w:p>
      <w:pPr>
        <w:spacing w:after="0" w:line="225" w:lineRule="exact"/>
        <w:rPr>
          <w:sz w:val="20"/>
          <w:szCs w:val="20"/>
          <w:color w:val="auto"/>
        </w:rPr>
      </w:pPr>
    </w:p>
    <w:p>
      <w:pPr>
        <w:ind w:left="1232"/>
        <w:spacing w:after="0"/>
        <w:rPr>
          <w:sz w:val="20"/>
          <w:szCs w:val="20"/>
          <w:color w:val="auto"/>
        </w:rPr>
      </w:pPr>
      <w:r>
        <w:rPr>
          <w:rFonts w:ascii="Times New Roman" w:cs="Times New Roman" w:eastAsia="Times New Roman" w:hAnsi="Times New Roman"/>
          <w:sz w:val="18"/>
          <w:szCs w:val="18"/>
          <w:color w:val="auto"/>
        </w:rPr>
        <w:t>Bank account number:</w:t>
      </w:r>
      <w:r>
        <w:rPr>
          <w:rFonts w:ascii="Times New Roman" w:cs="Times New Roman" w:eastAsia="Times New Roman" w:hAnsi="Times New Roman"/>
          <w:sz w:val="18"/>
          <w:szCs w:val="18"/>
          <w:u w:val="single" w:color="auto"/>
          <w:color w:val="auto"/>
        </w:rPr>
        <w:t>98840078801600002917</w:t>
      </w:r>
    </w:p>
    <w:p>
      <w:pPr>
        <w:spacing w:after="0" w:line="225" w:lineRule="exact"/>
        <w:rPr>
          <w:sz w:val="20"/>
          <w:szCs w:val="20"/>
          <w:color w:val="auto"/>
        </w:rPr>
      </w:pPr>
    </w:p>
    <w:p>
      <w:pPr>
        <w:ind w:left="792" w:hanging="216"/>
        <w:spacing w:after="0"/>
        <w:tabs>
          <w:tab w:leader="none" w:pos="792" w:val="left"/>
        </w:tabs>
        <w:numPr>
          <w:ilvl w:val="0"/>
          <w:numId w:val="2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Special Account mode</w:t>
      </w:r>
    </w:p>
    <w:p>
      <w:pPr>
        <w:spacing w:after="0" w:line="225" w:lineRule="exact"/>
        <w:rPr>
          <w:sz w:val="20"/>
          <w:szCs w:val="20"/>
          <w:color w:val="auto"/>
        </w:rPr>
      </w:pPr>
    </w:p>
    <w:p>
      <w:pPr>
        <w:ind w:left="1212" w:hanging="645"/>
        <w:spacing w:after="0"/>
        <w:tabs>
          <w:tab w:leader="none" w:pos="121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account for working capital loan opened by the borrower with the lender is:</w:t>
      </w:r>
    </w:p>
    <w:p>
      <w:pPr>
        <w:spacing w:after="0" w:line="212" w:lineRule="exact"/>
        <w:rPr>
          <w:sz w:val="20"/>
          <w:szCs w:val="20"/>
          <w:color w:val="auto"/>
        </w:rPr>
      </w:pPr>
    </w:p>
    <w:tbl>
      <w:tblPr>
        <w:tblLayout w:type="fixed"/>
        <w:tblInd w:w="1232"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Bank:</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account name:</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7"/>
              </w:rPr>
              <w:t>.</w:t>
            </w:r>
          </w:p>
        </w:tc>
        <w:tc>
          <w:tcPr>
            <w:tcW w:w="60" w:type="dxa"/>
            <w:vAlign w:val="bottom"/>
          </w:tcPr>
          <w:p>
            <w:pPr>
              <w:spacing w:after="0"/>
              <w:rPr>
                <w:sz w:val="24"/>
                <w:szCs w:val="24"/>
                <w:color w:val="auto"/>
              </w:rPr>
            </w:pPr>
          </w:p>
        </w:tc>
      </w:tr>
      <w:tr>
        <w:trPr>
          <w:trHeight w:val="412"/>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account number:</w:t>
            </w:r>
          </w:p>
        </w:tc>
        <w:tc>
          <w:tcPr>
            <w:tcW w:w="12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2"/>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bl>
    <w:p>
      <w:pPr>
        <w:spacing w:after="0" w:line="225" w:lineRule="exact"/>
        <w:rPr>
          <w:sz w:val="20"/>
          <w:szCs w:val="20"/>
          <w:color w:val="auto"/>
        </w:rPr>
      </w:pPr>
    </w:p>
    <w:p>
      <w:pPr>
        <w:ind w:left="1212" w:hanging="645"/>
        <w:spacing w:after="0"/>
        <w:tabs>
          <w:tab w:leader="none" w:pos="121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settlement account opened by the borrower with the lender is:</w:t>
      </w:r>
    </w:p>
    <w:p>
      <w:pPr>
        <w:spacing w:after="0" w:line="212" w:lineRule="exact"/>
        <w:rPr>
          <w:sz w:val="20"/>
          <w:szCs w:val="20"/>
          <w:color w:val="auto"/>
        </w:rPr>
      </w:pPr>
    </w:p>
    <w:tbl>
      <w:tblPr>
        <w:tblLayout w:type="fixed"/>
        <w:tblInd w:w="1232"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Bank: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account name:</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7"/>
              </w:rPr>
              <w:t>.</w:t>
            </w:r>
          </w:p>
        </w:tc>
        <w:tc>
          <w:tcPr>
            <w:tcW w:w="60" w:type="dxa"/>
            <w:vAlign w:val="bottom"/>
          </w:tcPr>
          <w:p>
            <w:pPr>
              <w:spacing w:after="0"/>
              <w:rPr>
                <w:sz w:val="24"/>
                <w:szCs w:val="24"/>
                <w:color w:val="auto"/>
              </w:rPr>
            </w:pPr>
          </w:p>
        </w:tc>
      </w:tr>
      <w:tr>
        <w:trPr>
          <w:trHeight w:val="412"/>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account number:</w:t>
            </w:r>
          </w:p>
        </w:tc>
        <w:tc>
          <w:tcPr>
            <w:tcW w:w="12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2"/>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bl>
    <w:p>
      <w:pPr>
        <w:spacing w:after="0" w:line="225" w:lineRule="exact"/>
        <w:rPr>
          <w:sz w:val="20"/>
          <w:szCs w:val="20"/>
          <w:color w:val="auto"/>
        </w:rPr>
      </w:pPr>
    </w:p>
    <w:p>
      <w:pPr>
        <w:ind w:left="1212" w:hanging="645"/>
        <w:spacing w:after="0"/>
        <w:tabs>
          <w:tab w:leader="none" w:pos="121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fund recovery account opened with the Lender is:</w:t>
      </w:r>
    </w:p>
    <w:p>
      <w:pPr>
        <w:spacing w:after="0" w:line="212" w:lineRule="exact"/>
        <w:rPr>
          <w:sz w:val="20"/>
          <w:szCs w:val="20"/>
          <w:color w:val="auto"/>
        </w:rPr>
      </w:pPr>
    </w:p>
    <w:tbl>
      <w:tblPr>
        <w:tblLayout w:type="fixed"/>
        <w:tblInd w:w="1232"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Bank:</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account name:</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7"/>
              </w:rPr>
              <w:t>.</w:t>
            </w:r>
          </w:p>
        </w:tc>
        <w:tc>
          <w:tcPr>
            <w:tcW w:w="60" w:type="dxa"/>
            <w:vAlign w:val="bottom"/>
          </w:tcPr>
          <w:p>
            <w:pPr>
              <w:spacing w:after="0"/>
              <w:rPr>
                <w:sz w:val="24"/>
                <w:szCs w:val="24"/>
                <w:color w:val="auto"/>
              </w:rPr>
            </w:pPr>
          </w:p>
        </w:tc>
      </w:tr>
      <w:tr>
        <w:trPr>
          <w:trHeight w:val="412"/>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account number:</w:t>
            </w:r>
          </w:p>
        </w:tc>
        <w:tc>
          <w:tcPr>
            <w:tcW w:w="13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2"/>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bl>
    <w:p>
      <w:pPr>
        <w:spacing w:after="0" w:line="225" w:lineRule="exact"/>
        <w:rPr>
          <w:sz w:val="20"/>
          <w:szCs w:val="20"/>
          <w:color w:val="auto"/>
        </w:rPr>
      </w:pPr>
    </w:p>
    <w:p>
      <w:pPr>
        <w:ind w:left="-8" w:firstLine="8"/>
        <w:spacing w:after="0" w:line="282" w:lineRule="auto"/>
        <w:tabs>
          <w:tab w:leader="none" w:pos="27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Entrusted Payment by the Lender: if the payment object is clear and the single managed payment amount exceeds (currency amount) the loan fund payment, the entrusted payment method of the Lender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388620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color w:val="auto"/>
        </w:rPr>
        <w:t>15. The guarantors and security contracts providing security for the debt hereunder include but are not limited to:</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40" w:type="dxa"/>
            <w:vAlign w:val="bottom"/>
            <w:gridSpan w:val="2"/>
          </w:tcPr>
          <w:p>
            <w:pPr>
              <w:ind w:left="58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The guarantor</w:t>
            </w:r>
          </w:p>
        </w:tc>
        <w:tc>
          <w:tcPr>
            <w:tcW w:w="14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0" w:type="dxa"/>
            <w:vAlign w:val="bottom"/>
            <w:gridSpan w:val="5"/>
          </w:tcPr>
          <w:p>
            <w:pPr>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guaranty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1900" w:type="dxa"/>
            <w:vAlign w:val="bottom"/>
            <w:gridSpan w:val="3"/>
          </w:tcPr>
          <w:p>
            <w:pPr>
              <w:ind w:left="58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The mortgagor</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140" w:type="dxa"/>
            <w:vAlign w:val="bottom"/>
            <w:gridSpan w:val="4"/>
          </w:tcPr>
          <w:p>
            <w:pPr>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Mortgage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170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pledger</w:t>
            </w:r>
          </w:p>
        </w:tc>
        <w:tc>
          <w:tcPr>
            <w:tcW w:w="280" w:type="dxa"/>
            <w:vAlign w:val="bottom"/>
            <w:tcBorders>
              <w:bottom w:val="single" w:sz="8" w:color="auto"/>
            </w:tcBorders>
            <w:gridSpan w:val="3"/>
          </w:tcPr>
          <w:p>
            <w:pPr>
              <w:spacing w:after="0"/>
              <w:rPr>
                <w:sz w:val="24"/>
                <w:szCs w:val="24"/>
                <w:color w:val="auto"/>
              </w:rPr>
            </w:pP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4"/>
                <w:szCs w:val="24"/>
                <w:color w:val="auto"/>
              </w:rPr>
            </w:pPr>
          </w:p>
        </w:tc>
        <w:tc>
          <w:tcPr>
            <w:tcW w:w="4360" w:type="dxa"/>
            <w:vAlign w:val="bottom"/>
            <w:gridSpan w:val="6"/>
          </w:tcPr>
          <w:p>
            <w:pPr>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Pledger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1980" w:type="dxa"/>
            <w:vAlign w:val="bottom"/>
            <w:gridSpan w:val="4"/>
          </w:tcPr>
          <w:p>
            <w:pPr>
              <w:ind w:left="58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Other guarantee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40" w:type="dxa"/>
            <w:vAlign w:val="bottom"/>
            <w:gridSpan w:val="4"/>
          </w:tcPr>
          <w:p>
            <w:pPr>
              <w:ind w:left="80"/>
              <w:spacing w:after="0" w:line="206" w:lineRule="exact"/>
              <w:rPr>
                <w:sz w:val="20"/>
                <w:szCs w:val="20"/>
                <w:color w:val="auto"/>
              </w:rPr>
            </w:pPr>
            <w:r>
              <w:rPr>
                <w:rFonts w:ascii="SimSun" w:cs="SimSun" w:eastAsia="SimSun" w:hAnsi="SimSun"/>
                <w:sz w:val="18"/>
                <w:szCs w:val="18"/>
                <w:color w:val="auto"/>
              </w:rPr>
              <w:t>。</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16. Breach of contract</w:t>
            </w: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6960" w:type="dxa"/>
            <w:vAlign w:val="bottom"/>
            <w:gridSpan w:val="12"/>
          </w:tcPr>
          <w:p>
            <w:pPr>
              <w:ind w:left="580"/>
              <w:spacing w:after="0"/>
              <w:rPr>
                <w:sz w:val="20"/>
                <w:szCs w:val="20"/>
                <w:color w:val="auto"/>
              </w:rPr>
            </w:pPr>
            <w:r>
              <w:rPr>
                <w:rFonts w:ascii="Times New Roman" w:cs="Times New Roman" w:eastAsia="Times New Roman" w:hAnsi="Times New Roman"/>
                <w:sz w:val="18"/>
                <w:szCs w:val="18"/>
                <w:color w:val="auto"/>
              </w:rPr>
              <w:t>liquidated damages. It is equivalent to zero percent of the principal amount borrowed or</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hanging="252"/>
        <w:spacing w:after="0"/>
        <w:tabs>
          <w:tab w:leader="none" w:pos="2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to this contract include:</w:t>
      </w:r>
    </w:p>
    <w:p>
      <w:pPr>
        <w:spacing w:after="0" w:line="238" w:lineRule="exact"/>
        <w:rPr>
          <w:rFonts w:ascii="Times New Roman" w:cs="Times New Roman" w:eastAsia="Times New Roman" w:hAnsi="Times New Roman"/>
          <w:sz w:val="18"/>
          <w:szCs w:val="18"/>
          <w:color w:val="auto"/>
        </w:rPr>
      </w:pPr>
    </w:p>
    <w:p>
      <w:pPr>
        <w:ind w:left="840" w:hanging="256"/>
        <w:spacing w:after="0" w:line="219" w:lineRule="exact"/>
        <w:tabs>
          <w:tab w:leader="none" w:pos="840" w:val="left"/>
        </w:tabs>
        <w:numPr>
          <w:ilvl w:val="1"/>
          <w:numId w:val="226"/>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Application for withdrawal</w:t>
      </w:r>
      <w:r>
        <w:rPr>
          <w:rFonts w:ascii="SimSun" w:cs="SimSun" w:eastAsia="SimSun" w:hAnsi="SimSun"/>
          <w:sz w:val="18"/>
          <w:szCs w:val="18"/>
          <w:color w:val="auto"/>
        </w:rPr>
        <w:t>》</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219"/>
        </w:trPr>
        <w:tc>
          <w:tcPr>
            <w:tcW w:w="44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w w:val="96"/>
              </w:rPr>
              <w:t xml:space="preserve">(2) </w:t>
            </w:r>
            <w:r>
              <w:rPr>
                <w:rFonts w:ascii="SimSun" w:cs="SimSun" w:eastAsia="SimSun" w:hAnsi="SimSun"/>
                <w:sz w:val="18"/>
                <w:szCs w:val="18"/>
                <w:color w:val="auto"/>
                <w:w w:val="96"/>
              </w:rPr>
              <w:t>《</w:t>
            </w: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line="206" w:lineRule="exact"/>
              <w:rPr>
                <w:sz w:val="20"/>
                <w:szCs w:val="20"/>
                <w:color w:val="auto"/>
              </w:rPr>
            </w:pPr>
            <w:r>
              <w:rPr>
                <w:rFonts w:ascii="SimSun" w:cs="SimSun" w:eastAsia="SimSun" w:hAnsi="SimSun"/>
                <w:sz w:val="18"/>
                <w:szCs w:val="18"/>
                <w:color w:val="auto"/>
                <w:w w:val="88"/>
              </w:rPr>
              <w:t>》</w:t>
            </w:r>
          </w:p>
        </w:tc>
      </w:tr>
      <w:tr>
        <w:trPr>
          <w:trHeight w:val="439"/>
        </w:trPr>
        <w:tc>
          <w:tcPr>
            <w:tcW w:w="44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w w:val="96"/>
              </w:rPr>
              <w:t xml:space="preserve">(3) </w:t>
            </w:r>
            <w:r>
              <w:rPr>
                <w:rFonts w:ascii="SimSun" w:cs="SimSun" w:eastAsia="SimSun" w:hAnsi="SimSun"/>
                <w:sz w:val="18"/>
                <w:szCs w:val="18"/>
                <w:color w:val="auto"/>
                <w:w w:val="96"/>
              </w:rPr>
              <w:t>《</w:t>
            </w: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line="206" w:lineRule="exact"/>
              <w:rPr>
                <w:sz w:val="20"/>
                <w:szCs w:val="20"/>
                <w:color w:val="auto"/>
              </w:rPr>
            </w:pPr>
            <w:r>
              <w:rPr>
                <w:rFonts w:ascii="SimSun" w:cs="SimSun" w:eastAsia="SimSun" w:hAnsi="SimSun"/>
                <w:sz w:val="18"/>
                <w:szCs w:val="18"/>
                <w:color w:val="auto"/>
                <w:w w:val="88"/>
              </w:rPr>
              <w:t>》</w:t>
            </w:r>
          </w:p>
        </w:tc>
      </w:tr>
      <w:tr>
        <w:trPr>
          <w:trHeight w:val="439"/>
        </w:trPr>
        <w:tc>
          <w:tcPr>
            <w:tcW w:w="44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w w:val="96"/>
              </w:rPr>
              <w:t xml:space="preserve">(4) </w:t>
            </w:r>
            <w:r>
              <w:rPr>
                <w:rFonts w:ascii="SimSun" w:cs="SimSun" w:eastAsia="SimSun" w:hAnsi="SimSun"/>
                <w:sz w:val="18"/>
                <w:szCs w:val="18"/>
                <w:color w:val="auto"/>
                <w:w w:val="96"/>
              </w:rPr>
              <w:t>《</w:t>
            </w: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line="206" w:lineRule="exact"/>
              <w:rPr>
                <w:sz w:val="20"/>
                <w:szCs w:val="20"/>
                <w:color w:val="auto"/>
              </w:rPr>
            </w:pPr>
            <w:r>
              <w:rPr>
                <w:rFonts w:ascii="SimSun" w:cs="SimSun" w:eastAsia="SimSun" w:hAnsi="SimSun"/>
                <w:sz w:val="18"/>
                <w:szCs w:val="18"/>
                <w:color w:val="auto"/>
                <w:w w:val="88"/>
              </w:rPr>
              <w:t>》</w:t>
            </w:r>
          </w:p>
        </w:tc>
      </w:tr>
      <w:tr>
        <w:trPr>
          <w:trHeight w:val="439"/>
        </w:trPr>
        <w:tc>
          <w:tcPr>
            <w:tcW w:w="44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w w:val="96"/>
              </w:rPr>
              <w:t xml:space="preserve">(5) </w:t>
            </w:r>
            <w:r>
              <w:rPr>
                <w:rFonts w:ascii="SimSun" w:cs="SimSun" w:eastAsia="SimSun" w:hAnsi="SimSun"/>
                <w:sz w:val="18"/>
                <w:szCs w:val="18"/>
                <w:color w:val="auto"/>
                <w:w w:val="96"/>
              </w:rPr>
              <w:t>《</w:t>
            </w: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line="206" w:lineRule="exact"/>
              <w:rPr>
                <w:sz w:val="20"/>
                <w:szCs w:val="20"/>
                <w:color w:val="auto"/>
              </w:rPr>
            </w:pPr>
            <w:r>
              <w:rPr>
                <w:rFonts w:ascii="SimSun" w:cs="SimSun" w:eastAsia="SimSun" w:hAnsi="SimSun"/>
                <w:sz w:val="18"/>
                <w:szCs w:val="18"/>
                <w:color w:val="auto"/>
                <w:w w:val="88"/>
              </w:rPr>
              <w:t>》</w:t>
            </w:r>
          </w:p>
        </w:tc>
      </w:tr>
    </w:tbl>
    <w:p>
      <w:pPr>
        <w:spacing w:after="0" w:line="238" w:lineRule="exact"/>
        <w:rPr>
          <w:sz w:val="20"/>
          <w:szCs w:val="20"/>
          <w:color w:val="auto"/>
        </w:rPr>
      </w:pPr>
    </w:p>
    <w:p>
      <w:pPr>
        <w:ind w:left="580" w:right="6839" w:hanging="572"/>
        <w:spacing w:after="0" w:line="500" w:lineRule="auto"/>
        <w:tabs>
          <w:tab w:leader="none" w:pos="27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matters agreed upon by both parties </w:t>
      </w:r>
      <w:r>
        <w:rPr>
          <w:rFonts w:ascii="Times New Roman" w:cs="Times New Roman" w:eastAsia="Times New Roman" w:hAnsi="Times New Roman"/>
          <w:sz w:val="18"/>
          <w:szCs w:val="18"/>
          <w:u w:val="single" w:color="auto"/>
          <w:color w:val="auto"/>
        </w:rPr>
        <w:t>None/</w:t>
      </w:r>
      <w:r>
        <w:rPr>
          <w:rFonts w:ascii="Times New Roman" w:cs="Times New Roman" w:eastAsia="Times New Roman" w:hAnsi="Times New Roman"/>
          <w:sz w:val="18"/>
          <w:szCs w:val="18"/>
          <w:color w:val="auto"/>
        </w:rPr>
        <w:t xml:space="preserve"> .</w:t>
      </w:r>
    </w:p>
    <w:p>
      <w:pPr>
        <w:spacing w:after="0" w:line="1" w:lineRule="exact"/>
        <w:rPr>
          <w:rFonts w:ascii="Times New Roman" w:cs="Times New Roman" w:eastAsia="Times New Roman" w:hAnsi="Times New Roman"/>
          <w:sz w:val="18"/>
          <w:szCs w:val="18"/>
          <w:color w:val="auto"/>
        </w:rPr>
      </w:pPr>
    </w:p>
    <w:p>
      <w:pPr>
        <w:ind w:left="580" w:right="219" w:hanging="572"/>
        <w:spacing w:after="0" w:line="532" w:lineRule="auto"/>
        <w:tabs>
          <w:tab w:leader="none" w:pos="27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Contract is made in </w:t>
      </w:r>
      <w:r>
        <w:rPr>
          <w:rFonts w:ascii="Times New Roman" w:cs="Times New Roman" w:eastAsia="Times New Roman" w:hAnsi="Times New Roman"/>
          <w:sz w:val="18"/>
          <w:szCs w:val="18"/>
          <w:u w:val="single" w:color="auto"/>
          <w:color w:val="auto"/>
        </w:rPr>
        <w:t>three</w:t>
      </w:r>
      <w:r>
        <w:rPr>
          <w:rFonts w:ascii="Times New Roman" w:cs="Times New Roman" w:eastAsia="Times New Roman" w:hAnsi="Times New Roman"/>
          <w:sz w:val="18"/>
          <w:szCs w:val="18"/>
          <w:color w:val="auto"/>
        </w:rPr>
        <w:t xml:space="preserve"> originals,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held by the borrower and </w:t>
      </w:r>
      <w:r>
        <w:rPr>
          <w:rFonts w:ascii="Times New Roman" w:cs="Times New Roman" w:eastAsia="Times New Roman" w:hAnsi="Times New Roman"/>
          <w:sz w:val="18"/>
          <w:szCs w:val="18"/>
          <w:u w:val="single" w:color="auto"/>
          <w:color w:val="auto"/>
        </w:rPr>
        <w:t>two</w:t>
      </w:r>
      <w:r>
        <w:rPr>
          <w:rFonts w:ascii="Times New Roman" w:cs="Times New Roman" w:eastAsia="Times New Roman" w:hAnsi="Times New Roman"/>
          <w:sz w:val="18"/>
          <w:szCs w:val="18"/>
          <w:color w:val="auto"/>
        </w:rPr>
        <w:t xml:space="preserve"> held by the lender, each of which has the same legal effect. (End of 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Part Two General terms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 borrowing</w:t>
      </w:r>
    </w:p>
    <w:p>
      <w:pPr>
        <w:spacing w:after="0" w:line="229" w:lineRule="exact"/>
        <w:rPr>
          <w:sz w:val="20"/>
          <w:szCs w:val="20"/>
          <w:color w:val="auto"/>
        </w:rPr>
      </w:pPr>
    </w:p>
    <w:p>
      <w:pPr>
        <w:jc w:val="both"/>
        <w:ind w:firstLine="8"/>
        <w:spacing w:after="0" w:line="261" w:lineRule="auto"/>
        <w:tabs>
          <w:tab w:leader="none" w:pos="19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19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 borrowing rate and interest calculation method</w:t>
      </w:r>
    </w:p>
    <w:p>
      <w:pPr>
        <w:spacing w:after="0" w:line="229" w:lineRule="exact"/>
        <w:rPr>
          <w:sz w:val="20"/>
          <w:szCs w:val="20"/>
          <w:color w:val="auto"/>
        </w:rPr>
      </w:pPr>
    </w:p>
    <w:p>
      <w:pPr>
        <w:jc w:val="both"/>
        <w:ind w:firstLine="8"/>
        <w:spacing w:after="0" w:line="266" w:lineRule="auto"/>
        <w:tabs>
          <w:tab w:leader="none" w:pos="18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75"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market paralysis</w:t>
      </w:r>
    </w:p>
    <w:p>
      <w:pPr>
        <w:spacing w:after="0" w:line="225"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b w:val="1"/>
          <w:bCs w:val="1"/>
          <w:color w:val="auto"/>
        </w:rPr>
        <w:t>Article 3 withdrawal</w:t>
      </w:r>
    </w:p>
    <w:p>
      <w:pPr>
        <w:spacing w:after="0" w:line="229" w:lineRule="exact"/>
        <w:rPr>
          <w:sz w:val="20"/>
          <w:szCs w:val="20"/>
          <w:color w:val="auto"/>
        </w:rPr>
      </w:pPr>
    </w:p>
    <w:p>
      <w:pPr>
        <w:ind w:left="180" w:hanging="172"/>
        <w:spacing w:after="0"/>
        <w:tabs>
          <w:tab w:leader="none" w:pos="1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first withdrawal, the borrower shall meet the following conditions:</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3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3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and the corresponding guarantee contract (if any) have been signed and remain valid, and the security right has been effectively established;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opened relevant accounts with the lender according to the lender’s requirements;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first withdrawal, the borrower shall meet the following conditions before each withdrawal:</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3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the borrower under this contract shall remain valid;</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w:t>
      </w:r>
    </w:p>
    <w:p>
      <w:pPr>
        <w:spacing w:after="0" w:line="225" w:lineRule="exact"/>
        <w:rPr>
          <w:rFonts w:ascii="Times New Roman" w:cs="Times New Roman" w:eastAsia="Times New Roman" w:hAnsi="Times New Roman"/>
          <w:sz w:val="18"/>
          <w:szCs w:val="18"/>
          <w:color w:val="auto"/>
        </w:rPr>
      </w:pPr>
    </w:p>
    <w:p>
      <w:pPr>
        <w:jc w:val="both"/>
        <w:ind w:firstLine="584"/>
        <w:spacing w:after="0" w:line="266" w:lineRule="auto"/>
        <w:tabs>
          <w:tab w:leader="none" w:pos="84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84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85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5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withdrawal conditions without affecting any right enjoyed by the Lender under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b w:val="1"/>
          <w:bCs w:val="1"/>
          <w:color w:val="auto"/>
        </w:rPr>
        <w:t>Article 4 account opening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76" w:lineRule="exact"/>
        <w:rPr>
          <w:sz w:val="20"/>
          <w:szCs w:val="20"/>
          <w:color w:val="auto"/>
        </w:rPr>
      </w:pPr>
    </w:p>
    <w:p>
      <w:pPr>
        <w:ind w:firstLine="8"/>
        <w:spacing w:after="0" w:line="282" w:lineRule="auto"/>
        <w:tabs>
          <w:tab w:leader="none" w:pos="19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special working capital loan account is opened, the general settlement account is used to calculate the loan fund issuance and loan fund payment applied by the borrower at the lender.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Without the written consent of the lender, the borrower shall not change the reserved seal of the special working capital loan account at will.</w:t>
      </w:r>
    </w:p>
    <w:p>
      <w:pPr>
        <w:spacing w:after="0" w:line="225" w:lineRule="exact"/>
        <w:rPr>
          <w:sz w:val="20"/>
          <w:szCs w:val="20"/>
          <w:color w:val="auto"/>
        </w:rPr>
      </w:pPr>
    </w:p>
    <w:p>
      <w:pPr>
        <w:ind w:firstLine="8"/>
        <w:spacing w:after="0" w:line="282" w:lineRule="auto"/>
        <w:tabs>
          <w:tab w:leader="none" w:pos="19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62"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87"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Payment supervision</w:t>
      </w:r>
    </w:p>
    <w:p>
      <w:pPr>
        <w:spacing w:after="0" w:line="229" w:lineRule="exact"/>
        <w:rPr>
          <w:sz w:val="20"/>
          <w:szCs w:val="20"/>
          <w:color w:val="auto"/>
        </w:rPr>
      </w:pPr>
    </w:p>
    <w:p>
      <w:pPr>
        <w:ind w:firstLine="8"/>
        <w:spacing w:after="0" w:line="282" w:lineRule="auto"/>
        <w:tabs>
          <w:tab w:leader="none" w:pos="18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lender has the right to manage and control the payment of the loan funds through the entrusted payment of the lender or / and the independent payment of the borrower, so as to supervise the use of the loan funds according to the purpose agreed in the contract.</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1" w:name="page272"/>
    <w:bookmarkEnd w:id="271"/>
    <w:p>
      <w:pPr>
        <w:jc w:val="both"/>
        <w:ind w:firstLine="8"/>
        <w:spacing w:after="0" w:line="266" w:lineRule="auto"/>
        <w:tabs>
          <w:tab w:leader="none" w:pos="18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176"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After approval, the lender shall pay the loan funds to the borrower’s trading partner through the borrower’s account.</w:t>
      </w:r>
    </w:p>
    <w:p>
      <w:pPr>
        <w:spacing w:after="0" w:line="225" w:lineRule="exact"/>
        <w:rPr>
          <w:sz w:val="20"/>
          <w:szCs w:val="20"/>
          <w:color w:val="auto"/>
        </w:rPr>
      </w:pPr>
    </w:p>
    <w:p>
      <w:pPr>
        <w:ind w:firstLine="8"/>
        <w:spacing w:after="0" w:line="282" w:lineRule="auto"/>
        <w:tabs>
          <w:tab w:leader="none" w:pos="19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applying to the lender for external payment of loan funds, the borrower shall submit supporting materials meeting the lender’s requirements, including but not limited to:</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certifying that the purpose of payment is in accordance with the purpose agreed in the contract: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valid payment voucher:</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required by the lender.</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supporting materials without affecting any rights enjoyed by the Lender under this contract</w:t>
      </w:r>
    </w:p>
    <w:p>
      <w:pPr>
        <w:spacing w:after="0" w:line="162" w:lineRule="exact"/>
        <w:rPr>
          <w:sz w:val="20"/>
          <w:szCs w:val="20"/>
          <w:color w:val="auto"/>
        </w:rPr>
      </w:pPr>
    </w:p>
    <w:p>
      <w:pPr>
        <w:jc w:val="both"/>
        <w:ind w:firstLine="8"/>
        <w:spacing w:after="0" w:line="261" w:lineRule="auto"/>
        <w:tabs>
          <w:tab w:leader="none" w:pos="18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contract.If the lender approves, the borrower shall fill in the payment voucher (the amount of each summary payment voucher shall not exceed the entrusted payment amount of the lender agreed in this contract).After review, the lender shall affix the special seal for loan fund payment supervision on the summary payment voucher, and transfer the corresponding funds to the borrower’s general settlement account.</w:t>
      </w:r>
    </w:p>
    <w:p>
      <w:pPr>
        <w:spacing w:after="0" w:line="194" w:lineRule="exact"/>
        <w:rPr>
          <w:sz w:val="20"/>
          <w:szCs w:val="20"/>
          <w:color w:val="auto"/>
        </w:rPr>
      </w:pPr>
    </w:p>
    <w:p>
      <w:pPr>
        <w:jc w:val="both"/>
        <w:ind w:firstLine="8"/>
        <w:spacing w:after="0" w:line="266" w:lineRule="auto"/>
        <w:tabs>
          <w:tab w:leader="none" w:pos="18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ind w:firstLine="8"/>
        <w:spacing w:after="0" w:line="282" w:lineRule="auto"/>
        <w:tabs>
          <w:tab w:leader="none" w:pos="17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it shall pay to the lender the remittance fee arising from the payment of funds. When the remittance fee occurs, the lender has the right to deduct it directly according to the actual amount.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credit status;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main business is not strong;</w:t>
      </w:r>
    </w:p>
    <w:p>
      <w:pPr>
        <w:spacing w:after="0" w:line="225" w:lineRule="exact"/>
        <w:rPr>
          <w:rFonts w:ascii="Times New Roman" w:cs="Times New Roman" w:eastAsia="Times New Roman" w:hAnsi="Times New Roman"/>
          <w:sz w:val="18"/>
          <w:szCs w:val="18"/>
          <w:color w:val="auto"/>
        </w:rPr>
      </w:pPr>
    </w:p>
    <w:p>
      <w:pPr>
        <w:ind w:left="820" w:hanging="236"/>
        <w:spacing w:after="0"/>
        <w:tabs>
          <w:tab w:leader="none" w:pos="8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 use of loan funds.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 repayment</w:t>
      </w:r>
    </w:p>
    <w:p>
      <w:pPr>
        <w:spacing w:after="0" w:line="229" w:lineRule="exact"/>
        <w:rPr>
          <w:sz w:val="20"/>
          <w:szCs w:val="20"/>
          <w:color w:val="auto"/>
        </w:rPr>
      </w:pPr>
    </w:p>
    <w:p>
      <w:pPr>
        <w:jc w:val="both"/>
        <w:ind w:firstLine="8"/>
        <w:spacing w:after="0" w:line="266" w:lineRule="auto"/>
        <w:tabs>
          <w:tab w:leader="none" w:pos="18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76" w:lineRule="exact"/>
        <w:rPr>
          <w:sz w:val="20"/>
          <w:szCs w:val="20"/>
          <w:color w:val="auto"/>
        </w:rPr>
      </w:pPr>
    </w:p>
    <w:p>
      <w:pPr>
        <w:jc w:val="both"/>
        <w:ind w:firstLine="8"/>
        <w:spacing w:after="0" w:line="258" w:lineRule="auto"/>
        <w:tabs>
          <w:tab w:leader="none" w:pos="19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withdraw any returned loan funds again.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Article 7 representations and warranties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borrower makes the following representations and warranties to the lender, which are made at the time of signing this contract and remain valid during the validity of this contract.</w:t>
      </w:r>
    </w:p>
    <w:p>
      <w:pPr>
        <w:spacing w:after="0" w:line="162" w:lineRule="exact"/>
        <w:rPr>
          <w:sz w:val="20"/>
          <w:szCs w:val="20"/>
          <w:color w:val="auto"/>
        </w:rPr>
      </w:pPr>
    </w:p>
    <w:p>
      <w:pPr>
        <w:ind w:right="20" w:firstLine="8"/>
        <w:spacing w:after="0" w:line="282" w:lineRule="auto"/>
        <w:tabs>
          <w:tab w:leader="none" w:pos="21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all financial statements (if any) issued by it comply with the provisions of applicable laws and that the statements truly, completely and fairly reflect the financial situation of the borrower.</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18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4" w:name="page275"/>
    <w:bookmarkEnd w:id="274"/>
    <w:p>
      <w:pPr>
        <w:ind w:left="180" w:hanging="172"/>
        <w:spacing w:after="0"/>
        <w:tabs>
          <w:tab w:leader="none" w:pos="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to complete the filing, registration or other procedures required for the effectiveness and legal performance of this contract.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issuance of the latest audited financial statements, there has been no significant adverse change in the borrower’s operating and financial conditions.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up any due creditor’s rights, nor dispose of the existing main property free of charge or in other inappropriate ways.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disclosed to the lender what it knows or should know and decided whether to grant the loan under this contract Important facts and conditions (including but not limited to business status, financial status, external guarantee, etc.).</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it is in good credit condition and has no major bad record.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0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there are no other circumstances or events that have or may have a material adverse impact on the borrower’s performance ability.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and the lender agree as follows:</w:t>
      </w:r>
    </w:p>
    <w:p>
      <w:pPr>
        <w:spacing w:after="0" w:line="225" w:lineRule="exact"/>
        <w:rPr>
          <w:sz w:val="20"/>
          <w:szCs w:val="20"/>
          <w:color w:val="auto"/>
        </w:rPr>
      </w:pPr>
    </w:p>
    <w:p>
      <w:pPr>
        <w:jc w:val="both"/>
        <w:ind w:firstLine="8"/>
        <w:spacing w:after="0" w:line="261" w:lineRule="auto"/>
        <w:tabs>
          <w:tab w:leader="none" w:pos="18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18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the principal and interest of the loan under the contract according to the time, amount, currency and interest rate specified in the contract, application and loan (loan) certificate.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ind w:left="172" w:hanging="172"/>
        <w:spacing w:after="0"/>
        <w:tabs>
          <w:tab w:leader="none" w:pos="17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that the borrower will not take the following actions without the written consent of the lender:</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(including sale, gift, debt repayment, exchange, etc.), mortgage, pledge or otherwise dispose of all or most of its major assets;</w:t>
      </w:r>
    </w:p>
    <w:p>
      <w:pPr>
        <w:spacing w:after="0" w:line="225" w:lineRule="exact"/>
        <w:rPr>
          <w:rFonts w:ascii="Times New Roman" w:cs="Times New Roman" w:eastAsia="Times New Roman" w:hAnsi="Times New Roman"/>
          <w:sz w:val="18"/>
          <w:szCs w:val="18"/>
          <w:color w:val="auto"/>
        </w:rPr>
      </w:pPr>
    </w:p>
    <w:p>
      <w:pPr>
        <w:jc w:val="both"/>
        <w:ind w:left="-8" w:firstLine="584"/>
        <w:spacing w:after="0" w:line="261" w:lineRule="auto"/>
        <w:tabs>
          <w:tab w:leader="none" w:pos="835"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79" w:lineRule="exact"/>
        <w:rPr>
          <w:rFonts w:ascii="Times New Roman" w:cs="Times New Roman" w:eastAsia="Times New Roman" w:hAnsi="Times New Roman"/>
          <w:sz w:val="18"/>
          <w:szCs w:val="18"/>
          <w:color w:val="auto"/>
        </w:rPr>
      </w:pPr>
    </w:p>
    <w:p>
      <w:pPr>
        <w:ind w:left="-8" w:firstLine="584"/>
        <w:spacing w:after="0" w:line="282" w:lineRule="auto"/>
        <w:tabs>
          <w:tab w:leader="none" w:pos="84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third party with a guarantee sufficient to have a material adverse impact on its financial condition or its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left="-8" w:firstLine="584"/>
        <w:spacing w:after="0" w:line="282" w:lineRule="auto"/>
        <w:tabs>
          <w:tab w:leader="none" w:pos="84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off other long-term debts in advance and may have a significant adverse impact on the borrower’s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left="-8" w:firstLine="584"/>
        <w:spacing w:after="0" w:line="282" w:lineRule="auto"/>
        <w:tabs>
          <w:tab w:leader="none" w:pos="84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contracts / agreements or undertake relevant obligations that have a significant adverse impact on the borrower’s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left="-8" w:firstLine="8"/>
        <w:spacing w:after="0" w:line="282" w:lineRule="auto"/>
        <w:tabs>
          <w:tab w:leader="none" w:pos="17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61"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relevant events makes the representations and warranties made by the borrower in this contract untrue, inaccurate or invalid.</w:t>
      </w:r>
    </w:p>
    <w:p>
      <w:pPr>
        <w:spacing w:after="0" w:line="225" w:lineRule="exact"/>
        <w:rPr>
          <w:rFonts w:ascii="Times New Roman" w:cs="Times New Roman" w:eastAsia="Times New Roman" w:hAnsi="Times New Roman"/>
          <w:sz w:val="18"/>
          <w:szCs w:val="18"/>
          <w:color w:val="auto"/>
        </w:rPr>
      </w:pPr>
    </w:p>
    <w:p>
      <w:pPr>
        <w:jc w:val="both"/>
        <w:ind w:left="-8" w:firstLine="584"/>
        <w:spacing w:after="0" w:line="266" w:lineRule="auto"/>
        <w:tabs>
          <w:tab w:leader="none" w:pos="825"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75" w:lineRule="exact"/>
        <w:rPr>
          <w:rFonts w:ascii="Times New Roman" w:cs="Times New Roman" w:eastAsia="Times New Roman" w:hAnsi="Times New Roman"/>
          <w:sz w:val="18"/>
          <w:szCs w:val="18"/>
          <w:color w:val="auto"/>
        </w:rPr>
      </w:pPr>
    </w:p>
    <w:p>
      <w:pPr>
        <w:ind w:left="-8" w:firstLine="584"/>
        <w:spacing w:after="0" w:line="282" w:lineRule="auto"/>
        <w:tabs>
          <w:tab w:leader="none" w:pos="833"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legal representative or its authorized agent, principal, main financial principal, mailing address, enterprise name, office space and other matters are changed;</w:t>
      </w:r>
    </w:p>
    <w:p>
      <w:pPr>
        <w:spacing w:after="0" w:line="161"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applied for reorganization or bankruptcy by other creditors or being revoked by the superior competent authority;</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major adverse events that may affect the borrower’s 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6" w:name="page277"/>
    <w:bookmarkEnd w:id="276"/>
    <w:p>
      <w:pPr>
        <w:ind w:left="-8" w:firstLine="8"/>
        <w:spacing w:after="0" w:line="282" w:lineRule="auto"/>
        <w:tabs>
          <w:tab w:leader="none" w:pos="18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it will not pay off other loans in priority in violation of the normal repayment order, and will not sign any contract or agreement that will subordinate the loan under this contract now and in the future.</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17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18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17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7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recover the loan funds under this contract in advance according to the withdrawal of the borrower’s funds.</w:t>
      </w:r>
    </w:p>
    <w:p>
      <w:pPr>
        <w:spacing w:after="0" w:line="22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agreements on group customers (applicable to group customers).</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If the borrower of this contract is a group customer, the borrower hereby undertakes:</w:t>
      </w:r>
    </w:p>
    <w:p>
      <w:pPr>
        <w:spacing w:after="0" w:line="225" w:lineRule="exact"/>
        <w:rPr>
          <w:sz w:val="20"/>
          <w:szCs w:val="20"/>
          <w:color w:val="auto"/>
        </w:rPr>
      </w:pPr>
    </w:p>
    <w:p>
      <w:pPr>
        <w:jc w:val="both"/>
        <w:ind w:left="-8" w:right="20" w:firstLine="584"/>
        <w:spacing w:after="0" w:line="266" w:lineRule="auto"/>
        <w:tabs>
          <w:tab w:leader="none" w:pos="83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timely report the related party transactions of more than 10% of the net assets of the actual trustee, including: j the related party relationships of all parties to the transaction k Transaction items and nature l The amount of the transaction or the corresponding proportion m Pricing policy (including transactions with no amount or only symbolic amount).</w:t>
      </w:r>
    </w:p>
    <w:p>
      <w:pPr>
        <w:spacing w:after="0" w:line="175" w:lineRule="exact"/>
        <w:rPr>
          <w:rFonts w:ascii="Times New Roman" w:cs="Times New Roman" w:eastAsia="Times New Roman" w:hAnsi="Times New Roman"/>
          <w:sz w:val="18"/>
          <w:szCs w:val="18"/>
          <w:color w:val="auto"/>
        </w:rPr>
      </w:pPr>
    </w:p>
    <w:p>
      <w:pPr>
        <w:jc w:val="both"/>
        <w:ind w:left="-8" w:firstLine="584"/>
        <w:spacing w:after="0" w:line="254" w:lineRule="auto"/>
        <w:tabs>
          <w:tab w:leader="none" w:pos="82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 j providing false materials or concealing important business financial facts k Changing the original purpose of the credit without the consent of the lender, misappropriating the credit or using the bank credit to engage in illegal and illegal transactions l Taking advantage of false contracts with related parties to obtain bank funds or credit by discounting or pledging creditor’s rights such as notes receivable and accounts receivable without actual trade background m refusing to accept the lender’s supervision and inspection of its use of credit funds and relevant business and financial activities n In case of major merger, acquisition and reorganization, the lender believes that it may affect the credit security o Intentionally evading bank creditor’s rights through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7" w:name="page278"/>
    <w:bookmarkEnd w:id="277"/>
    <w:p>
      <w:pPr>
        <w:jc w:val="both"/>
        <w:ind w:left="-8" w:firstLine="8"/>
        <w:spacing w:after="0" w:line="258" w:lineRule="auto"/>
        <w:tabs>
          <w:tab w:leader="none" w:pos="27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183" w:lineRule="exact"/>
        <w:rPr>
          <w:rFonts w:ascii="Times New Roman" w:cs="Times New Roman" w:eastAsia="Times New Roman" w:hAnsi="Times New Roman"/>
          <w:sz w:val="18"/>
          <w:szCs w:val="18"/>
          <w:color w:val="auto"/>
        </w:rPr>
      </w:pPr>
    </w:p>
    <w:p>
      <w:pPr>
        <w:jc w:val="both"/>
        <w:ind w:left="-8" w:firstLine="584"/>
        <w:spacing w:after="0" w:line="266" w:lineRule="auto"/>
        <w:tabs>
          <w:tab w:leader="none" w:pos="832"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declares and guarantees that the management of environmental and social risks, including: j the internal management documents related to environmental and social risks comply with the requirements of laws and regulations and are effectively implemented; k there are no major litigation cases involving environmental and social risks;</w:t>
      </w:r>
    </w:p>
    <w:p>
      <w:pPr>
        <w:spacing w:after="0" w:line="175" w:lineRule="exact"/>
        <w:rPr>
          <w:rFonts w:ascii="Times New Roman" w:cs="Times New Roman" w:eastAsia="Times New Roman" w:hAnsi="Times New Roman"/>
          <w:sz w:val="18"/>
          <w:szCs w:val="18"/>
          <w:color w:val="auto"/>
        </w:rPr>
      </w:pPr>
    </w:p>
    <w:p>
      <w:pPr>
        <w:jc w:val="both"/>
        <w:ind w:left="-8" w:firstLine="584"/>
        <w:spacing w:after="0" w:line="253" w:lineRule="auto"/>
        <w:tabs>
          <w:tab w:leader="none" w:pos="86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to accept the supervision of the lender and strengthen environmental and social risk management, including: j commitment to compliance of all behaviors and performances related to environmental and social risks k Commit to establish and improve the internal management system of environmental and social risks, and specify the responsibilities, obligations and punishment measures of relevant responsible personnel of the borrower l Commit to establish and improve the emergency mechanism and measures for environmental and social risk emergencies m Commit to establish special departments and / or designate special personnel to be responsible for environmental and social risks n Promise to cooperate with the lender or its recognized third party in the assessment and inspection of the borrower’s environmental and social risks o in the face of strong doubts from the public or other stakeholders about the borrower’s performance in controlling environmental and social risks, promise to respond appropriately or take other necessary actions p undertake to urge the borrower’s vital related parties to strengthen management and prevent the environmental and social risks of related parties from infecting the borrower q undertake to perform other matters that the lender considers relevant to controlling environmental and social risks</w:t>
      </w:r>
    </w:p>
    <w:p>
      <w:pPr>
        <w:spacing w:after="0" w:line="194" w:lineRule="exact"/>
        <w:rPr>
          <w:rFonts w:ascii="Times New Roman" w:cs="Times New Roman" w:eastAsia="Times New Roman" w:hAnsi="Times New Roman"/>
          <w:sz w:val="18"/>
          <w:szCs w:val="18"/>
          <w:color w:val="auto"/>
        </w:rPr>
      </w:pPr>
    </w:p>
    <w:p>
      <w:pPr>
        <w:jc w:val="both"/>
        <w:ind w:left="-8" w:firstLine="584"/>
        <w:spacing w:after="0" w:line="256" w:lineRule="auto"/>
        <w:tabs>
          <w:tab w:leader="none" w:pos="83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to timely and fully inform the lender of various permits j approvals and approvals related to environmental and social risks in the process of commencement, construction, operation and shutdown k Assessment and inspection of the borrower’s environmental and social risks by the environmental and social risk regulatory authority or its recognized institutions l supporting construction and operation of environmental facilities m Discharge and compliance of pollutants n Safety and health of employees o neighboring communities for the borrower Major complaints and protests p Major environmental and social claims q Other lenders believe that it is related to environmental and social winds Skillfully Major information related to insurance;</w:t>
      </w:r>
    </w:p>
    <w:p>
      <w:pPr>
        <w:spacing w:after="0" w:line="187" w:lineRule="exact"/>
        <w:rPr>
          <w:rFonts w:ascii="Times New Roman" w:cs="Times New Roman" w:eastAsia="Times New Roman" w:hAnsi="Times New Roman"/>
          <w:sz w:val="18"/>
          <w:szCs w:val="18"/>
          <w:color w:val="auto"/>
        </w:rPr>
      </w:pPr>
    </w:p>
    <w:p>
      <w:pPr>
        <w:jc w:val="both"/>
        <w:ind w:left="-8" w:firstLine="584"/>
        <w:spacing w:after="0" w:line="258" w:lineRule="auto"/>
        <w:tabs>
          <w:tab w:leader="none" w:pos="8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and the actual Credit Lender have the following circumstances, it shall be deemed that the borrower has an event of default under this Contract: j the borrower’s statement, guarantee and commitment on environmental and social risk management have not been seriously fulfilled k The borrower is punished by relevant government departments due to poor environmental and social risk management l the borrower is strongly questioned by the public and / or the media due to poor environmental and social risk management m Other events of default related to environmental and social risk management agreed between the lender and the borrower, including cross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8" w:name="page279"/>
    <w:bookmarkEnd w:id="278"/>
    <w:p>
      <w:pPr>
        <w:jc w:val="both"/>
        <w:spacing w:after="0" w:line="261" w:lineRule="auto"/>
        <w:rPr>
          <w:sz w:val="20"/>
          <w:szCs w:val="20"/>
          <w:color w:val="auto"/>
        </w:rPr>
      </w:pPr>
      <w:r>
        <w:rPr>
          <w:rFonts w:ascii="Times New Roman" w:cs="Times New Roman" w:eastAsia="Times New Roman" w:hAnsi="Times New Roman"/>
          <w:sz w:val="18"/>
          <w:szCs w:val="18"/>
          <w:color w:val="auto"/>
        </w:rPr>
        <w:t>In case of the above events of default of the borrower, the lender has the right to unilaterally decide: j cancel the credit commitment already made k Suspend the disbursement of the loan until the borrower takes rescue measures satisfactory to the lender l recover the allocated loan in advance m When the loan cannot be repaid, relevant mortgage and pledge rights and other punishment measures shall be exercised in advance n other punishment measures agreed by the lender and the borrower.</w:t>
      </w:r>
    </w:p>
    <w:p>
      <w:pPr>
        <w:spacing w:after="0" w:line="180" w:lineRule="exact"/>
        <w:rPr>
          <w:sz w:val="20"/>
          <w:szCs w:val="20"/>
          <w:color w:val="auto"/>
        </w:rPr>
      </w:pPr>
    </w:p>
    <w:p>
      <w:pPr>
        <w:jc w:val="both"/>
        <w:ind w:firstLine="8"/>
        <w:spacing w:after="0" w:line="254" w:lineRule="auto"/>
        <w:tabs>
          <w:tab w:leader="none" w:pos="29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27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27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Article 9 deduction agreement</w:t>
      </w:r>
    </w:p>
    <w:p>
      <w:pPr>
        <w:spacing w:after="0" w:line="22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1 ..The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80" w:lineRule="exact"/>
        <w:rPr>
          <w:sz w:val="20"/>
          <w:szCs w:val="20"/>
          <w:color w:val="auto"/>
        </w:rPr>
      </w:pPr>
    </w:p>
    <w:p>
      <w:pPr>
        <w:ind w:right="20" w:firstLine="584"/>
        <w:spacing w:after="0" w:line="282" w:lineRule="auto"/>
        <w:tabs>
          <w:tab w:leader="none" w:pos="75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use the proceeds to repay the loan principal, interest or other expenses. If there are multiple claims unpaid at the same time, the lender shall determine the repayment order of the claims.</w:t>
      </w:r>
    </w:p>
    <w:p>
      <w:pPr>
        <w:spacing w:after="0" w:line="161"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deducted income is inconsistent with the currency to be repaid, it shall be handled in the following ways:</w:t>
      </w:r>
    </w:p>
    <w:p>
      <w:pPr>
        <w:spacing w:after="0" w:line="225" w:lineRule="exact"/>
        <w:rPr>
          <w:sz w:val="20"/>
          <w:szCs w:val="20"/>
          <w:color w:val="auto"/>
        </w:rPr>
      </w:pPr>
    </w:p>
    <w:p>
      <w:pPr>
        <w:ind w:right="20" w:firstLine="584"/>
        <w:spacing w:after="0" w:line="282" w:lineRule="auto"/>
        <w:tabs>
          <w:tab w:leader="none" w:pos="84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175" w:lineRule="exact"/>
        <w:rPr>
          <w:rFonts w:ascii="Times New Roman" w:cs="Times New Roman" w:eastAsia="Times New Roman" w:hAnsi="Times New Roman"/>
          <w:sz w:val="18"/>
          <w:szCs w:val="18"/>
          <w:color w:val="auto"/>
        </w:rPr>
      </w:pPr>
    </w:p>
    <w:p>
      <w:pPr>
        <w:jc w:val="both"/>
        <w:ind w:firstLine="584"/>
        <w:spacing w:after="0" w:line="261" w:lineRule="auto"/>
        <w:tabs>
          <w:tab w:leader="none" w:pos="84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proof of creditor’s rights</w:t>
      </w:r>
    </w:p>
    <w:p>
      <w:pPr>
        <w:spacing w:after="0" w:line="22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b w:val="1"/>
          <w:bCs w:val="1"/>
          <w:color w:val="auto"/>
        </w:rPr>
        <w:t>Article 11 agreed service address</w:t>
      </w:r>
    </w:p>
    <w:p>
      <w:pPr>
        <w:spacing w:after="0" w:line="229" w:lineRule="exact"/>
        <w:rPr>
          <w:sz w:val="20"/>
          <w:szCs w:val="20"/>
          <w:color w:val="auto"/>
        </w:rPr>
      </w:pPr>
    </w:p>
    <w:p>
      <w:pPr>
        <w:jc w:val="both"/>
        <w:ind w:right="20" w:firstLine="584"/>
        <w:spacing w:after="0" w:line="266" w:lineRule="auto"/>
        <w:tabs>
          <w:tab w:leader="none" w:pos="75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75" w:lineRule="exact"/>
        <w:rPr>
          <w:rFonts w:ascii="Times New Roman" w:cs="Times New Roman" w:eastAsia="Times New Roman" w:hAnsi="Times New Roman"/>
          <w:sz w:val="18"/>
          <w:szCs w:val="18"/>
          <w:color w:val="auto"/>
        </w:rPr>
      </w:pPr>
    </w:p>
    <w:p>
      <w:pPr>
        <w:jc w:val="both"/>
        <w:ind w:firstLine="584"/>
        <w:spacing w:after="0" w:line="255" w:lineRule="auto"/>
        <w:tabs>
          <w:tab w:leader="none" w:pos="75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 events of default and handling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Event of default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 following circumstances shall constitute a breach of contract by the borrower against the lender:</w:t>
      </w:r>
    </w:p>
    <w:p>
      <w:pPr>
        <w:spacing w:after="0" w:line="225" w:lineRule="exact"/>
        <w:rPr>
          <w:sz w:val="20"/>
          <w:szCs w:val="20"/>
          <w:color w:val="auto"/>
        </w:rPr>
      </w:pPr>
    </w:p>
    <w:p>
      <w:pPr>
        <w:jc w:val="both"/>
        <w:ind w:firstLine="584"/>
        <w:spacing w:after="0" w:line="266" w:lineRule="auto"/>
        <w:tabs>
          <w:tab w:leader="none" w:pos="85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violated “other matters agreed by both parties” (if any) in part I of the contract or any agreed matter in Article 8 of Part II.</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4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investors withdraw funds, transfer assets or transfer equity without authorization.</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has or will no longer have the ability to provide guarantee corresponding to the loan, or violates the guarantee documents signed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w:t>
      </w:r>
    </w:p>
    <w:p>
      <w:pPr>
        <w:spacing w:after="0" w:line="206" w:lineRule="exact"/>
        <w:rPr>
          <w:rFonts w:ascii="Times New Roman" w:cs="Times New Roman" w:eastAsia="Times New Roman" w:hAnsi="Times New Roman"/>
          <w:sz w:val="18"/>
          <w:szCs w:val="18"/>
          <w:color w:val="auto"/>
        </w:rPr>
      </w:pPr>
    </w:p>
    <w:p>
      <w:pPr>
        <w:ind w:right="20" w:firstLine="584"/>
        <w:spacing w:after="0" w:line="282" w:lineRule="auto"/>
        <w:tabs>
          <w:tab w:leader="none" w:pos="84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3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repay the principal and interest on schedule or use the loan for the agreed purpose.</w:t>
      </w:r>
    </w:p>
    <w:p>
      <w:pPr>
        <w:spacing w:after="0" w:line="225"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funds are not paid in the agreed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1" w:name="page282"/>
    <w:bookmarkEnd w:id="281"/>
    <w:p>
      <w:pPr>
        <w:ind w:left="912" w:hanging="336"/>
        <w:spacing w:after="0"/>
        <w:tabs>
          <w:tab w:leader="none" w:pos="91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and information submitted for loan application are false and incorrect.</w:t>
      </w:r>
    </w:p>
    <w:p>
      <w:pPr>
        <w:spacing w:after="0" w:line="225" w:lineRule="exact"/>
        <w:rPr>
          <w:rFonts w:ascii="Times New Roman" w:cs="Times New Roman" w:eastAsia="Times New Roman" w:hAnsi="Times New Roman"/>
          <w:sz w:val="18"/>
          <w:szCs w:val="18"/>
          <w:color w:val="auto"/>
        </w:rPr>
      </w:pPr>
    </w:p>
    <w:p>
      <w:pPr>
        <w:ind w:left="912" w:hanging="336"/>
        <w:spacing w:after="0"/>
        <w:tabs>
          <w:tab w:leader="none" w:pos="91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meet or exceed the constraints of relevant financial indicators agreed in the contract.</w:t>
      </w:r>
    </w:p>
    <w:p>
      <w:pPr>
        <w:spacing w:after="0" w:line="225" w:lineRule="exact"/>
        <w:rPr>
          <w:rFonts w:ascii="Times New Roman" w:cs="Times New Roman" w:eastAsia="Times New Roman" w:hAnsi="Times New Roman"/>
          <w:sz w:val="18"/>
          <w:szCs w:val="18"/>
          <w:color w:val="auto"/>
        </w:rPr>
      </w:pPr>
    </w:p>
    <w:p>
      <w:pPr>
        <w:ind w:left="-8" w:firstLine="584"/>
        <w:spacing w:after="0" w:line="282" w:lineRule="auto"/>
        <w:tabs>
          <w:tab w:leader="none" w:pos="93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161" w:lineRule="exact"/>
        <w:rPr>
          <w:rFonts w:ascii="Times New Roman" w:cs="Times New Roman" w:eastAsia="Times New Roman" w:hAnsi="Times New Roman"/>
          <w:sz w:val="18"/>
          <w:szCs w:val="18"/>
          <w:color w:val="auto"/>
        </w:rPr>
      </w:pPr>
    </w:p>
    <w:p>
      <w:pPr>
        <w:ind w:left="912" w:hanging="336"/>
        <w:spacing w:after="0"/>
        <w:tabs>
          <w:tab w:leader="none" w:pos="912"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flow in the general settlement account / capital return account is abnormal.</w:t>
      </w:r>
    </w:p>
    <w:p>
      <w:pPr>
        <w:spacing w:after="0" w:line="225" w:lineRule="exact"/>
        <w:rPr>
          <w:rFonts w:ascii="Times New Roman" w:cs="Times New Roman" w:eastAsia="Times New Roman" w:hAnsi="Times New Roman"/>
          <w:sz w:val="18"/>
          <w:szCs w:val="18"/>
          <w:color w:val="auto"/>
        </w:rPr>
      </w:pPr>
    </w:p>
    <w:p>
      <w:pPr>
        <w:ind w:left="-8" w:firstLine="584"/>
        <w:spacing w:after="0" w:line="282" w:lineRule="auto"/>
        <w:tabs>
          <w:tab w:leader="none" w:pos="91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other acts in violation of this contract that are sufficient to hinder the normal performance of this contract, or other acts that damage the legitimate interests of the lender.</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of breach of contract</w:t>
      </w:r>
    </w:p>
    <w:p>
      <w:pPr>
        <w:spacing w:after="0" w:line="225" w:lineRule="exact"/>
        <w:rPr>
          <w:rFonts w:ascii="Times New Roman" w:cs="Times New Roman" w:eastAsia="Times New Roman" w:hAnsi="Times New Roman"/>
          <w:sz w:val="18"/>
          <w:szCs w:val="18"/>
          <w:color w:val="auto"/>
        </w:rPr>
      </w:pPr>
    </w:p>
    <w:p>
      <w:pPr>
        <w:ind w:left="-8" w:right="20" w:firstLine="584"/>
        <w:spacing w:after="0" w:line="282" w:lineRule="auto"/>
        <w:tabs>
          <w:tab w:leader="none" w:pos="82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one or more of the default circumstances listed in the current paragraph occur, the lender may take one or more of the following measures at its discretion:</w:t>
      </w:r>
    </w:p>
    <w:p>
      <w:pPr>
        <w:spacing w:after="0" w:line="162" w:lineRule="exact"/>
        <w:rPr>
          <w:sz w:val="20"/>
          <w:szCs w:val="20"/>
          <w:color w:val="auto"/>
        </w:rPr>
      </w:pPr>
    </w:p>
    <w:p>
      <w:pPr>
        <w:ind w:left="832" w:hanging="256"/>
        <w:spacing w:after="0"/>
        <w:tabs>
          <w:tab w:leader="none" w:pos="8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borrower to correct within a time limit.</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unused loan of the borrower and stop issuing and paying the unused loan of the borrower.</w:t>
      </w:r>
    </w:p>
    <w:p>
      <w:pPr>
        <w:spacing w:after="0" w:line="225" w:lineRule="exact"/>
        <w:rPr>
          <w:rFonts w:ascii="Times New Roman" w:cs="Times New Roman" w:eastAsia="Times New Roman" w:hAnsi="Times New Roman"/>
          <w:sz w:val="18"/>
          <w:szCs w:val="18"/>
          <w:color w:val="auto"/>
        </w:rPr>
      </w:pPr>
    </w:p>
    <w:p>
      <w:pPr>
        <w:ind w:left="-8" w:firstLine="584"/>
        <w:spacing w:after="0" w:line="282" w:lineRule="auto"/>
        <w:tabs>
          <w:tab w:leader="none" w:pos="825"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61"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interest and compound interest shall be charged for overdue loans and misappropriated loans.</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 from any account opened by the borrower in each branch of Shanghai Pudong Development Bank Co., Ltd</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borrower to supplement the loan issuance and payment conditions, or change the loan payment method.</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borrower to provide other guarantees approved by the lender.</w:t>
      </w:r>
    </w:p>
    <w:p>
      <w:pPr>
        <w:spacing w:after="0" w:line="225" w:lineRule="exact"/>
        <w:rPr>
          <w:rFonts w:ascii="Times New Roman" w:cs="Times New Roman" w:eastAsia="Times New Roman" w:hAnsi="Times New Roman"/>
          <w:sz w:val="18"/>
          <w:szCs w:val="18"/>
          <w:color w:val="auto"/>
        </w:rPr>
      </w:pPr>
    </w:p>
    <w:p>
      <w:pPr>
        <w:ind w:left="832" w:hanging="256"/>
        <w:spacing w:after="0"/>
        <w:tabs>
          <w:tab w:leader="none" w:pos="8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necessary measures stipulated by law.</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7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Article 13 effectiveness, alteration and dissolution</w:t>
      </w:r>
    </w:p>
    <w:p>
      <w:pPr>
        <w:spacing w:after="0" w:line="229" w:lineRule="exact"/>
        <w:rPr>
          <w:sz w:val="20"/>
          <w:szCs w:val="20"/>
          <w:color w:val="auto"/>
        </w:rPr>
      </w:pPr>
    </w:p>
    <w:p>
      <w:pPr>
        <w:jc w:val="both"/>
        <w:ind w:firstLine="584"/>
        <w:spacing w:after="0" w:line="266" w:lineRule="auto"/>
        <w:tabs>
          <w:tab w:leader="none" w:pos="76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75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contract takes effect, neither party shall change or terminate the contract in advance without authorization. If the contract needs to be changed or terminated, both parties shall reach a written agreement through consultation.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 other provisions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..definition</w:t>
      </w:r>
    </w:p>
    <w:p>
      <w:pPr>
        <w:spacing w:after="0" w:line="225" w:lineRule="exact"/>
        <w:rPr>
          <w:sz w:val="20"/>
          <w:szCs w:val="20"/>
          <w:color w:val="auto"/>
        </w:rPr>
      </w:pPr>
    </w:p>
    <w:p>
      <w:pPr>
        <w:ind w:firstLine="584"/>
        <w:spacing w:after="0" w:line="282" w:lineRule="auto"/>
        <w:tabs>
          <w:tab w:leader="none" w:pos="84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creditor’s rights” under this contract refers to the loan principal, interest, liquidated damages and various expenses incurred to realize the creditor’s rights.</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“interest” under this contract includes interest, penalty interest and compound interest.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Applicable law</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Settlement of disputes</w:t>
      </w:r>
    </w:p>
    <w:p>
      <w:pPr>
        <w:spacing w:after="0" w:line="225"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 Miscellaneous</w:t>
      </w:r>
    </w:p>
    <w:p>
      <w:pPr>
        <w:spacing w:after="0" w:line="225" w:lineRule="exact"/>
        <w:rPr>
          <w:sz w:val="20"/>
          <w:szCs w:val="20"/>
          <w:color w:val="auto"/>
        </w:rPr>
      </w:pPr>
    </w:p>
    <w:p>
      <w:pPr>
        <w:jc w:val="both"/>
        <w:ind w:firstLine="584"/>
        <w:spacing w:after="0" w:line="266" w:lineRule="auto"/>
        <w:tabs>
          <w:tab w:leader="none" w:pos="84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75" w:lineRule="exact"/>
        <w:rPr>
          <w:rFonts w:ascii="Times New Roman" w:cs="Times New Roman" w:eastAsia="Times New Roman" w:hAnsi="Times New Roman"/>
          <w:sz w:val="18"/>
          <w:szCs w:val="18"/>
          <w:color w:val="auto"/>
        </w:rPr>
      </w:pPr>
    </w:p>
    <w:p>
      <w:pPr>
        <w:jc w:val="both"/>
        <w:ind w:firstLine="584"/>
        <w:spacing w:after="0" w:line="261" w:lineRule="auto"/>
        <w:tabs>
          <w:tab w:leader="none" w:pos="83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79"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of one clause of the contract shall not affect the validity of other clauses of the contract. This contract is not valid for any reason</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3" w:name="page284"/>
    <w:bookmarkEnd w:id="283"/>
    <w:p>
      <w:pPr>
        <w:jc w:val="both"/>
        <w:ind w:firstLine="584"/>
        <w:spacing w:after="0" w:line="266" w:lineRule="auto"/>
        <w:tabs>
          <w:tab w:leader="none" w:pos="83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contract, relevant terms and expressions in the annexes to the contract have the same meanings as those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under this contract are for convenience only and shall not be used as the basis for the contents under this heading.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text below this page)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(this page is the signature page without text)</w:t>
      </w:r>
    </w:p>
    <w:p>
      <w:pPr>
        <w:spacing w:after="0" w:line="225"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 xml:space="preserve">This contract is signed by and between the borrower and the lender on </w:t>
      </w:r>
      <w:r>
        <w:rPr>
          <w:rFonts w:ascii="Times New Roman" w:cs="Times New Roman" w:eastAsia="Times New Roman" w:hAnsi="Times New Roman"/>
          <w:sz w:val="18"/>
          <w:szCs w:val="18"/>
          <w:u w:val="single" w:color="auto"/>
          <w:color w:val="auto"/>
        </w:rPr>
        <w:t>March 9,2022</w:t>
      </w:r>
      <w:r>
        <w:rPr>
          <w:rFonts w:ascii="Times New Roman" w:cs="Times New Roman" w:eastAsia="Times New Roman" w:hAnsi="Times New Roman"/>
          <w:sz w:val="18"/>
          <w:szCs w:val="18"/>
          <w:color w:val="auto"/>
        </w:rPr>
        <w:t>.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Borrower(Official seal)</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or authorized agent (signature or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Lender (Official seal or contract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 person in charge (authorized or sealed)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98842022280318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43"/>
          <w:szCs w:val="43"/>
          <w:b w:val="1"/>
          <w:bCs w:val="1"/>
          <w:color w:val="auto"/>
        </w:rPr>
        <w:t>SPD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43"/>
          <w:szCs w:val="43"/>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1282065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b w:val="1"/>
          <w:bCs w:val="1"/>
          <w:color w:val="auto"/>
        </w:rPr>
        <w:t>contract for loans of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ChinaLink Professional Services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business address: 2nd floor, building 18, No. 498, GuoShouJing Road, Pudong New Area, Shanghai</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Lisa Wu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Tell: 021-31268010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lisa.wu@clpsglobal.com</w:t>
      </w:r>
    </w:p>
    <w:p>
      <w:pPr>
        <w:spacing w:after="0" w:line="211"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Shanghai Pudong Development Bank Co., LTD. Jinqiao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business address: No.509 Jinqiao Road, Pudong New Area, Shanghai</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Lin Xie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Tell: 021-58994702</w:t>
      </w:r>
    </w:p>
    <w:p>
      <w:pPr>
        <w:spacing w:after="0" w:line="211"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the same time, the borrower and the lender confirm the following principal terms (please select in the box below according to the situation, tick X if not selected);</w:t>
      </w:r>
    </w:p>
    <w:p>
      <w:pPr>
        <w:spacing w:after="0" w:line="162" w:lineRule="exact"/>
        <w:rPr>
          <w:sz w:val="20"/>
          <w:szCs w:val="20"/>
          <w:color w:val="auto"/>
        </w:rPr>
      </w:pPr>
    </w:p>
    <w:p>
      <w:pPr>
        <w:jc w:val="both"/>
        <w:ind w:firstLine="332"/>
        <w:spacing w:after="0" w:line="266" w:lineRule="auto"/>
        <w:tabs>
          <w:tab w:leader="none" w:pos="556" w:val="left"/>
        </w:tabs>
        <w:numPr>
          <w:ilvl w:val="0"/>
          <w:numId w:val="2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176" w:lineRule="exact"/>
        <w:rPr>
          <w:sz w:val="20"/>
          <w:szCs w:val="20"/>
          <w:color w:val="auto"/>
        </w:rPr>
      </w:pPr>
    </w:p>
    <w:p>
      <w:pPr>
        <w:ind w:firstLine="332"/>
        <w:spacing w:after="0" w:line="282" w:lineRule="auto"/>
        <w:tabs>
          <w:tab w:leader="none" w:pos="47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is an independent credit document signed between the borrower and the lender (this item should be selected if the borrower and the lender have not signed the financing line agreement);</w:t>
      </w:r>
    </w:p>
    <w:p>
      <w:pPr>
        <w:spacing w:after="0" w:line="162" w:lineRule="exact"/>
        <w:rPr>
          <w:sz w:val="20"/>
          <w:szCs w:val="20"/>
          <w:color w:val="auto"/>
        </w:rPr>
      </w:pPr>
    </w:p>
    <w:p>
      <w:pPr>
        <w:ind w:firstLine="332"/>
        <w:spacing w:after="0" w:line="282" w:lineRule="auto"/>
        <w:tabs>
          <w:tab w:leader="none" w:pos="550" w:val="left"/>
        </w:tabs>
        <w:numPr>
          <w:ilvl w:val="0"/>
          <w:numId w:val="2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guarantor has been informed that the purpose of the loan under this contract is to repay the loan under the original contract name: Date of signing: No: .(Select this item if the purpose of borrowing is to repay the old or renew the 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b w:val="1"/>
          <w:bCs w:val="1"/>
          <w:color w:val="auto"/>
        </w:rPr>
        <w:t>The Part One Commercial terms</w:t>
      </w:r>
    </w:p>
    <w:p>
      <w:pPr>
        <w:spacing w:after="0" w:line="241" w:lineRule="exact"/>
        <w:rPr>
          <w:sz w:val="20"/>
          <w:szCs w:val="20"/>
          <w:color w:val="auto"/>
        </w:rPr>
      </w:pPr>
    </w:p>
    <w:p>
      <w:pPr>
        <w:ind w:left="340" w:hanging="332"/>
        <w:spacing w:after="0" w:line="235" w:lineRule="exact"/>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Types of Loans: þ Short-term working capital loans </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Courier New" w:cs="Courier New" w:eastAsia="Courier New" w:hAnsi="Courier New"/>
          <w:sz w:val="18"/>
          <w:szCs w:val="18"/>
          <w:color w:val="auto"/>
        </w:rPr>
        <w:t>ﲟ</w:t>
      </w:r>
      <w:r>
        <w:rPr>
          <w:rFonts w:ascii="Times New Roman" w:cs="Times New Roman" w:eastAsia="Times New Roman" w:hAnsi="Times New Roman"/>
          <w:sz w:val="18"/>
          <w:szCs w:val="18"/>
          <w:color w:val="auto"/>
        </w:rPr>
        <w:t xml:space="preserve"> mid-term liquidity loan,</w:t>
      </w:r>
    </w:p>
    <w:p>
      <w:pPr>
        <w:spacing w:after="0" w:line="21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 amount under this contract is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10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specific use of loan under this contract as follows: </w:t>
      </w:r>
      <w:r>
        <w:rPr>
          <w:rFonts w:ascii="Times New Roman" w:cs="Times New Roman" w:eastAsia="Times New Roman" w:hAnsi="Times New Roman"/>
          <w:sz w:val="18"/>
          <w:szCs w:val="18"/>
          <w:u w:val="single" w:color="auto"/>
          <w:color w:val="auto"/>
        </w:rPr>
        <w:t>payroll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limit for the loan under this contract (in the following box, please, don’t choose to play x)</w:t>
      </w:r>
    </w:p>
    <w:p>
      <w:pPr>
        <w:spacing w:after="0" w:line="229" w:lineRule="exact"/>
        <w:rPr>
          <w:sz w:val="20"/>
          <w:szCs w:val="20"/>
          <w:color w:val="auto"/>
        </w:rPr>
      </w:pPr>
    </w:p>
    <w:p>
      <w:pPr>
        <w:ind w:left="580" w:hanging="248"/>
        <w:spacing w:after="0"/>
        <w:tabs>
          <w:tab w:leader="none" w:pos="580" w:val="left"/>
        </w:tabs>
        <w:numPr>
          <w:ilvl w:val="0"/>
          <w:numId w:val="2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since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29"/>
          <w:szCs w:val="29"/>
          <w:u w:val="single" w:color="auto"/>
          <w:color w:val="auto"/>
          <w:vertAlign w:val="superscript"/>
        </w:rPr>
        <w:t>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2022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9"/>
          <w:szCs w:val="29"/>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June 2023.</w:t>
      </w:r>
    </w:p>
    <w:p>
      <w:pPr>
        <w:spacing w:after="0" w:line="120" w:lineRule="exact"/>
        <w:rPr>
          <w:sz w:val="20"/>
          <w:szCs w:val="20"/>
          <w:color w:val="auto"/>
        </w:rPr>
      </w:pPr>
    </w:p>
    <w:p>
      <w:pPr>
        <w:ind w:left="340"/>
        <w:spacing w:after="0" w:line="219" w:lineRule="exact"/>
        <w:tabs>
          <w:tab w:leader="none" w:pos="3120" w:val="left"/>
          <w:tab w:leader="none" w:pos="3400" w:val="left"/>
          <w:tab w:leader="none" w:pos="4260" w:val="left"/>
          <w:tab w:leader="none" w:pos="4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From the date of first withdrawal</w:t>
        <w:tab/>
        <w:t>/</w:t>
        <w:tab/>
        <w:t>year</w:t>
      </w:r>
      <w:r>
        <w:rPr>
          <w:rFonts w:ascii="SimSun" w:cs="SimSun" w:eastAsia="SimSun" w:hAnsi="SimSun"/>
          <w:sz w:val="18"/>
          <w:szCs w:val="18"/>
          <w:color w:val="auto"/>
        </w:rPr>
        <w:t>（</w:t>
      </w:r>
      <w:r>
        <w:rPr>
          <w:rFonts w:ascii="Times New Roman" w:cs="Times New Roman" w:eastAsia="Times New Roman" w:hAnsi="Times New Roman"/>
          <w:sz w:val="18"/>
          <w:szCs w:val="18"/>
          <w:color w:val="auto"/>
        </w:rPr>
        <w:t>or</w:t>
        <w:tab/>
        <w:t>/</w:t>
      </w:r>
      <w:r>
        <w:rPr>
          <w:sz w:val="20"/>
          <w:szCs w:val="20"/>
          <w:color w:val="auto"/>
        </w:rPr>
        <w:tab/>
      </w:r>
      <w:r>
        <w:rPr>
          <w:rFonts w:ascii="Times New Roman" w:cs="Times New Roman" w:eastAsia="Times New Roman" w:hAnsi="Times New Roman"/>
          <w:sz w:val="17"/>
          <w:szCs w:val="17"/>
          <w:color w:val="auto"/>
        </w:rPr>
        <w:t>months</w:t>
      </w:r>
      <w:r>
        <w:rPr>
          <w:rFonts w:ascii="SimSun" w:cs="SimSun" w:eastAsia="SimSun" w:hAnsi="SimSu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2540</wp:posOffset>
            </wp:positionV>
            <wp:extent cx="26035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260350" cy="8255"/>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2540</wp:posOffset>
            </wp:positionV>
            <wp:extent cx="2603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260350" cy="8255"/>
                    </a:xfrm>
                    <a:prstGeom prst="rect">
                      <a:avLst/>
                    </a:prstGeom>
                    <a:noFill/>
                  </pic:spPr>
                </pic:pic>
              </a:graphicData>
            </a:graphic>
          </wp:anchor>
        </w:drawing>
      </w:r>
    </w:p>
    <w:p>
      <w:pPr>
        <w:spacing w:after="0" w:line="2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62" w:lineRule="exact"/>
        <w:rPr>
          <w:sz w:val="20"/>
          <w:szCs w:val="20"/>
          <w:color w:val="auto"/>
        </w:rPr>
      </w:pPr>
    </w:p>
    <w:p>
      <w:pPr>
        <w:ind w:left="340" w:right="4120" w:hanging="332"/>
        <w:spacing w:after="0" w:line="500" w:lineRule="auto"/>
        <w:tabs>
          <w:tab w:leader="none" w:pos="3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of the loan under this Contract is (please tick V in the box below and x if not) þ (1) the RMB loans Interest Rate :</w:t>
      </w:r>
    </w:p>
    <w:p>
      <w:pPr>
        <w:spacing w:after="0" w:line="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loan under this Contract shall be issued according to the loan market quoted APR (term) -1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each loan is issued, if the quoted interest rate of the loan market is adjusted during the loan term, the loan interest rate (please put a in the box below and x in case of non-I):</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þ Fixed interest rate without adjustment;</w:t>
      </w:r>
    </w:p>
    <w:p>
      <w:pPr>
        <w:spacing w:after="0" w:line="225" w:lineRule="exact"/>
        <w:rPr>
          <w:sz w:val="20"/>
          <w:szCs w:val="20"/>
          <w:color w:val="auto"/>
        </w:rPr>
      </w:pPr>
    </w:p>
    <w:p>
      <w:pPr>
        <w:jc w:val="both"/>
        <w:ind w:firstLine="291"/>
        <w:spacing w:after="0" w:line="266" w:lineRule="auto"/>
        <w:tabs>
          <w:tab w:leader="none" w:pos="501"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v is selected in the following box, does not escape the x) :</w:t>
      </w:r>
    </w:p>
    <w:p>
      <w:pPr>
        <w:spacing w:after="0" w:line="175" w:lineRule="exact"/>
        <w:rPr>
          <w:rFonts w:ascii="MS PGothic" w:cs="MS PGothic" w:eastAsia="MS PGothic" w:hAnsi="MS PGothic"/>
          <w:sz w:val="18"/>
          <w:szCs w:val="18"/>
          <w:color w:val="auto"/>
        </w:rPr>
      </w:pPr>
    </w:p>
    <w:p>
      <w:pPr>
        <w:jc w:val="both"/>
        <w:ind w:firstLine="291"/>
        <w:spacing w:after="0" w:line="261" w:lineRule="auto"/>
        <w:tabs>
          <w:tab w:leader="none" w:pos="491"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93"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year, the interest rate adjustment date is January 1 of each year</w:t>
      </w:r>
      <w:r>
        <w:rPr>
          <w:rFonts w:ascii="SimSun" w:cs="SimSun" w:eastAsia="SimSun" w:hAnsi="SimSun"/>
          <w:sz w:val="18"/>
          <w:szCs w:val="18"/>
          <w:color w:val="auto"/>
        </w:rPr>
        <w:t>；</w:t>
      </w:r>
    </w:p>
    <w:p>
      <w:pPr>
        <w:spacing w:after="0" w:line="240"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the interest settlement date, and the interest rate adjustment day is the next day of the interest settlement date</w:t>
      </w:r>
      <w:r>
        <w:rPr>
          <w:rFonts w:ascii="SimSun" w:cs="SimSun" w:eastAsia="SimSun" w:hAnsi="SimSun"/>
          <w:sz w:val="18"/>
          <w:szCs w:val="18"/>
          <w:color w:val="auto"/>
        </w:rPr>
        <w:t>；</w:t>
      </w:r>
    </w:p>
    <w:p>
      <w:pPr>
        <w:spacing w:after="0" w:line="240"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adjustment of interest rate, interest rate adjustment day for the end of each quarter on a monthly basis,</w:t>
      </w:r>
      <w:r>
        <w:rPr>
          <w:rFonts w:ascii="SimSun" w:cs="SimSun" w:eastAsia="SimSun" w:hAnsi="SimSu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7" w:name="page288"/>
    <w:bookmarkEnd w:id="287"/>
    <w:p>
      <w:pPr>
        <w:ind w:left="500" w:hanging="209"/>
        <w:spacing w:after="0"/>
        <w:tabs>
          <w:tab w:leader="none" w:pos="500" w:val="left"/>
        </w:tabs>
        <w:numPr>
          <w:ilvl w:val="0"/>
          <w:numId w:val="2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interest rate adjustment day for a monthly/daily</w:t>
      </w:r>
    </w:p>
    <w:p>
      <w:pPr>
        <w:spacing w:after="0" w:line="225" w:lineRule="exact"/>
        <w:rPr>
          <w:rFonts w:ascii="MS PGothic" w:cs="MS PGothic" w:eastAsia="MS PGothic" w:hAnsi="MS PGothic"/>
          <w:sz w:val="18"/>
          <w:szCs w:val="18"/>
          <w:color w:val="auto"/>
        </w:rPr>
      </w:pPr>
    </w:p>
    <w:p>
      <w:pPr>
        <w:ind w:left="500" w:hanging="209"/>
        <w:spacing w:after="0"/>
        <w:tabs>
          <w:tab w:leader="none" w:pos="500" w:val="left"/>
        </w:tabs>
        <w:numPr>
          <w:ilvl w:val="0"/>
          <w:numId w:val="2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agreement (specific interest rate adjustment day),</w:t>
      </w:r>
    </w:p>
    <w:p>
      <w:pPr>
        <w:spacing w:after="0" w:line="225" w:lineRule="exact"/>
        <w:rPr>
          <w:rFonts w:ascii="MS PGothic" w:cs="MS PGothic" w:eastAsia="MS PGothic" w:hAnsi="MS PGothic"/>
          <w:sz w:val="18"/>
          <w:szCs w:val="18"/>
          <w:color w:val="auto"/>
        </w:rPr>
      </w:pPr>
    </w:p>
    <w:p>
      <w:pPr>
        <w:ind w:left="500" w:hanging="209"/>
        <w:spacing w:after="0"/>
        <w:tabs>
          <w:tab w:leader="none" w:pos="500" w:val="left"/>
        </w:tabs>
        <w:numPr>
          <w:ilvl w:val="0"/>
          <w:numId w:val="2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interest rate of foreign currency loan;</w:t>
      </w:r>
    </w:p>
    <w:p>
      <w:pPr>
        <w:spacing w:after="0" w:line="225" w:lineRule="exact"/>
        <w:rPr>
          <w:sz w:val="20"/>
          <w:szCs w:val="20"/>
          <w:color w:val="auto"/>
        </w:rPr>
      </w:pPr>
    </w:p>
    <w:p>
      <w:pPr>
        <w:ind w:right="20" w:firstLine="283"/>
        <w:spacing w:after="0" w:line="282" w:lineRule="auto"/>
        <w:rPr>
          <w:sz w:val="20"/>
          <w:szCs w:val="20"/>
          <w:color w:val="auto"/>
        </w:rPr>
      </w:pPr>
      <w:r>
        <w:rPr>
          <w:rFonts w:ascii="Times New Roman" w:cs="Times New Roman" w:eastAsia="Times New Roman" w:hAnsi="Times New Roman"/>
          <w:sz w:val="18"/>
          <w:szCs w:val="18"/>
          <w:color w:val="auto"/>
        </w:rPr>
        <w:t>each loan under this Contract will be issued __at the rate of ___(LIBORAHIBORSIBOR) published by the Lender on the date of disbursement plus/BPS.</w:t>
      </w:r>
    </w:p>
    <w:p>
      <w:pPr>
        <w:spacing w:after="0" w:line="162" w:lineRule="exact"/>
        <w:rPr>
          <w:sz w:val="20"/>
          <w:szCs w:val="20"/>
          <w:color w:val="auto"/>
        </w:rPr>
      </w:pPr>
    </w:p>
    <w:p>
      <w:pPr>
        <w:ind w:left="500" w:hanging="209"/>
        <w:spacing w:after="0"/>
        <w:tabs>
          <w:tab w:leader="none" w:pos="500" w:val="left"/>
        </w:tabs>
        <w:numPr>
          <w:ilvl w:val="1"/>
          <w:numId w:val="2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After each loan under this joint venture is issued, the loan interest rate shall be adjusted by __.</w:t>
      </w:r>
    </w:p>
    <w:p>
      <w:pPr>
        <w:spacing w:after="0" w:line="225" w:lineRule="exact"/>
        <w:rPr>
          <w:rFonts w:ascii="MS PGothic" w:cs="MS PGothic" w:eastAsia="MS PGothic" w:hAnsi="MS PGothic"/>
          <w:sz w:val="18"/>
          <w:szCs w:val="18"/>
          <w:color w:val="auto"/>
        </w:rPr>
      </w:pPr>
    </w:p>
    <w:p>
      <w:pPr>
        <w:ind w:left="500" w:hanging="209"/>
        <w:spacing w:after="0"/>
        <w:tabs>
          <w:tab w:leader="none" w:pos="500" w:val="left"/>
        </w:tabs>
        <w:numPr>
          <w:ilvl w:val="1"/>
          <w:numId w:val="2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Fixed rate, that is, the interest rate is not adjusted.</w:t>
      </w:r>
    </w:p>
    <w:p>
      <w:pPr>
        <w:spacing w:after="0" w:line="225" w:lineRule="exact"/>
        <w:rPr>
          <w:rFonts w:ascii="MS PGothic" w:cs="MS PGothic" w:eastAsia="MS PGothic" w:hAnsi="MS PGothic"/>
          <w:sz w:val="18"/>
          <w:szCs w:val="18"/>
          <w:color w:val="auto"/>
        </w:rPr>
      </w:pPr>
    </w:p>
    <w:p>
      <w:pPr>
        <w:ind w:left="180" w:hanging="172"/>
        <w:spacing w:after="0"/>
        <w:tabs>
          <w:tab w:leader="none" w:pos="1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loan settlement under this Contract is (please check the box below/tick X if not selected):</w:t>
      </w:r>
    </w:p>
    <w:p>
      <w:pPr>
        <w:spacing w:after="0" w:line="238" w:lineRule="exact"/>
        <w:rPr>
          <w:rFonts w:ascii="Times New Roman" w:cs="Times New Roman" w:eastAsia="Times New Roman" w:hAnsi="Times New Roman"/>
          <w:sz w:val="18"/>
          <w:szCs w:val="18"/>
          <w:color w:val="auto"/>
        </w:rPr>
      </w:pPr>
    </w:p>
    <w:p>
      <w:pPr>
        <w:ind w:left="540" w:hanging="208"/>
        <w:spacing w:after="0" w:line="219" w:lineRule="exact"/>
        <w:tabs>
          <w:tab w:leader="none" w:pos="540" w:val="left"/>
        </w:tabs>
        <w:numPr>
          <w:ilvl w:val="2"/>
          <w:numId w:val="2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On a monthly basis, the settlement date is the second +(20) day of each month</w:t>
      </w:r>
      <w:r>
        <w:rPr>
          <w:rFonts w:ascii="SimSun" w:cs="SimSun" w:eastAsia="SimSun" w:hAnsi="SimSun"/>
          <w:sz w:val="18"/>
          <w:szCs w:val="18"/>
          <w:color w:val="auto"/>
        </w:rPr>
        <w: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þ Quarterly, then the settlement date is the twentieth (20th) day of the last month of each quarter:</w:t>
      </w:r>
    </w:p>
    <w:p>
      <w:pPr>
        <w:spacing w:after="0" w:line="225" w:lineRule="exact"/>
        <w:rPr>
          <w:sz w:val="20"/>
          <w:szCs w:val="20"/>
          <w:color w:val="auto"/>
        </w:rPr>
      </w:pPr>
    </w:p>
    <w:p>
      <w:pPr>
        <w:ind w:left="540" w:hanging="208"/>
        <w:spacing w:after="0"/>
        <w:tabs>
          <w:tab w:leader="none" w:pos="540" w:val="left"/>
        </w:tabs>
        <w:numPr>
          <w:ilvl w:val="0"/>
          <w:numId w:val="27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methods: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interest rate under the Contract 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overdue penalty interest rate shall be applied at the loan execution rate applicable on the date of penalty interest collection plus </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loan is not used in accordance with the purpose agreed herein, the penalty interest rate will be calculated and the loan execution interest rate applied on the penalty interest date shall be charged plus </w:t>
      </w:r>
      <w:r>
        <w:rPr>
          <w:rFonts w:ascii="Times New Roman" w:cs="Times New Roman" w:eastAsia="Times New Roman" w:hAnsi="Times New Roman"/>
          <w:sz w:val="18"/>
          <w:szCs w:val="18"/>
          <w:u w:val="single" w:color="auto"/>
          <w:color w:val="auto"/>
        </w:rPr>
        <w:t>50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drawdown period of the loan under the Contract is from </w:t>
      </w:r>
      <w:r>
        <w:rPr>
          <w:rFonts w:ascii="Times New Roman" w:cs="Times New Roman" w:eastAsia="Times New Roman" w:hAnsi="Times New Roman"/>
          <w:sz w:val="18"/>
          <w:szCs w:val="18"/>
          <w:u w:val="single" w:color="auto"/>
          <w:color w:val="auto"/>
        </w:rPr>
        <w:t>June 21, 2022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June 30, 2022</w:t>
      </w:r>
      <w:r>
        <w:rPr>
          <w:rFonts w:ascii="Times New Roman" w:cs="Times New Roman" w:eastAsia="Times New Roman" w:hAnsi="Times New Roman"/>
          <w:sz w:val="18"/>
          <w:szCs w:val="18"/>
          <w:color w:val="auto"/>
        </w:rPr>
        <w:t xml:space="preserve">. The first withdrawal shall be made before </w:t>
      </w:r>
      <w:r>
        <w:rPr>
          <w:rFonts w:ascii="Times New Roman" w:cs="Times New Roman" w:eastAsia="Times New Roman" w:hAnsi="Times New Roman"/>
          <w:sz w:val="18"/>
          <w:szCs w:val="18"/>
          <w:u w:val="single" w:color="auto"/>
          <w:color w:val="auto"/>
        </w:rPr>
        <w:t>June 30, 2022</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plan for the loan under this Contract is as follows (please select √ in the box below, tick X if you do not select)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withdrawal plan is shown in the table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The withdrawal date</w:t>
            </w:r>
          </w:p>
        </w:tc>
        <w:tc>
          <w:tcPr>
            <w:tcW w:w="3540" w:type="dxa"/>
            <w:vAlign w:val="bottom"/>
            <w:tcBorders>
              <w:top w:val="single" w:sz="8" w:color="auto"/>
              <w:bottom w:val="single" w:sz="8" w:color="auto"/>
              <w:right w:val="single" w:sz="8" w:color="auto"/>
            </w:tcBorders>
          </w:tcPr>
          <w:p>
            <w:pPr>
              <w:spacing w:after="0"/>
              <w:rPr>
                <w:sz w:val="19"/>
                <w:szCs w:val="19"/>
                <w:color w:val="auto"/>
              </w:rPr>
            </w:pPr>
          </w:p>
        </w:tc>
        <w:tc>
          <w:tcPr>
            <w:tcW w:w="45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withdrawals</w:t>
            </w:r>
          </w:p>
        </w:tc>
      </w:tr>
      <w:tr>
        <w:trPr>
          <w:trHeight w:val="209"/>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spacing w:after="0"/>
              <w:rPr>
                <w:sz w:val="18"/>
                <w:szCs w:val="18"/>
                <w:color w:val="auto"/>
              </w:rPr>
            </w:pPr>
          </w:p>
        </w:tc>
      </w:tr>
      <w:tr>
        <w:trPr>
          <w:trHeight w:val="385"/>
        </w:trPr>
        <w:tc>
          <w:tcPr>
            <w:tcW w:w="20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withdrawal plans:</w:t>
            </w:r>
          </w:p>
        </w:tc>
        <w:tc>
          <w:tcPr>
            <w:tcW w:w="11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jc w:val="right"/>
              <w:ind w:right="3390"/>
              <w:spacing w:after="0"/>
              <w:rPr>
                <w:sz w:val="20"/>
                <w:szCs w:val="20"/>
                <w:color w:val="auto"/>
              </w:rPr>
            </w:pPr>
            <w:r>
              <w:rPr>
                <w:rFonts w:ascii="Times New Roman" w:cs="Times New Roman" w:eastAsia="Times New Roman" w:hAnsi="Times New Roman"/>
                <w:sz w:val="18"/>
                <w:szCs w:val="18"/>
                <w:color w:val="auto"/>
                <w:w w:val="87"/>
              </w:rPr>
              <w:t>.</w:t>
            </w:r>
          </w:p>
        </w:tc>
        <w:tc>
          <w:tcPr>
            <w:tcW w:w="458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The repayment plan of the loan under this Contract is as follows (Please tick √ in the box below, if not, tick x)</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5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Repayment date</w:t>
            </w:r>
          </w:p>
        </w:tc>
        <w:tc>
          <w:tcPr>
            <w:tcW w:w="58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Reimbursement amount</w:t>
            </w:r>
          </w:p>
        </w:tc>
      </w:tr>
      <w:tr>
        <w:trPr>
          <w:trHeight w:val="210"/>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39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280" w:hanging="272"/>
        <w:spacing w:after="0"/>
        <w:tabs>
          <w:tab w:leader="none" w:pos="2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Liquidated damages for loan repayment in advance; Equivalent to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the actual amount of loan repaid in advance</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of loan repayment in advance shall not be less than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ind w:left="-8" w:firstLine="8"/>
        <w:spacing w:after="0" w:line="282" w:lineRule="auto"/>
        <w:tabs>
          <w:tab w:leader="none" w:pos="26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opening (select one of the following modes for RMB loans, select the special account mode for foreign currency loans, and mark X for those not selected)</w:t>
      </w:r>
    </w:p>
    <w:p>
      <w:pPr>
        <w:spacing w:after="0" w:line="161" w:lineRule="exact"/>
        <w:rPr>
          <w:rFonts w:ascii="Times New Roman" w:cs="Times New Roman" w:eastAsia="Times New Roman" w:hAnsi="Times New Roman"/>
          <w:sz w:val="18"/>
          <w:szCs w:val="18"/>
          <w:color w:val="auto"/>
        </w:rPr>
      </w:pPr>
    </w:p>
    <w:p>
      <w:pPr>
        <w:ind w:left="452" w:hanging="128"/>
        <w:spacing w:after="0"/>
        <w:tabs>
          <w:tab w:leader="none" w:pos="45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Unsegregated account mode:</w:t>
      </w:r>
    </w:p>
    <w:p>
      <w:pPr>
        <w:spacing w:after="0" w:line="225" w:lineRule="exact"/>
        <w:rPr>
          <w:sz w:val="20"/>
          <w:szCs w:val="20"/>
          <w:color w:val="auto"/>
        </w:rPr>
      </w:pPr>
    </w:p>
    <w:p>
      <w:pPr>
        <w:ind w:left="612" w:right="5280" w:hanging="329"/>
        <w:spacing w:after="0" w:line="500" w:lineRule="auto"/>
        <w:tabs>
          <w:tab w:leader="none" w:pos="60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settlement account opened by the borrower with the lender is: Bank: </w:t>
      </w:r>
      <w:r>
        <w:rPr>
          <w:rFonts w:ascii="Times New Roman" w:cs="Times New Roman" w:eastAsia="Times New Roman" w:hAnsi="Times New Roman"/>
          <w:sz w:val="18"/>
          <w:szCs w:val="18"/>
          <w:u w:val="single" w:color="auto"/>
          <w:color w:val="auto"/>
        </w:rPr>
        <w:t>Shanghai Pudong Development Bank Co., LTD. Jinqiao Branch</w:t>
      </w:r>
      <w:r>
        <w:rPr>
          <w:rFonts w:ascii="Times New Roman" w:cs="Times New Roman" w:eastAsia="Times New Roman" w:hAnsi="Times New Roman"/>
          <w:sz w:val="18"/>
          <w:szCs w:val="18"/>
          <w:color w:val="auto"/>
        </w:rPr>
        <w:t xml:space="preserve"> Bank account name: </w:t>
      </w:r>
      <w:r>
        <w:rPr>
          <w:rFonts w:ascii="Times New Roman" w:cs="Times New Roman" w:eastAsia="Times New Roman" w:hAnsi="Times New Roman"/>
          <w:sz w:val="18"/>
          <w:szCs w:val="18"/>
          <w:u w:val="single" w:color="auto"/>
          <w:color w:val="auto"/>
        </w:rPr>
        <w:t>ChinaLink Professional Services Co., Ltd.</w:t>
      </w:r>
    </w:p>
    <w:p>
      <w:pPr>
        <w:spacing w:after="0" w:line="2" w:lineRule="exact"/>
        <w:rPr>
          <w:rFonts w:ascii="Times New Roman" w:cs="Times New Roman" w:eastAsia="Times New Roman" w:hAnsi="Times New Roman"/>
          <w:sz w:val="18"/>
          <w:szCs w:val="18"/>
          <w:color w:val="auto"/>
        </w:rPr>
      </w:pP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 account number: </w:t>
      </w:r>
      <w:r>
        <w:rPr>
          <w:rFonts w:ascii="Times New Roman" w:cs="Times New Roman" w:eastAsia="Times New Roman" w:hAnsi="Times New Roman"/>
          <w:sz w:val="18"/>
          <w:szCs w:val="18"/>
          <w:u w:val="single" w:color="auto"/>
          <w:color w:val="auto"/>
        </w:rPr>
        <w:t>98840078801600002917</w:t>
      </w:r>
    </w:p>
    <w:p>
      <w:pPr>
        <w:spacing w:after="0" w:line="225" w:lineRule="exact"/>
        <w:rPr>
          <w:rFonts w:ascii="Times New Roman" w:cs="Times New Roman" w:eastAsia="Times New Roman" w:hAnsi="Times New Roman"/>
          <w:sz w:val="18"/>
          <w:szCs w:val="18"/>
          <w:color w:val="auto"/>
        </w:rPr>
      </w:pPr>
    </w:p>
    <w:p>
      <w:pPr>
        <w:ind w:left="612" w:right="5540" w:hanging="329"/>
        <w:spacing w:after="0" w:line="530" w:lineRule="auto"/>
        <w:tabs>
          <w:tab w:leader="none" w:pos="607"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borrower’s fund recovery account opened with the lender is: Bank: </w:t>
      </w:r>
      <w:r>
        <w:rPr>
          <w:rFonts w:ascii="Times New Roman" w:cs="Times New Roman" w:eastAsia="Times New Roman" w:hAnsi="Times New Roman"/>
          <w:sz w:val="17"/>
          <w:szCs w:val="17"/>
          <w:u w:val="single" w:color="auto"/>
          <w:color w:val="auto"/>
        </w:rPr>
        <w:t>Shanghai Pudong Development Bank Co., LTD. Jinqiao Branch</w:t>
      </w:r>
    </w:p>
    <w:p>
      <w:pPr>
        <w:spacing w:after="0" w:line="1"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8"/>
          <w:szCs w:val="18"/>
          <w:color w:val="auto"/>
        </w:rPr>
        <w:t xml:space="preserve">Bank account name: </w:t>
      </w:r>
      <w:r>
        <w:rPr>
          <w:rFonts w:ascii="Times New Roman" w:cs="Times New Roman" w:eastAsia="Times New Roman" w:hAnsi="Times New Roman"/>
          <w:sz w:val="18"/>
          <w:szCs w:val="18"/>
          <w:u w:val="single" w:color="auto"/>
          <w:color w:val="auto"/>
        </w:rPr>
        <w:t>ChinaLink Professional Services Co., Ltd.</w:t>
      </w:r>
    </w:p>
    <w:p>
      <w:pPr>
        <w:spacing w:after="0" w:line="225"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8"/>
          <w:szCs w:val="18"/>
          <w:color w:val="auto"/>
        </w:rPr>
        <w:t>Bank account number:</w:t>
      </w:r>
      <w:r>
        <w:rPr>
          <w:rFonts w:ascii="Times New Roman" w:cs="Times New Roman" w:eastAsia="Times New Roman" w:hAnsi="Times New Roman"/>
          <w:sz w:val="18"/>
          <w:szCs w:val="18"/>
          <w:u w:val="single" w:color="auto"/>
          <w:color w:val="auto"/>
        </w:rPr>
        <w:t>98840078801600002917</w:t>
      </w:r>
    </w:p>
    <w:p>
      <w:pPr>
        <w:spacing w:after="0" w:line="225" w:lineRule="exact"/>
        <w:rPr>
          <w:sz w:val="20"/>
          <w:szCs w:val="20"/>
          <w:color w:val="auto"/>
        </w:rPr>
      </w:pPr>
    </w:p>
    <w:p>
      <w:pPr>
        <w:ind w:left="532" w:hanging="208"/>
        <w:spacing w:after="0"/>
        <w:tabs>
          <w:tab w:leader="none" w:pos="532" w:val="left"/>
        </w:tabs>
        <w:numPr>
          <w:ilvl w:val="0"/>
          <w:numId w:val="27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Special Account mode</w:t>
      </w:r>
    </w:p>
    <w:p>
      <w:pPr>
        <w:spacing w:after="0" w:line="225"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8"/>
          <w:szCs w:val="18"/>
          <w:color w:val="auto"/>
        </w:rPr>
        <w:t>(1) The special account for working capital loan opened by the borrower with the lender is:</w:t>
      </w:r>
    </w:p>
    <w:p>
      <w:pPr>
        <w:spacing w:after="0" w:line="212" w:lineRule="exact"/>
        <w:rPr>
          <w:sz w:val="20"/>
          <w:szCs w:val="20"/>
          <w:color w:val="auto"/>
        </w:rPr>
      </w:pPr>
    </w:p>
    <w:tbl>
      <w:tblPr>
        <w:tblLayout w:type="fixed"/>
        <w:tblInd w:w="612"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Bank:</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account name:</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0"/>
              </w:rPr>
              <w:t>.</w:t>
            </w:r>
          </w:p>
        </w:tc>
        <w:tc>
          <w:tcPr>
            <w:tcW w:w="40" w:type="dxa"/>
            <w:vAlign w:val="bottom"/>
          </w:tcPr>
          <w:p>
            <w:pPr>
              <w:spacing w:after="0"/>
              <w:rPr>
                <w:sz w:val="24"/>
                <w:szCs w:val="24"/>
                <w:color w:val="auto"/>
              </w:rPr>
            </w:pPr>
          </w:p>
        </w:tc>
      </w:tr>
      <w:tr>
        <w:trPr>
          <w:trHeight w:val="412"/>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account number:</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292" w:type="dxa"/>
        <w:tblCellMar>
          <w:top w:w="0" w:type="dxa"/>
          <w:left w:w="0" w:type="dxa"/>
          <w:bottom w:w="0" w:type="dxa"/>
          <w:right w:w="0" w:type="dxa"/>
        </w:tblCellMar>
      </w:tblP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(2)</w:t>
            </w:r>
          </w:p>
        </w:tc>
        <w:tc>
          <w:tcPr>
            <w:tcW w:w="54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w w:val="99"/>
              </w:rPr>
              <w:t>The general settlement account opened by the borrower with the lender is:</w:t>
            </w:r>
          </w:p>
        </w:tc>
      </w:tr>
      <w:tr>
        <w:trPr>
          <w:trHeight w:val="391"/>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Bank account name:</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0"/>
              </w:rPr>
              <w:t>.</w:t>
            </w:r>
          </w:p>
        </w:tc>
        <w:tc>
          <w:tcPr>
            <w:tcW w:w="2260" w:type="dxa"/>
            <w:vAlign w:val="bottom"/>
          </w:tcPr>
          <w:p>
            <w:pPr>
              <w:spacing w:after="0"/>
              <w:rPr>
                <w:sz w:val="24"/>
                <w:szCs w:val="24"/>
                <w:color w:val="auto"/>
              </w:rPr>
            </w:pPr>
          </w:p>
        </w:tc>
      </w:tr>
      <w:tr>
        <w:trPr>
          <w:trHeight w:val="412"/>
        </w:trPr>
        <w:tc>
          <w:tcPr>
            <w:tcW w:w="260" w:type="dxa"/>
            <w:vAlign w:val="bottom"/>
          </w:tcPr>
          <w:p>
            <w:pPr>
              <w:spacing w:after="0"/>
              <w:rPr>
                <w:sz w:val="24"/>
                <w:szCs w:val="24"/>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Bank account number:</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ind w:right="2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53"/>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(3)</w:t>
            </w:r>
          </w:p>
        </w:tc>
        <w:tc>
          <w:tcPr>
            <w:tcW w:w="54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Borrower’s fund recovery account opened with the Lender is:</w:t>
            </w:r>
          </w:p>
        </w:tc>
      </w:tr>
      <w:tr>
        <w:trPr>
          <w:trHeight w:val="391"/>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Bank account name:</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0"/>
              </w:rPr>
              <w:t>.</w:t>
            </w:r>
          </w:p>
        </w:tc>
        <w:tc>
          <w:tcPr>
            <w:tcW w:w="2260" w:type="dxa"/>
            <w:vAlign w:val="bottom"/>
          </w:tcPr>
          <w:p>
            <w:pPr>
              <w:spacing w:after="0"/>
              <w:rPr>
                <w:sz w:val="24"/>
                <w:szCs w:val="24"/>
                <w:color w:val="auto"/>
              </w:rPr>
            </w:pPr>
          </w:p>
        </w:tc>
      </w:tr>
      <w:tr>
        <w:trPr>
          <w:trHeight w:val="412"/>
        </w:trPr>
        <w:tc>
          <w:tcPr>
            <w:tcW w:w="260" w:type="dxa"/>
            <w:vAlign w:val="bottom"/>
          </w:tcPr>
          <w:p>
            <w:pPr>
              <w:spacing w:after="0"/>
              <w:rPr>
                <w:sz w:val="24"/>
                <w:szCs w:val="24"/>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Bank account number:</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ind w:right="2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25" w:lineRule="exact"/>
        <w:rPr>
          <w:sz w:val="20"/>
          <w:szCs w:val="20"/>
          <w:color w:val="auto"/>
        </w:rPr>
      </w:pPr>
    </w:p>
    <w:p>
      <w:pPr>
        <w:ind w:left="-8" w:firstLine="8"/>
        <w:spacing w:after="0" w:line="282" w:lineRule="auto"/>
        <w:tabs>
          <w:tab w:leader="none" w:pos="27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Entrusted Payment by the Lender: if the payment object is clear and the single managed payment amount exceeds (currency amount) __________ the loan fund payment, the entrusted payment method of the Lender shall be</w:t>
      </w:r>
    </w:p>
    <w:p>
      <w:pPr>
        <w:spacing w:after="0" w:line="16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and security contracts providing security for the debt hereunder include but are not limited to:</w:t>
      </w:r>
    </w:p>
    <w:p>
      <w:pPr>
        <w:spacing w:after="0" w:line="238" w:lineRule="exact"/>
        <w:rPr>
          <w:rFonts w:ascii="Times New Roman" w:cs="Times New Roman" w:eastAsia="Times New Roman" w:hAnsi="Times New Roman"/>
          <w:sz w:val="18"/>
          <w:szCs w:val="18"/>
          <w:color w:val="auto"/>
        </w:rPr>
      </w:pPr>
    </w:p>
    <w:p>
      <w:pPr>
        <w:ind w:left="492" w:hanging="204"/>
        <w:spacing w:after="0" w:line="219" w:lineRule="exact"/>
        <w:tabs>
          <w:tab w:leader="none" w:pos="492" w:val="left"/>
        </w:tabs>
        <w:numPr>
          <w:ilvl w:val="1"/>
          <w:numId w:val="2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guarantor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guaranty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  ]</w:t>
      </w:r>
    </w:p>
    <w:p>
      <w:pPr>
        <w:spacing w:after="0" w:line="240" w:lineRule="exact"/>
        <w:rPr>
          <w:rFonts w:ascii="MS PGothic" w:cs="MS PGothic" w:eastAsia="MS PGothic" w:hAnsi="MS PGothic"/>
          <w:sz w:val="18"/>
          <w:szCs w:val="18"/>
          <w:color w:val="auto"/>
        </w:rPr>
      </w:pPr>
    </w:p>
    <w:p>
      <w:pPr>
        <w:ind w:left="492" w:hanging="204"/>
        <w:spacing w:after="0" w:line="219" w:lineRule="exact"/>
        <w:tabs>
          <w:tab w:leader="none" w:pos="492" w:val="left"/>
        </w:tabs>
        <w:numPr>
          <w:ilvl w:val="1"/>
          <w:numId w:val="2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mortgagor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Mortgage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  ]</w:t>
      </w:r>
    </w:p>
    <w:p>
      <w:pPr>
        <w:spacing w:after="0" w:line="240" w:lineRule="exact"/>
        <w:rPr>
          <w:rFonts w:ascii="MS PGothic" w:cs="MS PGothic" w:eastAsia="MS PGothic" w:hAnsi="MS PGothic"/>
          <w:sz w:val="18"/>
          <w:szCs w:val="18"/>
          <w:color w:val="auto"/>
        </w:rPr>
      </w:pPr>
    </w:p>
    <w:p>
      <w:pPr>
        <w:ind w:left="492" w:hanging="204"/>
        <w:spacing w:after="0" w:line="219" w:lineRule="exact"/>
        <w:tabs>
          <w:tab w:leader="none" w:pos="492" w:val="left"/>
        </w:tabs>
        <w:numPr>
          <w:ilvl w:val="1"/>
          <w:numId w:val="2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pledger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Pledger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  ]</w:t>
      </w:r>
    </w:p>
    <w:p>
      <w:pPr>
        <w:spacing w:after="0" w:line="226" w:lineRule="exact"/>
        <w:rPr>
          <w:rFonts w:ascii="MS PGothic" w:cs="MS PGothic" w:eastAsia="MS PGothic" w:hAnsi="MS PGothic"/>
          <w:sz w:val="18"/>
          <w:szCs w:val="18"/>
          <w:color w:val="auto"/>
        </w:rPr>
      </w:pPr>
    </w:p>
    <w:p>
      <w:pPr>
        <w:ind w:left="492" w:hanging="204"/>
        <w:spacing w:after="0"/>
        <w:tabs>
          <w:tab w:leader="none" w:pos="492" w:val="left"/>
        </w:tabs>
        <w:numPr>
          <w:ilvl w:val="1"/>
          <w:numId w:val="2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guarantee </w:t>
      </w:r>
      <w:r>
        <w:rPr>
          <w:rFonts w:ascii="Times New Roman" w:cs="Times New Roman" w:eastAsia="Times New Roman" w:hAnsi="Times New Roman"/>
          <w:sz w:val="18"/>
          <w:szCs w:val="18"/>
          <w:u w:val="single" w:color="auto"/>
          <w:color w:val="auto"/>
        </w:rPr>
        <w:t>____/_________</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34"/>
        </w:trPr>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16. Breach of contract</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liquidated damages. It is equivalent to zero percent of the principal amount borrowed or</w:t>
            </w:r>
          </w:p>
        </w:tc>
        <w:tc>
          <w:tcPr>
            <w:tcW w:w="14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r>
        <w:trPr>
          <w:trHeight w:val="453"/>
        </w:trPr>
        <w:tc>
          <w:tcPr>
            <w:tcW w:w="3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17. Annexes to this contract include:</w:t>
            </w:r>
          </w:p>
        </w:tc>
        <w:tc>
          <w:tcPr>
            <w:tcW w:w="30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(1)</w:t>
            </w:r>
          </w:p>
        </w:tc>
        <w:tc>
          <w:tcPr>
            <w:tcW w:w="6140" w:type="dxa"/>
            <w:vAlign w:val="bottom"/>
            <w:gridSpan w:val="6"/>
          </w:tcPr>
          <w:p>
            <w:pPr>
              <w:ind w:left="40"/>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Application for withdrawal</w:t>
            </w:r>
            <w:r>
              <w:rPr>
                <w:rFonts w:ascii="SimSun" w:cs="SimSun" w:eastAsia="SimSun" w:hAnsi="SimSun"/>
                <w:sz w:val="18"/>
                <w:szCs w:val="18"/>
                <w:color w:val="auto"/>
              </w:rPr>
              <w:t>》</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(2)</w:t>
            </w:r>
          </w:p>
        </w:tc>
        <w:tc>
          <w:tcPr>
            <w:tcW w:w="6140" w:type="dxa"/>
            <w:vAlign w:val="bottom"/>
            <w:gridSpan w:val="6"/>
          </w:tcPr>
          <w:p>
            <w:pPr>
              <w:ind w:left="40"/>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________/______________ </w:t>
            </w:r>
            <w:r>
              <w:rPr>
                <w:rFonts w:ascii="SimSun" w:cs="SimSun" w:eastAsia="SimSun" w:hAnsi="SimSun"/>
                <w:sz w:val="18"/>
                <w:szCs w:val="18"/>
                <w:color w:val="auto"/>
              </w:rPr>
              <w:t>》</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(3)</w:t>
            </w:r>
          </w:p>
        </w:tc>
        <w:tc>
          <w:tcPr>
            <w:tcW w:w="6140" w:type="dxa"/>
            <w:vAlign w:val="bottom"/>
            <w:gridSpan w:val="6"/>
          </w:tcPr>
          <w:p>
            <w:pPr>
              <w:ind w:left="40"/>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________/______________ </w:t>
            </w:r>
            <w:r>
              <w:rPr>
                <w:rFonts w:ascii="SimSun" w:cs="SimSun" w:eastAsia="SimSun" w:hAnsi="SimSun"/>
                <w:sz w:val="18"/>
                <w:szCs w:val="18"/>
                <w:color w:val="auto"/>
              </w:rPr>
              <w:t>》</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(4)</w:t>
            </w:r>
          </w:p>
        </w:tc>
        <w:tc>
          <w:tcPr>
            <w:tcW w:w="6140" w:type="dxa"/>
            <w:vAlign w:val="bottom"/>
            <w:gridSpan w:val="6"/>
          </w:tcPr>
          <w:p>
            <w:pPr>
              <w:ind w:left="40"/>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________/______________ </w:t>
            </w:r>
            <w:r>
              <w:rPr>
                <w:rFonts w:ascii="SimSun" w:cs="SimSun" w:eastAsia="SimSun" w:hAnsi="SimSun"/>
                <w:sz w:val="18"/>
                <w:szCs w:val="18"/>
                <w:color w:val="auto"/>
              </w:rPr>
              <w:t>》</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(5)</w:t>
            </w:r>
          </w:p>
        </w:tc>
        <w:tc>
          <w:tcPr>
            <w:tcW w:w="6140" w:type="dxa"/>
            <w:vAlign w:val="bottom"/>
            <w:gridSpan w:val="6"/>
          </w:tcPr>
          <w:p>
            <w:pPr>
              <w:ind w:left="40"/>
              <w:spacing w:after="0" w:line="219"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________/______________ </w:t>
            </w:r>
            <w:r>
              <w:rPr>
                <w:rFonts w:ascii="SimSun" w:cs="SimSun" w:eastAsia="SimSun" w:hAnsi="SimSun"/>
                <w:sz w:val="18"/>
                <w:szCs w:val="18"/>
                <w:color w:val="auto"/>
              </w:rPr>
              <w:t>》</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66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18. Other matters agreed upon by both parties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None/</w:t>
            </w: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7"/>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25" w:lineRule="exact"/>
        <w:rPr>
          <w:sz w:val="20"/>
          <w:szCs w:val="20"/>
          <w:color w:val="auto"/>
        </w:rPr>
      </w:pPr>
    </w:p>
    <w:p>
      <w:pPr>
        <w:ind w:left="320" w:right="219" w:hanging="292"/>
        <w:spacing w:after="0" w:line="532" w:lineRule="auto"/>
        <w:tabs>
          <w:tab w:leader="none" w:pos="30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Contract is made in </w:t>
      </w:r>
      <w:r>
        <w:rPr>
          <w:rFonts w:ascii="Times New Roman" w:cs="Times New Roman" w:eastAsia="Times New Roman" w:hAnsi="Times New Roman"/>
          <w:sz w:val="18"/>
          <w:szCs w:val="18"/>
          <w:u w:val="single" w:color="auto"/>
          <w:color w:val="auto"/>
        </w:rPr>
        <w:t>three</w:t>
      </w:r>
      <w:r>
        <w:rPr>
          <w:rFonts w:ascii="Times New Roman" w:cs="Times New Roman" w:eastAsia="Times New Roman" w:hAnsi="Times New Roman"/>
          <w:sz w:val="18"/>
          <w:szCs w:val="18"/>
          <w:color w:val="auto"/>
        </w:rPr>
        <w:t xml:space="preserve"> originals,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held by the borrower and </w:t>
      </w:r>
      <w:r>
        <w:rPr>
          <w:rFonts w:ascii="Times New Roman" w:cs="Times New Roman" w:eastAsia="Times New Roman" w:hAnsi="Times New Roman"/>
          <w:sz w:val="18"/>
          <w:szCs w:val="18"/>
          <w:u w:val="single" w:color="auto"/>
          <w:color w:val="auto"/>
        </w:rPr>
        <w:t>two</w:t>
      </w:r>
      <w:r>
        <w:rPr>
          <w:rFonts w:ascii="Times New Roman" w:cs="Times New Roman" w:eastAsia="Times New Roman" w:hAnsi="Times New Roman"/>
          <w:sz w:val="18"/>
          <w:szCs w:val="18"/>
          <w:color w:val="auto"/>
        </w:rPr>
        <w:t xml:space="preserve"> held by the lender, each of which has the same legal effect. (End of Part I)</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59"/>
          </w:cols>
          <w:pgMar w:left="300" w:top="904" w:right="1440"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The Part Two General terms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borrowing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80" w:lineRule="exact"/>
        <w:rPr>
          <w:sz w:val="20"/>
          <w:szCs w:val="20"/>
          <w:color w:val="auto"/>
        </w:rPr>
      </w:pPr>
    </w:p>
    <w:p>
      <w:pPr>
        <w:jc w:val="both"/>
        <w:ind w:firstLine="8"/>
        <w:spacing w:after="0" w:line="266" w:lineRule="auto"/>
        <w:tabs>
          <w:tab w:leader="none" w:pos="19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borrowing rate and interest calculation method</w:t>
      </w:r>
    </w:p>
    <w:p>
      <w:pPr>
        <w:spacing w:after="0" w:line="229" w:lineRule="exact"/>
        <w:rPr>
          <w:sz w:val="20"/>
          <w:szCs w:val="20"/>
          <w:color w:val="auto"/>
        </w:rPr>
      </w:pPr>
    </w:p>
    <w:p>
      <w:pPr>
        <w:jc w:val="both"/>
        <w:ind w:left="900" w:hanging="325"/>
        <w:spacing w:after="0" w:line="266" w:lineRule="auto"/>
        <w:tabs>
          <w:tab w:leader="none" w:pos="9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61" w:lineRule="auto"/>
        <w:tabs>
          <w:tab w:leader="none" w:pos="9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79"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17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market paralysis</w:t>
      </w:r>
    </w:p>
    <w:p>
      <w:pPr>
        <w:spacing w:after="0" w:line="225" w:lineRule="exact"/>
        <w:rPr>
          <w:rFonts w:ascii="Times New Roman" w:cs="Times New Roman" w:eastAsia="Times New Roman" w:hAnsi="Times New Roman"/>
          <w:sz w:val="18"/>
          <w:szCs w:val="18"/>
          <w:color w:val="auto"/>
        </w:rPr>
      </w:pPr>
    </w:p>
    <w:p>
      <w:pPr>
        <w:jc w:val="both"/>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1" w:name="page292"/>
    <w:bookmarkEnd w:id="291"/>
    <w:p>
      <w:pPr>
        <w:ind w:left="4820"/>
        <w:spacing w:after="0"/>
        <w:rPr>
          <w:sz w:val="20"/>
          <w:szCs w:val="20"/>
          <w:color w:val="auto"/>
        </w:rPr>
      </w:pPr>
      <w:r>
        <w:rPr>
          <w:rFonts w:ascii="Times New Roman" w:cs="Times New Roman" w:eastAsia="Times New Roman" w:hAnsi="Times New Roman"/>
          <w:sz w:val="18"/>
          <w:szCs w:val="18"/>
          <w:b w:val="1"/>
          <w:bCs w:val="1"/>
          <w:color w:val="auto"/>
        </w:rPr>
        <w:t>Article 3 withdrawal</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before the first withdrawal, the borrower shall meet the following conditions:</w:t>
      </w:r>
    </w:p>
    <w:p>
      <w:pPr>
        <w:spacing w:after="0" w:line="225" w:lineRule="exact"/>
        <w:rPr>
          <w:sz w:val="20"/>
          <w:szCs w:val="20"/>
          <w:color w:val="auto"/>
        </w:rPr>
      </w:pPr>
    </w:p>
    <w:p>
      <w:pPr>
        <w:ind w:firstLine="584"/>
        <w:spacing w:after="0" w:line="282" w:lineRule="auto"/>
        <w:tabs>
          <w:tab w:leader="none" w:pos="83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3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and the corresponding guarantee contract (if any) have been signed and remain valid, and the security right has been effectively established;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3"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opened relevant accounts with the lender according to the lender’s requirements;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except for the first withdrawal, the borrower shall meet the following conditions before each withdrawal:</w:t>
      </w:r>
    </w:p>
    <w:p>
      <w:pPr>
        <w:spacing w:after="0" w:line="225" w:lineRule="exact"/>
        <w:rPr>
          <w:sz w:val="20"/>
          <w:szCs w:val="20"/>
          <w:color w:val="auto"/>
        </w:rPr>
      </w:pPr>
    </w:p>
    <w:p>
      <w:pPr>
        <w:ind w:firstLine="584"/>
        <w:spacing w:after="0" w:line="282" w:lineRule="auto"/>
        <w:tabs>
          <w:tab w:leader="none" w:pos="83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the borrower under this contract shall remain valid;</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withdrawal</w:t>
      </w:r>
    </w:p>
    <w:p>
      <w:pPr>
        <w:spacing w:after="0" w:line="225" w:lineRule="exact"/>
        <w:rPr>
          <w:sz w:val="20"/>
          <w:szCs w:val="20"/>
          <w:color w:val="auto"/>
        </w:rPr>
      </w:pPr>
    </w:p>
    <w:p>
      <w:pPr>
        <w:jc w:val="both"/>
        <w:ind w:firstLine="584"/>
        <w:spacing w:after="0" w:line="266" w:lineRule="auto"/>
        <w:tabs>
          <w:tab w:leader="none" w:pos="84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84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85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5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withdrawal conditions without affecting any right enjoyed by the Lender under this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Article 4 account opening and management</w:t>
      </w:r>
    </w:p>
    <w:p>
      <w:pPr>
        <w:spacing w:after="0" w:line="22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1 ..When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2.If no special working capital loan account is opened, the general settlement account is used to calculate the loan fund issuance and loan fund payment applied by the borrower at the lender.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Without the written consent of the lender, the borrower shall not change the reserved seal of the special working capital loan account at will.</w:t>
      </w:r>
    </w:p>
    <w:p>
      <w:pPr>
        <w:spacing w:after="0" w:line="225" w:lineRule="exact"/>
        <w:rPr>
          <w:sz w:val="20"/>
          <w:szCs w:val="20"/>
          <w:color w:val="auto"/>
        </w:rPr>
      </w:pPr>
    </w:p>
    <w:p>
      <w:pPr>
        <w:ind w:firstLine="584"/>
        <w:spacing w:after="0" w:line="282" w:lineRule="auto"/>
        <w:tabs>
          <w:tab w:leader="none" w:pos="76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62"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87"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Payment supervision</w:t>
      </w:r>
    </w:p>
    <w:p>
      <w:pPr>
        <w:spacing w:after="0" w:line="22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1 ..The borrower agrees that the lender has the right to manage and control the payment of the loan funds through the entrusted payment of the lender or / and the independent payment of the borrower, so as to supervise the use of the loan funds according to the purpose agreed in the contract.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2.The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176"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After approval, the lender shall pay the loan funds to the borrower’s trading partner through the borrower’s account.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3" w:name="page294"/>
    <w:bookmarkEnd w:id="293"/>
    <w:p>
      <w:pPr>
        <w:ind w:right="20" w:firstLine="584"/>
        <w:spacing w:after="0" w:line="282" w:lineRule="auto"/>
        <w:tabs>
          <w:tab w:leader="none" w:pos="79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applying to the lender for external payment of loan funds, the borrower shall submit supporting materials meeting the lender’s requirements, including but not limited to:</w:t>
      </w:r>
    </w:p>
    <w:p>
      <w:pPr>
        <w:spacing w:after="0" w:line="162" w:lineRule="exact"/>
        <w:rPr>
          <w:sz w:val="20"/>
          <w:szCs w:val="20"/>
          <w:color w:val="auto"/>
        </w:rPr>
      </w:pPr>
    </w:p>
    <w:p>
      <w:pPr>
        <w:ind w:left="840" w:hanging="256"/>
        <w:spacing w:after="0"/>
        <w:tabs>
          <w:tab w:leader="none" w:pos="8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certifying that the purpose of payment is in accordance with the purpose agreed in the contract: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valid payment voucher:</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required by the lender.</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supporting materials without affecting any rights enjoyed by the Lender under this contract</w:t>
      </w:r>
    </w:p>
    <w:p>
      <w:pPr>
        <w:spacing w:after="0" w:line="162" w:lineRule="exact"/>
        <w:rPr>
          <w:sz w:val="20"/>
          <w:szCs w:val="20"/>
          <w:color w:val="auto"/>
        </w:rPr>
      </w:pPr>
    </w:p>
    <w:p>
      <w:pPr>
        <w:jc w:val="both"/>
        <w:ind w:firstLine="584"/>
        <w:spacing w:after="0" w:line="261" w:lineRule="auto"/>
        <w:tabs>
          <w:tab w:leader="none" w:pos="75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contract.If the lender approves, the borrower shall fill in the payment voucher (the amount of each summary payment voucher shall not exceed the entrusted payment amount of the lender agreed in this contract).After review, the lender shall affix the special seal for loan fund payment supervision on the summary payment voucher, and transfer the corresponding funds to the borrower’s general settlement account.</w:t>
      </w:r>
    </w:p>
    <w:p>
      <w:pPr>
        <w:spacing w:after="0" w:line="19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5.If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6.The borrower confirms that it shall pay to the lender the remittance fee arising from the payment of funds. When the remittance fee occurs, the lender has the right to deduct it directly according to the actual amount.</w:t>
      </w:r>
    </w:p>
    <w:p>
      <w:pPr>
        <w:spacing w:after="0" w:line="162" w:lineRule="exact"/>
        <w:rPr>
          <w:sz w:val="20"/>
          <w:szCs w:val="20"/>
          <w:color w:val="auto"/>
        </w:rPr>
      </w:pPr>
    </w:p>
    <w:p>
      <w:pPr>
        <w:jc w:val="both"/>
        <w:ind w:firstLine="584"/>
        <w:spacing w:after="0" w:line="266" w:lineRule="auto"/>
        <w:tabs>
          <w:tab w:leader="none" w:pos="7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76" w:lineRule="exact"/>
        <w:rPr>
          <w:sz w:val="20"/>
          <w:szCs w:val="20"/>
          <w:color w:val="auto"/>
        </w:rPr>
      </w:pPr>
    </w:p>
    <w:p>
      <w:pPr>
        <w:ind w:left="840" w:hanging="256"/>
        <w:spacing w:after="0"/>
        <w:tabs>
          <w:tab w:leader="none" w:pos="8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credit status;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main business is not strong;</w:t>
      </w:r>
    </w:p>
    <w:p>
      <w:pPr>
        <w:spacing w:after="0" w:line="225" w:lineRule="exact"/>
        <w:rPr>
          <w:rFonts w:ascii="Times New Roman" w:cs="Times New Roman" w:eastAsia="Times New Roman" w:hAnsi="Times New Roman"/>
          <w:sz w:val="18"/>
          <w:szCs w:val="18"/>
          <w:color w:val="auto"/>
        </w:rPr>
      </w:pPr>
    </w:p>
    <w:p>
      <w:pPr>
        <w:ind w:left="820" w:hanging="236"/>
        <w:spacing w:after="0"/>
        <w:tabs>
          <w:tab w:leader="none" w:pos="8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 use of loan funds.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Article 6 repayment</w:t>
      </w:r>
    </w:p>
    <w:p>
      <w:pPr>
        <w:spacing w:after="0" w:line="229" w:lineRule="exact"/>
        <w:rPr>
          <w:sz w:val="20"/>
          <w:szCs w:val="20"/>
          <w:color w:val="auto"/>
        </w:rPr>
      </w:pPr>
    </w:p>
    <w:p>
      <w:pPr>
        <w:jc w:val="both"/>
        <w:ind w:firstLine="584"/>
        <w:spacing w:after="0" w:line="266" w:lineRule="auto"/>
        <w:tabs>
          <w:tab w:leader="none" w:pos="76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76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76"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3.If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 The borrower shall not withdraw any returned loan funds again.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representations and warranties</w:t>
      </w:r>
    </w:p>
    <w:p>
      <w:pPr>
        <w:spacing w:after="0" w:line="22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borrower makes the following representations and warranties to the lender, which are made at the time of signing this contract and remain valid during the validity of this contract.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1.The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2.The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3.The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4.The borrower guarantees that all financial statements (if any) issued by it comply with the provisions of applicable laws and that the statements truly, completely and fairly reflect the financial situation of the borrower.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5.In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6.The borrower guarantees to complete the filing, registration or other procedures required for the effectiveness and legal performance of this contract.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7.Since the issuance of the latest audited financial statements, there has been no significant adverse change in the borrower’s operating and financial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5" w:name="page296"/>
    <w:bookmarkEnd w:id="295"/>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8.In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9.Do not give up any due creditor’s rights, nor dispose of the existing main property free of charge or in other inappropriate ways.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10.The borrower has disclosed to the lender what it knows or should know and decided whether to grant the loan under this contract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Important facts and conditions (including but not limited to business status, financial status, external guarantee, etc.).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11.The borrower guarantees that it is in good credit condition and has no major bad record.</w:t>
      </w:r>
    </w:p>
    <w:p>
      <w:pPr>
        <w:spacing w:after="0" w:line="225"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12.The borrower guarantees that there are no other circumstances or events that have or may have a material adverse impact on the borrower’s performance ability.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covenants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borrower and the lender agree as follows:</w:t>
      </w:r>
    </w:p>
    <w:p>
      <w:pPr>
        <w:spacing w:after="0" w:line="225"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1.The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2.The borrower shall repay the principal and interest of the loan under the contract according to the time, amount, currency and interest rate specified in the contract, application and loan (loan) certificate.</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3.The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4.The borrower promises that the borrower will not take the following actions without the written consent of the lender:</w:t>
      </w:r>
    </w:p>
    <w:p>
      <w:pPr>
        <w:spacing w:after="0" w:line="225" w:lineRule="exact"/>
        <w:rPr>
          <w:sz w:val="20"/>
          <w:szCs w:val="20"/>
          <w:color w:val="auto"/>
        </w:rPr>
      </w:pPr>
    </w:p>
    <w:p>
      <w:pPr>
        <w:ind w:left="840" w:hanging="256"/>
        <w:spacing w:after="0"/>
        <w:tabs>
          <w:tab w:leader="none" w:pos="8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(including sale, gift, debt repayment, exchange, etc.), mortgage, pledge or otherwise dispose of all or most of its major assets;</w:t>
      </w:r>
    </w:p>
    <w:p>
      <w:pPr>
        <w:spacing w:after="0" w:line="225" w:lineRule="exact"/>
        <w:rPr>
          <w:rFonts w:ascii="Times New Roman" w:cs="Times New Roman" w:eastAsia="Times New Roman" w:hAnsi="Times New Roman"/>
          <w:sz w:val="18"/>
          <w:szCs w:val="18"/>
          <w:color w:val="auto"/>
        </w:rPr>
      </w:pPr>
    </w:p>
    <w:p>
      <w:pPr>
        <w:jc w:val="both"/>
        <w:ind w:firstLine="584"/>
        <w:spacing w:after="0" w:line="261" w:lineRule="auto"/>
        <w:tabs>
          <w:tab w:leader="none" w:pos="84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79" w:lineRule="exact"/>
        <w:rPr>
          <w:rFonts w:ascii="Times New Roman" w:cs="Times New Roman" w:eastAsia="Times New Roman" w:hAnsi="Times New Roman"/>
          <w:sz w:val="18"/>
          <w:szCs w:val="18"/>
          <w:color w:val="auto"/>
        </w:rPr>
      </w:pPr>
    </w:p>
    <w:p>
      <w:pPr>
        <w:ind w:firstLine="584"/>
        <w:spacing w:after="0" w:line="282" w:lineRule="auto"/>
        <w:tabs>
          <w:tab w:leader="none" w:pos="8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third party with a guarantee sufficient to have a material adverse impact on its financial condition or its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5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off other long-term debts in advance and may have a significant adverse impact on the borrower’s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contracts / agreements or undertake relevant obligations that have a significant adverse impact on the borrower’s ability to perform its obligations under the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ind w:firstLine="576"/>
        <w:spacing w:after="0" w:line="282" w:lineRule="auto"/>
        <w:rPr>
          <w:sz w:val="20"/>
          <w:szCs w:val="20"/>
          <w:color w:val="auto"/>
        </w:rPr>
      </w:pPr>
      <w:r>
        <w:rPr>
          <w:rFonts w:ascii="Times New Roman" w:cs="Times New Roman" w:eastAsia="Times New Roman" w:hAnsi="Times New Roman"/>
          <w:sz w:val="18"/>
          <w:szCs w:val="18"/>
          <w:color w:val="auto"/>
        </w:rPr>
        <w:t>5.The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62" w:lineRule="exact"/>
        <w:rPr>
          <w:sz w:val="20"/>
          <w:szCs w:val="20"/>
          <w:color w:val="auto"/>
        </w:rPr>
      </w:pPr>
    </w:p>
    <w:p>
      <w:pPr>
        <w:ind w:left="840" w:hanging="256"/>
        <w:spacing w:after="0"/>
        <w:tabs>
          <w:tab w:leader="none" w:pos="8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relevant events makes the representations and warranties made by the borrower in this contract untrue, inaccurate or invalid.</w:t>
      </w:r>
    </w:p>
    <w:p>
      <w:pPr>
        <w:spacing w:after="0" w:line="225" w:lineRule="exact"/>
        <w:rPr>
          <w:rFonts w:ascii="Times New Roman" w:cs="Times New Roman" w:eastAsia="Times New Roman" w:hAnsi="Times New Roman"/>
          <w:sz w:val="18"/>
          <w:szCs w:val="18"/>
          <w:color w:val="auto"/>
        </w:rPr>
      </w:pPr>
    </w:p>
    <w:p>
      <w:pPr>
        <w:jc w:val="both"/>
        <w:ind w:firstLine="584"/>
        <w:spacing w:after="0" w:line="266" w:lineRule="auto"/>
        <w:tabs>
          <w:tab w:leader="none" w:pos="833"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841"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legal representative or its authorized agent, principal, main financial principal, mailing address, enterprise name, office space and other matters are changed;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3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applied for reorganization or bankruptcy by other creditors or being revoked by the superior competent authority;(5) other major adverse events that may affect the borrower’s solvency.</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6.The borrower guarantees that it will not pay off other loans in priority in violation of the normal repayment order, and will not sign any contract or agreement that will subordinate the loan under this contract now and in the future.</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7.The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180"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8.In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87"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9.The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76" w:lineRule="exact"/>
        <w:rPr>
          <w:sz w:val="20"/>
          <w:szCs w:val="20"/>
          <w:color w:val="auto"/>
        </w:rPr>
      </w:pPr>
    </w:p>
    <w:p>
      <w:pPr>
        <w:ind w:left="860" w:hanging="276"/>
        <w:spacing w:after="0"/>
        <w:tabs>
          <w:tab w:leader="none" w:pos="8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recover the loan funds under this contract in advance according to the withdrawal of the borrower’s funds.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agreements on group customers (applicable to group customers).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the borrower of this contract is a group customer, the borrower hereby undertakes:</w:t>
      </w:r>
    </w:p>
    <w:p>
      <w:pPr>
        <w:spacing w:after="0" w:line="196" w:lineRule="exact"/>
        <w:rPr>
          <w:sz w:val="20"/>
          <w:szCs w:val="20"/>
          <w:color w:val="auto"/>
        </w:rPr>
      </w:pPr>
    </w:p>
    <w:p>
      <w:pPr>
        <w:jc w:val="both"/>
        <w:ind w:firstLine="584"/>
        <w:spacing w:after="0" w:line="240" w:lineRule="exact"/>
        <w:tabs>
          <w:tab w:leader="none" w:pos="836"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timely report the related party transactions of more than 10% of the net assets of the actual trustee,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related party relationships of all parties to the transaction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Transaction items and nature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The amount of the transaction or the corresponding proportion</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Pricing policy (including transactions with no amount or only symbolic amount).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ind w:firstLine="584"/>
        <w:spacing w:after="0" w:line="219" w:lineRule="exact"/>
        <w:tabs>
          <w:tab w:leader="none" w:pos="83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providing false materials or concealing important business financial facts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Changing the original purpose of the credit without the consent of the lender, misappropriating the credit or using the bank credit to engage in illegal and illegal transactions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Taking advantage of false contracts with related parties to obtain bank funds or credit by discounting or pledging creditor’s rights such as notes receivable and accounts receivable without actual trade background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refusing to accept the lender’s supervision and inspection of its use of credit funds and relevant business and financial activities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In case of major merger, acquisition and reorganization, the lender believes that it may affect the credit security </w:t>
      </w:r>
      <w:r>
        <w:rPr>
          <w:rFonts w:ascii="MS PGothic" w:cs="MS PGothic" w:eastAsia="MS PGothic" w:hAnsi="MS PGothic"/>
          <w:sz w:val="18"/>
          <w:szCs w:val="18"/>
          <w:color w:val="auto"/>
        </w:rPr>
        <w:t>⑥</w:t>
      </w:r>
      <w:r>
        <w:rPr>
          <w:rFonts w:ascii="Times New Roman" w:cs="Times New Roman" w:eastAsia="Times New Roman" w:hAnsi="Times New Roman"/>
          <w:sz w:val="18"/>
          <w:szCs w:val="18"/>
          <w:color w:val="auto"/>
        </w:rPr>
        <w:t xml:space="preserve"> Intentionally evading bank creditor’s rights through related party transactions.</w:t>
      </w:r>
    </w:p>
    <w:p>
      <w:pPr>
        <w:spacing w:after="0" w:line="198" w:lineRule="exact"/>
        <w:rPr>
          <w:sz w:val="20"/>
          <w:szCs w:val="20"/>
          <w:color w:val="auto"/>
        </w:rPr>
      </w:pPr>
    </w:p>
    <w:p>
      <w:pPr>
        <w:jc w:val="both"/>
        <w:ind w:firstLine="584"/>
        <w:spacing w:after="0" w:line="258" w:lineRule="auto"/>
        <w:tabs>
          <w:tab w:leader="none" w:pos="88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155" w:lineRule="exact"/>
        <w:rPr>
          <w:sz w:val="20"/>
          <w:szCs w:val="20"/>
          <w:color w:val="auto"/>
        </w:rPr>
      </w:pPr>
    </w:p>
    <w:p>
      <w:pPr>
        <w:jc w:val="both"/>
        <w:ind w:firstLine="584"/>
        <w:spacing w:after="0" w:line="232" w:lineRule="exact"/>
        <w:tabs>
          <w:tab w:leader="none" w:pos="83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declares and guarantees that the management of environmental and social risks,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internal management documents related to environmental and social risks comply with the requirements of laws and regulations and are effectively implemented;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there are no major litigation cases involving environmental and social risks;</w:t>
      </w:r>
    </w:p>
    <w:p>
      <w:pPr>
        <w:spacing w:after="0" w:line="170" w:lineRule="exact"/>
        <w:rPr>
          <w:rFonts w:ascii="Times New Roman" w:cs="Times New Roman" w:eastAsia="Times New Roman" w:hAnsi="Times New Roman"/>
          <w:sz w:val="18"/>
          <w:szCs w:val="18"/>
          <w:color w:val="auto"/>
        </w:rPr>
      </w:pPr>
    </w:p>
    <w:p>
      <w:pPr>
        <w:jc w:val="both"/>
        <w:ind w:firstLine="584"/>
        <w:spacing w:after="0" w:line="228" w:lineRule="exact"/>
        <w:tabs>
          <w:tab w:leader="none" w:pos="85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promises to accept the supervision of the lender and strengthen environmental and social risk management,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commitment to compliance of all behaviors and performances related to environmental and social risks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Commit to establish and improve the internal management system of environmental and social risks, and specify the responsibilities, obligations and punishment measures of relevant responsible personnel of the borrower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Commit to establish and improve the emergency mechanism and measures for environmental and social risk emergencies</w:t>
      </w:r>
    </w:p>
    <w:p>
      <w:pPr>
        <w:spacing w:after="0" w:line="1" w:lineRule="exact"/>
        <w:rPr>
          <w:rFonts w:ascii="Times New Roman" w:cs="Times New Roman" w:eastAsia="Times New Roman" w:hAnsi="Times New Roman"/>
          <w:sz w:val="18"/>
          <w:szCs w:val="18"/>
          <w:color w:val="auto"/>
        </w:rPr>
      </w:pPr>
    </w:p>
    <w:p>
      <w:pPr>
        <w:jc w:val="both"/>
        <w:ind w:firstLine="8"/>
        <w:spacing w:after="0" w:line="216" w:lineRule="exact"/>
        <w:tabs>
          <w:tab w:leader="none" w:pos="265" w:val="left"/>
        </w:tabs>
        <w:numPr>
          <w:ilvl w:val="0"/>
          <w:numId w:val="2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Commit to establish special departments and / or designate special personnel to be responsible for environmental and social risks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Promise to cooperate with the lender or its recognized third party in the assessment and inspection of the borrower’s environmental and social risks </w:t>
      </w:r>
      <w:r>
        <w:rPr>
          <w:rFonts w:ascii="MS PGothic" w:cs="MS PGothic" w:eastAsia="MS PGothic" w:hAnsi="MS PGothic"/>
          <w:sz w:val="18"/>
          <w:szCs w:val="18"/>
          <w:color w:val="auto"/>
        </w:rPr>
        <w:t>⑥</w:t>
      </w:r>
      <w:r>
        <w:rPr>
          <w:rFonts w:ascii="Times New Roman" w:cs="Times New Roman" w:eastAsia="Times New Roman" w:hAnsi="Times New Roman"/>
          <w:sz w:val="18"/>
          <w:szCs w:val="18"/>
          <w:color w:val="auto"/>
        </w:rPr>
        <w:t xml:space="preserve"> in the face of strong doubts from the public or other stakeholders about the borrower’s performance in controlling environmental and social risks, promise to respond appropriately or take other necessary actions </w:t>
      </w:r>
      <w:r>
        <w:rPr>
          <w:rFonts w:ascii="MS PGothic" w:cs="MS PGothic" w:eastAsia="MS PGothic" w:hAnsi="MS PGothic"/>
          <w:sz w:val="18"/>
          <w:szCs w:val="18"/>
          <w:color w:val="auto"/>
        </w:rPr>
        <w:t>⑦</w:t>
      </w:r>
      <w:r>
        <w:rPr>
          <w:rFonts w:ascii="Times New Roman" w:cs="Times New Roman" w:eastAsia="Times New Roman" w:hAnsi="Times New Roman"/>
          <w:sz w:val="18"/>
          <w:szCs w:val="18"/>
          <w:color w:val="auto"/>
        </w:rPr>
        <w:t xml:space="preserve"> undertake to urge the borrower’s vital related parties to strengthen management and prevent the environmental and social risks of related parties from infecting the borrower </w:t>
      </w:r>
      <w:r>
        <w:rPr>
          <w:rFonts w:ascii="MS PGothic" w:cs="MS PGothic" w:eastAsia="MS PGothic" w:hAnsi="MS PGothic"/>
          <w:sz w:val="18"/>
          <w:szCs w:val="18"/>
          <w:color w:val="auto"/>
        </w:rPr>
        <w:t>⑧</w:t>
      </w:r>
      <w:r>
        <w:rPr>
          <w:rFonts w:ascii="Times New Roman" w:cs="Times New Roman" w:eastAsia="Times New Roman" w:hAnsi="Times New Roman"/>
          <w:sz w:val="18"/>
          <w:szCs w:val="18"/>
          <w:color w:val="auto"/>
        </w:rPr>
        <w:t xml:space="preserve"> undertake to perform other matters that the lender considers relevant to controlling environmental and social risks</w:t>
      </w:r>
    </w:p>
    <w:p>
      <w:pPr>
        <w:spacing w:after="0" w:line="169" w:lineRule="exact"/>
        <w:rPr>
          <w:rFonts w:ascii="MS PGothic" w:cs="MS PGothic" w:eastAsia="MS PGothic" w:hAnsi="MS PGothic"/>
          <w:sz w:val="18"/>
          <w:szCs w:val="18"/>
          <w:color w:val="auto"/>
        </w:rPr>
      </w:pPr>
    </w:p>
    <w:p>
      <w:pPr>
        <w:jc w:val="both"/>
        <w:ind w:firstLine="584"/>
        <w:spacing w:after="0" w:line="227" w:lineRule="exact"/>
        <w:tabs>
          <w:tab w:leader="none" w:pos="833"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promises to timely and fully inform the lender of various permits </w:t>
      </w:r>
      <w:r>
        <w:rPr>
          <w:rFonts w:ascii="MS PGothic" w:cs="MS PGothic" w:eastAsia="MS PGothic" w:hAnsi="MS PGothic"/>
          <w:sz w:val="17"/>
          <w:szCs w:val="17"/>
          <w:color w:val="auto"/>
        </w:rPr>
        <w:t>①</w:t>
      </w:r>
      <w:r>
        <w:rPr>
          <w:rFonts w:ascii="Times New Roman" w:cs="Times New Roman" w:eastAsia="Times New Roman" w:hAnsi="Times New Roman"/>
          <w:sz w:val="17"/>
          <w:szCs w:val="17"/>
          <w:color w:val="auto"/>
        </w:rPr>
        <w:t xml:space="preserve"> approvals and approvals related to environmental and social risks in the process of commencement, construction, operation and shutdown </w:t>
      </w:r>
      <w:r>
        <w:rPr>
          <w:rFonts w:ascii="MS PGothic" w:cs="MS PGothic" w:eastAsia="MS PGothic" w:hAnsi="MS PGothic"/>
          <w:sz w:val="17"/>
          <w:szCs w:val="17"/>
          <w:color w:val="auto"/>
        </w:rPr>
        <w:t>②</w:t>
      </w:r>
      <w:r>
        <w:rPr>
          <w:rFonts w:ascii="Times New Roman" w:cs="Times New Roman" w:eastAsia="Times New Roman" w:hAnsi="Times New Roman"/>
          <w:sz w:val="17"/>
          <w:szCs w:val="17"/>
          <w:color w:val="auto"/>
        </w:rPr>
        <w:t xml:space="preserve"> Assessment and inspection of the borrower’s environmental and social risks by the environmental and social risk regulatory authority or its recognized institutions </w:t>
      </w:r>
      <w:r>
        <w:rPr>
          <w:rFonts w:ascii="MS PGothic" w:cs="MS PGothic" w:eastAsia="MS PGothic" w:hAnsi="MS PGothic"/>
          <w:sz w:val="17"/>
          <w:szCs w:val="17"/>
          <w:color w:val="auto"/>
        </w:rPr>
        <w:t>③</w:t>
      </w:r>
      <w:r>
        <w:rPr>
          <w:rFonts w:ascii="Times New Roman" w:cs="Times New Roman" w:eastAsia="Times New Roman" w:hAnsi="Times New Roman"/>
          <w:sz w:val="17"/>
          <w:szCs w:val="17"/>
          <w:color w:val="auto"/>
        </w:rPr>
        <w:t xml:space="preserve"> supporting construction and operation of environmental facilities </w:t>
      </w:r>
      <w:r>
        <w:rPr>
          <w:rFonts w:ascii="MS PGothic" w:cs="MS PGothic" w:eastAsia="MS PGothic" w:hAnsi="MS PGothic"/>
          <w:sz w:val="17"/>
          <w:szCs w:val="17"/>
          <w:color w:val="auto"/>
        </w:rPr>
        <w:t>④</w:t>
      </w:r>
      <w:r>
        <w:rPr>
          <w:rFonts w:ascii="Times New Roman" w:cs="Times New Roman" w:eastAsia="Times New Roman" w:hAnsi="Times New Roman"/>
          <w:sz w:val="17"/>
          <w:szCs w:val="17"/>
          <w:color w:val="auto"/>
        </w:rPr>
        <w:t xml:space="preserve"> Discharge and compliance of pollutants </w:t>
      </w:r>
      <w:r>
        <w:rPr>
          <w:rFonts w:ascii="MS PGothic" w:cs="MS PGothic" w:eastAsia="MS PGothic" w:hAnsi="MS PGothic"/>
          <w:sz w:val="17"/>
          <w:szCs w:val="17"/>
          <w:color w:val="auto"/>
        </w:rPr>
        <w:t>⑤</w:t>
      </w:r>
      <w:r>
        <w:rPr>
          <w:rFonts w:ascii="Times New Roman" w:cs="Times New Roman" w:eastAsia="Times New Roman" w:hAnsi="Times New Roman"/>
          <w:sz w:val="17"/>
          <w:szCs w:val="17"/>
          <w:color w:val="auto"/>
        </w:rPr>
        <w:t xml:space="preserve"> Safety and health of employees </w:t>
      </w:r>
      <w:r>
        <w:rPr>
          <w:rFonts w:ascii="MS PGothic" w:cs="MS PGothic" w:eastAsia="MS PGothic" w:hAnsi="MS PGothic"/>
          <w:sz w:val="17"/>
          <w:szCs w:val="17"/>
          <w:color w:val="auto"/>
        </w:rPr>
        <w:t>⑥</w:t>
      </w:r>
      <w:r>
        <w:rPr>
          <w:rFonts w:ascii="Times New Roman" w:cs="Times New Roman" w:eastAsia="Times New Roman" w:hAnsi="Times New Roman"/>
          <w:sz w:val="17"/>
          <w:szCs w:val="17"/>
          <w:color w:val="auto"/>
        </w:rPr>
        <w:t xml:space="preserve"> neighboring communities for the borrower Major complaints and</w:t>
      </w:r>
    </w:p>
    <w:p>
      <w:pPr>
        <w:ind w:right="20"/>
        <w:spacing w:after="0" w:line="219" w:lineRule="exact"/>
        <w:rPr>
          <w:sz w:val="20"/>
          <w:szCs w:val="20"/>
          <w:color w:val="auto"/>
        </w:rPr>
      </w:pPr>
      <w:r>
        <w:rPr>
          <w:rFonts w:ascii="Times New Roman" w:cs="Times New Roman" w:eastAsia="Times New Roman" w:hAnsi="Times New Roman"/>
          <w:sz w:val="18"/>
          <w:szCs w:val="18"/>
          <w:color w:val="auto"/>
        </w:rPr>
        <w:t xml:space="preserve">protests </w:t>
      </w:r>
      <w:r>
        <w:rPr>
          <w:rFonts w:ascii="MS PGothic" w:cs="MS PGothic" w:eastAsia="MS PGothic" w:hAnsi="MS PGothic"/>
          <w:sz w:val="18"/>
          <w:szCs w:val="18"/>
          <w:color w:val="auto"/>
        </w:rPr>
        <w:t>⑦</w:t>
      </w:r>
      <w:r>
        <w:rPr>
          <w:rFonts w:ascii="Times New Roman" w:cs="Times New Roman" w:eastAsia="Times New Roman" w:hAnsi="Times New Roman"/>
          <w:sz w:val="18"/>
          <w:szCs w:val="18"/>
          <w:color w:val="auto"/>
        </w:rPr>
        <w:t xml:space="preserve"> Major environmental and social claims </w:t>
      </w:r>
      <w:r>
        <w:rPr>
          <w:rFonts w:ascii="MS PGothic" w:cs="MS PGothic" w:eastAsia="MS PGothic" w:hAnsi="MS PGothic"/>
          <w:sz w:val="18"/>
          <w:szCs w:val="18"/>
          <w:color w:val="auto"/>
        </w:rPr>
        <w:t>⑧</w:t>
      </w:r>
      <w:r>
        <w:rPr>
          <w:rFonts w:ascii="Times New Roman" w:cs="Times New Roman" w:eastAsia="Times New Roman" w:hAnsi="Times New Roman"/>
          <w:sz w:val="18"/>
          <w:szCs w:val="18"/>
          <w:color w:val="auto"/>
        </w:rPr>
        <w:t xml:space="preserve"> Other lenders believe that it is related to environmental and social winds Skillfully Major information related to insurance;</w:t>
      </w:r>
    </w:p>
    <w:p>
      <w:pPr>
        <w:spacing w:after="0" w:line="198" w:lineRule="exact"/>
        <w:rPr>
          <w:sz w:val="20"/>
          <w:szCs w:val="20"/>
          <w:color w:val="auto"/>
        </w:rPr>
      </w:pPr>
    </w:p>
    <w:p>
      <w:pPr>
        <w:jc w:val="both"/>
        <w:ind w:firstLine="584"/>
        <w:spacing w:after="0" w:line="220" w:lineRule="exact"/>
        <w:tabs>
          <w:tab w:leader="none" w:pos="84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and the actual Credit Lender have the following circumstances, it shall be deemed that the borrower has an event of default under this Contract: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borrower’s statement, guarantee and commitment on environmental and social risk management have not been seriously fulfilled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 borrower is punished by relevant government departments due to poor environmental and social risk management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the borrower is strongly questioned by the public and / or the media due to poor environmental and social risk management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Other events of default related to environmental and social risk management agreed between the lender and the borrower, including cross events of default;</w:t>
      </w:r>
    </w:p>
    <w:p>
      <w:pPr>
        <w:spacing w:after="0" w:line="172" w:lineRule="exact"/>
        <w:rPr>
          <w:sz w:val="20"/>
          <w:szCs w:val="20"/>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In case of the above events of default of the borrower, the lender has the right to unilaterally decide: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cancel the credit commitment already made</w:t>
      </w:r>
    </w:p>
    <w:p>
      <w:pPr>
        <w:spacing w:after="0" w:line="51" w:lineRule="exact"/>
        <w:rPr>
          <w:sz w:val="20"/>
          <w:szCs w:val="20"/>
          <w:color w:val="auto"/>
        </w:rPr>
      </w:pPr>
    </w:p>
    <w:p>
      <w:pPr>
        <w:jc w:val="both"/>
        <w:ind w:firstLine="8"/>
        <w:spacing w:after="0" w:line="218" w:lineRule="exact"/>
        <w:tabs>
          <w:tab w:leader="none" w:pos="306" w:val="left"/>
        </w:tabs>
        <w:numPr>
          <w:ilvl w:val="0"/>
          <w:numId w:val="29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Suspend the disbursement of the loan until the borrower takes rescue measures satisfactory to the lender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recover the allocated loan in advance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When the loan cannot be repaid, relevant mortgage and pledge rights and other punishment measures shall be exercised in advance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other punishment measures agreed by the lender and the borrower.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jc w:val="both"/>
        <w:ind w:firstLine="584"/>
        <w:spacing w:after="0" w:line="254" w:lineRule="auto"/>
        <w:tabs>
          <w:tab w:leader="none" w:pos="8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14.The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9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15.The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 deduction agreement</w:t>
      </w:r>
    </w:p>
    <w:p>
      <w:pPr>
        <w:spacing w:after="0" w:line="22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1 ..The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2.The lender has the right to use the proceeds to repay the loan principal, interest or other expenses. If there are multiple claims unpaid at the same time, the lender shall determine the repayment order of the claims.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if the deducted income is inconsistent with the currency to be repaid, it shall be handled in the following ways:</w:t>
      </w:r>
    </w:p>
    <w:p>
      <w:pPr>
        <w:spacing w:after="0" w:line="225" w:lineRule="exact"/>
        <w:rPr>
          <w:sz w:val="20"/>
          <w:szCs w:val="20"/>
          <w:color w:val="auto"/>
        </w:rPr>
      </w:pPr>
    </w:p>
    <w:p>
      <w:pPr>
        <w:ind w:right="20" w:firstLine="584"/>
        <w:spacing w:after="0" w:line="282" w:lineRule="auto"/>
        <w:tabs>
          <w:tab w:leader="none" w:pos="84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9" w:name="page300"/>
    <w:bookmarkEnd w:id="299"/>
    <w:p>
      <w:pPr>
        <w:jc w:val="both"/>
        <w:ind w:firstLine="584"/>
        <w:spacing w:after="0" w:line="261" w:lineRule="auto"/>
        <w:tabs>
          <w:tab w:leader="none" w:pos="84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proof of creditor’s rights</w:t>
      </w:r>
    </w:p>
    <w:p>
      <w:pPr>
        <w:spacing w:after="0" w:line="22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 agreed service address</w:t>
      </w:r>
    </w:p>
    <w:p>
      <w:pPr>
        <w:spacing w:after="0" w:line="229" w:lineRule="exact"/>
        <w:rPr>
          <w:sz w:val="20"/>
          <w:szCs w:val="20"/>
          <w:color w:val="auto"/>
        </w:rPr>
      </w:pPr>
    </w:p>
    <w:p>
      <w:pPr>
        <w:jc w:val="both"/>
        <w:ind w:right="20" w:firstLine="584"/>
        <w:spacing w:after="0" w:line="266" w:lineRule="auto"/>
        <w:tabs>
          <w:tab w:leader="none" w:pos="75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75" w:lineRule="exact"/>
        <w:rPr>
          <w:rFonts w:ascii="Times New Roman" w:cs="Times New Roman" w:eastAsia="Times New Roman" w:hAnsi="Times New Roman"/>
          <w:sz w:val="18"/>
          <w:szCs w:val="18"/>
          <w:color w:val="auto"/>
        </w:rPr>
      </w:pPr>
    </w:p>
    <w:p>
      <w:pPr>
        <w:jc w:val="both"/>
        <w:ind w:firstLine="584"/>
        <w:spacing w:after="0" w:line="255" w:lineRule="auto"/>
        <w:tabs>
          <w:tab w:leader="none" w:pos="75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 events of default and handling</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1.Event of default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 following circumstances shall constitute a breach of contract by the borrower against the lender:</w:t>
      </w:r>
    </w:p>
    <w:p>
      <w:pPr>
        <w:spacing w:after="0" w:line="225" w:lineRule="exact"/>
        <w:rPr>
          <w:sz w:val="20"/>
          <w:szCs w:val="20"/>
          <w:color w:val="auto"/>
        </w:rPr>
      </w:pPr>
    </w:p>
    <w:p>
      <w:pPr>
        <w:jc w:val="both"/>
        <w:ind w:firstLine="584"/>
        <w:spacing w:after="0" w:line="266" w:lineRule="auto"/>
        <w:tabs>
          <w:tab w:leader="none" w:pos="85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violated “other matters agreed by both parties” (if any) in part I of the contract or any agreed matter in Article 8 of Part II.</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4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investors withdraw funds, transfer assets or transfer equity without authorization.</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has or will no longer have the ability to provide guarantee corresponding to the loan, or violates the guarantee documents signed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w:t>
      </w:r>
    </w:p>
    <w:p>
      <w:pPr>
        <w:spacing w:after="0" w:line="206" w:lineRule="exact"/>
        <w:rPr>
          <w:rFonts w:ascii="Times New Roman" w:cs="Times New Roman" w:eastAsia="Times New Roman" w:hAnsi="Times New Roman"/>
          <w:sz w:val="18"/>
          <w:szCs w:val="18"/>
          <w:color w:val="auto"/>
        </w:rPr>
      </w:pPr>
    </w:p>
    <w:p>
      <w:pPr>
        <w:ind w:right="20" w:firstLine="584"/>
        <w:spacing w:after="0" w:line="282" w:lineRule="auto"/>
        <w:tabs>
          <w:tab w:leader="none" w:pos="8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ind w:firstLine="584"/>
        <w:spacing w:after="0" w:line="282" w:lineRule="auto"/>
        <w:tabs>
          <w:tab w:leader="none" w:pos="83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repay the principal and interest on schedule or use the loan for the agreed purpose.</w:t>
      </w:r>
    </w:p>
    <w:p>
      <w:pPr>
        <w:spacing w:after="0" w:line="225"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funds are not paid in the agreed manner.</w:t>
      </w:r>
    </w:p>
    <w:p>
      <w:pPr>
        <w:spacing w:after="0" w:line="225"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and information submitted for loan application are false and incorrect.</w:t>
      </w:r>
    </w:p>
    <w:p>
      <w:pPr>
        <w:spacing w:after="0" w:line="225"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meet or exceed the constraints of relevant financial indicators agreed in the contract.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94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161"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flow in the general settlement account / capital return account is abnormal.</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92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other acts in violation of this contract that are sufficient to hinder the normal performance of this contract, or other acts that damage the legitimate interests of the lender.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Handling of breach of contract</w:t>
      </w:r>
    </w:p>
    <w:p>
      <w:pPr>
        <w:spacing w:after="0" w:line="225" w:lineRule="exact"/>
        <w:rPr>
          <w:sz w:val="20"/>
          <w:szCs w:val="20"/>
          <w:color w:val="auto"/>
        </w:rPr>
      </w:pPr>
    </w:p>
    <w:p>
      <w:pPr>
        <w:ind w:right="20" w:firstLine="584"/>
        <w:spacing w:after="0" w:line="282" w:lineRule="auto"/>
        <w:tabs>
          <w:tab w:leader="none" w:pos="83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one or more of the default circumstances listed in the current paragraph occur, the lender may take one or more of the following measures at its discretion:</w:t>
      </w:r>
    </w:p>
    <w:p>
      <w:pPr>
        <w:spacing w:after="0" w:line="162" w:lineRule="exact"/>
        <w:rPr>
          <w:sz w:val="20"/>
          <w:szCs w:val="20"/>
          <w:color w:val="auto"/>
        </w:rPr>
      </w:pPr>
    </w:p>
    <w:p>
      <w:pPr>
        <w:ind w:left="840" w:hanging="256"/>
        <w:spacing w:after="0"/>
        <w:tabs>
          <w:tab w:leader="none" w:pos="840" w:val="left"/>
        </w:tabs>
        <w:numPr>
          <w:ilvl w:val="0"/>
          <w:numId w:val="3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correct within a time limit.</w:t>
      </w:r>
    </w:p>
    <w:p>
      <w:pPr>
        <w:spacing w:after="0" w:line="225" w:lineRule="exact"/>
        <w:rPr>
          <w:sz w:val="20"/>
          <w:szCs w:val="20"/>
          <w:color w:val="auto"/>
        </w:rPr>
      </w:pPr>
    </w:p>
    <w:p>
      <w:pPr>
        <w:ind w:left="840" w:hanging="256"/>
        <w:spacing w:after="0"/>
        <w:tabs>
          <w:tab w:leader="none" w:pos="840" w:val="left"/>
        </w:tabs>
        <w:numPr>
          <w:ilvl w:val="0"/>
          <w:numId w:val="3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cancel the unused loan of the borrower and stop issuing and paying the unused loan of the borrower.</w:t>
      </w:r>
    </w:p>
    <w:p>
      <w:pPr>
        <w:spacing w:after="0" w:line="225" w:lineRule="exact"/>
        <w:rPr>
          <w:sz w:val="20"/>
          <w:szCs w:val="20"/>
          <w:color w:val="auto"/>
        </w:rPr>
      </w:pPr>
    </w:p>
    <w:p>
      <w:pPr>
        <w:ind w:firstLine="584"/>
        <w:spacing w:after="0" w:line="282" w:lineRule="auto"/>
        <w:tabs>
          <w:tab w:leader="none" w:pos="834" w:val="left"/>
        </w:tabs>
        <w:numPr>
          <w:ilvl w:val="0"/>
          <w:numId w:val="3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62" w:lineRule="exact"/>
        <w:rPr>
          <w:sz w:val="20"/>
          <w:szCs w:val="20"/>
          <w:color w:val="auto"/>
        </w:rPr>
      </w:pPr>
    </w:p>
    <w:p>
      <w:pPr>
        <w:ind w:left="800" w:hanging="216"/>
        <w:spacing w:after="0"/>
        <w:tabs>
          <w:tab w:leader="none" w:pos="800" w:val="left"/>
        </w:tabs>
        <w:numPr>
          <w:ilvl w:val="0"/>
          <w:numId w:val="3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Penalty interest and compound interest shall be charged for overdue loans and misappropriated loans.</w:t>
      </w:r>
    </w:p>
    <w:p>
      <w:pPr>
        <w:spacing w:after="0" w:line="225" w:lineRule="exact"/>
        <w:rPr>
          <w:sz w:val="20"/>
          <w:szCs w:val="20"/>
          <w:color w:val="auto"/>
        </w:rPr>
      </w:pPr>
    </w:p>
    <w:p>
      <w:pPr>
        <w:ind w:left="800" w:hanging="216"/>
        <w:spacing w:after="0"/>
        <w:tabs>
          <w:tab w:leader="none" w:pos="800" w:val="left"/>
        </w:tabs>
        <w:numPr>
          <w:ilvl w:val="0"/>
          <w:numId w:val="3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Deduct from any account opened by the borrower in each branch of Shanghai Pudong Development Bank Co., Ltd</w:t>
      </w:r>
    </w:p>
    <w:p>
      <w:pPr>
        <w:spacing w:after="0" w:line="225" w:lineRule="exact"/>
        <w:rPr>
          <w:sz w:val="20"/>
          <w:szCs w:val="20"/>
          <w:color w:val="auto"/>
        </w:rPr>
      </w:pPr>
    </w:p>
    <w:p>
      <w:pPr>
        <w:ind w:left="800" w:hanging="216"/>
        <w:spacing w:after="0"/>
        <w:tabs>
          <w:tab w:leader="none" w:pos="800" w:val="left"/>
        </w:tabs>
        <w:numPr>
          <w:ilvl w:val="0"/>
          <w:numId w:val="3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supplement the loan issuance and payment conditions, or change the loan payment method.</w:t>
      </w:r>
    </w:p>
    <w:p>
      <w:pPr>
        <w:spacing w:after="0" w:line="225" w:lineRule="exact"/>
        <w:rPr>
          <w:sz w:val="20"/>
          <w:szCs w:val="20"/>
          <w:color w:val="auto"/>
        </w:rPr>
      </w:pPr>
    </w:p>
    <w:p>
      <w:pPr>
        <w:ind w:left="840" w:hanging="256"/>
        <w:spacing w:after="0"/>
        <w:tabs>
          <w:tab w:leader="none" w:pos="840" w:val="left"/>
        </w:tabs>
        <w:numPr>
          <w:ilvl w:val="0"/>
          <w:numId w:val="3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provide other guarantees approved by the lender.</w:t>
      </w:r>
    </w:p>
    <w:p>
      <w:pPr>
        <w:spacing w:after="0" w:line="225" w:lineRule="exact"/>
        <w:rPr>
          <w:sz w:val="20"/>
          <w:szCs w:val="20"/>
          <w:color w:val="auto"/>
        </w:rPr>
      </w:pPr>
    </w:p>
    <w:p>
      <w:pPr>
        <w:ind w:left="840" w:hanging="256"/>
        <w:spacing w:after="0"/>
        <w:tabs>
          <w:tab w:leader="none" w:pos="840" w:val="left"/>
        </w:tabs>
        <w:numPr>
          <w:ilvl w:val="0"/>
          <w:numId w:val="3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necessary measures stipulated by law.</w:t>
      </w:r>
    </w:p>
    <w:p>
      <w:pPr>
        <w:spacing w:after="0" w:line="225" w:lineRule="exact"/>
        <w:rPr>
          <w:sz w:val="20"/>
          <w:szCs w:val="20"/>
          <w:color w:val="auto"/>
        </w:rPr>
      </w:pPr>
    </w:p>
    <w:p>
      <w:pPr>
        <w:jc w:val="both"/>
        <w:ind w:firstLine="584"/>
        <w:spacing w:after="0" w:line="266" w:lineRule="auto"/>
        <w:tabs>
          <w:tab w:leader="none" w:pos="83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83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b w:val="1"/>
          <w:bCs w:val="1"/>
          <w:color w:val="auto"/>
        </w:rPr>
        <w:t>Article 13 effectiveness, alteration and dissolution</w:t>
      </w:r>
    </w:p>
    <w:p>
      <w:pPr>
        <w:spacing w:after="0" w:line="229" w:lineRule="exact"/>
        <w:rPr>
          <w:sz w:val="20"/>
          <w:szCs w:val="20"/>
          <w:color w:val="auto"/>
        </w:rPr>
      </w:pPr>
    </w:p>
    <w:p>
      <w:pPr>
        <w:jc w:val="both"/>
        <w:ind w:firstLine="584"/>
        <w:spacing w:after="0" w:line="266" w:lineRule="auto"/>
        <w:tabs>
          <w:tab w:leader="none" w:pos="767"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76"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2.After the contract takes effect, neither party shall change or terminate the contract in advance without authorization. If the contract needs to be changed or terminated, both parties shall reach a written agreement through consultation.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 other provisions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..definition</w:t>
      </w:r>
    </w:p>
    <w:p>
      <w:pPr>
        <w:spacing w:after="0" w:line="225" w:lineRule="exact"/>
        <w:rPr>
          <w:sz w:val="20"/>
          <w:szCs w:val="20"/>
          <w:color w:val="auto"/>
        </w:rPr>
      </w:pPr>
    </w:p>
    <w:p>
      <w:pPr>
        <w:ind w:firstLine="584"/>
        <w:spacing w:after="0" w:line="282" w:lineRule="auto"/>
        <w:tabs>
          <w:tab w:leader="none" w:pos="84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creditor’s rights” under this contract refers to the loan principal, interest, liquidated damages and various expenses incurred to realize the creditor’s rights.</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“interest” under this contract includes interest, penalty interest and compound interest.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3"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Applicable law</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3.Settlement of disputes</w:t>
      </w:r>
    </w:p>
    <w:p>
      <w:pPr>
        <w:spacing w:after="0" w:line="225"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4.Miscellaneous</w:t>
      </w:r>
    </w:p>
    <w:p>
      <w:pPr>
        <w:spacing w:after="0" w:line="225" w:lineRule="exact"/>
        <w:rPr>
          <w:sz w:val="20"/>
          <w:szCs w:val="20"/>
          <w:color w:val="auto"/>
        </w:rPr>
      </w:pPr>
    </w:p>
    <w:p>
      <w:pPr>
        <w:jc w:val="both"/>
        <w:ind w:firstLine="584"/>
        <w:spacing w:after="0" w:line="266" w:lineRule="auto"/>
        <w:tabs>
          <w:tab w:leader="none" w:pos="84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75" w:lineRule="exact"/>
        <w:rPr>
          <w:rFonts w:ascii="Times New Roman" w:cs="Times New Roman" w:eastAsia="Times New Roman" w:hAnsi="Times New Roman"/>
          <w:sz w:val="18"/>
          <w:szCs w:val="18"/>
          <w:color w:val="auto"/>
        </w:rPr>
      </w:pPr>
    </w:p>
    <w:p>
      <w:pPr>
        <w:jc w:val="both"/>
        <w:ind w:firstLine="584"/>
        <w:spacing w:after="0" w:line="261" w:lineRule="auto"/>
        <w:tabs>
          <w:tab w:leader="none" w:pos="83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79"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of one clause of the contract shall not affect the validity of other clauses of the contract. This contract is not valid for any reason</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2" w:name="page303"/>
    <w:bookmarkEnd w:id="302"/>
    <w:p>
      <w:pPr>
        <w:jc w:val="both"/>
        <w:ind w:firstLine="584"/>
        <w:spacing w:after="0" w:line="266" w:lineRule="auto"/>
        <w:tabs>
          <w:tab w:leader="none" w:pos="83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contract, relevant terms and expressions in the annexes to the contract have the same meanings as those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under this contract are for convenience only and shall not be used as the basis for the contents under this heading.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text below this page)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page is the signature page without text)</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 xml:space="preserve">This contract is signed by and between the borrower and the lender on </w:t>
      </w:r>
      <w:r>
        <w:rPr>
          <w:rFonts w:ascii="Times New Roman" w:cs="Times New Roman" w:eastAsia="Times New Roman" w:hAnsi="Times New Roman"/>
          <w:sz w:val="18"/>
          <w:szCs w:val="18"/>
          <w:u w:val="single" w:color="auto"/>
          <w:color w:val="auto"/>
        </w:rPr>
        <w:t>June 21 ,2022</w:t>
      </w:r>
      <w:r>
        <w:rPr>
          <w:rFonts w:ascii="Times New Roman" w:cs="Times New Roman" w:eastAsia="Times New Roman" w:hAnsi="Times New Roman"/>
          <w:sz w:val="18"/>
          <w:szCs w:val="18"/>
          <w:color w:val="auto"/>
        </w:rPr>
        <w:t>.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Borrower(Official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or authorized agent (signature or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Lender (Official seal or contract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 person in charge (authorized or sealed)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 98842022280249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43"/>
          <w:szCs w:val="43"/>
          <w:b w:val="1"/>
          <w:bCs w:val="1"/>
          <w:color w:val="auto"/>
        </w:rPr>
        <w:t>SPD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43"/>
          <w:szCs w:val="43"/>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1282065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8"/>
          <w:szCs w:val="18"/>
          <w:b w:val="1"/>
          <w:bCs w:val="1"/>
          <w:color w:val="auto"/>
        </w:rPr>
        <w:t>Contract for loans of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ChinaLink Professional Services Co., Ltd.</w:t>
      </w:r>
    </w:p>
    <w:p>
      <w:pPr>
        <w:spacing w:after="0" w:line="2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Principal business address</w:t>
      </w:r>
      <w:r>
        <w:rPr>
          <w:rFonts w:ascii="SimSun" w:cs="SimSun" w:eastAsia="SimSun" w:hAnsi="SimSun"/>
          <w:sz w:val="17"/>
          <w:szCs w:val="17"/>
          <w:color w:val="auto"/>
        </w:rPr>
        <w:t>：</w:t>
      </w:r>
      <w:r>
        <w:rPr>
          <w:rFonts w:ascii="Times New Roman" w:cs="Times New Roman" w:eastAsia="Times New Roman" w:hAnsi="Times New Roman"/>
          <w:sz w:val="17"/>
          <w:szCs w:val="17"/>
          <w:color w:val="auto"/>
        </w:rPr>
        <w:t>2nd floor, building 18, No. 498, GuoShouJing Road, Pudong New Area, Shanghai</w:t>
      </w:r>
    </w:p>
    <w:p>
      <w:pPr>
        <w:sectPr>
          <w:pgSz w:w="11900" w:h="16838" w:orient="portrait"/>
          <w:cols w:equalWidth="0" w:num="1">
            <w:col w:w="11240"/>
          </w:cols>
          <w:pgMar w:left="320" w:top="900" w:right="339" w:bottom="1440" w:gutter="0" w:footer="0" w:header="0"/>
        </w:sectPr>
      </w:pPr>
    </w:p>
    <w:p>
      <w:pPr>
        <w:spacing w:after="0" w:line="25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The contact</w:t>
      </w:r>
      <w:r>
        <w:rPr>
          <w:rFonts w:ascii="SimSun" w:cs="SimSun" w:eastAsia="SimSun" w:hAnsi="SimSun"/>
          <w:sz w:val="17"/>
          <w:szCs w:val="17"/>
          <w:color w:val="auto"/>
        </w:rPr>
        <w:t>：</w:t>
      </w:r>
      <w:r>
        <w:rPr>
          <w:rFonts w:ascii="Times New Roman" w:cs="Times New Roman" w:eastAsia="Times New Roman" w:hAnsi="Times New Roman"/>
          <w:sz w:val="17"/>
          <w:szCs w:val="17"/>
          <w:color w:val="auto"/>
        </w:rPr>
        <w:t>Lisa Wu</w:t>
      </w:r>
    </w:p>
    <w:p>
      <w:pPr>
        <w:spacing w:after="0" w:line="3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Fax</w:t>
      </w:r>
      <w:r>
        <w:rPr>
          <w:rFonts w:ascii="SimSun" w:cs="SimSun" w:eastAsia="SimSun" w:hAnsi="SimSun"/>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Tell</w:t>
      </w:r>
      <w:r>
        <w:rPr>
          <w:rFonts w:ascii="SimSun" w:cs="SimSun" w:eastAsia="SimSun" w:hAnsi="SimSun"/>
          <w:sz w:val="18"/>
          <w:szCs w:val="18"/>
          <w:color w:val="auto"/>
        </w:rPr>
        <w:t>：</w:t>
      </w:r>
      <w:r>
        <w:rPr>
          <w:rFonts w:ascii="Times New Roman" w:cs="Times New Roman" w:eastAsia="Times New Roman" w:hAnsi="Times New Roman"/>
          <w:sz w:val="18"/>
          <w:szCs w:val="18"/>
          <w:color w:val="auto"/>
        </w:rPr>
        <w:t>021-31268010</w:t>
      </w:r>
    </w:p>
    <w:p>
      <w:pPr>
        <w:spacing w:after="0" w:line="2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Email</w:t>
      </w:r>
      <w:r>
        <w:rPr>
          <w:rFonts w:ascii="SimSun" w:cs="SimSun" w:eastAsia="SimSun" w:hAnsi="SimSun"/>
          <w:sz w:val="17"/>
          <w:szCs w:val="17"/>
          <w:color w:val="auto"/>
        </w:rPr>
        <w:t>：</w:t>
      </w:r>
      <w:r>
        <w:rPr>
          <w:rFonts w:ascii="Times New Roman" w:cs="Times New Roman" w:eastAsia="Times New Roman" w:hAnsi="Times New Roman"/>
          <w:sz w:val="17"/>
          <w:szCs w:val="17"/>
          <w:color w:val="auto"/>
        </w:rPr>
        <w:t>lisa.wu@clpsglobal.com</w:t>
      </w:r>
    </w:p>
    <w:p>
      <w:pPr>
        <w:spacing w:after="0" w:line="212"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p>
      <w:pPr>
        <w:spacing w:after="0" w:line="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Lender</w:t>
      </w:r>
      <w:r>
        <w:rPr>
          <w:rFonts w:ascii="SimSun" w:cs="SimSun" w:eastAsia="SimSun" w:hAnsi="SimSun"/>
          <w:sz w:val="18"/>
          <w:szCs w:val="18"/>
          <w:color w:val="auto"/>
        </w:rPr>
        <w:t>：</w:t>
      </w:r>
      <w:r>
        <w:rPr>
          <w:rFonts w:ascii="Times New Roman" w:cs="Times New Roman" w:eastAsia="Times New Roman" w:hAnsi="Times New Roman"/>
          <w:sz w:val="18"/>
          <w:szCs w:val="18"/>
          <w:color w:val="auto"/>
        </w:rPr>
        <w:t>Shanghai Pudong Development Bank Co., LTD. Jinqiao Branch</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Principal business address</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No.509 Jinqiao Road, Pudong New Area, Shanghai</w:t>
      </w:r>
    </w:p>
    <w:p>
      <w:pPr>
        <w:spacing w:after="0" w:line="24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contact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Lin Xie Tell</w:t>
      </w:r>
      <w:r>
        <w:rPr>
          <w:rFonts w:ascii="SimSun" w:cs="SimSun" w:eastAsia="SimSun" w:hAnsi="SimSun"/>
          <w:sz w:val="18"/>
          <w:szCs w:val="18"/>
          <w:color w:val="auto"/>
        </w:rPr>
        <w:t>：</w:t>
      </w:r>
      <w:r>
        <w:rPr>
          <w:rFonts w:ascii="Times New Roman" w:cs="Times New Roman" w:eastAsia="Times New Roman" w:hAnsi="Times New Roman"/>
          <w:sz w:val="18"/>
          <w:szCs w:val="18"/>
          <w:color w:val="auto"/>
        </w:rPr>
        <w:t>021-58994702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borrower applies to the lender for working capital loan due to capital turnover needs; Upon review, the Lender agrees to release the loan in accordance with the terms and conditions of this Contract. In order to clarify the rights and obligations of both parties, both parties hereby enter into this Contract for compliance with the relevant laws, regulations and rules of the People’s Republic of China through mutual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the same time, the borrower and the lender confirm the following principal terms (please select in the box below according to the situation, tick X if not selected);</w:t>
      </w:r>
    </w:p>
    <w:p>
      <w:pPr>
        <w:spacing w:after="0" w:line="162" w:lineRule="exact"/>
        <w:rPr>
          <w:sz w:val="20"/>
          <w:szCs w:val="20"/>
          <w:color w:val="auto"/>
        </w:rPr>
      </w:pPr>
    </w:p>
    <w:p>
      <w:pPr>
        <w:jc w:val="both"/>
        <w:ind w:firstLine="332"/>
        <w:spacing w:after="0" w:line="266" w:lineRule="auto"/>
        <w:tabs>
          <w:tab w:leader="none" w:pos="556" w:val="left"/>
        </w:tabs>
        <w:numPr>
          <w:ilvl w:val="0"/>
          <w:numId w:val="3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contract, as the number of a/financing bottle degree of agreement (hereinafter referred to as the credit line agreement) affiliated with the financing documents signed, this contract comes into force, all its terms and conditions are incorporated into the financing credit agreement, and as a part of (if the borrower have previously signed the melt line agreement, should choose the project, and indicate the credit line agreement number);</w:t>
      </w:r>
    </w:p>
    <w:p>
      <w:pPr>
        <w:spacing w:after="0" w:line="176" w:lineRule="exact"/>
        <w:rPr>
          <w:sz w:val="20"/>
          <w:szCs w:val="20"/>
          <w:color w:val="auto"/>
        </w:rPr>
      </w:pPr>
    </w:p>
    <w:p>
      <w:pPr>
        <w:ind w:firstLine="332"/>
        <w:spacing w:after="0" w:line="282" w:lineRule="auto"/>
        <w:tabs>
          <w:tab w:leader="none" w:pos="47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is an independent credit document signed between the borrower and the lender (this item should be selected if the borrower and the lender have not signed the financing line agreement);</w:t>
      </w:r>
    </w:p>
    <w:p>
      <w:pPr>
        <w:spacing w:after="0" w:line="162" w:lineRule="exact"/>
        <w:rPr>
          <w:sz w:val="20"/>
          <w:szCs w:val="20"/>
          <w:color w:val="auto"/>
        </w:rPr>
      </w:pPr>
    </w:p>
    <w:p>
      <w:pPr>
        <w:ind w:firstLine="332"/>
        <w:spacing w:after="0" w:line="282" w:lineRule="auto"/>
        <w:tabs>
          <w:tab w:leader="none" w:pos="550" w:val="left"/>
        </w:tabs>
        <w:numPr>
          <w:ilvl w:val="0"/>
          <w:numId w:val="3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guarantor has been informed that the purpose of the loan under this contract is to repay the loan under the original contract name: Date of signing: No: .(Select this item if the purpose of borrowing is to repay the old or renew the 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8"/>
          <w:szCs w:val="18"/>
          <w:b w:val="1"/>
          <w:bCs w:val="1"/>
          <w:color w:val="auto"/>
        </w:rPr>
        <w:t>The Part One Commercial terms</w:t>
      </w:r>
    </w:p>
    <w:p>
      <w:pPr>
        <w:spacing w:after="0" w:line="241" w:lineRule="exact"/>
        <w:rPr>
          <w:sz w:val="20"/>
          <w:szCs w:val="20"/>
          <w:color w:val="auto"/>
        </w:rPr>
      </w:pPr>
    </w:p>
    <w:p>
      <w:pPr>
        <w:ind w:left="340" w:hanging="332"/>
        <w:spacing w:after="0" w:line="235" w:lineRule="exact"/>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Types of Loans: þ Short-term working capital loans </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Courier New" w:cs="Courier New" w:eastAsia="Courier New" w:hAnsi="Courier New"/>
          <w:sz w:val="18"/>
          <w:szCs w:val="18"/>
          <w:color w:val="auto"/>
        </w:rPr>
        <w:t>ﲟ</w:t>
      </w:r>
      <w:r>
        <w:rPr>
          <w:rFonts w:ascii="Times New Roman" w:cs="Times New Roman" w:eastAsia="Times New Roman" w:hAnsi="Times New Roman"/>
          <w:sz w:val="18"/>
          <w:szCs w:val="18"/>
          <w:color w:val="auto"/>
        </w:rPr>
        <w:t xml:space="preserve"> mid-term liquidity loan,</w:t>
      </w:r>
    </w:p>
    <w:p>
      <w:pPr>
        <w:spacing w:after="0" w:line="21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 amount under this contract is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10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specific use of loan under this contract as follows: </w:t>
      </w:r>
      <w:r>
        <w:rPr>
          <w:rFonts w:ascii="Times New Roman" w:cs="Times New Roman" w:eastAsia="Times New Roman" w:hAnsi="Times New Roman"/>
          <w:sz w:val="18"/>
          <w:szCs w:val="18"/>
          <w:u w:val="single" w:color="auto"/>
          <w:color w:val="auto"/>
        </w:rPr>
        <w:t>payroll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limit for the loan under this contract (in the following box, please, don’t choose to play x)</w:t>
      </w:r>
    </w:p>
    <w:p>
      <w:pPr>
        <w:spacing w:after="0" w:line="229" w:lineRule="exact"/>
        <w:rPr>
          <w:sz w:val="20"/>
          <w:szCs w:val="20"/>
          <w:color w:val="auto"/>
        </w:rPr>
      </w:pPr>
    </w:p>
    <w:p>
      <w:pPr>
        <w:ind w:left="460" w:hanging="128"/>
        <w:spacing w:after="0"/>
        <w:tabs>
          <w:tab w:leader="none" w:pos="4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29"/>
          <w:szCs w:val="29"/>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May 2022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29"/>
          <w:szCs w:val="29"/>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May 2023.</w:t>
      </w:r>
    </w:p>
    <w:p>
      <w:pPr>
        <w:spacing w:after="0" w:line="149" w:lineRule="exact"/>
        <w:rPr>
          <w:sz w:val="20"/>
          <w:szCs w:val="20"/>
          <w:color w:val="auto"/>
        </w:rPr>
      </w:pPr>
    </w:p>
    <w:p>
      <w:pPr>
        <w:ind w:left="540" w:hanging="208"/>
        <w:spacing w:after="0" w:line="219" w:lineRule="exact"/>
        <w:tabs>
          <w:tab w:leader="none" w:pos="540" w:val="left"/>
        </w:tabs>
        <w:numPr>
          <w:ilvl w:val="0"/>
          <w:numId w:val="3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From the date of first withdrawal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year</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months</w:t>
      </w:r>
      <w:r>
        <w:rPr>
          <w:rFonts w:ascii="SimSun" w:cs="SimSun" w:eastAsia="SimSun" w:hAnsi="SimSun"/>
          <w:sz w:val="18"/>
          <w:szCs w:val="18"/>
          <w:color w:val="auto"/>
        </w:rPr>
        <w: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actual withdrawal date and repayment date shall be the date recorded on the ious (loan certificate) issued by the lender and the borrower. The last repayment date shall not exceed the loan term agreed herein. The loan (loan certificate) is an integral part of this contract.</w:t>
      </w:r>
    </w:p>
    <w:p>
      <w:pPr>
        <w:spacing w:after="0" w:line="1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5</w:t>
      </w:r>
      <w:r>
        <w:rPr>
          <w:rFonts w:ascii="SimSun" w:cs="SimSun" w:eastAsia="SimSun" w:hAnsi="SimSun"/>
          <w:sz w:val="18"/>
          <w:szCs w:val="18"/>
          <w:color w:val="auto"/>
        </w:rPr>
        <w:t>．</w:t>
      </w:r>
      <w:r>
        <w:rPr>
          <w:rFonts w:ascii="Times New Roman" w:cs="Times New Roman" w:eastAsia="Times New Roman" w:hAnsi="Times New Roman"/>
          <w:sz w:val="18"/>
          <w:szCs w:val="18"/>
          <w:color w:val="auto"/>
        </w:rPr>
        <w:t>The interest rate of the loan under this Contract is (please tick V in the box below and x if not)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þ (1) the RMB loans Interest Rate :</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loan under this Contract shall be issued according to the loan market quoted APR (term) -1 BPS published by The National Inter-Bank Lending Center at the end of the day prior to the actual date of loan issuance. If the calculated interest rate is less than 0%, it shall be implemented as 0%. (The quoted market interest rate is the annual interest rate, which can be found through the National Inter-bank Lending Center and the website of the People’s Bank of China)</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each loan is issued, if the quoted interest rate of the loan market is adjusted during the loan term, the loan interest rate (please put a in the box below and x in case of non-I):</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þ Fixed interest rate without adjustment;</w:t>
      </w:r>
    </w:p>
    <w:p>
      <w:pPr>
        <w:spacing w:after="0" w:line="225" w:lineRule="exact"/>
        <w:rPr>
          <w:sz w:val="20"/>
          <w:szCs w:val="20"/>
          <w:color w:val="auto"/>
        </w:rPr>
      </w:pPr>
    </w:p>
    <w:p>
      <w:pPr>
        <w:jc w:val="both"/>
        <w:ind w:firstLine="291"/>
        <w:spacing w:after="0" w:line="266" w:lineRule="auto"/>
        <w:tabs>
          <w:tab w:leader="none" w:pos="501" w:val="left"/>
        </w:tabs>
        <w:numPr>
          <w:ilvl w:val="0"/>
          <w:numId w:val="3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Since interest rates adjust interest rates to adjust interest rates before a complex day by day the national interbank funding center published in this article the contract term loan market quotation rate (LPR) as the base, the way of fixed interest rate floating point and calculating constant, specific interest rates adjust below (please v is selected in the following box, does not escape the x) :</w:t>
      </w:r>
    </w:p>
    <w:p>
      <w:pPr>
        <w:spacing w:after="0" w:line="175" w:lineRule="exact"/>
        <w:rPr>
          <w:rFonts w:ascii="MS PGothic" w:cs="MS PGothic" w:eastAsia="MS PGothic" w:hAnsi="MS PGothic"/>
          <w:sz w:val="18"/>
          <w:szCs w:val="18"/>
          <w:color w:val="auto"/>
        </w:rPr>
      </w:pPr>
    </w:p>
    <w:p>
      <w:pPr>
        <w:jc w:val="both"/>
        <w:ind w:firstLine="291"/>
        <w:spacing w:after="0" w:line="261" w:lineRule="auto"/>
        <w:tabs>
          <w:tab w:leader="none" w:pos="491" w:val="left"/>
        </w:tabs>
        <w:numPr>
          <w:ilvl w:val="0"/>
          <w:numId w:val="3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interest rate is adjusted by year, and the interest rate adjustment day is the corresponding day of the actual loan issuing date in the corresponding month of the next Gregorian calendar year. If there is no corresponding day of the actual loan issuing date in the corresponding month of the next Gregorian calendar year, the interest rate adjustment day is the last day of the actual loan issuing date in the corresponding month of the next Gregorian calendar year:</w:t>
      </w:r>
    </w:p>
    <w:p>
      <w:pPr>
        <w:spacing w:after="0" w:line="193"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3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year, the interest rate adjustment date is January 1 of each year</w:t>
      </w:r>
      <w:r>
        <w:rPr>
          <w:rFonts w:ascii="SimSun" w:cs="SimSun" w:eastAsia="SimSun" w:hAnsi="SimSun"/>
          <w:sz w:val="18"/>
          <w:szCs w:val="18"/>
          <w:color w:val="auto"/>
        </w:rPr>
        <w:t>；</w:t>
      </w:r>
    </w:p>
    <w:p>
      <w:pPr>
        <w:spacing w:after="0" w:line="240"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3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Adjust the interest rate according to the interest settlement date, and the interest rate adjustment day is the next day of the interest settlement date</w:t>
      </w:r>
      <w:r>
        <w:rPr>
          <w:rFonts w:ascii="SimSun" w:cs="SimSun" w:eastAsia="SimSun" w:hAnsi="SimSun"/>
          <w:sz w:val="18"/>
          <w:szCs w:val="18"/>
          <w:color w:val="auto"/>
        </w:rPr>
        <w:t>；</w:t>
      </w:r>
    </w:p>
    <w:p>
      <w:pPr>
        <w:spacing w:after="0" w:line="240" w:lineRule="exact"/>
        <w:rPr>
          <w:rFonts w:ascii="MS PGothic" w:cs="MS PGothic" w:eastAsia="MS PGothic" w:hAnsi="MS PGothic"/>
          <w:sz w:val="18"/>
          <w:szCs w:val="18"/>
          <w:color w:val="auto"/>
        </w:rPr>
      </w:pPr>
    </w:p>
    <w:p>
      <w:pPr>
        <w:ind w:left="500" w:hanging="209"/>
        <w:spacing w:after="0" w:line="219" w:lineRule="exact"/>
        <w:tabs>
          <w:tab w:leader="none" w:pos="500" w:val="left"/>
        </w:tabs>
        <w:numPr>
          <w:ilvl w:val="0"/>
          <w:numId w:val="3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adjustment of interest rate, interest rate adjustment day for the end of each quarter on a monthly basis,</w:t>
      </w:r>
      <w:r>
        <w:rPr>
          <w:rFonts w:ascii="SimSun" w:cs="SimSun" w:eastAsia="SimSun" w:hAnsi="SimSu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6" w:name="page307"/>
    <w:bookmarkEnd w:id="306"/>
    <w:p>
      <w:pPr>
        <w:ind w:left="660" w:hanging="328"/>
        <w:spacing w:after="0"/>
        <w:tabs>
          <w:tab w:leader="none" w:pos="660" w:val="left"/>
        </w:tabs>
        <w:numPr>
          <w:ilvl w:val="0"/>
          <w:numId w:val="3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interest rate adjustment day for a monthly/daily</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agreement (specific interest rate adjustment day),</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interest rate of foreign currency loan;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loan under this Contract will be issued at the rate of ___(LIBORAHIBORSIBOR) published by the Lender on the date of disbursement plus/BPS.</w:t>
      </w:r>
    </w:p>
    <w:p>
      <w:pPr>
        <w:spacing w:after="0" w:line="225" w:lineRule="exact"/>
        <w:rPr>
          <w:sz w:val="20"/>
          <w:szCs w:val="20"/>
          <w:color w:val="auto"/>
        </w:rPr>
      </w:pPr>
    </w:p>
    <w:p>
      <w:pPr>
        <w:ind w:left="660" w:hanging="328"/>
        <w:spacing w:after="0"/>
        <w:tabs>
          <w:tab w:leader="none" w:pos="660" w:val="left"/>
        </w:tabs>
        <w:numPr>
          <w:ilvl w:val="1"/>
          <w:numId w:val="3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After each loan under this joint venture is issued, the loan interest rate shall be adjusted by .</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3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Fixed rate, that is, the interest rate is not adjusted.</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loan settlement under this Contract is (please check the box below/tick X if not selected):</w:t>
      </w:r>
    </w:p>
    <w:p>
      <w:pPr>
        <w:spacing w:after="0" w:line="238" w:lineRule="exact"/>
        <w:rPr>
          <w:rFonts w:ascii="Times New Roman" w:cs="Times New Roman" w:eastAsia="Times New Roman" w:hAnsi="Times New Roman"/>
          <w:sz w:val="18"/>
          <w:szCs w:val="18"/>
          <w:color w:val="auto"/>
        </w:rPr>
      </w:pPr>
    </w:p>
    <w:p>
      <w:pPr>
        <w:ind w:left="660" w:hanging="328"/>
        <w:spacing w:after="0" w:line="219" w:lineRule="exact"/>
        <w:tabs>
          <w:tab w:leader="none" w:pos="660" w:val="left"/>
        </w:tabs>
        <w:numPr>
          <w:ilvl w:val="1"/>
          <w:numId w:val="3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On a monthly basis, the settlement date is the second +(20) day of each month</w:t>
      </w:r>
      <w:r>
        <w:rPr>
          <w:rFonts w:ascii="SimSun" w:cs="SimSun" w:eastAsia="SimSun" w:hAnsi="SimSun"/>
          <w:sz w:val="18"/>
          <w:szCs w:val="18"/>
          <w:color w:val="auto"/>
        </w:rPr>
        <w:t>；</w:t>
      </w:r>
    </w:p>
    <w:p>
      <w:pPr>
        <w:spacing w:after="0" w:line="227" w:lineRule="exact"/>
        <w:rPr>
          <w:sz w:val="20"/>
          <w:szCs w:val="20"/>
          <w:color w:val="auto"/>
        </w:rPr>
      </w:pPr>
    </w:p>
    <w:p>
      <w:pPr>
        <w:ind w:left="660" w:hanging="328"/>
        <w:spacing w:after="0"/>
        <w:tabs>
          <w:tab w:leader="none" w:pos="6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then the settlement date is the twentieth (20th) day of the last month of each quarter:</w:t>
      </w:r>
    </w:p>
    <w:p>
      <w:pPr>
        <w:spacing w:after="0" w:line="225" w:lineRule="exact"/>
        <w:rPr>
          <w:sz w:val="20"/>
          <w:szCs w:val="20"/>
          <w:color w:val="auto"/>
        </w:rPr>
      </w:pPr>
    </w:p>
    <w:p>
      <w:pPr>
        <w:ind w:left="660" w:hanging="328"/>
        <w:spacing w:after="0"/>
        <w:tabs>
          <w:tab w:leader="none" w:pos="660" w:val="left"/>
        </w:tabs>
        <w:numPr>
          <w:ilvl w:val="0"/>
          <w:numId w:val="3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methods: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332"/>
        <w:spacing w:after="0"/>
        <w:tabs>
          <w:tab w:leader="none" w:pos="3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interest rate under the Contract is: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overdue penalty interest rate shall be applied at the loan execution rate applicable on the date of penalty interest collection plus </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loan is not used in accordance with the purpose agreed herein, the penalty interest rate will be calculated and the loan execution interest rate applied on the penalty interest date shall be charged plus </w:t>
      </w:r>
      <w:r>
        <w:rPr>
          <w:rFonts w:ascii="Times New Roman" w:cs="Times New Roman" w:eastAsia="Times New Roman" w:hAnsi="Times New Roman"/>
          <w:sz w:val="18"/>
          <w:szCs w:val="18"/>
          <w:u w:val="single" w:color="auto"/>
          <w:color w:val="auto"/>
        </w:rPr>
        <w:t>50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drawdown period of the loan under the Contract is from </w:t>
      </w:r>
      <w:r>
        <w:rPr>
          <w:rFonts w:ascii="Times New Roman" w:cs="Times New Roman" w:eastAsia="Times New Roman" w:hAnsi="Times New Roman"/>
          <w:sz w:val="18"/>
          <w:szCs w:val="18"/>
          <w:u w:val="single" w:color="auto"/>
          <w:color w:val="auto"/>
        </w:rPr>
        <w:t>May 9, 2022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May 29, 2022</w:t>
      </w:r>
      <w:r>
        <w:rPr>
          <w:rFonts w:ascii="Times New Roman" w:cs="Times New Roman" w:eastAsia="Times New Roman" w:hAnsi="Times New Roman"/>
          <w:sz w:val="18"/>
          <w:szCs w:val="18"/>
          <w:color w:val="auto"/>
        </w:rPr>
        <w:t xml:space="preserve">. The first withdrawal shall be made before </w:t>
      </w:r>
      <w:r>
        <w:rPr>
          <w:rFonts w:ascii="Times New Roman" w:cs="Times New Roman" w:eastAsia="Times New Roman" w:hAnsi="Times New Roman"/>
          <w:sz w:val="18"/>
          <w:szCs w:val="18"/>
          <w:u w:val="single" w:color="auto"/>
          <w:color w:val="auto"/>
        </w:rPr>
        <w:t>May 29,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plan for the loan under this Contract is as follows (please select√ in the box below, tick X if you do not select)</w:t>
      </w:r>
    </w:p>
    <w:p>
      <w:pPr>
        <w:spacing w:after="0" w:line="23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withdrawal plan is shown in the table below</w:t>
      </w:r>
      <w:r>
        <w:rPr>
          <w:rFonts w:ascii="SimSun" w:cs="SimSun" w:eastAsia="SimSun" w:hAnsi="SimSun"/>
          <w:sz w:val="18"/>
          <w:szCs w:val="18"/>
          <w:color w:val="auto"/>
        </w:rPr>
        <w:t>：</w:t>
      </w:r>
    </w:p>
    <w:p>
      <w:pPr>
        <w:spacing w:after="0" w:line="240" w:lineRule="exact"/>
        <w:rPr>
          <w:sz w:val="20"/>
          <w:szCs w:val="20"/>
          <w:color w:val="auto"/>
        </w:rPr>
      </w:pPr>
    </w:p>
    <w:p>
      <w:pPr>
        <w:ind w:left="120"/>
        <w:spacing w:after="0"/>
        <w:tabs>
          <w:tab w:leader="none" w:pos="1000" w:val="left"/>
          <w:tab w:leader="none" w:pos="616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The withdrawal date</w:t>
      </w:r>
      <w:r>
        <w:rPr>
          <w:sz w:val="20"/>
          <w:szCs w:val="20"/>
          <w:color w:val="auto"/>
        </w:rPr>
        <w:tab/>
      </w:r>
      <w:r>
        <w:rPr>
          <w:rFonts w:ascii="Times New Roman" w:cs="Times New Roman" w:eastAsia="Times New Roman" w:hAnsi="Times New Roman"/>
          <w:sz w:val="17"/>
          <w:szCs w:val="17"/>
          <w:color w:val="auto"/>
        </w:rPr>
        <w:t>On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003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w:t>
      </w:r>
    </w:p>
    <w:p>
      <w:pPr>
        <w:spacing w:after="0" w:line="234" w:lineRule="exact"/>
        <w:rPr>
          <w:sz w:val="20"/>
          <w:szCs w:val="20"/>
          <w:color w:val="auto"/>
        </w:rPr>
      </w:pPr>
    </w:p>
    <w:p>
      <w:pPr>
        <w:ind w:left="220" w:hanging="212"/>
        <w:spacing w:after="0"/>
        <w:tabs>
          <w:tab w:leader="none" w:pos="220" w:val="left"/>
        </w:tabs>
        <w:numPr>
          <w:ilvl w:val="0"/>
          <w:numId w:val="33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withdrawal plans: </w:t>
      </w:r>
      <w:r>
        <w:rPr>
          <w:rFonts w:ascii="Times New Roman" w:cs="Times New Roman" w:eastAsia="Times New Roman" w:hAnsi="Times New Roman"/>
          <w:sz w:val="18"/>
          <w:szCs w:val="18"/>
          <w:u w:val="single" w:color="auto"/>
          <w:color w:val="auto"/>
        </w:rPr>
        <w:t>___/_______ ..</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plan of the loan under this Contract is as follows (Please tick √in the box below, if not, tick x)</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w:t>
            </w:r>
          </w:p>
        </w:tc>
        <w:tc>
          <w:tcPr>
            <w:tcW w:w="51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Repayment date</w:t>
            </w:r>
          </w:p>
        </w:tc>
        <w:tc>
          <w:tcPr>
            <w:tcW w:w="51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Reimbursement amount</w:t>
            </w:r>
          </w:p>
        </w:tc>
      </w:tr>
      <w:tr>
        <w:trPr>
          <w:trHeight w:val="210"/>
        </w:trPr>
        <w:tc>
          <w:tcPr>
            <w:tcW w:w="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140" w:type="dxa"/>
            <w:vAlign w:val="bottom"/>
            <w:tcBorders>
              <w:bottom w:val="single" w:sz="8" w:color="auto"/>
              <w:right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Liquidated damages for loan repayment in advance; Equivalent to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the actual amount of loan repaid in advance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of loan repayment in advance shall not be less than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(currency) </w:t>
      </w:r>
      <w:r>
        <w:rPr>
          <w:rFonts w:ascii="Times New Roman" w:cs="Times New Roman" w:eastAsia="Times New Roman" w:hAnsi="Times New Roman"/>
          <w:sz w:val="18"/>
          <w:szCs w:val="18"/>
          <w:u w:val="single" w:color="auto"/>
          <w:color w:val="auto"/>
        </w:rPr>
        <w:t>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ind w:left="-8" w:firstLine="8"/>
        <w:spacing w:after="0" w:line="282" w:lineRule="auto"/>
        <w:tabs>
          <w:tab w:leader="none" w:pos="26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opening (select one of the following modes for RMB loans, select the special account mode for foreign currency loans, and mark X for those not selected)</w:t>
      </w:r>
    </w:p>
    <w:p>
      <w:pPr>
        <w:spacing w:after="0" w:line="175" w:lineRule="exact"/>
        <w:rPr>
          <w:sz w:val="20"/>
          <w:szCs w:val="20"/>
          <w:color w:val="auto"/>
        </w:rPr>
      </w:pPr>
    </w:p>
    <w:p>
      <w:pPr>
        <w:ind w:left="332"/>
        <w:spacing w:after="0" w:line="219" w:lineRule="exact"/>
        <w:rPr>
          <w:sz w:val="20"/>
          <w:szCs w:val="20"/>
          <w:color w:val="auto"/>
        </w:rPr>
      </w:pPr>
      <w:r>
        <w:rPr>
          <w:rFonts w:ascii="Times New Roman" w:cs="Times New Roman" w:eastAsia="Times New Roman" w:hAnsi="Times New Roman"/>
          <w:sz w:val="18"/>
          <w:szCs w:val="18"/>
          <w:color w:val="auto"/>
        </w:rPr>
        <w:t>þ Unsegregated account mode</w:t>
      </w:r>
      <w:r>
        <w:rPr>
          <w:rFonts w:ascii="SimSun" w:cs="SimSun" w:eastAsia="SimSun" w:hAnsi="SimSun"/>
          <w:sz w:val="18"/>
          <w:szCs w:val="18"/>
          <w:color w:val="auto"/>
        </w:rPr>
        <w:t>：</w:t>
      </w:r>
    </w:p>
    <w:p>
      <w:pPr>
        <w:spacing w:after="0" w:line="227" w:lineRule="exact"/>
        <w:rPr>
          <w:sz w:val="20"/>
          <w:szCs w:val="20"/>
          <w:color w:val="auto"/>
        </w:rPr>
      </w:pPr>
    </w:p>
    <w:p>
      <w:pPr>
        <w:ind w:left="612" w:right="5280" w:hanging="329"/>
        <w:spacing w:after="0" w:line="379" w:lineRule="exact"/>
        <w:tabs>
          <w:tab w:leader="none" w:pos="607"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settlement account opened by the borrower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Shanghai Pudong Development Bank Co., LTD. Jinqiao Branch</w:t>
      </w:r>
      <w:r>
        <w:rPr>
          <w:rFonts w:ascii="Times New Roman" w:cs="Times New Roman" w:eastAsia="Times New Roman" w:hAnsi="Times New Roman"/>
          <w:sz w:val="18"/>
          <w:szCs w:val="18"/>
          <w:color w:val="auto"/>
        </w:rPr>
        <w:t xml:space="preserve"> Bank account name</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ChinaLink Professional Services Co., Ltd.</w:t>
      </w:r>
    </w:p>
    <w:p>
      <w:pPr>
        <w:spacing w:after="0" w:line="213" w:lineRule="exact"/>
        <w:rPr>
          <w:rFonts w:ascii="Times New Roman" w:cs="Times New Roman" w:eastAsia="Times New Roman" w:hAnsi="Times New Roman"/>
          <w:sz w:val="18"/>
          <w:szCs w:val="18"/>
          <w:color w:val="auto"/>
        </w:rPr>
      </w:pP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number:</w:t>
      </w:r>
      <w:r>
        <w:rPr>
          <w:rFonts w:ascii="Times New Roman" w:cs="Times New Roman" w:eastAsia="Times New Roman" w:hAnsi="Times New Roman"/>
          <w:sz w:val="18"/>
          <w:szCs w:val="18"/>
          <w:u w:val="single" w:color="auto"/>
          <w:color w:val="auto"/>
        </w:rPr>
        <w:t>98840078801600002917</w:t>
      </w:r>
    </w:p>
    <w:p>
      <w:pPr>
        <w:spacing w:after="0" w:line="225" w:lineRule="exact"/>
        <w:rPr>
          <w:rFonts w:ascii="Times New Roman" w:cs="Times New Roman" w:eastAsia="Times New Roman" w:hAnsi="Times New Roman"/>
          <w:sz w:val="18"/>
          <w:szCs w:val="18"/>
          <w:color w:val="auto"/>
        </w:rPr>
      </w:pPr>
    </w:p>
    <w:p>
      <w:pPr>
        <w:ind w:left="612" w:hanging="329"/>
        <w:spacing w:after="0"/>
        <w:tabs>
          <w:tab w:leader="none" w:pos="61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fund recovery account opened with the lender is:</w:t>
      </w:r>
    </w:p>
    <w:p>
      <w:pPr>
        <w:spacing w:after="0" w:line="238" w:lineRule="exact"/>
        <w:rPr>
          <w:rFonts w:ascii="Times New Roman" w:cs="Times New Roman" w:eastAsia="Times New Roman" w:hAnsi="Times New Roman"/>
          <w:sz w:val="18"/>
          <w:szCs w:val="18"/>
          <w:color w:val="auto"/>
        </w:rPr>
      </w:pPr>
    </w:p>
    <w:p>
      <w:pPr>
        <w:ind w:left="612"/>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Shanghai Pudong Development Bank Co., LTD. Jinqiao Branch</w:t>
      </w:r>
    </w:p>
    <w:p>
      <w:pPr>
        <w:spacing w:after="0" w:line="240" w:lineRule="exact"/>
        <w:rPr>
          <w:rFonts w:ascii="Times New Roman" w:cs="Times New Roman" w:eastAsia="Times New Roman" w:hAnsi="Times New Roman"/>
          <w:sz w:val="18"/>
          <w:szCs w:val="18"/>
          <w:color w:val="auto"/>
        </w:rPr>
      </w:pPr>
    </w:p>
    <w:p>
      <w:pPr>
        <w:ind w:left="612"/>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u w:val="single" w:color="auto"/>
          <w:color w:val="auto"/>
        </w:rPr>
        <w:t>ChinaLink Professional Services Co., Ltd.</w:t>
      </w:r>
    </w:p>
    <w:p>
      <w:pPr>
        <w:spacing w:after="0" w:line="227"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18"/>
          <w:szCs w:val="18"/>
          <w:color w:val="auto"/>
        </w:rPr>
        <w:t>Bank account number:</w:t>
      </w:r>
      <w:r>
        <w:rPr>
          <w:rFonts w:ascii="Times New Roman" w:cs="Times New Roman" w:eastAsia="Times New Roman" w:hAnsi="Times New Roman"/>
          <w:sz w:val="18"/>
          <w:szCs w:val="18"/>
          <w:u w:val="single" w:color="auto"/>
          <w:color w:val="auto"/>
        </w:rPr>
        <w:t>98840078801600002917</w:t>
      </w:r>
    </w:p>
    <w:p>
      <w:pPr>
        <w:spacing w:after="0" w:line="196" w:lineRule="exact"/>
        <w:rPr>
          <w:sz w:val="20"/>
          <w:szCs w:val="20"/>
          <w:color w:val="auto"/>
        </w:rPr>
      </w:pPr>
    </w:p>
    <w:p>
      <w:pPr>
        <w:ind w:left="612"/>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Special Account mode</w:t>
      </w:r>
    </w:p>
    <w:p>
      <w:pPr>
        <w:spacing w:after="0" w:line="253" w:lineRule="exact"/>
        <w:rPr>
          <w:sz w:val="20"/>
          <w:szCs w:val="20"/>
          <w:color w:val="auto"/>
        </w:rPr>
      </w:pPr>
    </w:p>
    <w:p>
      <w:pPr>
        <w:ind w:left="612" w:right="4320" w:hanging="329"/>
        <w:spacing w:after="0" w:line="340" w:lineRule="exact"/>
        <w:tabs>
          <w:tab w:leader="none" w:pos="607"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account for working capital loan opened by the borrower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p>
    <w:p>
      <w:pPr>
        <w:spacing w:after="0" w:line="224" w:lineRule="exact"/>
        <w:rPr>
          <w:rFonts w:ascii="Times New Roman" w:cs="Times New Roman" w:eastAsia="Times New Roman" w:hAnsi="Times New Roman"/>
          <w:sz w:val="18"/>
          <w:szCs w:val="18"/>
          <w:color w:val="auto"/>
        </w:rPr>
      </w:pPr>
    </w:p>
    <w:p>
      <w:pPr>
        <w:jc w:val="both"/>
        <w:ind w:left="612" w:right="7540"/>
        <w:spacing w:after="0" w:line="34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r>
        <w:rPr>
          <w:rFonts w:ascii="Times New Roman" w:cs="Times New Roman" w:eastAsia="Times New Roman" w:hAnsi="Times New Roman"/>
          <w:sz w:val="18"/>
          <w:szCs w:val="18"/>
          <w:color w:val="auto"/>
        </w:rPr>
        <w:t xml:space="preserve"> Bank account number: </w:t>
      </w:r>
      <w:r>
        <w:rPr>
          <w:rFonts w:ascii="Times New Roman" w:cs="Times New Roman" w:eastAsia="Times New Roman" w:hAnsi="Times New Roman"/>
          <w:sz w:val="18"/>
          <w:szCs w:val="18"/>
          <w:u w:val="single" w:color="auto"/>
          <w:color w:val="auto"/>
        </w:rPr>
        <w:t>_____/_________ .</w:t>
      </w:r>
    </w:p>
    <w:p>
      <w:pPr>
        <w:spacing w:after="0" w:line="197" w:lineRule="exact"/>
        <w:rPr>
          <w:rFonts w:ascii="Times New Roman" w:cs="Times New Roman" w:eastAsia="Times New Roman" w:hAnsi="Times New Roman"/>
          <w:sz w:val="18"/>
          <w:szCs w:val="18"/>
          <w:color w:val="auto"/>
        </w:rPr>
      </w:pPr>
    </w:p>
    <w:p>
      <w:pPr>
        <w:ind w:left="612" w:right="5280" w:hanging="329"/>
        <w:spacing w:after="0" w:line="340" w:lineRule="exact"/>
        <w:tabs>
          <w:tab w:leader="none" w:pos="607"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settlement account opened by the borrower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p>
    <w:p>
      <w:pPr>
        <w:spacing w:after="0" w:line="224" w:lineRule="exact"/>
        <w:rPr>
          <w:rFonts w:ascii="Times New Roman" w:cs="Times New Roman" w:eastAsia="Times New Roman" w:hAnsi="Times New Roman"/>
          <w:sz w:val="18"/>
          <w:szCs w:val="18"/>
          <w:color w:val="auto"/>
        </w:rPr>
      </w:pPr>
    </w:p>
    <w:p>
      <w:pPr>
        <w:jc w:val="both"/>
        <w:ind w:left="612" w:right="7540"/>
        <w:spacing w:after="0" w:line="34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r>
        <w:rPr>
          <w:rFonts w:ascii="Times New Roman" w:cs="Times New Roman" w:eastAsia="Times New Roman" w:hAnsi="Times New Roman"/>
          <w:sz w:val="18"/>
          <w:szCs w:val="18"/>
          <w:color w:val="auto"/>
        </w:rPr>
        <w:t xml:space="preserve"> Bank account number: </w:t>
      </w:r>
      <w:r>
        <w:rPr>
          <w:rFonts w:ascii="Times New Roman" w:cs="Times New Roman" w:eastAsia="Times New Roman" w:hAnsi="Times New Roman"/>
          <w:sz w:val="18"/>
          <w:szCs w:val="18"/>
          <w:u w:val="single" w:color="auto"/>
          <w:color w:val="auto"/>
        </w:rPr>
        <w:t>_____/_________ .</w:t>
      </w:r>
    </w:p>
    <w:p>
      <w:pPr>
        <w:spacing w:after="0" w:line="197" w:lineRule="exact"/>
        <w:rPr>
          <w:rFonts w:ascii="Times New Roman" w:cs="Times New Roman" w:eastAsia="Times New Roman" w:hAnsi="Times New Roman"/>
          <w:sz w:val="18"/>
          <w:szCs w:val="18"/>
          <w:color w:val="auto"/>
        </w:rPr>
      </w:pPr>
    </w:p>
    <w:p>
      <w:pPr>
        <w:ind w:left="612" w:right="5860" w:hanging="329"/>
        <w:spacing w:after="0" w:line="340" w:lineRule="exact"/>
        <w:tabs>
          <w:tab w:leader="none" w:pos="607"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fund recovery account opened with the Lender is: Bank</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p>
    <w:p>
      <w:pPr>
        <w:spacing w:after="0" w:line="224" w:lineRule="exact"/>
        <w:rPr>
          <w:rFonts w:ascii="Times New Roman" w:cs="Times New Roman" w:eastAsia="Times New Roman" w:hAnsi="Times New Roman"/>
          <w:sz w:val="18"/>
          <w:szCs w:val="18"/>
          <w:color w:val="auto"/>
        </w:rPr>
      </w:pPr>
    </w:p>
    <w:p>
      <w:pPr>
        <w:jc w:val="both"/>
        <w:ind w:left="612" w:right="7540"/>
        <w:spacing w:after="0" w:line="34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 name</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_____/_________ .</w:t>
      </w:r>
      <w:r>
        <w:rPr>
          <w:rFonts w:ascii="Times New Roman" w:cs="Times New Roman" w:eastAsia="Times New Roman" w:hAnsi="Times New Roman"/>
          <w:sz w:val="18"/>
          <w:szCs w:val="18"/>
          <w:color w:val="auto"/>
        </w:rPr>
        <w:t xml:space="preserve"> Bank account number: </w:t>
      </w:r>
      <w:r>
        <w:rPr>
          <w:rFonts w:ascii="Times New Roman" w:cs="Times New Roman" w:eastAsia="Times New Roman" w:hAnsi="Times New Roman"/>
          <w:sz w:val="18"/>
          <w:szCs w:val="18"/>
          <w:u w:val="single" w:color="auto"/>
          <w:color w:val="auto"/>
        </w:rPr>
        <w:t>_____/_________ .</w:t>
      </w:r>
    </w:p>
    <w:p>
      <w:pPr>
        <w:spacing w:after="0" w:line="197" w:lineRule="exact"/>
        <w:rPr>
          <w:rFonts w:ascii="Times New Roman" w:cs="Times New Roman" w:eastAsia="Times New Roman" w:hAnsi="Times New Roman"/>
          <w:sz w:val="18"/>
          <w:szCs w:val="18"/>
          <w:color w:val="auto"/>
        </w:rPr>
      </w:pPr>
    </w:p>
    <w:p>
      <w:pPr>
        <w:ind w:left="-8" w:firstLine="8"/>
        <w:spacing w:after="0" w:line="282" w:lineRule="auto"/>
        <w:tabs>
          <w:tab w:leader="none" w:pos="27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Entrusted Payment by the Lender: if the payment object is clear and the single managed payment amount exceeds (currency amount) the loan fund payment, the entrusted payment method of the Lender shall be</w:t>
      </w:r>
    </w:p>
    <w:p>
      <w:pPr>
        <w:spacing w:after="0" w:line="175" w:lineRule="exact"/>
        <w:rPr>
          <w:rFonts w:ascii="Times New Roman" w:cs="Times New Roman" w:eastAsia="Times New Roman" w:hAnsi="Times New Roman"/>
          <w:sz w:val="18"/>
          <w:szCs w:val="18"/>
          <w:color w:val="auto"/>
        </w:rPr>
      </w:pPr>
    </w:p>
    <w:p>
      <w:pPr>
        <w:ind w:left="292" w:right="2960" w:hanging="292"/>
        <w:spacing w:after="0" w:line="356" w:lineRule="exact"/>
        <w:tabs>
          <w:tab w:leader="none" w:pos="27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and security contracts providing security for the debt hereunder include but are not limited to</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guarantor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guaranty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 ]</w:t>
      </w:r>
    </w:p>
    <w:p>
      <w:pPr>
        <w:spacing w:after="0" w:line="177" w:lineRule="exact"/>
        <w:rPr>
          <w:rFonts w:ascii="Times New Roman" w:cs="Times New Roman" w:eastAsia="Times New Roman" w:hAnsi="Times New Roman"/>
          <w:sz w:val="18"/>
          <w:szCs w:val="18"/>
          <w:color w:val="auto"/>
        </w:rPr>
      </w:pPr>
    </w:p>
    <w:p>
      <w:pPr>
        <w:ind w:left="292" w:right="6160"/>
        <w:spacing w:after="0" w:line="37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mortgagor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Mortgage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NO[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pledger </w:t>
      </w:r>
      <w:r>
        <w:rPr>
          <w:rFonts w:ascii="Times New Roman" w:cs="Times New Roman" w:eastAsia="Times New Roman" w:hAnsi="Times New Roman"/>
          <w:sz w:val="18"/>
          <w:szCs w:val="18"/>
          <w:u w:val="single" w:color="auto"/>
          <w:color w:val="auto"/>
        </w:rPr>
        <w:t>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Pledger contract</w:t>
      </w:r>
      <w:r>
        <w:rPr>
          <w:rFonts w:ascii="SimSun" w:cs="SimSun" w:eastAsia="SimSun" w:hAnsi="SimSun"/>
          <w:sz w:val="18"/>
          <w:szCs w:val="18"/>
          <w:color w:val="auto"/>
        </w:rPr>
        <w:t>》</w:t>
      </w:r>
      <w:r>
        <w:rPr>
          <w:rFonts w:ascii="Times New Roman" w:cs="Times New Roman" w:eastAsia="Times New Roman" w:hAnsi="Times New Roman"/>
          <w:sz w:val="18"/>
          <w:szCs w:val="18"/>
          <w:color w:val="auto"/>
        </w:rPr>
        <w:t>NO[ ]</w:t>
      </w:r>
    </w:p>
    <w:p>
      <w:pPr>
        <w:spacing w:after="0" w:line="163" w:lineRule="exact"/>
        <w:rPr>
          <w:rFonts w:ascii="Times New Roman" w:cs="Times New Roman" w:eastAsia="Times New Roman" w:hAnsi="Times New Roman"/>
          <w:sz w:val="18"/>
          <w:szCs w:val="18"/>
          <w:color w:val="auto"/>
        </w:rPr>
      </w:pPr>
    </w:p>
    <w:p>
      <w:pPr>
        <w:ind w:left="292"/>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guarantee </w:t>
      </w:r>
      <w:r>
        <w:rPr>
          <w:rFonts w:ascii="Times New Roman" w:cs="Times New Roman" w:eastAsia="Times New Roman" w:hAnsi="Times New Roman"/>
          <w:sz w:val="18"/>
          <w:szCs w:val="18"/>
          <w:u w:val="single" w:color="auto"/>
          <w:color w:val="auto"/>
        </w:rPr>
        <w:t>____/_________</w:t>
      </w: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t>16. Breach of contract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liquidated damages. It is equivalent to </w:t>
      </w:r>
      <w:r>
        <w:rPr>
          <w:rFonts w:ascii="Times New Roman" w:cs="Times New Roman" w:eastAsia="Times New Roman" w:hAnsi="Times New Roman"/>
          <w:sz w:val="18"/>
          <w:szCs w:val="18"/>
          <w:u w:val="single" w:color="auto"/>
          <w:color w:val="auto"/>
        </w:rPr>
        <w:t>zero</w:t>
      </w:r>
      <w:r>
        <w:rPr>
          <w:rFonts w:ascii="Times New Roman" w:cs="Times New Roman" w:eastAsia="Times New Roman" w:hAnsi="Times New Roman"/>
          <w:sz w:val="18"/>
          <w:szCs w:val="18"/>
          <w:color w:val="auto"/>
        </w:rPr>
        <w:t xml:space="preserve"> percent of the principal amount borrowed or </w:t>
      </w:r>
      <w:r>
        <w:rPr>
          <w:rFonts w:ascii="Times New Roman" w:cs="Times New Roman" w:eastAsia="Times New Roman" w:hAnsi="Times New Roman"/>
          <w:sz w:val="18"/>
          <w:szCs w:val="18"/>
          <w:u w:val="single" w:color="auto"/>
          <w:color w:val="auto"/>
        </w:rPr>
        <w:t>_____/_________ .</w:t>
      </w:r>
    </w:p>
    <w:p>
      <w:pPr>
        <w:spacing w:after="0" w:line="225" w:lineRule="exact"/>
        <w:rPr>
          <w:sz w:val="20"/>
          <w:szCs w:val="20"/>
          <w:color w:val="auto"/>
        </w:rPr>
      </w:pPr>
    </w:p>
    <w:p>
      <w:pPr>
        <w:ind w:left="340" w:hanging="332"/>
        <w:spacing w:after="0"/>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to this contract include:</w:t>
      </w:r>
    </w:p>
    <w:p>
      <w:pPr>
        <w:spacing w:after="0" w:line="238" w:lineRule="exact"/>
        <w:rPr>
          <w:rFonts w:ascii="Times New Roman" w:cs="Times New Roman" w:eastAsia="Times New Roman" w:hAnsi="Times New Roman"/>
          <w:sz w:val="18"/>
          <w:szCs w:val="18"/>
          <w:color w:val="auto"/>
        </w:rPr>
      </w:pPr>
    </w:p>
    <w:p>
      <w:pPr>
        <w:ind w:left="560" w:hanging="264"/>
        <w:spacing w:after="0" w:line="219" w:lineRule="exact"/>
        <w:tabs>
          <w:tab w:leader="none" w:pos="560" w:val="left"/>
        </w:tabs>
        <w:numPr>
          <w:ilvl w:val="1"/>
          <w:numId w:val="338"/>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Application for withdrawal</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60" w:hanging="264"/>
        <w:spacing w:after="0" w:line="219" w:lineRule="exact"/>
        <w:tabs>
          <w:tab w:leader="none" w:pos="560" w:val="left"/>
        </w:tabs>
        <w:numPr>
          <w:ilvl w:val="1"/>
          <w:numId w:val="338"/>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60" w:hanging="264"/>
        <w:spacing w:after="0" w:line="219" w:lineRule="exact"/>
        <w:tabs>
          <w:tab w:leader="none" w:pos="560" w:val="left"/>
        </w:tabs>
        <w:numPr>
          <w:ilvl w:val="1"/>
          <w:numId w:val="338"/>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60" w:hanging="264"/>
        <w:spacing w:after="0" w:line="219" w:lineRule="exact"/>
        <w:tabs>
          <w:tab w:leader="none" w:pos="560" w:val="left"/>
        </w:tabs>
        <w:numPr>
          <w:ilvl w:val="1"/>
          <w:numId w:val="338"/>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40" w:lineRule="exact"/>
        <w:rPr>
          <w:rFonts w:ascii="Times New Roman" w:cs="Times New Roman" w:eastAsia="Times New Roman" w:hAnsi="Times New Roman"/>
          <w:sz w:val="18"/>
          <w:szCs w:val="18"/>
          <w:color w:val="auto"/>
        </w:rPr>
      </w:pPr>
    </w:p>
    <w:p>
      <w:pPr>
        <w:ind w:left="560" w:hanging="264"/>
        <w:spacing w:after="0" w:line="219" w:lineRule="exact"/>
        <w:tabs>
          <w:tab w:leader="none" w:pos="560" w:val="left"/>
        </w:tabs>
        <w:numPr>
          <w:ilvl w:val="1"/>
          <w:numId w:val="338"/>
        </w:numPr>
        <w:rPr>
          <w:rFonts w:ascii="Times New Roman" w:cs="Times New Roman" w:eastAsia="Times New Roman" w:hAnsi="Times New Roman"/>
          <w:sz w:val="18"/>
          <w:szCs w:val="18"/>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________</w:t>
      </w:r>
      <w:r>
        <w:rPr>
          <w:rFonts w:ascii="Times New Roman" w:cs="Times New Roman" w:eastAsia="Times New Roman" w:hAnsi="Times New Roman"/>
          <w:sz w:val="18"/>
          <w:szCs w:val="18"/>
          <w:u w:val="single" w:color="auto"/>
          <w:color w:val="auto"/>
        </w:rPr>
        <w:t>/______________</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26" w:lineRule="exact"/>
        <w:rPr>
          <w:rFonts w:ascii="Times New Roman" w:cs="Times New Roman" w:eastAsia="Times New Roman" w:hAnsi="Times New Roman"/>
          <w:sz w:val="18"/>
          <w:szCs w:val="18"/>
          <w:color w:val="auto"/>
        </w:rPr>
      </w:pPr>
    </w:p>
    <w:p>
      <w:pPr>
        <w:ind w:left="300" w:right="6779" w:hanging="292"/>
        <w:spacing w:after="0" w:line="500" w:lineRule="auto"/>
        <w:tabs>
          <w:tab w:leader="none" w:pos="33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matters agreed upon by both parties </w:t>
      </w:r>
      <w:r>
        <w:rPr>
          <w:rFonts w:ascii="Times New Roman" w:cs="Times New Roman" w:eastAsia="Times New Roman" w:hAnsi="Times New Roman"/>
          <w:sz w:val="18"/>
          <w:szCs w:val="18"/>
          <w:u w:val="single" w:color="auto"/>
          <w:color w:val="auto"/>
        </w:rPr>
        <w:t>None / .</w:t>
      </w:r>
    </w:p>
    <w:p>
      <w:pPr>
        <w:spacing w:after="0" w:line="1" w:lineRule="exact"/>
        <w:rPr>
          <w:rFonts w:ascii="Times New Roman" w:cs="Times New Roman" w:eastAsia="Times New Roman" w:hAnsi="Times New Roman"/>
          <w:sz w:val="18"/>
          <w:szCs w:val="18"/>
          <w:color w:val="auto"/>
        </w:rPr>
      </w:pPr>
    </w:p>
    <w:p>
      <w:pPr>
        <w:ind w:left="300" w:right="159" w:hanging="292"/>
        <w:spacing w:after="0" w:line="532" w:lineRule="auto"/>
        <w:tabs>
          <w:tab w:leader="none" w:pos="33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Contract is made in </w:t>
      </w:r>
      <w:r>
        <w:rPr>
          <w:rFonts w:ascii="Times New Roman" w:cs="Times New Roman" w:eastAsia="Times New Roman" w:hAnsi="Times New Roman"/>
          <w:sz w:val="18"/>
          <w:szCs w:val="18"/>
          <w:u w:val="single" w:color="auto"/>
          <w:color w:val="auto"/>
        </w:rPr>
        <w:t>three</w:t>
      </w:r>
      <w:r>
        <w:rPr>
          <w:rFonts w:ascii="Times New Roman" w:cs="Times New Roman" w:eastAsia="Times New Roman" w:hAnsi="Times New Roman"/>
          <w:sz w:val="18"/>
          <w:szCs w:val="18"/>
          <w:color w:val="auto"/>
        </w:rPr>
        <w:t xml:space="preserve"> originals,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held by the borrower and </w:t>
      </w:r>
      <w:r>
        <w:rPr>
          <w:rFonts w:ascii="Times New Roman" w:cs="Times New Roman" w:eastAsia="Times New Roman" w:hAnsi="Times New Roman"/>
          <w:sz w:val="18"/>
          <w:szCs w:val="18"/>
          <w:u w:val="single" w:color="auto"/>
          <w:color w:val="auto"/>
        </w:rPr>
        <w:t>two</w:t>
      </w:r>
      <w:r>
        <w:rPr>
          <w:rFonts w:ascii="Times New Roman" w:cs="Times New Roman" w:eastAsia="Times New Roman" w:hAnsi="Times New Roman"/>
          <w:sz w:val="18"/>
          <w:szCs w:val="18"/>
          <w:color w:val="auto"/>
        </w:rPr>
        <w:t xml:space="preserve"> held by the lender, each of which has the same legal effect. (End of Part I)</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8"/>
          <w:szCs w:val="18"/>
          <w:b w:val="1"/>
          <w:bCs w:val="1"/>
          <w:color w:val="auto"/>
        </w:rPr>
        <w:t>The Part Two General terms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borrowing</w:t>
      </w:r>
    </w:p>
    <w:p>
      <w:pPr>
        <w:spacing w:after="0" w:line="229" w:lineRule="exact"/>
        <w:rPr>
          <w:sz w:val="20"/>
          <w:szCs w:val="20"/>
          <w:color w:val="auto"/>
        </w:rPr>
      </w:pPr>
    </w:p>
    <w:p>
      <w:pPr>
        <w:jc w:val="both"/>
        <w:ind w:firstLine="8"/>
        <w:spacing w:after="0" w:line="261" w:lineRule="auto"/>
        <w:tabs>
          <w:tab w:leader="none" w:pos="19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irrevocably agrees and confirms that the Lender has the right to change due to laws, regulations and policies, or to be restricted by the macro-monetary or financial regulatory policies of the government, or to be subject to market conditions. The borrower may suspend, reduce or cancel the loan and notify the borrower if the conditions for granting the loan are adjusted or increased in consideration of its capital position and financial cost, its own business needs, the borrower’s performance ability or financial condition, or other major changes occur.</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193"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hereunder shall be used in accordance with the loan purposes agreed herein. The Borrower shall not misappropriate or occupy the loan for fixed asset investment, equity investment, etc., or use the loan in fields and purposes prohibited by the state or other activities inconsistent with working capital loan purposes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borrowing rate and interest calculation method</w:t>
      </w:r>
    </w:p>
    <w:p>
      <w:pPr>
        <w:spacing w:after="0" w:line="229" w:lineRule="exact"/>
        <w:rPr>
          <w:sz w:val="20"/>
          <w:szCs w:val="20"/>
          <w:color w:val="auto"/>
        </w:rPr>
      </w:pPr>
    </w:p>
    <w:p>
      <w:pPr>
        <w:jc w:val="both"/>
        <w:ind w:left="900" w:hanging="325"/>
        <w:spacing w:after="0" w:line="266" w:lineRule="auto"/>
        <w:tabs>
          <w:tab w:leader="none" w:pos="9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herein, the loan interest hereunder shall be calculated and collected in accordance with the actual amount of withdrawal and the number of days occupied by the Lender from the date of loan issuance. Occupied days include the first day, excluding the last day. Daily interest = monthly interest rate /30, monthly interest rate = annual interest rate 12.</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61" w:lineRule="auto"/>
        <w:tabs>
          <w:tab w:leader="none" w:pos="9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pay the unpaid principal of the loan due to the Borrower (the term “due” in this Contract includes the case where the Lender declares the loan to be due early), and the overdue penalty interest shall be calculated and collected according to the retroactive interest rate agreed herein according to the actual overdue days from the overdue date until the principal and interest of the borrower are paid off</w:t>
      </w:r>
    </w:p>
    <w:p>
      <w:pPr>
        <w:spacing w:after="0" w:line="179"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use the loan funds for the agreed purposes, the lender shall have the right to use the amount of loan box for breach of contract. Since the date of breach, the penalty interest shall be calculated and collected according to the penalty interest rate for misappropriation agreed herein according to the actual days of breach until the borrower pays off the principal and interest.</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from the date on which the borrower fails to pay the interest on time (including the normal total interest, overdue penalty interest and misappropriated penalty interest), compound the interest according to the overdue penalty interest rate agreed herein according to the actual overdue days.</w:t>
      </w:r>
    </w:p>
    <w:p>
      <w:pPr>
        <w:spacing w:after="0" w:line="175" w:lineRule="exact"/>
        <w:rPr>
          <w:rFonts w:ascii="Times New Roman" w:cs="Times New Roman" w:eastAsia="Times New Roman" w:hAnsi="Times New Roman"/>
          <w:sz w:val="18"/>
          <w:szCs w:val="18"/>
          <w:color w:val="auto"/>
        </w:rPr>
      </w:pPr>
    </w:p>
    <w:p>
      <w:pPr>
        <w:jc w:val="both"/>
        <w:ind w:left="900" w:hanging="325"/>
        <w:spacing w:after="0" w:line="258" w:lineRule="auto"/>
        <w:tabs>
          <w:tab w:leader="none" w:pos="9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market paralysis If there is no APPLICABLE LPR (applicable in RMB) or LIBOR/HIBORSIBOR (applicable in foreign currency) interest rate on the quoted date of the relevant interest period after the loan is issued under this Contract, the Borrower shall negotiate with the Lender to determine an alternative interest rate; If no agreement can be reached within five (5) banking business days from the commencement of the negotiation, the borrower shall repay the principal and interest of the loan in full within thirty (30) banking business days from the date of such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0" w:name="page311"/>
    <w:bookmarkEnd w:id="310"/>
    <w:p>
      <w:pPr>
        <w:ind w:left="4820"/>
        <w:spacing w:after="0"/>
        <w:rPr>
          <w:sz w:val="20"/>
          <w:szCs w:val="20"/>
          <w:color w:val="auto"/>
        </w:rPr>
      </w:pPr>
      <w:r>
        <w:rPr>
          <w:rFonts w:ascii="Times New Roman" w:cs="Times New Roman" w:eastAsia="Times New Roman" w:hAnsi="Times New Roman"/>
          <w:sz w:val="18"/>
          <w:szCs w:val="18"/>
          <w:b w:val="1"/>
          <w:bCs w:val="1"/>
          <w:color w:val="auto"/>
        </w:rPr>
        <w:t>Article 3 withdrawal</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before the first withdrawal, the borrower shall meet the following conditions:</w:t>
      </w:r>
    </w:p>
    <w:p>
      <w:pPr>
        <w:spacing w:after="0" w:line="225" w:lineRule="exact"/>
        <w:rPr>
          <w:sz w:val="20"/>
          <w:szCs w:val="20"/>
          <w:color w:val="auto"/>
        </w:rPr>
      </w:pPr>
    </w:p>
    <w:p>
      <w:pPr>
        <w:ind w:firstLine="584"/>
        <w:spacing w:after="0" w:line="282" w:lineRule="auto"/>
        <w:tabs>
          <w:tab w:leader="none" w:pos="83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3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and the corresponding guarantee contract (if any) have been signed and remain valid, and the security right has been effectively established;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borrower’s current valid business license, articles of association and recent financial statements on the withdrawal date (including but not limited to the annual financial report and current statements audited by certified public accountants in the previous year):</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loan resolution made by the borrower’s board of directors / shareholders’ meeting or other institutions with the same effect, the letter of authorization from the legal representative to the authorized representative and the original signature sample of the legal representative and authorized representative;</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opened relevant accounts with the lender according to the lender’s requirements;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except for the first withdrawal, the borrower shall meet the following conditions before each withdrawal:</w:t>
      </w:r>
    </w:p>
    <w:p>
      <w:pPr>
        <w:spacing w:after="0" w:line="225" w:lineRule="exact"/>
        <w:rPr>
          <w:sz w:val="20"/>
          <w:szCs w:val="20"/>
          <w:color w:val="auto"/>
        </w:rPr>
      </w:pPr>
    </w:p>
    <w:p>
      <w:pPr>
        <w:ind w:firstLine="584"/>
        <w:spacing w:after="0" w:line="282" w:lineRule="auto"/>
        <w:tabs>
          <w:tab w:leader="none" w:pos="833"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the withdrawal application (see Annex 1 or annex 2 of the contract for the format), the completed loan (loan) voucher and other relevant documents at the time and in the manner agreed in the contract;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the borrower under this contract shall remain valid;</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performed its obligations under the contract without any event of default under the contract;</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or conditions required by the lender.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withdrawal</w:t>
      </w:r>
    </w:p>
    <w:p>
      <w:pPr>
        <w:spacing w:after="0" w:line="225" w:lineRule="exact"/>
        <w:rPr>
          <w:sz w:val="20"/>
          <w:szCs w:val="20"/>
          <w:color w:val="auto"/>
        </w:rPr>
      </w:pPr>
    </w:p>
    <w:p>
      <w:pPr>
        <w:jc w:val="both"/>
        <w:ind w:firstLine="584"/>
        <w:spacing w:after="0" w:line="266" w:lineRule="auto"/>
        <w:tabs>
          <w:tab w:leader="none" w:pos="843"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a one-time withdrawal or installment withdrawal in accordance with the withdrawal plan agreed in the contract, and submit a withdrawal application (see Annex 1 or annex 2 of the contract for the format) to the lender three (3) banking days before the expiration of each withdrawal date to go through the withdrawal procedures;</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84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needs to postpone or change the withdrawal date, it shall obtain the consent of the lender three (3) banking days before the expiration of the withdrawal date, and the lender has the right to require the borrower to pay the interest loss suffered by the lender (interest loss: the interest of the delayed withdrawal period and the interest of demand deposit in the same period);</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85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requests to cancel all or part of the undrawn loan, it shall apply to the lender three (3) banking business days before the determined withdrawal date or the termination date of the withdrawal period, and the cancellation can be carried out only with the consent of the lender;</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5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handle the withdrawal procedures within the specified withdrawal date or withdrawal period and fails to apply for postponement of withdrawal, the lender has the right to cancel the undrawn loan:</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withdrawal conditions without affecting any right enjoyed by the Lender under this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18"/>
          <w:szCs w:val="18"/>
          <w:b w:val="1"/>
          <w:bCs w:val="1"/>
          <w:color w:val="auto"/>
        </w:rPr>
        <w:t>Article 4 account opening and management</w:t>
      </w:r>
    </w:p>
    <w:p>
      <w:pPr>
        <w:spacing w:after="0" w:line="229" w:lineRule="exact"/>
        <w:rPr>
          <w:sz w:val="20"/>
          <w:szCs w:val="20"/>
          <w:color w:val="auto"/>
        </w:rPr>
      </w:pPr>
    </w:p>
    <w:p>
      <w:pPr>
        <w:jc w:val="both"/>
        <w:ind w:firstLine="584"/>
        <w:spacing w:after="0" w:line="266" w:lineRule="auto"/>
        <w:tabs>
          <w:tab w:leader="none" w:pos="75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signing this contract, the borrower shall have opened a general settlement account and capital return account (see part I of this contract) at the lender, as well as a special working capital loan account (if any) agreed by both parties. The borrower agrees that the lender shall monitor the aforesaid account of the borrower.</w:t>
      </w:r>
    </w:p>
    <w:p>
      <w:pPr>
        <w:spacing w:after="0" w:line="175" w:lineRule="exact"/>
        <w:rPr>
          <w:rFonts w:ascii="Times New Roman" w:cs="Times New Roman" w:eastAsia="Times New Roman" w:hAnsi="Times New Roman"/>
          <w:sz w:val="18"/>
          <w:szCs w:val="18"/>
          <w:color w:val="auto"/>
        </w:rPr>
      </w:pPr>
    </w:p>
    <w:p>
      <w:pPr>
        <w:ind w:right="20" w:firstLine="584"/>
        <w:spacing w:after="0" w:line="282" w:lineRule="auto"/>
        <w:tabs>
          <w:tab w:leader="none" w:pos="77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special working capital loan account is opened, the general settlement account is used to calculate the loan fund issuance and loan fund payment applied by the borrower at the lender.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a special working capital loan account is opened, the special working capital loan account is used to calculate the loan fund issuance and loan fund payment applied by the borrower at the lender, and the funds in the account bear interest according to the current deposit. The borrower agrees that in addition to the seal reserved by the borrower, the special account for working capital loan shall also reserve the special seal for loan fund payment supervision of the lender.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Without the written consent of the lender, the borrower shall not change the reserved seal of the special working capital loan account at will.</w:t>
      </w:r>
    </w:p>
    <w:p>
      <w:pPr>
        <w:spacing w:after="0" w:line="225" w:lineRule="exact"/>
        <w:rPr>
          <w:sz w:val="20"/>
          <w:szCs w:val="20"/>
          <w:color w:val="auto"/>
        </w:rPr>
      </w:pPr>
    </w:p>
    <w:p>
      <w:pPr>
        <w:ind w:firstLine="584"/>
        <w:spacing w:after="0" w:line="282" w:lineRule="auto"/>
        <w:tabs>
          <w:tab w:leader="none" w:pos="76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fund return account is the income account and repayment reserve account under the contract. The borrower’s income cash flow or the borrower’s overall cash flow shall be entered into the capital return account.</w:t>
      </w:r>
    </w:p>
    <w:p>
      <w:pPr>
        <w:spacing w:after="0" w:line="162"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borrower guarantees that the capital balance in the borrower’s repayment reserve account shall not be less than the amount of principal and interest payable by the borrower in the current period on each principal and interest repayment date under the contract and within three (3) days before it.The borrower agrees that on each principal and interest repayment date and within three (3) days before it, the lender has the right to restrict or refuse the borrower’s external payment that will cause the fund balance in the repayment reserve account to be lower than the principal and interest payable in the current period, so as to ensure that the fund balance in the repayment reserve account is sufficient to pay the principal and interest payable in the current period.</w:t>
      </w:r>
    </w:p>
    <w:p>
      <w:pPr>
        <w:spacing w:after="0" w:line="187"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monitor the capital return account. In case of abnormal capital flow in the capital return account, the lender has the right to find out the reasons from the borrower and take corresponding measures.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 Payment supervision</w:t>
      </w:r>
    </w:p>
    <w:p>
      <w:pPr>
        <w:spacing w:after="0" w:line="229" w:lineRule="exact"/>
        <w:rPr>
          <w:sz w:val="20"/>
          <w:szCs w:val="20"/>
          <w:color w:val="auto"/>
        </w:rPr>
      </w:pPr>
    </w:p>
    <w:p>
      <w:pPr>
        <w:ind w:firstLine="584"/>
        <w:spacing w:after="0" w:line="282" w:lineRule="auto"/>
        <w:tabs>
          <w:tab w:leader="none" w:pos="77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lender has the right to manage and control the payment of the loan funds through the entrusted payment of the lender or / and the independent payment of the borrower, so as to supervise the use of the loan funds according to the purpose agreed in the contract.</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Entrusted payment by the lender means that the lender pays the loan funds through the borrower’s account to the borrower’s trading partner who meets the purpose agreed in this contract according to the borrower’s withdrawal application and payment entrustment.</w:t>
      </w:r>
    </w:p>
    <w:p>
      <w:pPr>
        <w:spacing w:after="0" w:line="162"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Autonomous payment by the borrower means that after the lender issues the loan funds to the borrower’s account according to the borrower’s withdrawal application, the borrower will independently pay them to the borrower’s trading partner who meets the purpose agreed in the contract.</w:t>
      </w:r>
    </w:p>
    <w:p>
      <w:pPr>
        <w:spacing w:after="0" w:line="162" w:lineRule="exact"/>
        <w:rPr>
          <w:sz w:val="20"/>
          <w:szCs w:val="20"/>
          <w:color w:val="auto"/>
        </w:rPr>
      </w:pPr>
    </w:p>
    <w:p>
      <w:pPr>
        <w:jc w:val="both"/>
        <w:ind w:firstLine="584"/>
        <w:spacing w:after="0" w:line="266" w:lineRule="auto"/>
        <w:tabs>
          <w:tab w:leader="none" w:pos="7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if the borrower and the lender have newly established a credit business relationship and the borrower’s credit status is general, or the payment object is clear and the single payment amount exceeds the amount agreed in the contract (see part I of the contract), or other circumstances recognized by the lender, the entrusted payment method of the lender shall be adopted.</w:t>
      </w:r>
    </w:p>
    <w:p>
      <w:pPr>
        <w:spacing w:after="0" w:line="176"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If the entrusted payment method is adopted, the lender has the right to review whether the payment object, payment amount and other information listed in the payment application provided by the borrower are consistent with the corresponding business contract and other supporting materials according to the loan purpose agreed in the loan contract.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After approval, the lender shall pay the loan funds to the borrower’s trading partner through the borrower’s account.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2" w:name="page313"/>
    <w:bookmarkEnd w:id="312"/>
    <w:p>
      <w:pPr>
        <w:ind w:right="20" w:firstLine="584"/>
        <w:spacing w:after="0" w:line="282" w:lineRule="auto"/>
        <w:tabs>
          <w:tab w:leader="none" w:pos="79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applying to the lender for external payment of loan funds, the borrower shall submit supporting materials meeting the lender’s requirements, including but not limited to:</w:t>
      </w:r>
    </w:p>
    <w:p>
      <w:pPr>
        <w:spacing w:after="0" w:line="162" w:lineRule="exact"/>
        <w:rPr>
          <w:sz w:val="20"/>
          <w:szCs w:val="20"/>
          <w:color w:val="auto"/>
        </w:rPr>
      </w:pPr>
    </w:p>
    <w:p>
      <w:pPr>
        <w:ind w:left="840" w:hanging="256"/>
        <w:spacing w:after="0"/>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certifying that the purpose of payment is in accordance with the purpose agreed in the contract: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contracts and written documents that truly reflect the borrower’s payment obligations. For the expenses that must be paid without signing the contract, the charging policy and standard approved by the competent department shall be provided;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1"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corresponding invoices or receipts cannot be obtained at the same time of payment, the borrower shall timely submit the corresponding invoices or receipts for the use of funds after the completion of payment;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valid payment voucher:</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required by the lender.</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lender has the right to waive one or more of the above supporting materials without affecting any rights enjoyed by the Lender under this contract</w:t>
      </w:r>
    </w:p>
    <w:p>
      <w:pPr>
        <w:spacing w:after="0" w:line="162" w:lineRule="exact"/>
        <w:rPr>
          <w:sz w:val="20"/>
          <w:szCs w:val="20"/>
          <w:color w:val="auto"/>
        </w:rPr>
      </w:pPr>
    </w:p>
    <w:p>
      <w:pPr>
        <w:jc w:val="both"/>
        <w:ind w:firstLine="584"/>
        <w:spacing w:after="0" w:line="261" w:lineRule="auto"/>
        <w:tabs>
          <w:tab w:leader="none" w:pos="757"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special account for working capital loan is not opened, the borrower shall submit the withdrawal application to the lender three (3) banking days before the proposed withdrawal date (see Annex 1 of the contract for the format), and propose whether to adopt the entrusted payment method of the lender or the independent payment method of the borrower. The borrower confirms that the lender has the right to review whether the relevant information of the borrower meets the payment conditions agreed in the contract, and has the right to decide the payment method of the corresponding loan.</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If the special account for working capital loan is opened by the entrusted payment method of the lender, the borrower shall submit the payment application with the reserved seal of the borrower of the special account for working capital loan (see Annex 3 of the contract for the format) to the lender three (3) banking days before the payment date. The lender has the right to review whether the relevant information of the borrower meets the payment conditions agreed in this contract. If the lender approves, it shall stamp the special seal for loan fund payment supervision on the payment voucher before making external payment. If the borrower’s independent payment method is adopted, the borrower shall submit the payment application (see Annex 3 of the contract for the format) and relevant materials to the lender three (3) banking days in advance. The lender has the right to review whether the relevant materials submitted by the borrower meet the conditions agreed in the contract.If the lender approves, the borrower shall fill in the payment voucher (the amount of each summary payment voucher shall not exceed the entrusted payment amount of the lender agreed in this contract).After review, the lender shall affix the special seal for loan fund payment supervision on the summary payment voucher, and transfer the corresponding funds to the borrower’s general settlement account.</w:t>
      </w:r>
    </w:p>
    <w:p>
      <w:pPr>
        <w:spacing w:after="0" w:line="194" w:lineRule="exact"/>
        <w:rPr>
          <w:sz w:val="20"/>
          <w:szCs w:val="20"/>
          <w:color w:val="auto"/>
        </w:rPr>
      </w:pPr>
    </w:p>
    <w:p>
      <w:pPr>
        <w:jc w:val="both"/>
        <w:ind w:firstLine="584"/>
        <w:spacing w:after="0" w:line="266" w:lineRule="auto"/>
        <w:tabs>
          <w:tab w:leader="none" w:pos="76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autonomous payment method is adopted, the borrower shall regularly summarize and report the autonomous payment of loan funds to the lender every month. The lender has the right to verify whether the borrower’s loan payment meets the agreed purpose and payment method through account analysis, voucher inspection, on-site investigation, etc.</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76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it shall pay to the lender the remittance fee arising from the payment of funds. When the remittance fee occurs, the lender has the right to deduct it directly according to the actual amount.</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process of loan issuance and payment, if any of the following circumstances occurs to the borrower, the lender has the right to require the borrower to supplement the withdrawal conditions and payment conditions, or change the loan payment method and stop the issuance and payment of loan funds:</w:t>
      </w:r>
    </w:p>
    <w:p>
      <w:pPr>
        <w:spacing w:after="0" w:line="176" w:lineRule="exact"/>
        <w:rPr>
          <w:sz w:val="20"/>
          <w:szCs w:val="20"/>
          <w:color w:val="auto"/>
        </w:rPr>
      </w:pPr>
    </w:p>
    <w:p>
      <w:pPr>
        <w:ind w:left="840" w:hanging="256"/>
        <w:spacing w:after="0"/>
        <w:tabs>
          <w:tab w:leader="none" w:pos="8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credit status;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main business is not strong;</w:t>
      </w:r>
    </w:p>
    <w:p>
      <w:pPr>
        <w:spacing w:after="0" w:line="225" w:lineRule="exact"/>
        <w:rPr>
          <w:rFonts w:ascii="Times New Roman" w:cs="Times New Roman" w:eastAsia="Times New Roman" w:hAnsi="Times New Roman"/>
          <w:sz w:val="18"/>
          <w:szCs w:val="18"/>
          <w:color w:val="auto"/>
        </w:rPr>
      </w:pPr>
    </w:p>
    <w:p>
      <w:pPr>
        <w:ind w:left="820" w:hanging="236"/>
        <w:spacing w:after="0"/>
        <w:tabs>
          <w:tab w:leader="none" w:pos="82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 use of loan funds.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8"/>
          <w:szCs w:val="18"/>
          <w:b w:val="1"/>
          <w:bCs w:val="1"/>
          <w:color w:val="auto"/>
        </w:rPr>
        <w:t>Article 6 repayment</w:t>
      </w:r>
    </w:p>
    <w:p>
      <w:pPr>
        <w:spacing w:after="0" w:line="229" w:lineRule="exact"/>
        <w:rPr>
          <w:sz w:val="20"/>
          <w:szCs w:val="20"/>
          <w:color w:val="auto"/>
        </w:rPr>
      </w:pPr>
    </w:p>
    <w:p>
      <w:pPr>
        <w:jc w:val="both"/>
        <w:ind w:firstLine="584"/>
        <w:spacing w:after="0" w:line="266" w:lineRule="auto"/>
        <w:tabs>
          <w:tab w:leader="none" w:pos="76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timely and fully repay the principal, interest and relevant expenses of the loan according to the repayment plan agreed in the contract. The borrower hereby irrevocably authorizes the lender to actively deduct the above amount from its account opened with the lender on the maturity date of the loan or when the conditions agreed in the contract are met to repay the creditor’s rights of the lender.</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76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repays the loan in advance, it shall submit a written application to the lender and obtain the written consent of the lender before the tenth (10th) banking business day before the expected repayment date. Without the prior written consent of the lender, the borrower shall still repay the principal and interest according to the time limit and interest rate agreed in the contract.</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prepayment agreed by the lender shall be deemed as the prepayment of the loan. In this case, the lender also has the right to require the borrower to pay certain liquidated damages in accordance with the contract (see part I of the contract).</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case of early repayment of the loan, the interest shall be calculated according to the actual number of days used by the borrower and returned together with the principal; The principal amount of early repayment shall not be less than the limit agreed in part I of this contract; The principal returned shall be offset against the loan principal in the reverse order of the repayment plan agreed in this contract.</w:t>
      </w:r>
    </w:p>
    <w:p>
      <w:pPr>
        <w:spacing w:after="0" w:line="176" w:lineRule="exact"/>
        <w:rPr>
          <w:sz w:val="20"/>
          <w:szCs w:val="20"/>
          <w:color w:val="auto"/>
        </w:rPr>
      </w:pPr>
    </w:p>
    <w:p>
      <w:pPr>
        <w:jc w:val="both"/>
        <w:ind w:firstLine="584"/>
        <w:spacing w:after="0" w:line="258" w:lineRule="auto"/>
        <w:tabs>
          <w:tab w:leader="none" w:pos="77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unable to repay on schedule for justified reasons, it shall apply to the lender for loan extension before the thirtieth (30th) banking business day of the repayment period agreed in this contract, and prepare necessary materials to go through relevant extension procedures. If the loan under this contract is guaranteed, mortgaged or pledged, the guarantor, mortgagor and Pledgor shall also issue a written consent certificate. The lender shall decide whether to agree to the extension. If the borrower does not apply for extension or the application for extension is not approved by the lender, the loan shall be transferred to the overdue loan from the next day of the maturity date.</w:t>
      </w:r>
    </w:p>
    <w:p>
      <w:pPr>
        <w:spacing w:after="0" w:line="183"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withdraw any returned loan funds again.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representations and warranties</w:t>
      </w:r>
    </w:p>
    <w:p>
      <w:pPr>
        <w:spacing w:after="0" w:line="229"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borrower makes the following representations and warranties to the lender, which are made at the time of signing this contract and remain valid during the validity of this contract.</w:t>
      </w:r>
    </w:p>
    <w:p>
      <w:pPr>
        <w:spacing w:after="0" w:line="162" w:lineRule="exact"/>
        <w:rPr>
          <w:sz w:val="20"/>
          <w:szCs w:val="20"/>
          <w:color w:val="auto"/>
        </w:rPr>
      </w:pPr>
    </w:p>
    <w:p>
      <w:pPr>
        <w:ind w:firstLine="584"/>
        <w:spacing w:after="0" w:line="282" w:lineRule="auto"/>
        <w:tabs>
          <w:tab w:leader="none" w:pos="76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an enterprise (institution) legal person and other economic organization established in accordance with its applicable law, with independent legal personality, complete financial system and repayment ability, and has the right to conclude and perform this contract according to law.</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76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the right to sign this contract and has completed all authorizations and approvals of the board of shareholders, the board of directors or other competent authorities required for signing this contract and performing its obligations under this contract. All terms of this contract are the true intention of the borrower and are legally binding on the borrower.</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75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and performance of this contract shall not violate the laws that the borrower shall abide by (the laws under this contract include the laws, regulations, rules, local regulations, judicial interpretations, etc., the same below), the relevant documents, judgments and rulings of the competent authorities, nor the articles of association of the borrower or any contract it has signed Conflict with the agreement or any other obligations undertaken.</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7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all financial statements (if any) issued by it comply with the provisions of applicable laws and that the statements truly, completely and fairly reflect the financial situation of the borrower.</w:t>
      </w:r>
    </w:p>
    <w:p>
      <w:pPr>
        <w:spacing w:after="0" w:line="161" w:lineRule="exact"/>
        <w:rPr>
          <w:rFonts w:ascii="Times New Roman" w:cs="Times New Roman" w:eastAsia="Times New Roman" w:hAnsi="Times New Roman"/>
          <w:sz w:val="18"/>
          <w:szCs w:val="18"/>
          <w:color w:val="auto"/>
        </w:rPr>
      </w:pPr>
    </w:p>
    <w:p>
      <w:pPr>
        <w:jc w:val="both"/>
        <w:ind w:firstLine="584"/>
        <w:spacing w:after="0" w:line="261" w:lineRule="auto"/>
        <w:tabs>
          <w:tab w:leader="none" w:pos="77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process of signing and performing this contract, the borrower abides by the principle of honesty and trustworthiness, and all materials, documents and information (including but not limited to business license, project approval documents, feasibility study report, self raised funds implementation certificate, financial statements, etc.) provided to the lender, including itself and the guarantor, are true, effective and accurate Complete without any concealment or omission.</w:t>
      </w:r>
    </w:p>
    <w:p>
      <w:pPr>
        <w:spacing w:after="0" w:line="179" w:lineRule="exact"/>
        <w:rPr>
          <w:rFonts w:ascii="Times New Roman" w:cs="Times New Roman" w:eastAsia="Times New Roman" w:hAnsi="Times New Roman"/>
          <w:sz w:val="18"/>
          <w:szCs w:val="18"/>
          <w:color w:val="auto"/>
        </w:rPr>
      </w:pPr>
    </w:p>
    <w:p>
      <w:pPr>
        <w:ind w:left="780" w:hanging="196"/>
        <w:spacing w:after="0"/>
        <w:tabs>
          <w:tab w:leader="none" w:pos="7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to complete the filing, registration or other procedures required for the effectiveness and legal performance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firstLine="584"/>
        <w:spacing w:after="0" w:line="282" w:lineRule="auto"/>
        <w:tabs>
          <w:tab w:leader="none" w:pos="78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issuance of the latest audited financial statements, there has been no significant adverse change in the borrower’s operating and financial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4" w:name="page315"/>
    <w:bookmarkEnd w:id="314"/>
    <w:p>
      <w:pPr>
        <w:jc w:val="both"/>
        <w:ind w:firstLine="584"/>
        <w:spacing w:after="0" w:line="266" w:lineRule="auto"/>
        <w:tabs>
          <w:tab w:leader="none" w:pos="792"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business activities, strictly abide by laws and regulations, carry out various businesses in strict accordance with the provisions of the borrower’s business license or the business scope approved according to law, go through the registration and annual inspection procedures on time, the production and operation are legal and compliant, have the ability of sustainable operation and have a legal source of repayment.</w:t>
      </w:r>
    </w:p>
    <w:p>
      <w:pPr>
        <w:spacing w:after="0" w:line="175"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up any due creditor’s rights, nor dispose of the existing main property free of charge or in other inappropriate ways.</w:t>
      </w:r>
    </w:p>
    <w:p>
      <w:pPr>
        <w:spacing w:after="0" w:line="225" w:lineRule="exact"/>
        <w:rPr>
          <w:rFonts w:ascii="Times New Roman" w:cs="Times New Roman" w:eastAsia="Times New Roman" w:hAnsi="Times New Roman"/>
          <w:sz w:val="18"/>
          <w:szCs w:val="18"/>
          <w:color w:val="auto"/>
        </w:rPr>
      </w:pPr>
    </w:p>
    <w:p>
      <w:pPr>
        <w:ind w:left="860" w:hanging="276"/>
        <w:spacing w:after="0"/>
        <w:tabs>
          <w:tab w:leader="none" w:pos="8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disclosed to the lender what it knows or should know and decided whether to grant the loan under this contract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Important facts and conditions (including but not limited to business status, financial status, external guarantee, etc.).</w:t>
      </w:r>
    </w:p>
    <w:p>
      <w:pPr>
        <w:spacing w:after="0" w:line="225" w:lineRule="exact"/>
        <w:rPr>
          <w:sz w:val="20"/>
          <w:szCs w:val="20"/>
          <w:color w:val="auto"/>
        </w:rPr>
      </w:pPr>
    </w:p>
    <w:p>
      <w:pPr>
        <w:ind w:left="840" w:hanging="256"/>
        <w:spacing w:after="0"/>
        <w:tabs>
          <w:tab w:leader="none" w:pos="8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it is in good credit condition and has no major bad record.</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there are no other circumstances or events that have or may have a material adverse impact on the borrower’s performance ability.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covenants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borrower and the lender agree as follows:</w:t>
      </w:r>
    </w:p>
    <w:p>
      <w:pPr>
        <w:spacing w:after="0" w:line="225" w:lineRule="exact"/>
        <w:rPr>
          <w:sz w:val="20"/>
          <w:szCs w:val="20"/>
          <w:color w:val="auto"/>
        </w:rPr>
      </w:pPr>
    </w:p>
    <w:p>
      <w:pPr>
        <w:jc w:val="both"/>
        <w:ind w:firstLine="584"/>
        <w:spacing w:after="0" w:line="261" w:lineRule="auto"/>
        <w:tabs>
          <w:tab w:leader="none" w:pos="757"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to operate in accordance with the law, use the loan for the purpose agreed in this contract and not misappropriate it for other purposes. The borrower shall regularly provide various relevant financial and accounting materials, including monthly and annual statements, as required by the lender, and actively cooperate with the loan The borrower shall supervise the use of the loan and the operation of the borrower. The lender may inspect and supervise the use of the loan in various ways at any time.</w:t>
      </w:r>
    </w:p>
    <w:p>
      <w:pPr>
        <w:spacing w:after="0" w:line="179" w:lineRule="exact"/>
        <w:rPr>
          <w:rFonts w:ascii="Times New Roman" w:cs="Times New Roman" w:eastAsia="Times New Roman" w:hAnsi="Times New Roman"/>
          <w:sz w:val="18"/>
          <w:szCs w:val="18"/>
          <w:color w:val="auto"/>
        </w:rPr>
      </w:pPr>
    </w:p>
    <w:p>
      <w:pPr>
        <w:ind w:firstLine="584"/>
        <w:spacing w:after="0" w:line="282" w:lineRule="auto"/>
        <w:tabs>
          <w:tab w:leader="none" w:pos="777"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the principal and interest of the loan under the contract according to the time, amount, currency and interest rate specified in the contract, application and loan (loan) certificate.</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75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once any event occurs or will occur that is sufficient to have a significant adverse impact on the financial condition of the guarantor or its ability to perform the guarantee obligations, the borrower will timely provide a new guarantee approved by the lender.</w:t>
      </w:r>
    </w:p>
    <w:p>
      <w:pPr>
        <w:spacing w:after="0" w:line="161"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that the borrower will not take the following actions without the written consent of the lender:</w:t>
      </w:r>
    </w:p>
    <w:p>
      <w:pPr>
        <w:spacing w:after="0" w:line="225" w:lineRule="exact"/>
        <w:rPr>
          <w:sz w:val="20"/>
          <w:szCs w:val="20"/>
          <w:color w:val="auto"/>
        </w:rPr>
      </w:pPr>
    </w:p>
    <w:p>
      <w:pPr>
        <w:ind w:left="840" w:hanging="256"/>
        <w:spacing w:after="0"/>
        <w:tabs>
          <w:tab w:leader="none" w:pos="8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(including sale, gift, debt repayment, exchange, etc.), mortgage, pledge or otherwise dispose of all or most of its major assets;</w:t>
      </w:r>
    </w:p>
    <w:p>
      <w:pPr>
        <w:spacing w:after="0" w:line="225" w:lineRule="exact"/>
        <w:rPr>
          <w:rFonts w:ascii="Times New Roman" w:cs="Times New Roman" w:eastAsia="Times New Roman" w:hAnsi="Times New Roman"/>
          <w:sz w:val="18"/>
          <w:szCs w:val="18"/>
          <w:color w:val="auto"/>
        </w:rPr>
      </w:pPr>
    </w:p>
    <w:p>
      <w:pPr>
        <w:jc w:val="both"/>
        <w:ind w:firstLine="584"/>
        <w:spacing w:after="0" w:line="261" w:lineRule="auto"/>
        <w:tabs>
          <w:tab w:leader="none" w:pos="843"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joint venture, major foreign investment, change of actual controller or major shareholder, shareholding reform, merger (merger), joint venture (cooperation), division, equity transfer, substantial increase of debt financing, establishment of subsidiaries, property right transfer, capital reduction, suspension of business, dissolution, application for bankruptcy Reorganization or cancellation and other acts that may affect the borrower’s repayment ability;</w:t>
      </w:r>
    </w:p>
    <w:p>
      <w:pPr>
        <w:spacing w:after="0" w:line="179" w:lineRule="exact"/>
        <w:rPr>
          <w:rFonts w:ascii="Times New Roman" w:cs="Times New Roman" w:eastAsia="Times New Roman" w:hAnsi="Times New Roman"/>
          <w:sz w:val="18"/>
          <w:szCs w:val="18"/>
          <w:color w:val="auto"/>
        </w:rPr>
      </w:pPr>
    </w:p>
    <w:p>
      <w:pPr>
        <w:ind w:firstLine="584"/>
        <w:spacing w:after="0" w:line="282" w:lineRule="auto"/>
        <w:tabs>
          <w:tab w:leader="none" w:pos="85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third party with a guarantee sufficient to have a material adverse impact on its financial condition or its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5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off other long-term debts in advance and may have a significant adverse impact on the borrower’s ability to perform its obligations under the contract;</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49"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contracts / agreements or undertake relevant obligations that have a significant adverse impact on the borrower’s ability to perform its obligations under the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5" w:name="page316"/>
    <w:bookmarkEnd w:id="315"/>
    <w:p>
      <w:pPr>
        <w:ind w:firstLine="584"/>
        <w:spacing w:after="0" w:line="282" w:lineRule="auto"/>
        <w:tabs>
          <w:tab w:leader="none" w:pos="77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promises that when the following events occur, the borrower will immediately notify the lender on the date of the event, and deliver the original of the relevant notice to the lender (with official seal) within five (5) banking days from the date of the event:</w:t>
      </w:r>
    </w:p>
    <w:p>
      <w:pPr>
        <w:spacing w:after="0" w:line="162" w:lineRule="exact"/>
        <w:rPr>
          <w:sz w:val="20"/>
          <w:szCs w:val="20"/>
          <w:color w:val="auto"/>
        </w:rPr>
      </w:pPr>
    </w:p>
    <w:p>
      <w:pPr>
        <w:ind w:left="840" w:hanging="256"/>
        <w:spacing w:after="0"/>
        <w:tabs>
          <w:tab w:leader="none" w:pos="8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relevant events makes the representations and warranties made by the borrower in this contract untrue, inaccurate or invalid.</w:t>
      </w:r>
    </w:p>
    <w:p>
      <w:pPr>
        <w:spacing w:after="0" w:line="225" w:lineRule="exact"/>
        <w:rPr>
          <w:rFonts w:ascii="Times New Roman" w:cs="Times New Roman" w:eastAsia="Times New Roman" w:hAnsi="Times New Roman"/>
          <w:sz w:val="18"/>
          <w:szCs w:val="18"/>
          <w:color w:val="auto"/>
        </w:rPr>
      </w:pPr>
    </w:p>
    <w:p>
      <w:pPr>
        <w:jc w:val="both"/>
        <w:ind w:firstLine="584"/>
        <w:spacing w:after="0" w:line="266" w:lineRule="auto"/>
        <w:tabs>
          <w:tab w:leader="none" w:pos="833"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litigation, arbitration or its assets are seized, sealed up, frozen, enforced or other measures with the same effect are taken, or its legal representative / person in charge is involved in litigation, arbitration or other coercive measures;</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841"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legal representative or its authorized agent, principal, main financial principal, mailing address, enterprise name, office space and other matters are changed;</w:t>
      </w:r>
    </w:p>
    <w:p>
      <w:pPr>
        <w:spacing w:after="0" w:line="161" w:lineRule="exact"/>
        <w:rPr>
          <w:rFonts w:ascii="Times New Roman" w:cs="Times New Roman" w:eastAsia="Times New Roman" w:hAnsi="Times New Roman"/>
          <w:sz w:val="18"/>
          <w:szCs w:val="18"/>
          <w:color w:val="auto"/>
        </w:rPr>
      </w:pPr>
    </w:p>
    <w:p>
      <w:pPr>
        <w:ind w:firstLine="584"/>
        <w:spacing w:after="0" w:line="282" w:lineRule="auto"/>
        <w:tabs>
          <w:tab w:leader="none" w:pos="83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applied for reorganization or bankruptcy by other creditors or being revoked by the superior competent authority;(5) other major adverse events that may affect the borrower’s solvency.</w:t>
      </w:r>
    </w:p>
    <w:p>
      <w:pPr>
        <w:spacing w:after="0" w:line="162" w:lineRule="exact"/>
        <w:rPr>
          <w:sz w:val="20"/>
          <w:szCs w:val="20"/>
          <w:color w:val="auto"/>
        </w:rPr>
      </w:pPr>
    </w:p>
    <w:p>
      <w:pPr>
        <w:ind w:firstLine="584"/>
        <w:spacing w:after="0" w:line="282" w:lineRule="auto"/>
        <w:tabs>
          <w:tab w:leader="none" w:pos="75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guarantees that it will not pay off other loans in priority in violation of the normal repayment order, and will not sign any contract or agreement that will subordinate the loan under this contract now and in the future.</w:t>
      </w:r>
    </w:p>
    <w:p>
      <w:pPr>
        <w:spacing w:after="0" w:line="161" w:lineRule="exact"/>
        <w:rPr>
          <w:rFonts w:ascii="Times New Roman" w:cs="Times New Roman" w:eastAsia="Times New Roman" w:hAnsi="Times New Roman"/>
          <w:sz w:val="18"/>
          <w:szCs w:val="18"/>
          <w:color w:val="auto"/>
        </w:rPr>
      </w:pPr>
    </w:p>
    <w:p>
      <w:pPr>
        <w:jc w:val="both"/>
        <w:ind w:firstLine="584"/>
        <w:spacing w:after="0" w:line="261" w:lineRule="auto"/>
        <w:tabs>
          <w:tab w:leader="none" w:pos="753"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as far as possible, repay and pay the principal and interest of the loan under the contract in the same currency. If the borrower repays its debts in different currencies, the borrower shall, or authorize the lender, convert the funds in different currencies into the loan currency under the contract according to the “deduction agreement”. The expenses incurred shall be borne by the borrower. When the guarantor repays the debt on behalf of the borrower in different currencies, the “deduction agreement” from the guarantee contract shall be borne by the borrower.</w:t>
      </w:r>
    </w:p>
    <w:p>
      <w:pPr>
        <w:spacing w:after="0" w:line="179" w:lineRule="exact"/>
        <w:rPr>
          <w:rFonts w:ascii="Times New Roman" w:cs="Times New Roman" w:eastAsia="Times New Roman" w:hAnsi="Times New Roman"/>
          <w:sz w:val="18"/>
          <w:szCs w:val="18"/>
          <w:color w:val="auto"/>
        </w:rPr>
      </w:pPr>
    </w:p>
    <w:p>
      <w:pPr>
        <w:jc w:val="both"/>
        <w:ind w:firstLine="584"/>
        <w:spacing w:after="0" w:line="256" w:lineRule="auto"/>
        <w:tabs>
          <w:tab w:leader="none" w:pos="758"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specific circumstances or changes in the guarantee under this contract, the borrower shall timely provide other guarantees approved by the lender as required by the lender. Such specific circumstances or specific changes include but are not limited to the guarantor’s suspension of production, closure of business, dissolution, suspension of business for rectification, revocation or revocation of business license, application or application for reorganization, bankruptcy, major changes in business or financial status, involvement in major litigation or arbitration cases, involvement of legal representatives, directors, supervisors and key business managers The value of the collateral is reduced or may be reduced, or property preservation measures such as sealing up are taken, there is a breach of contract under the guarantee contract, and it is required to terminate the guarantee contract.</w:t>
      </w:r>
    </w:p>
    <w:p>
      <w:pPr>
        <w:spacing w:after="0" w:line="187" w:lineRule="exact"/>
        <w:rPr>
          <w:rFonts w:ascii="Times New Roman" w:cs="Times New Roman" w:eastAsia="Times New Roman" w:hAnsi="Times New Roman"/>
          <w:sz w:val="18"/>
          <w:szCs w:val="18"/>
          <w:color w:val="auto"/>
        </w:rPr>
      </w:pPr>
    </w:p>
    <w:p>
      <w:pPr>
        <w:jc w:val="both"/>
        <w:ind w:firstLine="584"/>
        <w:spacing w:after="0" w:line="266" w:lineRule="auto"/>
        <w:tabs>
          <w:tab w:leader="none" w:pos="77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conduct on-site or off-site due diligence on the borrower, and carry out post loan inspection on the borrower’s business status, financial status, external guarantee, use of loan funds and repayment. The borrower is obliged to actively cooperate with the lender in loan payment management, post loan management and relevant inspection.</w:t>
      </w:r>
    </w:p>
    <w:p>
      <w:pPr>
        <w:spacing w:after="0" w:line="175" w:lineRule="exact"/>
        <w:rPr>
          <w:rFonts w:ascii="Times New Roman" w:cs="Times New Roman" w:eastAsia="Times New Roman" w:hAnsi="Times New Roman"/>
          <w:sz w:val="18"/>
          <w:szCs w:val="18"/>
          <w:color w:val="auto"/>
        </w:rPr>
      </w:pPr>
    </w:p>
    <w:p>
      <w:pPr>
        <w:ind w:left="860" w:hanging="276"/>
        <w:spacing w:after="0"/>
        <w:tabs>
          <w:tab w:leader="none" w:pos="86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recover the loan funds under this contract in advance according to the withdrawal of the borrower’s funds.</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agreements on group customers (applicable to group customers).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the borrower of this contract is a group customer, the borrower hereby undertakes:</w:t>
      </w:r>
    </w:p>
    <w:p>
      <w:pPr>
        <w:spacing w:after="0" w:line="196" w:lineRule="exact"/>
        <w:rPr>
          <w:sz w:val="20"/>
          <w:szCs w:val="20"/>
          <w:color w:val="auto"/>
        </w:rPr>
      </w:pPr>
    </w:p>
    <w:p>
      <w:pPr>
        <w:jc w:val="both"/>
        <w:ind w:firstLine="584"/>
        <w:spacing w:after="0" w:line="240" w:lineRule="exact"/>
        <w:tabs>
          <w:tab w:leader="none" w:pos="836"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timely report the related party transactions of more than 10% of the net assets of the actual trustee,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related party relationships of all parties to the transaction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Transaction items and nature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The amount of the transaction or the corresponding proportion</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Pricing policy (including transactions with no amount or only symbolic amount).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firstLine="584"/>
        <w:spacing w:after="0" w:line="219" w:lineRule="exact"/>
        <w:tabs>
          <w:tab w:leader="none" w:pos="83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actual trustee has the following circumstances, it shall be deemed that the borrower has breached the contract, and the lender has the right to unilaterally decide to cancel the unused credit of the customer, recover part or all of the used credit, or require the customer to increase the margin to 100%: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providing false materials or concealing important business financial facts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Changing the original purpose of the credit without the consent of the lender, misappropriating the credit or using the bank credit to engage in illegal and illegal transactions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Taking advantage of false contracts with related parties to obtain bank funds or credit by discounting or pledging creditor’s rights such as notes receivable and accounts receivable without actual trade background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refusing to accept the lender’s supervision and inspection of its use of credit funds and relevant business and financial activities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In case of major merger, acquisition and reorganization, the lender believes that it may affect the credit security </w:t>
      </w:r>
      <w:r>
        <w:rPr>
          <w:rFonts w:ascii="MS PGothic" w:cs="MS PGothic" w:eastAsia="MS PGothic" w:hAnsi="MS PGothic"/>
          <w:sz w:val="18"/>
          <w:szCs w:val="18"/>
          <w:color w:val="auto"/>
        </w:rPr>
        <w:t>⑥</w:t>
      </w:r>
      <w:r>
        <w:rPr>
          <w:rFonts w:ascii="Times New Roman" w:cs="Times New Roman" w:eastAsia="Times New Roman" w:hAnsi="Times New Roman"/>
          <w:sz w:val="18"/>
          <w:szCs w:val="18"/>
          <w:color w:val="auto"/>
        </w:rPr>
        <w:t xml:space="preserve"> Intentionally evading bank creditor’s rights through related party transactions.</w:t>
      </w:r>
    </w:p>
    <w:p>
      <w:pPr>
        <w:spacing w:after="0" w:line="198" w:lineRule="exact"/>
        <w:rPr>
          <w:sz w:val="20"/>
          <w:szCs w:val="20"/>
          <w:color w:val="auto"/>
        </w:rPr>
      </w:pPr>
    </w:p>
    <w:p>
      <w:pPr>
        <w:jc w:val="both"/>
        <w:ind w:firstLine="584"/>
        <w:spacing w:after="0" w:line="258" w:lineRule="auto"/>
        <w:tabs>
          <w:tab w:leader="none" w:pos="881"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guarantees, commitments and agreements on green credit (applicable to borrowers whose construction, production and operation activities of nuclear power plants, large hydropower stations, water conservancy projects, resource extraction projects, etc. may seriously change the original state of the environment and the adverse environmental and social consequences are not easy to eliminate, as well as oil processing, coking and nuclear fuel import workers The construction, production and operation of chemical raw materials and chemical products will produce adverse environmental and social consequences, but it is easy to eliminate them through slow-release measures)</w:t>
      </w:r>
    </w:p>
    <w:p>
      <w:pPr>
        <w:spacing w:after="0" w:line="155" w:lineRule="exact"/>
        <w:rPr>
          <w:sz w:val="20"/>
          <w:szCs w:val="20"/>
          <w:color w:val="auto"/>
        </w:rPr>
      </w:pPr>
    </w:p>
    <w:p>
      <w:pPr>
        <w:jc w:val="both"/>
        <w:ind w:firstLine="584"/>
        <w:spacing w:after="0" w:line="232" w:lineRule="exact"/>
        <w:tabs>
          <w:tab w:leader="none" w:pos="834"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declares and guarantees that the management of environmental and social risks,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internal management documents related to environmental and social risks comply with the requirements of laws and regulations and are effectively implemented;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there are no major litigation cases involving environmental and social risks;</w:t>
      </w:r>
    </w:p>
    <w:p>
      <w:pPr>
        <w:spacing w:after="0" w:line="170" w:lineRule="exact"/>
        <w:rPr>
          <w:rFonts w:ascii="Times New Roman" w:cs="Times New Roman" w:eastAsia="Times New Roman" w:hAnsi="Times New Roman"/>
          <w:sz w:val="18"/>
          <w:szCs w:val="18"/>
          <w:color w:val="auto"/>
        </w:rPr>
      </w:pPr>
    </w:p>
    <w:p>
      <w:pPr>
        <w:jc w:val="both"/>
        <w:ind w:firstLine="584"/>
        <w:spacing w:after="0" w:line="228" w:lineRule="exact"/>
        <w:tabs>
          <w:tab w:leader="none" w:pos="859"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promises to accept the supervision of the lender and strengthen environmental and social risk management, including: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commitment to compliance of all behaviors and performances related to environmental and social risks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Commit to establish and improve the internal management system of environmental and social risks, and specify the responsibilities, obligations and punishment measures of relevant responsible personnel of the borrower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Commit to establish and improve the emergency mechanism and measures for environmental and social risk emergencies</w:t>
      </w:r>
    </w:p>
    <w:p>
      <w:pPr>
        <w:spacing w:after="0" w:line="1" w:lineRule="exact"/>
        <w:rPr>
          <w:rFonts w:ascii="Times New Roman" w:cs="Times New Roman" w:eastAsia="Times New Roman" w:hAnsi="Times New Roman"/>
          <w:sz w:val="18"/>
          <w:szCs w:val="18"/>
          <w:color w:val="auto"/>
        </w:rPr>
      </w:pPr>
    </w:p>
    <w:p>
      <w:pPr>
        <w:jc w:val="both"/>
        <w:ind w:firstLine="8"/>
        <w:spacing w:after="0" w:line="216" w:lineRule="exact"/>
        <w:tabs>
          <w:tab w:leader="none" w:pos="265" w:val="left"/>
        </w:tabs>
        <w:numPr>
          <w:ilvl w:val="0"/>
          <w:numId w:val="3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Commit to establish special departments and / or designate special personnel to be responsible for environmental and social risks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Promise to cooperate with the lender or its recognized third party in the assessment and inspection of the borrower’s environmental and social risks </w:t>
      </w:r>
      <w:r>
        <w:rPr>
          <w:rFonts w:ascii="MS PGothic" w:cs="MS PGothic" w:eastAsia="MS PGothic" w:hAnsi="MS PGothic"/>
          <w:sz w:val="18"/>
          <w:szCs w:val="18"/>
          <w:color w:val="auto"/>
        </w:rPr>
        <w:t>⑥</w:t>
      </w:r>
      <w:r>
        <w:rPr>
          <w:rFonts w:ascii="Times New Roman" w:cs="Times New Roman" w:eastAsia="Times New Roman" w:hAnsi="Times New Roman"/>
          <w:sz w:val="18"/>
          <w:szCs w:val="18"/>
          <w:color w:val="auto"/>
        </w:rPr>
        <w:t xml:space="preserve"> in the face of strong doubts from the public or other stakeholders about the borrower’s performance in controlling environmental and social risks, promise to respond appropriately or take other necessary actions </w:t>
      </w:r>
      <w:r>
        <w:rPr>
          <w:rFonts w:ascii="MS PGothic" w:cs="MS PGothic" w:eastAsia="MS PGothic" w:hAnsi="MS PGothic"/>
          <w:sz w:val="18"/>
          <w:szCs w:val="18"/>
          <w:color w:val="auto"/>
        </w:rPr>
        <w:t>⑦</w:t>
      </w:r>
      <w:r>
        <w:rPr>
          <w:rFonts w:ascii="Times New Roman" w:cs="Times New Roman" w:eastAsia="Times New Roman" w:hAnsi="Times New Roman"/>
          <w:sz w:val="18"/>
          <w:szCs w:val="18"/>
          <w:color w:val="auto"/>
        </w:rPr>
        <w:t xml:space="preserve"> undertake to urge the borrower’s vital related parties to strengthen management and prevent the environmental and social risks of related parties from infecting the borrower </w:t>
      </w:r>
      <w:r>
        <w:rPr>
          <w:rFonts w:ascii="MS PGothic" w:cs="MS PGothic" w:eastAsia="MS PGothic" w:hAnsi="MS PGothic"/>
          <w:sz w:val="18"/>
          <w:szCs w:val="18"/>
          <w:color w:val="auto"/>
        </w:rPr>
        <w:t>⑧</w:t>
      </w:r>
      <w:r>
        <w:rPr>
          <w:rFonts w:ascii="Times New Roman" w:cs="Times New Roman" w:eastAsia="Times New Roman" w:hAnsi="Times New Roman"/>
          <w:sz w:val="18"/>
          <w:szCs w:val="18"/>
          <w:color w:val="auto"/>
        </w:rPr>
        <w:t xml:space="preserve"> undertake to perform other matters that the lender considers relevant to controlling environmental and social risks</w:t>
      </w:r>
    </w:p>
    <w:p>
      <w:pPr>
        <w:spacing w:after="0" w:line="169" w:lineRule="exact"/>
        <w:rPr>
          <w:rFonts w:ascii="MS PGothic" w:cs="MS PGothic" w:eastAsia="MS PGothic" w:hAnsi="MS PGothic"/>
          <w:sz w:val="18"/>
          <w:szCs w:val="18"/>
          <w:color w:val="auto"/>
        </w:rPr>
      </w:pPr>
    </w:p>
    <w:p>
      <w:pPr>
        <w:jc w:val="both"/>
        <w:ind w:firstLine="584"/>
        <w:spacing w:after="0" w:line="227" w:lineRule="exact"/>
        <w:tabs>
          <w:tab w:leader="none" w:pos="833"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promises to timely and fully inform the lender of various permits </w:t>
      </w:r>
      <w:r>
        <w:rPr>
          <w:rFonts w:ascii="MS PGothic" w:cs="MS PGothic" w:eastAsia="MS PGothic" w:hAnsi="MS PGothic"/>
          <w:sz w:val="17"/>
          <w:szCs w:val="17"/>
          <w:color w:val="auto"/>
        </w:rPr>
        <w:t>①</w:t>
      </w:r>
      <w:r>
        <w:rPr>
          <w:rFonts w:ascii="Times New Roman" w:cs="Times New Roman" w:eastAsia="Times New Roman" w:hAnsi="Times New Roman"/>
          <w:sz w:val="17"/>
          <w:szCs w:val="17"/>
          <w:color w:val="auto"/>
        </w:rPr>
        <w:t xml:space="preserve"> approvals and approvals related to environmental and social risks in the process of commencement, construction, operation and shutdown </w:t>
      </w:r>
      <w:r>
        <w:rPr>
          <w:rFonts w:ascii="MS PGothic" w:cs="MS PGothic" w:eastAsia="MS PGothic" w:hAnsi="MS PGothic"/>
          <w:sz w:val="17"/>
          <w:szCs w:val="17"/>
          <w:color w:val="auto"/>
        </w:rPr>
        <w:t>②</w:t>
      </w:r>
      <w:r>
        <w:rPr>
          <w:rFonts w:ascii="Times New Roman" w:cs="Times New Roman" w:eastAsia="Times New Roman" w:hAnsi="Times New Roman"/>
          <w:sz w:val="17"/>
          <w:szCs w:val="17"/>
          <w:color w:val="auto"/>
        </w:rPr>
        <w:t xml:space="preserve"> Assessment and inspection of the borrower’s environmental and social risks by the environmental and social risk regulatory authority or its recognized institutions </w:t>
      </w:r>
      <w:r>
        <w:rPr>
          <w:rFonts w:ascii="MS PGothic" w:cs="MS PGothic" w:eastAsia="MS PGothic" w:hAnsi="MS PGothic"/>
          <w:sz w:val="17"/>
          <w:szCs w:val="17"/>
          <w:color w:val="auto"/>
        </w:rPr>
        <w:t>③</w:t>
      </w:r>
      <w:r>
        <w:rPr>
          <w:rFonts w:ascii="Times New Roman" w:cs="Times New Roman" w:eastAsia="Times New Roman" w:hAnsi="Times New Roman"/>
          <w:sz w:val="17"/>
          <w:szCs w:val="17"/>
          <w:color w:val="auto"/>
        </w:rPr>
        <w:t xml:space="preserve"> supporting construction and operation of environmental facilities </w:t>
      </w:r>
      <w:r>
        <w:rPr>
          <w:rFonts w:ascii="MS PGothic" w:cs="MS PGothic" w:eastAsia="MS PGothic" w:hAnsi="MS PGothic"/>
          <w:sz w:val="17"/>
          <w:szCs w:val="17"/>
          <w:color w:val="auto"/>
        </w:rPr>
        <w:t>④</w:t>
      </w:r>
      <w:r>
        <w:rPr>
          <w:rFonts w:ascii="Times New Roman" w:cs="Times New Roman" w:eastAsia="Times New Roman" w:hAnsi="Times New Roman"/>
          <w:sz w:val="17"/>
          <w:szCs w:val="17"/>
          <w:color w:val="auto"/>
        </w:rPr>
        <w:t xml:space="preserve"> Discharge and compliance of pollutants </w:t>
      </w:r>
      <w:r>
        <w:rPr>
          <w:rFonts w:ascii="MS PGothic" w:cs="MS PGothic" w:eastAsia="MS PGothic" w:hAnsi="MS PGothic"/>
          <w:sz w:val="17"/>
          <w:szCs w:val="17"/>
          <w:color w:val="auto"/>
        </w:rPr>
        <w:t>⑤</w:t>
      </w:r>
      <w:r>
        <w:rPr>
          <w:rFonts w:ascii="Times New Roman" w:cs="Times New Roman" w:eastAsia="Times New Roman" w:hAnsi="Times New Roman"/>
          <w:sz w:val="17"/>
          <w:szCs w:val="17"/>
          <w:color w:val="auto"/>
        </w:rPr>
        <w:t xml:space="preserve"> Safety and health of employees </w:t>
      </w:r>
      <w:r>
        <w:rPr>
          <w:rFonts w:ascii="MS PGothic" w:cs="MS PGothic" w:eastAsia="MS PGothic" w:hAnsi="MS PGothic"/>
          <w:sz w:val="17"/>
          <w:szCs w:val="17"/>
          <w:color w:val="auto"/>
        </w:rPr>
        <w:t>⑥</w:t>
      </w:r>
      <w:r>
        <w:rPr>
          <w:rFonts w:ascii="Times New Roman" w:cs="Times New Roman" w:eastAsia="Times New Roman" w:hAnsi="Times New Roman"/>
          <w:sz w:val="17"/>
          <w:szCs w:val="17"/>
          <w:color w:val="auto"/>
        </w:rPr>
        <w:t xml:space="preserve"> neighboring communities for the borrower Major complaints and</w:t>
      </w:r>
    </w:p>
    <w:p>
      <w:pPr>
        <w:ind w:right="20"/>
        <w:spacing w:after="0" w:line="219" w:lineRule="exact"/>
        <w:rPr>
          <w:sz w:val="20"/>
          <w:szCs w:val="20"/>
          <w:color w:val="auto"/>
        </w:rPr>
      </w:pPr>
      <w:r>
        <w:rPr>
          <w:rFonts w:ascii="Times New Roman" w:cs="Times New Roman" w:eastAsia="Times New Roman" w:hAnsi="Times New Roman"/>
          <w:sz w:val="18"/>
          <w:szCs w:val="18"/>
          <w:color w:val="auto"/>
        </w:rPr>
        <w:t xml:space="preserve">protests </w:t>
      </w:r>
      <w:r>
        <w:rPr>
          <w:rFonts w:ascii="MS PGothic" w:cs="MS PGothic" w:eastAsia="MS PGothic" w:hAnsi="MS PGothic"/>
          <w:sz w:val="18"/>
          <w:szCs w:val="18"/>
          <w:color w:val="auto"/>
        </w:rPr>
        <w:t>⑦</w:t>
      </w:r>
      <w:r>
        <w:rPr>
          <w:rFonts w:ascii="Times New Roman" w:cs="Times New Roman" w:eastAsia="Times New Roman" w:hAnsi="Times New Roman"/>
          <w:sz w:val="18"/>
          <w:szCs w:val="18"/>
          <w:color w:val="auto"/>
        </w:rPr>
        <w:t xml:space="preserve"> Major environmental and social claims </w:t>
      </w:r>
      <w:r>
        <w:rPr>
          <w:rFonts w:ascii="MS PGothic" w:cs="MS PGothic" w:eastAsia="MS PGothic" w:hAnsi="MS PGothic"/>
          <w:sz w:val="18"/>
          <w:szCs w:val="18"/>
          <w:color w:val="auto"/>
        </w:rPr>
        <w:t>⑧</w:t>
      </w:r>
      <w:r>
        <w:rPr>
          <w:rFonts w:ascii="Times New Roman" w:cs="Times New Roman" w:eastAsia="Times New Roman" w:hAnsi="Times New Roman"/>
          <w:sz w:val="18"/>
          <w:szCs w:val="18"/>
          <w:color w:val="auto"/>
        </w:rPr>
        <w:t xml:space="preserve"> Other lenders believe that it is related to environmental and social winds Skillfully Major information related to insurance;</w:t>
      </w:r>
    </w:p>
    <w:p>
      <w:pPr>
        <w:spacing w:after="0" w:line="198" w:lineRule="exact"/>
        <w:rPr>
          <w:sz w:val="20"/>
          <w:szCs w:val="20"/>
          <w:color w:val="auto"/>
        </w:rPr>
      </w:pPr>
    </w:p>
    <w:p>
      <w:pPr>
        <w:jc w:val="both"/>
        <w:ind w:firstLine="584"/>
        <w:spacing w:after="0" w:line="220" w:lineRule="exact"/>
        <w:tabs>
          <w:tab w:leader="none" w:pos="84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and the actual Credit Lender have the following circumstances, it shall be deemed that the borrower has an event of default under this Contract: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the borrower’s statement, guarantee and commitment on environmental and social risk management have not been seriously fulfilled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 borrower is punished by relevant government departments due to poor environmental and social risk management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the borrower is strongly questioned by the public and / or the media due to poor environmental and social risk management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Other events of default related to environmental and social risk management agreed between the lender and the borrower, including cross events of default;</w:t>
      </w:r>
    </w:p>
    <w:p>
      <w:pPr>
        <w:spacing w:after="0" w:line="172" w:lineRule="exact"/>
        <w:rPr>
          <w:sz w:val="20"/>
          <w:szCs w:val="20"/>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In case of the above events of default of the borrower, the lender has the right to unilaterally decide: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cancel the credit commitment already made</w:t>
      </w:r>
    </w:p>
    <w:p>
      <w:pPr>
        <w:spacing w:after="0" w:line="51" w:lineRule="exact"/>
        <w:rPr>
          <w:sz w:val="20"/>
          <w:szCs w:val="20"/>
          <w:color w:val="auto"/>
        </w:rPr>
      </w:pPr>
    </w:p>
    <w:p>
      <w:pPr>
        <w:jc w:val="both"/>
        <w:ind w:firstLine="8"/>
        <w:spacing w:after="0" w:line="218" w:lineRule="exact"/>
        <w:tabs>
          <w:tab w:leader="none" w:pos="306" w:val="left"/>
        </w:tabs>
        <w:numPr>
          <w:ilvl w:val="0"/>
          <w:numId w:val="3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Suspend the disbursement of the loan until the borrower takes rescue measures satisfactory to the lender </w:t>
      </w:r>
      <w:r>
        <w:rPr>
          <w:rFonts w:ascii="MS PGothic" w:cs="MS PGothic" w:eastAsia="MS PGothic" w:hAnsi="MS PGothic"/>
          <w:sz w:val="18"/>
          <w:szCs w:val="18"/>
          <w:color w:val="auto"/>
        </w:rPr>
        <w:t>③</w:t>
      </w:r>
      <w:r>
        <w:rPr>
          <w:rFonts w:ascii="Times New Roman" w:cs="Times New Roman" w:eastAsia="Times New Roman" w:hAnsi="Times New Roman"/>
          <w:sz w:val="18"/>
          <w:szCs w:val="18"/>
          <w:color w:val="auto"/>
        </w:rPr>
        <w:t xml:space="preserve"> recover the allocated loan in advance </w:t>
      </w:r>
      <w:r>
        <w:rPr>
          <w:rFonts w:ascii="MS PGothic" w:cs="MS PGothic" w:eastAsia="MS PGothic" w:hAnsi="MS PGothic"/>
          <w:sz w:val="18"/>
          <w:szCs w:val="18"/>
          <w:color w:val="auto"/>
        </w:rPr>
        <w:t>④</w:t>
      </w:r>
      <w:r>
        <w:rPr>
          <w:rFonts w:ascii="Times New Roman" w:cs="Times New Roman" w:eastAsia="Times New Roman" w:hAnsi="Times New Roman"/>
          <w:sz w:val="18"/>
          <w:szCs w:val="18"/>
          <w:color w:val="auto"/>
        </w:rPr>
        <w:t xml:space="preserve"> When the loan cannot be repaid, relevant mortgage and pledge rights and other punishment measures shall be exercised in advance </w:t>
      </w:r>
      <w:r>
        <w:rPr>
          <w:rFonts w:ascii="MS PGothic" w:cs="MS PGothic" w:eastAsia="MS PGothic" w:hAnsi="MS PGothic"/>
          <w:sz w:val="18"/>
          <w:szCs w:val="18"/>
          <w:color w:val="auto"/>
        </w:rPr>
        <w:t>⑤</w:t>
      </w:r>
      <w:r>
        <w:rPr>
          <w:rFonts w:ascii="Times New Roman" w:cs="Times New Roman" w:eastAsia="Times New Roman" w:hAnsi="Times New Roman"/>
          <w:sz w:val="18"/>
          <w:szCs w:val="18"/>
          <w:color w:val="auto"/>
        </w:rPr>
        <w:t xml:space="preserve"> other punishment measures agreed by the lender and the borrower.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jc w:val="both"/>
        <w:ind w:firstLine="584"/>
        <w:spacing w:after="0" w:line="254" w:lineRule="auto"/>
        <w:tabs>
          <w:tab w:leader="none" w:pos="84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for the anti money laundering agreement, the borrower confirms and agrees that the lender has the right to conduct money laundering risk assessment on the transactions involved under the contract in accordance with the applicable anti money laundering laws and regulations and internal management requirements, and the lender has reasonable reasons to suspect that the borrower and / or the transactions under the contract are suspected of participating in the UN Security Council, the financial action task force against money laundering, China In case of money laundering, terrorist financing or (weapons of mass destruction) financing activities, or tax evasion recognized by the United States, the European Union and other international organizations or countries, the lender has the right to take necessary control measures in accordance with the anti money laundering regulations of the people’s Bank of China. At the same time, the lender has the right to directly restrict and suspend all or part of the business under this contract without notifying the borrower, announce the early maturity of the loan, terminate this contract, and require the borrower to bear all losses caused to the lender.</w:t>
      </w:r>
    </w:p>
    <w:p>
      <w:pPr>
        <w:spacing w:after="0" w:line="191" w:lineRule="exact"/>
        <w:rPr>
          <w:rFonts w:ascii="Times New Roman" w:cs="Times New Roman" w:eastAsia="Times New Roman" w:hAnsi="Times New Roman"/>
          <w:sz w:val="18"/>
          <w:szCs w:val="18"/>
          <w:color w:val="auto"/>
        </w:rPr>
      </w:pPr>
    </w:p>
    <w:p>
      <w:pPr>
        <w:jc w:val="both"/>
        <w:ind w:firstLine="584"/>
        <w:spacing w:after="0" w:line="254" w:lineRule="auto"/>
        <w:tabs>
          <w:tab w:leader="none" w:pos="84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irrevocably authorize the lender, without violating the prohibitive provisions of the regulations on the administration of credit investigation industry and relevant laws and regulations, to collect information about all contracts / agreements / commitments signed between the borrower and the lender in accordance with the collection requirements of the basic financial credit information database established by the state, Including the performance information related to all the above contracts / agreements / commitments, as well as the basic enterprise information and other information provided by the borrower, which shall be provided to the basic database of financial credit information established by the state for query and use by qualified units; At the same time, the lender also has the right to query and use the credit information about the borrower in the basic financial credit information database established by the state. The authorization covers all links of the lender’s necessary business management of the business under the contract before and after the signing of the contract, and the validity period will expire with the actual termination of the contract.</w:t>
      </w:r>
    </w:p>
    <w:p>
      <w:pPr>
        <w:spacing w:after="0" w:line="191" w:lineRule="exact"/>
        <w:rPr>
          <w:rFonts w:ascii="Times New Roman" w:cs="Times New Roman" w:eastAsia="Times New Roman" w:hAnsi="Times New Roman"/>
          <w:sz w:val="18"/>
          <w:szCs w:val="18"/>
          <w:color w:val="auto"/>
        </w:rPr>
      </w:pPr>
    </w:p>
    <w:p>
      <w:pPr>
        <w:jc w:val="both"/>
        <w:ind w:firstLine="584"/>
        <w:spacing w:after="0" w:line="261" w:lineRule="auto"/>
        <w:tabs>
          <w:tab w:leader="none" w:pos="85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confirms that it has fully understood and understood the lender’s position against its employees seeking benefits in any form by taking advantage of their positions, and undertakes to avoid such situations in accordance with the principle of integrity and fairness, and will not provide any form of rebates, gifts, securities, valuables, various incentives, private expense compensation, private tourism High consumption Entertainment Music and other improper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 deduction agreement</w:t>
      </w:r>
    </w:p>
    <w:p>
      <w:pPr>
        <w:spacing w:after="0" w:line="229" w:lineRule="exact"/>
        <w:rPr>
          <w:sz w:val="20"/>
          <w:szCs w:val="20"/>
          <w:color w:val="auto"/>
        </w:rPr>
      </w:pPr>
    </w:p>
    <w:p>
      <w:pPr>
        <w:jc w:val="both"/>
        <w:ind w:firstLine="584"/>
        <w:spacing w:after="0" w:line="261" w:lineRule="auto"/>
        <w:tabs>
          <w:tab w:leader="none" w:pos="75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when any debt related to the loan hereunder is due and payable, the lender has the right to directly deduct the funds in the repayment reserve account opened by the borrower in Shanghai Pudong Development Bank Co., Ltd. to pay off the due and payable debt. If the funds in the repayment reserve account are insufficient to pay off the debts, the lender has the right to deduct the funds in any other account opened by the borrower in each branch of Shanghai Pudong Development Bank Co., Ltd.</w:t>
      </w:r>
    </w:p>
    <w:p>
      <w:pPr>
        <w:spacing w:after="0" w:line="179" w:lineRule="exact"/>
        <w:rPr>
          <w:rFonts w:ascii="Times New Roman" w:cs="Times New Roman" w:eastAsia="Times New Roman" w:hAnsi="Times New Roman"/>
          <w:sz w:val="18"/>
          <w:szCs w:val="18"/>
          <w:color w:val="auto"/>
        </w:rPr>
      </w:pPr>
    </w:p>
    <w:p>
      <w:pPr>
        <w:ind w:right="20" w:firstLine="584"/>
        <w:spacing w:after="0" w:line="282" w:lineRule="auto"/>
        <w:tabs>
          <w:tab w:leader="none" w:pos="75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right to use the proceeds to repay the loan principal, interest or other expenses. If there are multiple claims unpaid at the same time, the lender shall determine the repayment order of the claims.</w:t>
      </w:r>
    </w:p>
    <w:p>
      <w:pPr>
        <w:spacing w:after="0" w:line="161" w:lineRule="exact"/>
        <w:rPr>
          <w:rFonts w:ascii="Times New Roman" w:cs="Times New Roman" w:eastAsia="Times New Roman" w:hAnsi="Times New Roman"/>
          <w:sz w:val="18"/>
          <w:szCs w:val="18"/>
          <w:color w:val="auto"/>
        </w:rPr>
      </w:pPr>
    </w:p>
    <w:p>
      <w:pPr>
        <w:ind w:left="760" w:hanging="176"/>
        <w:spacing w:after="0"/>
        <w:tabs>
          <w:tab w:leader="none" w:pos="7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deducted income is inconsistent with the currency to be repaid, it shall be handled in the following ways:</w:t>
      </w:r>
    </w:p>
    <w:p>
      <w:pPr>
        <w:spacing w:after="0" w:line="225" w:lineRule="exact"/>
        <w:rPr>
          <w:sz w:val="20"/>
          <w:szCs w:val="20"/>
          <w:color w:val="auto"/>
        </w:rPr>
      </w:pPr>
    </w:p>
    <w:p>
      <w:pPr>
        <w:ind w:right="20" w:firstLine="584"/>
        <w:spacing w:after="0" w:line="282" w:lineRule="auto"/>
        <w:tabs>
          <w:tab w:leader="none" w:pos="84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of the loan is RMB, the loan principal strings T and 0 shall be paid off after the foreign exchange settlement is converted into RMB according to the purchase price converted between the currency of the deduction and RMB published by the lender at the time of deduction</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is non RMB and the deduction currency is RMB, you shall purchase foreign exchange directly according to the selling price of RMB exchange between the applicable loan currency published by the lender at that time and convert it into the loan currency, and then pay off your past principal and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jc w:val="both"/>
        <w:ind w:firstLine="584"/>
        <w:spacing w:after="0" w:line="261" w:lineRule="auto"/>
        <w:tabs>
          <w:tab w:leader="none" w:pos="848"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currency and the deduction currency are not RMB and are inconsistent, the loan principal and interest shall be paid off after the foreign exchange settlement is converted into RMB according to the applicable deduction currency published by the lender at the time of deduction and the purchase price converted into RMB, and then converted into the loan currency according to the loan currency published by the lender and the selling price converted into RMB on the same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proof of creditor’s rights</w:t>
      </w:r>
    </w:p>
    <w:p>
      <w:pPr>
        <w:spacing w:after="0" w:line="22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lender shall, in accordance with its consistent business practice, maintain accounting accounts related to the business activities involved in this contract on its accounting books to prove the loan amount of the lender. The effective certificate for the borrower to recognize the loan creditor’s rights under this contract shall be subject to the accounting certificate or other effective supporting materials issued and recorded by the lender according to its own business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 agreed service address</w:t>
      </w:r>
    </w:p>
    <w:p>
      <w:pPr>
        <w:spacing w:after="0" w:line="229" w:lineRule="exact"/>
        <w:rPr>
          <w:sz w:val="20"/>
          <w:szCs w:val="20"/>
          <w:color w:val="auto"/>
        </w:rPr>
      </w:pPr>
    </w:p>
    <w:p>
      <w:pPr>
        <w:jc w:val="both"/>
        <w:ind w:right="20" w:firstLine="584"/>
        <w:spacing w:after="0" w:line="266" w:lineRule="auto"/>
        <w:tabs>
          <w:tab w:leader="none" w:pos="75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confirms that the address listed on the first page of this contract is its effective service address. The notice sent by the borrower to the lender directly or by mail under this contract shall be sent to the address listed on the first page of this contract until the lender announces the change of this address. The borrower agrees that all notices it sends to the lender shall be deemed to have been served when actually received by the lender.</w:t>
      </w:r>
    </w:p>
    <w:p>
      <w:pPr>
        <w:spacing w:after="0" w:line="175" w:lineRule="exact"/>
        <w:rPr>
          <w:rFonts w:ascii="Times New Roman" w:cs="Times New Roman" w:eastAsia="Times New Roman" w:hAnsi="Times New Roman"/>
          <w:sz w:val="18"/>
          <w:szCs w:val="18"/>
          <w:color w:val="auto"/>
        </w:rPr>
      </w:pPr>
    </w:p>
    <w:p>
      <w:pPr>
        <w:jc w:val="both"/>
        <w:ind w:firstLine="584"/>
        <w:spacing w:after="0" w:line="255" w:lineRule="auto"/>
        <w:tabs>
          <w:tab w:leader="none" w:pos="75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confirms that the address, fax, e-mail and other service information listed on the first page of this contract are its valid mailing or e-service address. All kinds of non litigation notices and other documents under the contract, as well as letters, subpoenas, notices and other legal documents issued to them in the process of any litigation (including any litigation procedures and execution procedures such as first instance, second instance and retrial) arising from the contract, as long as they are mailed or sent by fax E-mail and other electronic service methods shall be deemed as service when they are sent to the mailing or electronic service address listed on the first page of this contract, and the specific service date shall be subject to the provisions on service date in the civil procedure law. The above change of mailing or electronic service address shall not have legal effect unless notified to the lender in advance, and the service address confirmed in this contract shall still be deemed as a valid service address.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 events of default and handling</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1.Event of default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 following circumstances shall constitute a breach of contract by the borrower against the lender:</w:t>
      </w:r>
    </w:p>
    <w:p>
      <w:pPr>
        <w:spacing w:after="0" w:line="225" w:lineRule="exact"/>
        <w:rPr>
          <w:sz w:val="20"/>
          <w:szCs w:val="20"/>
          <w:color w:val="auto"/>
        </w:rPr>
      </w:pPr>
    </w:p>
    <w:p>
      <w:pPr>
        <w:jc w:val="both"/>
        <w:ind w:firstLine="584"/>
        <w:spacing w:after="0" w:line="266" w:lineRule="auto"/>
        <w:tabs>
          <w:tab w:leader="none" w:pos="85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and guarantee made by the borrower in this contract or any notice, authorization, approval, consent, certificate and other documents made in accordance with or related to this contract are incorrect or misleading, or have been proved to be incorrect or misleading, or have been proved to be invalid or revoked or have no legal effect.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violated “other matters agreed by both parties” (if any) in part I of the contract or any agreed matter in Article 8 of Part II.</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4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 major cross default event, including but not limited to the borrower’s breach of any other loan contract and agreement signed by it; Or the borrower fails to pay the debts under other loan contracts and agreements signed by it.</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investors withdraw funds, transfer assets or transfer equity without authorization.</w:t>
      </w:r>
    </w:p>
    <w:p>
      <w:pPr>
        <w:spacing w:after="0" w:line="22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has or will no longer have the ability to provide guarantee corresponding to the loan, or violates the guarantee documents signed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w:t>
      </w:r>
    </w:p>
    <w:p>
      <w:pPr>
        <w:spacing w:after="0" w:line="206" w:lineRule="exact"/>
        <w:rPr>
          <w:rFonts w:ascii="Times New Roman" w:cs="Times New Roman" w:eastAsia="Times New Roman" w:hAnsi="Times New Roman"/>
          <w:sz w:val="18"/>
          <w:szCs w:val="18"/>
          <w:color w:val="auto"/>
        </w:rPr>
      </w:pPr>
    </w:p>
    <w:p>
      <w:pPr>
        <w:ind w:right="20" w:firstLine="584"/>
        <w:spacing w:after="0" w:line="282" w:lineRule="auto"/>
        <w:tabs>
          <w:tab w:leader="none" w:pos="84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suspends business, stops production, goes out of business, goes out of business for rectification, reorganization, liquidation, is taken over or entrusted, is dissolved, the business license is revoked or cancelled or goes bankrupt.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ind w:firstLine="584"/>
        <w:spacing w:after="0" w:line="282" w:lineRule="auto"/>
        <w:tabs>
          <w:tab w:leader="none" w:pos="83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borrower or the guarantor deteriorates, there are serious difficulties in operation, or events or circumstances that have an adverse impact on its normal operation, financial condition or solvency.</w:t>
      </w:r>
    </w:p>
    <w:p>
      <w:pPr>
        <w:spacing w:after="0" w:line="161" w:lineRule="exact"/>
        <w:rPr>
          <w:rFonts w:ascii="Times New Roman" w:cs="Times New Roman" w:eastAsia="Times New Roman" w:hAnsi="Times New Roman"/>
          <w:sz w:val="18"/>
          <w:szCs w:val="18"/>
          <w:color w:val="auto"/>
        </w:rPr>
      </w:pPr>
    </w:p>
    <w:p>
      <w:pPr>
        <w:jc w:val="both"/>
        <w:ind w:firstLine="584"/>
        <w:spacing w:after="0" w:line="266" w:lineRule="auto"/>
        <w:tabs>
          <w:tab w:leader="none" w:pos="83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controlling shareholder, actual controller or its affiliates are involved in major litigation, arbitration, or its major assets are seized, sealed up, frozen, enforced or other measures with the same effect are taken, or its legal representative / person in charge, directors, supervisors or senior managers are involved in litigation Arbitration or other coercive measures adversely affect the borrower’s solvency.</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repay the principal and interest on schedule or use the loan for the agreed purpose.</w:t>
      </w:r>
    </w:p>
    <w:p>
      <w:pPr>
        <w:spacing w:after="0" w:line="225"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funds are not paid in the agreed manner.</w:t>
      </w:r>
    </w:p>
    <w:p>
      <w:pPr>
        <w:spacing w:after="0" w:line="225"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and information submitted for loan application are false and incorrect.</w:t>
      </w:r>
    </w:p>
    <w:p>
      <w:pPr>
        <w:spacing w:after="0" w:line="225"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meet or exceed the constraints of relevant financial indicators agreed in the contract.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94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principal and interest repayment date under the contract and within three (3) days before it, the capital balance in the repayment reserve account is lower than the principal and interest repayment amount of the borrower in the current period.</w:t>
      </w:r>
    </w:p>
    <w:p>
      <w:pPr>
        <w:spacing w:after="0" w:line="161" w:lineRule="exact"/>
        <w:rPr>
          <w:rFonts w:ascii="Times New Roman" w:cs="Times New Roman" w:eastAsia="Times New Roman" w:hAnsi="Times New Roman"/>
          <w:sz w:val="18"/>
          <w:szCs w:val="18"/>
          <w:color w:val="auto"/>
        </w:rPr>
      </w:pPr>
    </w:p>
    <w:p>
      <w:pPr>
        <w:ind w:left="920" w:hanging="336"/>
        <w:spacing w:after="0"/>
        <w:tabs>
          <w:tab w:leader="none" w:pos="92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flow in the general settlement account / capital return account is abnormal.</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92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other acts in violation of this contract that are sufficient to hinder the normal performance of this contract, or other acts that damage the legitimate interests of the lender.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Handling of breach of contract</w:t>
      </w:r>
    </w:p>
    <w:p>
      <w:pPr>
        <w:spacing w:after="0" w:line="225" w:lineRule="exact"/>
        <w:rPr>
          <w:sz w:val="20"/>
          <w:szCs w:val="20"/>
          <w:color w:val="auto"/>
        </w:rPr>
      </w:pPr>
    </w:p>
    <w:p>
      <w:pPr>
        <w:ind w:right="20" w:firstLine="584"/>
        <w:spacing w:after="0" w:line="282" w:lineRule="auto"/>
        <w:tabs>
          <w:tab w:leader="none" w:pos="83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one or more of the default circumstances listed in the current paragraph occur, the lender may take one or more of the following measures at its discretion:</w:t>
      </w:r>
    </w:p>
    <w:p>
      <w:pPr>
        <w:spacing w:after="0" w:line="162" w:lineRule="exact"/>
        <w:rPr>
          <w:sz w:val="20"/>
          <w:szCs w:val="20"/>
          <w:color w:val="auto"/>
        </w:rPr>
      </w:pPr>
    </w:p>
    <w:p>
      <w:pPr>
        <w:ind w:left="840" w:hanging="256"/>
        <w:spacing w:after="0"/>
        <w:tabs>
          <w:tab w:leader="none" w:pos="840" w:val="left"/>
        </w:tabs>
        <w:numPr>
          <w:ilvl w:val="0"/>
          <w:numId w:val="3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correct within a time limit.</w:t>
      </w:r>
    </w:p>
    <w:p>
      <w:pPr>
        <w:spacing w:after="0" w:line="225" w:lineRule="exact"/>
        <w:rPr>
          <w:sz w:val="20"/>
          <w:szCs w:val="20"/>
          <w:color w:val="auto"/>
        </w:rPr>
      </w:pPr>
    </w:p>
    <w:p>
      <w:pPr>
        <w:ind w:left="840" w:hanging="256"/>
        <w:spacing w:after="0"/>
        <w:tabs>
          <w:tab w:leader="none" w:pos="840" w:val="left"/>
        </w:tabs>
        <w:numPr>
          <w:ilvl w:val="0"/>
          <w:numId w:val="37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cancel the unused loan of the borrower and stop issuing and paying the unused loan of the borrower.</w:t>
      </w:r>
    </w:p>
    <w:p>
      <w:pPr>
        <w:spacing w:after="0" w:line="225" w:lineRule="exact"/>
        <w:rPr>
          <w:sz w:val="20"/>
          <w:szCs w:val="20"/>
          <w:color w:val="auto"/>
        </w:rPr>
      </w:pPr>
    </w:p>
    <w:p>
      <w:pPr>
        <w:ind w:firstLine="584"/>
        <w:spacing w:after="0" w:line="282" w:lineRule="auto"/>
        <w:tabs>
          <w:tab w:leader="none" w:pos="834" w:val="left"/>
        </w:tabs>
        <w:numPr>
          <w:ilvl w:val="0"/>
          <w:numId w:val="38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declare that all or part of the loan principal under this contract will expire immediately in advance, and require the immediate repayment of part or all of the loan, the settlement of the interest owed, and the immediate recourse to the guarantor or the borrower in various forms.</w:t>
      </w:r>
    </w:p>
    <w:p>
      <w:pPr>
        <w:spacing w:after="0" w:line="162" w:lineRule="exact"/>
        <w:rPr>
          <w:sz w:val="20"/>
          <w:szCs w:val="20"/>
          <w:color w:val="auto"/>
        </w:rPr>
      </w:pPr>
    </w:p>
    <w:p>
      <w:pPr>
        <w:ind w:left="800" w:hanging="216"/>
        <w:spacing w:after="0"/>
        <w:tabs>
          <w:tab w:leader="none" w:pos="800" w:val="left"/>
        </w:tabs>
        <w:numPr>
          <w:ilvl w:val="0"/>
          <w:numId w:val="3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Penalty interest and compound interest shall be charged for overdue loans and misappropriated loans.</w:t>
      </w:r>
    </w:p>
    <w:p>
      <w:pPr>
        <w:spacing w:after="0" w:line="225" w:lineRule="exact"/>
        <w:rPr>
          <w:sz w:val="20"/>
          <w:szCs w:val="20"/>
          <w:color w:val="auto"/>
        </w:rPr>
      </w:pPr>
    </w:p>
    <w:p>
      <w:pPr>
        <w:ind w:left="800" w:hanging="216"/>
        <w:spacing w:after="0"/>
        <w:tabs>
          <w:tab w:leader="none" w:pos="800" w:val="left"/>
        </w:tabs>
        <w:numPr>
          <w:ilvl w:val="0"/>
          <w:numId w:val="3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Deduct from any account opened by the borrower in each branch of Shanghai Pudong Development Bank Co., Ltd</w:t>
      </w:r>
    </w:p>
    <w:p>
      <w:pPr>
        <w:spacing w:after="0" w:line="225" w:lineRule="exact"/>
        <w:rPr>
          <w:sz w:val="20"/>
          <w:szCs w:val="20"/>
          <w:color w:val="auto"/>
        </w:rPr>
      </w:pPr>
    </w:p>
    <w:p>
      <w:pPr>
        <w:ind w:left="800" w:hanging="216"/>
        <w:spacing w:after="0"/>
        <w:tabs>
          <w:tab w:leader="none" w:pos="800" w:val="left"/>
        </w:tabs>
        <w:numPr>
          <w:ilvl w:val="0"/>
          <w:numId w:val="3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supplement the loan issuance and payment conditions, or change the loan payment method.</w:t>
      </w:r>
    </w:p>
    <w:p>
      <w:pPr>
        <w:spacing w:after="0" w:line="225" w:lineRule="exact"/>
        <w:rPr>
          <w:sz w:val="20"/>
          <w:szCs w:val="20"/>
          <w:color w:val="auto"/>
        </w:rPr>
      </w:pPr>
    </w:p>
    <w:p>
      <w:pPr>
        <w:ind w:left="840" w:hanging="256"/>
        <w:spacing w:after="0"/>
        <w:tabs>
          <w:tab w:leader="none" w:pos="840" w:val="left"/>
        </w:tabs>
        <w:numPr>
          <w:ilvl w:val="0"/>
          <w:numId w:val="3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the borrower to provide other guarantees approved by the lender.</w:t>
      </w:r>
    </w:p>
    <w:p>
      <w:pPr>
        <w:spacing w:after="0" w:line="225" w:lineRule="exact"/>
        <w:rPr>
          <w:sz w:val="20"/>
          <w:szCs w:val="20"/>
          <w:color w:val="auto"/>
        </w:rPr>
      </w:pPr>
    </w:p>
    <w:p>
      <w:pPr>
        <w:ind w:left="840" w:hanging="256"/>
        <w:spacing w:after="0"/>
        <w:tabs>
          <w:tab w:leader="none" w:pos="840" w:val="left"/>
        </w:tabs>
        <w:numPr>
          <w:ilvl w:val="0"/>
          <w:numId w:val="3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necessary measures stipulated by law.</w:t>
      </w:r>
    </w:p>
    <w:p>
      <w:pPr>
        <w:spacing w:after="0" w:line="225" w:lineRule="exact"/>
        <w:rPr>
          <w:sz w:val="20"/>
          <w:szCs w:val="20"/>
          <w:color w:val="auto"/>
        </w:rPr>
      </w:pPr>
    </w:p>
    <w:p>
      <w:pPr>
        <w:jc w:val="both"/>
        <w:ind w:firstLine="584"/>
        <w:spacing w:after="0" w:line="266" w:lineRule="auto"/>
        <w:tabs>
          <w:tab w:leader="none" w:pos="8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measures, the lender may also require the borrower to bear the liability for breach of contract and require the borrower to pay liquidated damages (see part I of the contract for the calculation method of liquidated damages). If the liquidated damages are insufficient to make up for the losses suffered by the lender, the borrower shall compensate the lender for all losses suffered thereby.</w:t>
      </w:r>
    </w:p>
    <w:p>
      <w:pPr>
        <w:spacing w:after="0" w:line="175" w:lineRule="exact"/>
        <w:rPr>
          <w:rFonts w:ascii="Times New Roman" w:cs="Times New Roman" w:eastAsia="Times New Roman" w:hAnsi="Times New Roman"/>
          <w:sz w:val="18"/>
          <w:szCs w:val="18"/>
          <w:color w:val="auto"/>
        </w:rPr>
      </w:pPr>
    </w:p>
    <w:p>
      <w:pPr>
        <w:jc w:val="both"/>
        <w:ind w:firstLine="584"/>
        <w:spacing w:after="0" w:line="266" w:lineRule="auto"/>
        <w:tabs>
          <w:tab w:leader="none" w:pos="83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repay the principal and pay interest in full and on time, it shall also bear all expenses paid by the lender for realizing the creditor’s rights and security rights, including but not limited to collection expenses, litigation expenses, lawyer’s fees, travel expenses and various other expenses payable.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jc w:val="center"/>
        <w:spacing w:after="0"/>
        <w:rPr>
          <w:sz w:val="20"/>
          <w:szCs w:val="20"/>
          <w:color w:val="auto"/>
        </w:rPr>
      </w:pPr>
      <w:r>
        <w:rPr>
          <w:rFonts w:ascii="Times New Roman" w:cs="Times New Roman" w:eastAsia="Times New Roman" w:hAnsi="Times New Roman"/>
          <w:sz w:val="18"/>
          <w:szCs w:val="18"/>
          <w:b w:val="1"/>
          <w:bCs w:val="1"/>
          <w:color w:val="auto"/>
        </w:rPr>
        <w:t>Article 13 effectiveness, alteration and dissolution</w:t>
      </w:r>
    </w:p>
    <w:p>
      <w:pPr>
        <w:spacing w:after="0" w:line="229" w:lineRule="exact"/>
        <w:rPr>
          <w:sz w:val="20"/>
          <w:szCs w:val="20"/>
          <w:color w:val="auto"/>
        </w:rPr>
      </w:pPr>
    </w:p>
    <w:p>
      <w:pPr>
        <w:jc w:val="both"/>
        <w:ind w:firstLine="584"/>
        <w:spacing w:after="0" w:line="266" w:lineRule="auto"/>
        <w:tabs>
          <w:tab w:leader="none" w:pos="767"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shall come into force after being signed (or sealed) and affixed with official seal by the legal representative of the borrower or its authorized agent, and signed (or sealed) and affixed with official seal (or special seal for contract) by the legal representative (person in charge) of the lender or its authorized agent, and shall be terminated after all creditor’s rights under this contract are paid off.</w:t>
      </w:r>
    </w:p>
    <w:p>
      <w:pPr>
        <w:spacing w:after="0" w:line="175" w:lineRule="exact"/>
        <w:rPr>
          <w:rFonts w:ascii="Times New Roman" w:cs="Times New Roman" w:eastAsia="Times New Roman" w:hAnsi="Times New Roman"/>
          <w:sz w:val="18"/>
          <w:szCs w:val="18"/>
          <w:color w:val="auto"/>
        </w:rPr>
      </w:pPr>
    </w:p>
    <w:p>
      <w:pPr>
        <w:ind w:firstLine="584"/>
        <w:spacing w:after="0" w:line="282" w:lineRule="auto"/>
        <w:tabs>
          <w:tab w:leader="none" w:pos="7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contract takes effect, neither party shall change or terminate the contract in advance without authorization. If the contract needs to be changed or terminated, both parties shall reach a written agreement through consultation.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 other provisions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definition</w:t>
      </w:r>
    </w:p>
    <w:p>
      <w:pPr>
        <w:spacing w:after="0" w:line="225" w:lineRule="exact"/>
        <w:rPr>
          <w:sz w:val="20"/>
          <w:szCs w:val="20"/>
          <w:color w:val="auto"/>
        </w:rPr>
      </w:pPr>
    </w:p>
    <w:p>
      <w:pPr>
        <w:ind w:firstLine="584"/>
        <w:spacing w:after="0" w:line="282" w:lineRule="auto"/>
        <w:tabs>
          <w:tab w:leader="none" w:pos="842"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creditor’s rights” under this contract refers to the loan principal, interest, liquidated damages and various expenses incurred to realize the creditor’s rights.</w:t>
      </w:r>
    </w:p>
    <w:p>
      <w:pPr>
        <w:spacing w:after="0" w:line="161"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“interest” under this contract includes interest, penalty interest and compound interest.</w:t>
      </w:r>
    </w:p>
    <w:p>
      <w:pPr>
        <w:spacing w:after="0" w:line="225" w:lineRule="exact"/>
        <w:rPr>
          <w:rFonts w:ascii="Times New Roman" w:cs="Times New Roman" w:eastAsia="Times New Roman" w:hAnsi="Times New Roman"/>
          <w:sz w:val="18"/>
          <w:szCs w:val="18"/>
          <w:color w:val="auto"/>
        </w:rPr>
      </w:pPr>
    </w:p>
    <w:p>
      <w:pPr>
        <w:ind w:firstLine="584"/>
        <w:spacing w:after="0" w:line="282" w:lineRule="auto"/>
        <w:tabs>
          <w:tab w:leader="none" w:pos="853"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business day” under this contract refers to the normal business day of the lender’s corporate business at the lender’s domicile, excluding Saturdays, Sundays (except those open for business due to holiday adjustment) or other legal holidays.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 Applicable law</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This contract shall be governed by and construed in accordance with the laws of the people’s Republic of China (for the purpose of this contract, the laws of Hong Kong Special Administrative Region, Macao Special Administrative Region and Taiwan are not included here).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Settlement of disputes</w:t>
      </w:r>
    </w:p>
    <w:p>
      <w:pPr>
        <w:spacing w:after="0" w:line="225"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All disputes related to this contract shall be settled through friendly negotiation; If the negotiation fails, a lawsuit shall be filed with the people’s Court of the place where the lender has its domicile. During the dispute period, each party shall continue to perform the terms not involved in the dispute.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 Miscellaneous</w:t>
      </w:r>
    </w:p>
    <w:p>
      <w:pPr>
        <w:spacing w:after="0" w:line="225" w:lineRule="exact"/>
        <w:rPr>
          <w:sz w:val="20"/>
          <w:szCs w:val="20"/>
          <w:color w:val="auto"/>
        </w:rPr>
      </w:pPr>
    </w:p>
    <w:p>
      <w:pPr>
        <w:jc w:val="both"/>
        <w:ind w:firstLine="584"/>
        <w:spacing w:after="0" w:line="266" w:lineRule="auto"/>
        <w:tabs>
          <w:tab w:leader="none" w:pos="84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matters not covered in this contract need to be supplemented, both parties may agree and record them in part I of this contract, or reach a separate written agreement as an annex to this contract. The annexes to the contract (see part I of the contract) are an integral part of the contract and have the same legal effect as the text of the contract.</w:t>
      </w:r>
    </w:p>
    <w:p>
      <w:pPr>
        <w:spacing w:after="0" w:line="175" w:lineRule="exact"/>
        <w:rPr>
          <w:rFonts w:ascii="Times New Roman" w:cs="Times New Roman" w:eastAsia="Times New Roman" w:hAnsi="Times New Roman"/>
          <w:sz w:val="18"/>
          <w:szCs w:val="18"/>
          <w:color w:val="auto"/>
        </w:rPr>
      </w:pPr>
    </w:p>
    <w:p>
      <w:pPr>
        <w:jc w:val="both"/>
        <w:ind w:firstLine="584"/>
        <w:spacing w:after="0" w:line="261" w:lineRule="auto"/>
        <w:tabs>
          <w:tab w:leader="none" w:pos="83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validity of this contract, the lender’s grace or delay in taking action for any breach of contract or other acts of the borrower shall not damage, affect or restrict all rights or interests enjoyed by the lender as a creditor according to the law or this contract, nor shall it be regarded as the lender’s recognition of the borrower’s breach of this contract, It shall not be deemed that the lender waives the right to take action against the borrower’s existing or future default.</w:t>
      </w:r>
    </w:p>
    <w:p>
      <w:pPr>
        <w:spacing w:after="0" w:line="179"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of one clause of the contract shall not affect the validity of other clauses of the contract. This contract is not valid for any reason</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When effective, the borrower shall still bear the responsibility of repaying all debts owed to the Lender under this contract. In case of the above circumstances, the lender has the right to immediately terminate the execution of this contract and recover all debts owed by the borrower under this contract from the borrower immediately.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1" w:name="page322"/>
    <w:bookmarkEnd w:id="321"/>
    <w:p>
      <w:pPr>
        <w:jc w:val="both"/>
        <w:ind w:firstLine="584"/>
        <w:spacing w:after="0" w:line="266" w:lineRule="auto"/>
        <w:tabs>
          <w:tab w:leader="none" w:pos="83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transfer all or part of its rights and / or obligations under this contract, and in this case, the transferee shall enjoy and / or bear the same rights and / or obligations as it should enjoy if it is a party to this contract. After receiving the lender’s notice on the transfer of creditor’s rights, the borrower shall be liable to the transferee in accordance with the provisions of this contract.</w:t>
      </w:r>
    </w:p>
    <w:p>
      <w:pPr>
        <w:spacing w:after="0" w:line="175"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contract, relevant terms and expressions in the annexes to the contract have the same meanings as those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left="840" w:hanging="256"/>
        <w:spacing w:after="0"/>
        <w:tabs>
          <w:tab w:leader="none" w:pos="8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under this contract are for convenience only and shall not be used as the basis for the contents under this heading.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text below this page)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page is the signature page without text)</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 xml:space="preserve">This contract is signed by and between the borrower and the lender on </w:t>
      </w:r>
      <w:r>
        <w:rPr>
          <w:rFonts w:ascii="Times New Roman" w:cs="Times New Roman" w:eastAsia="Times New Roman" w:hAnsi="Times New Roman"/>
          <w:sz w:val="18"/>
          <w:szCs w:val="18"/>
          <w:u w:val="single" w:color="auto"/>
          <w:color w:val="auto"/>
        </w:rPr>
        <w:t>May 7, 2022</w:t>
      </w:r>
      <w:r>
        <w:rPr>
          <w:rFonts w:ascii="Times New Roman" w:cs="Times New Roman" w:eastAsia="Times New Roman" w:hAnsi="Times New Roman"/>
          <w:sz w:val="18"/>
          <w:szCs w:val="18"/>
          <w:color w:val="auto"/>
        </w:rPr>
        <w:t>. The borrower confirms that when signing this contract, both parties have explained and discussed all the terms in detail, both parties have no doubt about all the terms of the contract, and have an accurate understanding of the legal meaning of the parties’ relevant rights and obligations and liability limitation or exemption terms. annihilation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Borrower(Official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or authorized agent (signature or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Lender (Official seal or contract seal)</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Legal representative / person in charge (authorized or sealed)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 Z2205LN15641967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32"/>
          <w:szCs w:val="32"/>
          <w:b w:val="1"/>
          <w:bCs w:val="1"/>
          <w:color w:val="auto"/>
        </w:rPr>
        <w:t>Current Fund Loan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1408430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No.: Z2205LN15641967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Fund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156845</wp:posOffset>
            </wp:positionV>
            <wp:extent cx="4277360" cy="7632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4277360" cy="763270"/>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Important Notes</w:t>
      </w:r>
    </w:p>
    <w:p>
      <w:pPr>
        <w:spacing w:after="0" w:line="225" w:lineRule="exact"/>
        <w:rPr>
          <w:sz w:val="20"/>
          <w:szCs w:val="20"/>
          <w:color w:val="auto"/>
        </w:rPr>
      </w:pPr>
    </w:p>
    <w:p>
      <w:pPr>
        <w:ind w:left="2360" w:right="2380"/>
        <w:spacing w:after="0" w:line="282" w:lineRule="auto"/>
        <w:rPr>
          <w:sz w:val="20"/>
          <w:szCs w:val="20"/>
          <w:color w:val="auto"/>
        </w:rPr>
      </w:pPr>
      <w:r>
        <w:rPr>
          <w:rFonts w:ascii="Times New Roman" w:cs="Times New Roman" w:eastAsia="Times New Roman" w:hAnsi="Times New Roman"/>
          <w:sz w:val="18"/>
          <w:szCs w:val="18"/>
          <w:color w:val="auto"/>
        </w:rPr>
        <w:t>Please read the full text of this contract carefully, especially those articles marked with ▲▲. Please inquire the loaner in case of any question.</w:t>
      </w:r>
    </w:p>
    <w:p>
      <w:pPr>
        <w:spacing w:after="0" w:line="391"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Whereas, the borrower applies to the loaner for the line of credit of current fund, both parties hereby enter into this contract through negotiations to clarify the obligations of each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Definition</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“Revolving line of credit” refers to the line of credit within which the borrower may apply for the loan for several times according to this contract.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“Balance of loan” refers to the sum of principal of the outstanding loan that the borrower obtains under this contract.</w:t>
      </w:r>
    </w:p>
    <w:p>
      <w:pPr>
        <w:spacing w:after="0" w:line="225"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“Balance of line of credit” refers to the balance of the line of credit deducted with the balance of loan (under the revolving line of credit) or total loan (under the one-time line of credit).</w:t>
      </w:r>
    </w:p>
    <w:p>
      <w:pPr>
        <w:spacing w:after="0" w:line="16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60" w:lineRule="exact"/>
        <w:rPr>
          <w:sz w:val="20"/>
          <w:szCs w:val="20"/>
          <w:color w:val="auto"/>
        </w:rPr>
      </w:pPr>
    </w:p>
    <w:p>
      <w:pPr>
        <w:jc w:val="both"/>
        <w:ind w:firstLine="378"/>
        <w:spacing w:after="0" w:line="284" w:lineRule="auto"/>
        <w:rPr>
          <w:sz w:val="20"/>
          <w:szCs w:val="20"/>
          <w:color w:val="auto"/>
        </w:rPr>
      </w:pPr>
      <w:r>
        <w:rPr>
          <w:rFonts w:ascii="Times New Roman" w:cs="Times New Roman" w:eastAsia="Times New Roman" w:hAnsi="Times New Roman"/>
          <w:sz w:val="18"/>
          <w:szCs w:val="18"/>
          <w:color w:val="auto"/>
        </w:rPr>
        <w:t xml:space="preserve">“Period of loan” refers to the period of each loan that both parties determine in the corresponding </w:t>
      </w:r>
      <w:r>
        <w:rPr>
          <w:rFonts w:ascii="Times New Roman" w:cs="Times New Roman" w:eastAsia="Times New Roman" w:hAnsi="Times New Roman"/>
          <w:sz w:val="18"/>
          <w:szCs w:val="18"/>
          <w:i w:val="1"/>
          <w:iCs w:val="1"/>
          <w:color w:val="auto"/>
        </w:rPr>
        <w:t>Application for Use of Line of Credit of Bank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Communications </w:t>
      </w:r>
      <w:r>
        <w:rPr>
          <w:rFonts w:ascii="Times New Roman" w:cs="Times New Roman" w:eastAsia="Times New Roman" w:hAnsi="Times New Roman"/>
          <w:sz w:val="18"/>
          <w:szCs w:val="18"/>
          <w:color w:val="auto"/>
        </w:rPr>
        <w:t>(hereinafter referred to as</w:t>
      </w:r>
      <w:r>
        <w:rPr>
          <w:rFonts w:ascii="Times New Roman" w:cs="Times New Roman" w:eastAsia="Times New Roman" w:hAnsi="Times New Roman"/>
          <w:sz w:val="18"/>
          <w:szCs w:val="18"/>
          <w:i w:val="1"/>
          <w:iCs w:val="1"/>
          <w:color w:val="auto"/>
        </w:rPr>
        <w:t xml:space="preserve"> Application for Use of Line of Credit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spacing w:after="0" w:line="162"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“Loan Market Quotation Rate (LPR)” refers to the loan market quotation rate applicable to RMB loans issued by the National Interbank Funding Center on the 20th day of each month (postponed in case of holidays).</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spacing w:after="0" w:line="176"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4" w:name="page325"/>
    <w:bookmarkEnd w:id="324"/>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76"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spacing w:after="0" w:line="19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“Related person” refers to the authorized handler, agent, legal representative, responsible person, controlling shareholder or actual controller, beneficial owner and other direct or indirect related persons of the borrower.</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ind w:right="20" w:firstLine="378"/>
        <w:spacing w:after="0" w:line="284" w:lineRule="auto"/>
        <w:rPr>
          <w:sz w:val="20"/>
          <w:szCs w:val="20"/>
          <w:color w:val="auto"/>
        </w:rPr>
      </w:pPr>
      <w:r>
        <w:rPr>
          <w:rFonts w:ascii="Times New Roman" w:cs="Times New Roman" w:eastAsia="Times New Roman" w:hAnsi="Times New Roman"/>
          <w:sz w:val="18"/>
          <w:szCs w:val="18"/>
          <w:color w:val="auto"/>
        </w:rPr>
        <w:t xml:space="preserve">Terms including affiliate, affiliate transaction and major investor should contain the same meaning with those contained in the </w:t>
      </w:r>
      <w:r>
        <w:rPr>
          <w:rFonts w:ascii="Times New Roman" w:cs="Times New Roman" w:eastAsia="Times New Roman" w:hAnsi="Times New Roman"/>
          <w:sz w:val="18"/>
          <w:szCs w:val="18"/>
          <w:i w:val="1"/>
          <w:iCs w:val="1"/>
          <w:color w:val="auto"/>
        </w:rPr>
        <w:t>Accounting Standards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Business Enterprises No.36 – Disclosure of Affiliates </w:t>
      </w:r>
      <w:r>
        <w:rPr>
          <w:rFonts w:ascii="Times New Roman" w:cs="Times New Roman" w:eastAsia="Times New Roman" w:hAnsi="Times New Roman"/>
          <w:sz w:val="18"/>
          <w:szCs w:val="18"/>
          <w:color w:val="auto"/>
        </w:rPr>
        <w:t>(CK [2006] No.3) published by the Ministry of Finance, as well as its subsequent revisions.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Use of Line of Credit</w:t>
      </w:r>
    </w:p>
    <w:p>
      <w:pPr>
        <w:spacing w:after="0" w:line="229"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 xml:space="preserve">2.1 Each time when needing to use the line of credit, the borrower should submit the application to the loaner at least 5 business days in advance. The borrower should fill in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to obtain the approval by the loaner before using the line of credit.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▲▲2.2 Use of the line of credit must meeting following conditions:</w:t>
      </w:r>
    </w:p>
    <w:p>
      <w:pPr>
        <w:spacing w:after="0" w:line="225" w:lineRule="exact"/>
        <w:rPr>
          <w:sz w:val="20"/>
          <w:szCs w:val="20"/>
          <w:color w:val="auto"/>
        </w:rPr>
      </w:pPr>
    </w:p>
    <w:p>
      <w:pPr>
        <w:ind w:left="640" w:hanging="254"/>
        <w:spacing w:after="0"/>
        <w:tabs>
          <w:tab w:leader="none" w:pos="6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of loan (under the revolving line of credit) or total loan (under the one-time line of credit) is within the line of credit;</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applied loan is within the balance of line of credit;</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date and issuance date are within the period of line of credit;</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of loan and maturity date of loan comply with this contract;</w:t>
      </w:r>
    </w:p>
    <w:p>
      <w:pPr>
        <w:spacing w:after="0" w:line="225" w:lineRule="exact"/>
        <w:rPr>
          <w:rFonts w:ascii="Times New Roman" w:cs="Times New Roman" w:eastAsia="Times New Roman" w:hAnsi="Times New Roman"/>
          <w:sz w:val="18"/>
          <w:szCs w:val="18"/>
          <w:color w:val="auto"/>
        </w:rPr>
      </w:pPr>
    </w:p>
    <w:p>
      <w:pPr>
        <w:ind w:firstLine="386"/>
        <w:spacing w:after="0" w:line="282" w:lineRule="auto"/>
        <w:tabs>
          <w:tab w:leader="none" w:pos="65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contract (if any) under this contract is effective and surviving, and while the guarantee contract is in the form of mortgage contract and/or pledge contract, the secured real right is already set and surviving;</w:t>
      </w:r>
    </w:p>
    <w:p>
      <w:pPr>
        <w:spacing w:after="0" w:line="161" w:lineRule="exact"/>
        <w:rPr>
          <w:rFonts w:ascii="Times New Roman" w:cs="Times New Roman" w:eastAsia="Times New Roman" w:hAnsi="Times New Roman"/>
          <w:sz w:val="18"/>
          <w:szCs w:val="18"/>
          <w:color w:val="auto"/>
        </w:rPr>
      </w:pPr>
    </w:p>
    <w:p>
      <w:pPr>
        <w:ind w:firstLine="386"/>
        <w:spacing w:after="0" w:line="282" w:lineRule="auto"/>
        <w:tabs>
          <w:tab w:leader="none" w:pos="65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handled procedures to obtain licenses, approvals and registrations from the government necessary for the application for the loan, and such licenses, approvals or registrations are surviving;</w:t>
      </w:r>
    </w:p>
    <w:p>
      <w:pPr>
        <w:spacing w:after="0" w:line="161"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adverse change occurs in the operation status or financial status of the borrower after this contract takes effect;</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by the borrower meets relevant rules and regulations of the loaner;</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does not violate this contract;</w:t>
      </w:r>
    </w:p>
    <w:p>
      <w:pPr>
        <w:spacing w:after="0" w:line="22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mode of the loan meets this contract and if the loaner is entrusted to make the payment, the loaner should agree with the payment;</w:t>
      </w:r>
    </w:p>
    <w:p>
      <w:pPr>
        <w:spacing w:after="0" w:line="225" w:lineRule="exact"/>
        <w:rPr>
          <w:rFonts w:ascii="Times New Roman" w:cs="Times New Roman" w:eastAsia="Times New Roman" w:hAnsi="Times New Roman"/>
          <w:sz w:val="18"/>
          <w:szCs w:val="18"/>
          <w:color w:val="auto"/>
        </w:rPr>
      </w:pPr>
    </w:p>
    <w:p>
      <w:pPr>
        <w:ind w:firstLine="386"/>
        <w:spacing w:after="0" w:line="282" w:lineRule="auto"/>
        <w:tabs>
          <w:tab w:leader="none" w:pos="72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61"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appointed the dedicated fund withdrawal account as required by the loaner and has signed the account management agreement.</w:t>
      </w:r>
    </w:p>
    <w:p>
      <w:pPr>
        <w:spacing w:after="0" w:line="223" w:lineRule="exact"/>
        <w:rPr>
          <w:sz w:val="20"/>
          <w:szCs w:val="20"/>
          <w:color w:val="auto"/>
        </w:rPr>
      </w:pPr>
    </w:p>
    <w:p>
      <w:pPr>
        <w:jc w:val="both"/>
        <w:ind w:firstLine="378"/>
        <w:spacing w:after="0" w:line="284" w:lineRule="auto"/>
        <w:rPr>
          <w:sz w:val="20"/>
          <w:szCs w:val="20"/>
          <w:color w:val="auto"/>
        </w:rPr>
      </w:pPr>
      <w:r>
        <w:rPr>
          <w:rFonts w:ascii="Times New Roman" w:cs="Times New Roman" w:eastAsia="Times New Roman" w:hAnsi="Times New Roman"/>
          <w:sz w:val="18"/>
          <w:szCs w:val="18"/>
          <w:color w:val="auto"/>
        </w:rPr>
        <w:t xml:space="preserve">▲▲2.3 If the loaner agrees to issue the loan, the final issuance information should be subject to the column of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printed by the bank.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should be regarded as the </w:t>
      </w:r>
      <w:r>
        <w:rPr>
          <w:rFonts w:ascii="Times New Roman" w:cs="Times New Roman" w:eastAsia="Times New Roman" w:hAnsi="Times New Roman"/>
          <w:sz w:val="18"/>
          <w:szCs w:val="18"/>
          <w:i w:val="1"/>
          <w:iCs w:val="1"/>
          <w:color w:val="auto"/>
        </w:rPr>
        <w:t>Loan Certificate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378"/>
        <w:spacing w:after="0" w:line="267" w:lineRule="auto"/>
        <w:rPr>
          <w:sz w:val="20"/>
          <w:szCs w:val="20"/>
          <w:color w:val="auto"/>
        </w:rPr>
      </w:pPr>
      <w:r>
        <w:rPr>
          <w:rFonts w:ascii="Times New Roman" w:cs="Times New Roman" w:eastAsia="Times New Roman" w:hAnsi="Times New Roman"/>
          <w:sz w:val="18"/>
          <w:szCs w:val="18"/>
          <w:color w:val="auto"/>
        </w:rPr>
        <w:t xml:space="preserve">▲▲2.4 If the currency of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6" w:name="page327"/>
    <w:bookmarkEnd w:id="326"/>
    <w:p>
      <w:pPr>
        <w:jc w:val="both"/>
        <w:ind w:firstLine="378"/>
        <w:spacing w:after="0" w:line="267" w:lineRule="auto"/>
        <w:rPr>
          <w:sz w:val="20"/>
          <w:szCs w:val="20"/>
          <w:color w:val="auto"/>
        </w:rPr>
      </w:pPr>
      <w:r>
        <w:rPr>
          <w:rFonts w:ascii="Times New Roman" w:cs="Times New Roman" w:eastAsia="Times New Roman" w:hAnsi="Times New Roman"/>
          <w:sz w:val="18"/>
          <w:szCs w:val="18"/>
          <w:color w:val="auto"/>
        </w:rPr>
        <w:t xml:space="preserve">▲▲2.5 After the borrower becomes the shareholder of the guarantor or the “actual controller” defined by the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Interest Rate and Payment of Interest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 Basic regulations on determining the interest rate</w:t>
      </w:r>
    </w:p>
    <w:p>
      <w:pPr>
        <w:spacing w:after="0" w:line="22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3.1.1 The annual interest rate (simple interest) of the loan under this contract shall be agreed by both parties in the Application for the Use of Quota after negotiation each time the quota is used. If the annual interest rate value is determined according to the pricing benchmark, the annual interest rate value shall be calculated according to the pricing benchmark agreed in the Application for the Use of Quota plus (minus) points (1 basis point is 0.01 percent, and 1 percentage point is 100 basis points).</w:t>
      </w:r>
    </w:p>
    <w:p>
      <w:pPr>
        <w:spacing w:after="0" w:line="180"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3.1.2 If both parties agree to apply the fixed interest rate in the Application for Use of Quota, and the specific value is recorded in the fixed interest rate value field, The specific interest rate of each loan shall be subject to the value recorded in the Fixed Interest Rate Value field of the Application for the Use of the Quota (where the loan currency is RMB, such specific value shall be determined on the basis of the specific value of the pricing benchmark applicable on the applicable date of the pricing benchmark agreed in the Application for the Use of the Quota (hereinafter referred to as “the pricing benchmark value”) and according to the plus (minus) point value agreed in the Application for the Use of the Quota). If no specific value is recorded in the Fixed Interest Rate Value field, the specific interest rate of each loan shall be determined based on the applicable pricing benchmark value on the applicable date of the pricing benchmark agreed in the Application for the Use of Quota and according to the plus (minus) point value agreed in the Application for the Use of Quota.</w:t>
      </w:r>
    </w:p>
    <w:p>
      <w:pPr>
        <w:spacing w:after="0" w:line="192"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If both parties agree to apply the floating interest rate in the Application for the Use of Quota, the specific interest rate of each loan shall be determined on the basis of the pricing benchmark value applicable to the applicable date of the pricing benchmark agreed in the Application for the Use of Quota, according to the plus (minus) point value, interest rate floating rules, interest rate floating cycle, interest rate floating cycle unit and the floating start date of a specific date (if necessary) agreed in the Application for the Use of Quota.</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▲▲3.2 Interest rate of loan</w:t>
      </w:r>
    </w:p>
    <w:p>
      <w:pPr>
        <w:spacing w:after="0" w:line="225"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If both parties agree on the application of fixed interest rate in the Application for the Use of Quota and the fixed interest rate value field records a specific value, the interest rate at the time of each loan disbursement shall be subject to the fixed value. If it is agreed in the Application for Use of Quota that a fixed interest rate is applicable and no specific value is recorded in the fixed interest rate value field, and it is agreed in the Application for Use of Quota that a floating interest rate is applicable, the loan interest rate for each loan is determined based on the pricing benchmark value applicable to the “Pricing Benchmark Application Date” agreed in the Application for Use of Quota and the plus (minus) point value agreed in the Application for Use of Quota. The “applicable date of pricing benchmark” shall be taken as the T day, and the pricing benchmark value rules applicable to the T day shall be implemented in accordance with Article 3.5.1 of the Contract.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3.3 Adjustment of interest rate</w:t>
      </w:r>
    </w:p>
    <w:p>
      <w:pPr>
        <w:spacing w:after="0" w:line="223" w:lineRule="exact"/>
        <w:rPr>
          <w:sz w:val="20"/>
          <w:szCs w:val="20"/>
          <w:color w:val="auto"/>
        </w:rPr>
      </w:pPr>
    </w:p>
    <w:p>
      <w:pPr>
        <w:jc w:val="both"/>
        <w:ind w:firstLine="378"/>
        <w:spacing w:after="0" w:line="284" w:lineRule="auto"/>
        <w:rPr>
          <w:sz w:val="20"/>
          <w:szCs w:val="20"/>
          <w:color w:val="auto"/>
        </w:rPr>
      </w:pPr>
      <w:r>
        <w:rPr>
          <w:rFonts w:ascii="Times New Roman" w:cs="Times New Roman" w:eastAsia="Times New Roman" w:hAnsi="Times New Roman"/>
          <w:sz w:val="18"/>
          <w:szCs w:val="18"/>
          <w:color w:val="auto"/>
        </w:rPr>
        <w:t xml:space="preserve">3.3.1 Once the interest rate is recorded in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as fixed, such interest rate should apply to the loan within the period of loan.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7" w:name="page328"/>
    <w:bookmarkEnd w:id="327"/>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 xml:space="preserve">▲▲3.3.2 Once the interest rate is recorded in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and the adjusted interest rate should apply since the interest rate adjustment date.</w:t>
      </w:r>
    </w:p>
    <w:p>
      <w:pPr>
        <w:spacing w:after="0" w:line="182"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the same below.</w:t>
      </w:r>
    </w:p>
    <w:p>
      <w:pPr>
        <w:spacing w:after="0" w:line="194"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spacing w:after="0" w:line="183"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▲▲3.3.3 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spacing w:after="0" w:line="18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▲▲3.3.4 Both parties may adjust the fluctuation extent or increase (decrease) value of the corresponding loan interest rate through negotiation at each adjustment date of loan interest rate.</w:t>
      </w:r>
    </w:p>
    <w:p>
      <w:pPr>
        <w:spacing w:after="0" w:line="162"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3.5 Calculation of interest</w:t>
      </w:r>
    </w:p>
    <w:p>
      <w:pPr>
        <w:spacing w:after="0" w:line="225"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If the pricing benchmark is the loan market quoted rate (LPR), the pricing benchmark value applicable to T day is the latest published loan market quoted rate (LPR) value before T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8" w:name="page329"/>
    <w:bookmarkEnd w:id="328"/>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spacing w:after="0" w:line="187"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spacing w:after="0" w:line="18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spacing w:after="0" w:line="183"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3.5.2 Normal interest=interest rate agreed herein × Loan amount × Number of days occupied.</w:t>
      </w:r>
    </w:p>
    <w:p>
      <w:pPr>
        <w:spacing w:after="0" w:line="225"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spacing w:after="0" w:line="16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3.5.4 If there are many decimal places of interest/penalty interest calculated, the lender will retain two decimal places according to the rounding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▲▲3.6 If the borrower repays the loan in advance or the loaner withdraws the loan in advance according to this contract, the corresponding interest rate shall still be subject to that specified in this contract.</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Payment of Loan</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83"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4.2 When drawing the loan according to this contract, the borrower should clarify the payment mode (entrusted payment by loaner or independent payment by borrower) and only one mode is applicable in each time of drawing.</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If the amount of a single payment is beyond the limit of the independent payment or any condition specified in Article 19.3, the mode of entrusted payment should apply.</w:t>
      </w:r>
    </w:p>
    <w:p>
      <w:pPr>
        <w:spacing w:after="0" w:line="160" w:lineRule="exact"/>
        <w:rPr>
          <w:sz w:val="20"/>
          <w:szCs w:val="20"/>
          <w:color w:val="auto"/>
        </w:rPr>
      </w:pPr>
    </w:p>
    <w:p>
      <w:pPr>
        <w:jc w:val="both"/>
        <w:ind w:firstLine="378"/>
        <w:spacing w:after="0" w:line="267" w:lineRule="auto"/>
        <w:rPr>
          <w:sz w:val="20"/>
          <w:szCs w:val="20"/>
          <w:color w:val="auto"/>
        </w:rPr>
      </w:pPr>
      <w:r>
        <w:rPr>
          <w:rFonts w:ascii="Times New Roman" w:cs="Times New Roman" w:eastAsia="Times New Roman" w:hAnsi="Times New Roman"/>
          <w:sz w:val="18"/>
          <w:szCs w:val="18"/>
          <w:color w:val="auto"/>
        </w:rPr>
        <w:t xml:space="preserve">When choosing the mode of entrusted payment by the loaner, the borrower should submit the loaner with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75" w:lineRule="exact"/>
        <w:rPr>
          <w:sz w:val="20"/>
          <w:szCs w:val="20"/>
          <w:color w:val="auto"/>
        </w:rPr>
      </w:pPr>
    </w:p>
    <w:p>
      <w:pPr>
        <w:ind w:firstLine="386"/>
        <w:spacing w:after="0" w:line="282" w:lineRule="auto"/>
        <w:tabs>
          <w:tab w:leader="none" w:pos="82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61" w:lineRule="exact"/>
        <w:rPr>
          <w:rFonts w:ascii="Times New Roman" w:cs="Times New Roman" w:eastAsia="Times New Roman" w:hAnsi="Times New Roman"/>
          <w:sz w:val="18"/>
          <w:szCs w:val="18"/>
          <w:color w:val="auto"/>
        </w:rPr>
      </w:pPr>
    </w:p>
    <w:p>
      <w:pPr>
        <w:jc w:val="both"/>
        <w:ind w:right="20" w:firstLine="386"/>
        <w:spacing w:after="0" w:line="266" w:lineRule="auto"/>
        <w:tabs>
          <w:tab w:leader="none" w:pos="82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160"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 xml:space="preserve">When choosing the mode of independent payment by the borrower, the borrower should submit the loaner with the </w:t>
      </w:r>
      <w:r>
        <w:rPr>
          <w:rFonts w:ascii="Times New Roman" w:cs="Times New Roman" w:eastAsia="Times New Roman" w:hAnsi="Times New Roman"/>
          <w:sz w:val="18"/>
          <w:szCs w:val="18"/>
          <w:i w:val="1"/>
          <w:iCs w:val="1"/>
          <w:color w:val="auto"/>
        </w:rPr>
        <w:t>Application for Use of Line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description of fund usage and other materials required by the loaner. The borrower should report the payment situation of the loan fund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loaner. The loaner may check whether the loan is paid for the regulated purpose by analyzing the account, verifying the certificate and conducting the on-site survey, and the borrower shall cooperate with such verification by the loaner.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color w:val="auto"/>
        </w:rPr>
        <w:t>Article 5. Repayment of Loan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5.1 The borrower should make the repayment according to the date and amount specified in the corresponding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▲▲5.2 Without the written consent from the loaner, the borrower may not repay the loan in advance.</w:t>
      </w:r>
    </w:p>
    <w:p>
      <w:pPr>
        <w:spacing w:after="0" w:line="223"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 xml:space="preserve">▲▲5.3 The repayment schedule of principal and interest agreed by the borrower and the loaner in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▲▲5.4 When the amount repaid by the borrower is insufficient to cover all the debt of the borrower:</w:t>
      </w:r>
    </w:p>
    <w:p>
      <w:pPr>
        <w:spacing w:after="0" w:line="225" w:lineRule="exact"/>
        <w:rPr>
          <w:sz w:val="20"/>
          <w:szCs w:val="20"/>
          <w:color w:val="auto"/>
        </w:rPr>
      </w:pPr>
    </w:p>
    <w:p>
      <w:pPr>
        <w:jc w:val="both"/>
        <w:ind w:firstLine="386"/>
        <w:spacing w:after="0" w:line="261" w:lineRule="auto"/>
        <w:tabs>
          <w:tab w:leader="none" w:pos="65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79" w:lineRule="exact"/>
        <w:rPr>
          <w:rFonts w:ascii="Times New Roman" w:cs="Times New Roman" w:eastAsia="Times New Roman" w:hAnsi="Times New Roman"/>
          <w:sz w:val="18"/>
          <w:szCs w:val="18"/>
          <w:color w:val="auto"/>
        </w:rPr>
      </w:pPr>
    </w:p>
    <w:p>
      <w:pPr>
        <w:jc w:val="both"/>
        <w:ind w:firstLine="386"/>
        <w:spacing w:after="0" w:line="266" w:lineRule="auto"/>
        <w:tabs>
          <w:tab w:leader="none" w:pos="638"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Representation and Guarantee of Borrower</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6.1 The borrower is legally incorporated and surviving, possesses all the necessary capacities, perform obligations under this contract it its own name and assumes civil liabilities.</w:t>
      </w:r>
    </w:p>
    <w:p>
      <w:pPr>
        <w:spacing w:after="0" w:line="16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6.2 Signing and performing this contract are the true intention of the borrower that they must obtain all the necessary approvals, permissions and authorizations to contain no legal defect.</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1" w:name="page332"/>
    <w:bookmarkEnd w:id="331"/>
    <w:p>
      <w:pPr>
        <w:jc w:val="both"/>
        <w:ind w:firstLine="386"/>
        <w:spacing w:after="0" w:line="258" w:lineRule="auto"/>
        <w:tabs>
          <w:tab w:leader="none" w:pos="80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spacing w:after="0" w:line="183"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6.7 According to the lender’s environmental and social risk assessment standards, if the borrower is a customer with environmental and social risks classified as A or B, the borrower promises:</w:t>
      </w:r>
    </w:p>
    <w:p>
      <w:pPr>
        <w:spacing w:after="0" w:line="162" w:lineRule="exact"/>
        <w:rPr>
          <w:sz w:val="20"/>
          <w:szCs w:val="20"/>
          <w:color w:val="auto"/>
        </w:rPr>
      </w:pPr>
    </w:p>
    <w:p>
      <w:pPr>
        <w:ind w:firstLine="386"/>
        <w:spacing w:after="0" w:line="282" w:lineRule="auto"/>
        <w:tabs>
          <w:tab w:leader="none" w:pos="648"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internal management documents related to environmental and social risks comply with laws and regulations and are effectively implemented;</w:t>
      </w:r>
    </w:p>
    <w:p>
      <w:pPr>
        <w:spacing w:after="0" w:line="161"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 major litigation cases involving environmental and social risks;</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behaviors and performances of the borrower related to environmental and social risks are compliant.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Rights and Obligations of Loaner</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80" w:lineRule="exact"/>
        <w:rPr>
          <w:sz w:val="20"/>
          <w:szCs w:val="20"/>
          <w:color w:val="auto"/>
        </w:rPr>
      </w:pPr>
    </w:p>
    <w:p>
      <w:pPr>
        <w:jc w:val="both"/>
        <w:ind w:firstLine="386"/>
        <w:spacing w:after="0" w:line="261" w:lineRule="auto"/>
        <w:tabs>
          <w:tab w:leader="none" w:pos="78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Obligations of Borrower</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 xml:space="preserve">8.1 The borrower should repay the principal and interest of loan under this contract according to the time, amount, currency and interest rate specified in this contract and the corresponding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2" w:name="page333"/>
    <w:bookmarkEnd w:id="332"/>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 xml:space="preserve">8.2 The borrower should use the line of credit for the purpose specified in this contract and use the loan for the purpose specified in the corresponding </w:t>
      </w:r>
      <w:r>
        <w:rPr>
          <w:rFonts w:ascii="Times New Roman" w:cs="Times New Roman" w:eastAsia="Times New Roman" w:hAnsi="Times New Roman"/>
          <w:sz w:val="18"/>
          <w:szCs w:val="18"/>
          <w:i w:val="1"/>
          <w:iCs w:val="1"/>
          <w:color w:val="auto"/>
        </w:rPr>
        <w:t xml:space="preserve">Application for Use of Line of Credit </w:t>
      </w:r>
      <w:r>
        <w:rPr>
          <w:rFonts w:ascii="Times New Roman" w:cs="Times New Roman" w:eastAsia="Times New Roman" w:hAnsi="Times New Roman"/>
          <w:sz w:val="18"/>
          <w:szCs w:val="18"/>
          <w:color w:val="auto"/>
        </w:rPr>
        <w:t>but may not embezzle the loan for any other purpose, or the investment in fixed assets, equity or any production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prohibited by the government.</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spacing w:after="0" w:line="176"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the loan fund payment involves cross-border payment, the loan fund payment may be handled through the SWIFT system or other systems.</w:t>
      </w:r>
    </w:p>
    <w:p>
      <w:pPr>
        <w:spacing w:after="0" w:line="22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8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62" w:lineRule="exact"/>
        <w:rPr>
          <w:sz w:val="20"/>
          <w:szCs w:val="20"/>
          <w:color w:val="auto"/>
        </w:rPr>
      </w:pPr>
    </w:p>
    <w:p>
      <w:pPr>
        <w:ind w:firstLine="386"/>
        <w:spacing w:after="0" w:line="282" w:lineRule="auto"/>
        <w:tabs>
          <w:tab w:leader="none" w:pos="6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sells, presents, leases, lends, transfers, mortgages, pledges or disposes in any other manner all or a large part of the assets or important assets;</w:t>
      </w:r>
    </w:p>
    <w:p>
      <w:pPr>
        <w:spacing w:after="0" w:line="161" w:lineRule="exact"/>
        <w:rPr>
          <w:rFonts w:ascii="Times New Roman" w:cs="Times New Roman" w:eastAsia="Times New Roman" w:hAnsi="Times New Roman"/>
          <w:sz w:val="18"/>
          <w:szCs w:val="18"/>
          <w:color w:val="auto"/>
        </w:rPr>
      </w:pPr>
    </w:p>
    <w:p>
      <w:pPr>
        <w:jc w:val="both"/>
        <w:ind w:firstLine="386"/>
        <w:spacing w:after="0" w:line="266" w:lineRule="auto"/>
        <w:tabs>
          <w:tab w:leader="none" w:pos="64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7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investment or increase of debt financing of the borrower exceeds the agreed limit.</w:t>
      </w:r>
    </w:p>
    <w:p>
      <w:pPr>
        <w:spacing w:after="0" w:line="225" w:lineRule="exact"/>
        <w:rPr>
          <w:sz w:val="20"/>
          <w:szCs w:val="20"/>
          <w:color w:val="auto"/>
        </w:rPr>
      </w:pPr>
    </w:p>
    <w:p>
      <w:pPr>
        <w:ind w:right="20" w:firstLine="378"/>
        <w:spacing w:after="0" w:line="282" w:lineRule="auto"/>
        <w:rPr>
          <w:sz w:val="20"/>
          <w:szCs w:val="20"/>
          <w:color w:val="auto"/>
        </w:rPr>
      </w:pPr>
      <w:r>
        <w:rPr>
          <w:rFonts w:ascii="Times New Roman" w:cs="Times New Roman" w:eastAsia="Times New Roman" w:hAnsi="Times New Roman"/>
          <w:sz w:val="18"/>
          <w:szCs w:val="18"/>
          <w:color w:val="auto"/>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spacing w:after="0" w:line="162" w:lineRule="exact"/>
        <w:rPr>
          <w:sz w:val="20"/>
          <w:szCs w:val="20"/>
          <w:color w:val="auto"/>
        </w:rPr>
      </w:pPr>
    </w:p>
    <w:p>
      <w:pPr>
        <w:ind w:firstLine="386"/>
        <w:spacing w:after="0" w:line="282" w:lineRule="auto"/>
        <w:tabs>
          <w:tab w:leader="none" w:pos="66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3" w:name="page334"/>
    <w:bookmarkEnd w:id="333"/>
    <w:p>
      <w:pPr>
        <w:ind w:left="254" w:hanging="254"/>
        <w:spacing w:after="0"/>
        <w:tabs>
          <w:tab w:leader="none" w:pos="2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its affiliate or guarantor plans to apply for bankruptcy or may be or has been applied by the creditor for bankruptcy;</w:t>
      </w:r>
    </w:p>
    <w:p>
      <w:pPr>
        <w:spacing w:after="0" w:line="225" w:lineRule="exact"/>
        <w:rPr>
          <w:rFonts w:ascii="Times New Roman" w:cs="Times New Roman" w:eastAsia="Times New Roman" w:hAnsi="Times New Roman"/>
          <w:sz w:val="18"/>
          <w:szCs w:val="18"/>
          <w:color w:val="auto"/>
        </w:rPr>
      </w:pPr>
    </w:p>
    <w:p>
      <w:pPr>
        <w:jc w:val="both"/>
        <w:ind w:left="-386" w:firstLine="386"/>
        <w:spacing w:after="0" w:line="266" w:lineRule="auto"/>
        <w:tabs>
          <w:tab w:leader="none" w:pos="24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75" w:lineRule="exact"/>
        <w:rPr>
          <w:rFonts w:ascii="Times New Roman" w:cs="Times New Roman" w:eastAsia="Times New Roman" w:hAnsi="Times New Roman"/>
          <w:sz w:val="18"/>
          <w:szCs w:val="18"/>
          <w:color w:val="auto"/>
        </w:rPr>
      </w:pPr>
    </w:p>
    <w:p>
      <w:pPr>
        <w:ind w:left="-386" w:right="20" w:firstLine="386"/>
        <w:spacing w:after="0" w:line="282" w:lineRule="auto"/>
        <w:tabs>
          <w:tab w:leader="none" w:pos="263"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provides any guarantee to any third party to affect its economic status, financial status or capability in performing obligations under this contract significantly;</w:t>
      </w:r>
    </w:p>
    <w:p>
      <w:pPr>
        <w:spacing w:after="0" w:line="161" w:lineRule="exact"/>
        <w:rPr>
          <w:rFonts w:ascii="Times New Roman" w:cs="Times New Roman" w:eastAsia="Times New Roman" w:hAnsi="Times New Roman"/>
          <w:sz w:val="18"/>
          <w:szCs w:val="18"/>
          <w:color w:val="auto"/>
        </w:rPr>
      </w:pPr>
    </w:p>
    <w:p>
      <w:pPr>
        <w:ind w:left="254" w:hanging="254"/>
        <w:spacing w:after="0"/>
        <w:tabs>
          <w:tab w:leader="none" w:pos="2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enters into any contract with significant influence on its operation and financial status;</w:t>
      </w:r>
    </w:p>
    <w:p>
      <w:pPr>
        <w:spacing w:after="0" w:line="225" w:lineRule="exact"/>
        <w:rPr>
          <w:rFonts w:ascii="Times New Roman" w:cs="Times New Roman" w:eastAsia="Times New Roman" w:hAnsi="Times New Roman"/>
          <w:sz w:val="18"/>
          <w:szCs w:val="18"/>
          <w:color w:val="auto"/>
        </w:rPr>
      </w:pPr>
    </w:p>
    <w:p>
      <w:pPr>
        <w:ind w:left="-386" w:firstLine="386"/>
        <w:spacing w:after="0" w:line="282" w:lineRule="auto"/>
        <w:tabs>
          <w:tab w:leader="none" w:pos="261"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61" w:lineRule="exact"/>
        <w:rPr>
          <w:rFonts w:ascii="Times New Roman" w:cs="Times New Roman" w:eastAsia="Times New Roman" w:hAnsi="Times New Roman"/>
          <w:sz w:val="18"/>
          <w:szCs w:val="18"/>
          <w:color w:val="auto"/>
        </w:rPr>
      </w:pPr>
    </w:p>
    <w:p>
      <w:pPr>
        <w:ind w:left="254" w:hanging="254"/>
        <w:spacing w:after="0"/>
        <w:tabs>
          <w:tab w:leader="none" w:pos="2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its affiliate or guarantor is shut down, closed, dissolved, suspended, cancelled, or the business license is withdrawn;</w:t>
      </w:r>
    </w:p>
    <w:p>
      <w:pPr>
        <w:spacing w:after="0" w:line="225" w:lineRule="exact"/>
        <w:rPr>
          <w:rFonts w:ascii="Times New Roman" w:cs="Times New Roman" w:eastAsia="Times New Roman" w:hAnsi="Times New Roman"/>
          <w:sz w:val="18"/>
          <w:szCs w:val="18"/>
          <w:color w:val="auto"/>
        </w:rPr>
      </w:pPr>
    </w:p>
    <w:p>
      <w:pPr>
        <w:ind w:left="-386" w:firstLine="386"/>
        <w:spacing w:after="0" w:line="282" w:lineRule="auto"/>
        <w:tabs>
          <w:tab w:leader="none" w:pos="26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61" w:lineRule="exact"/>
        <w:rPr>
          <w:rFonts w:ascii="Times New Roman" w:cs="Times New Roman" w:eastAsia="Times New Roman" w:hAnsi="Times New Roman"/>
          <w:sz w:val="18"/>
          <w:szCs w:val="18"/>
          <w:color w:val="auto"/>
        </w:rPr>
      </w:pPr>
    </w:p>
    <w:p>
      <w:pPr>
        <w:ind w:left="-386" w:firstLine="386"/>
        <w:spacing w:after="0" w:line="282" w:lineRule="auto"/>
        <w:tabs>
          <w:tab w:leader="none" w:pos="26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61"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any affiliated transaction and its amount reaches or exceeds 10% of the latest audited net assets;</w:t>
      </w:r>
    </w:p>
    <w:p>
      <w:pPr>
        <w:spacing w:after="0" w:line="225" w:lineRule="exact"/>
        <w:rPr>
          <w:rFonts w:ascii="Times New Roman" w:cs="Times New Roman" w:eastAsia="Times New Roman" w:hAnsi="Times New Roman"/>
          <w:sz w:val="18"/>
          <w:szCs w:val="18"/>
          <w:color w:val="auto"/>
        </w:rPr>
      </w:pPr>
    </w:p>
    <w:p>
      <w:pPr>
        <w:ind w:left="-386" w:firstLine="386"/>
        <w:spacing w:after="0" w:line="282" w:lineRule="auto"/>
        <w:tabs>
          <w:tab w:leader="none" w:pos="337"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Before repaying all the debts under this contract, the borrower becomes or may become the shareholder or the “actual controller” defined by the </w:t>
      </w:r>
      <w:r>
        <w:rPr>
          <w:rFonts w:ascii="Times New Roman" w:cs="Times New Roman" w:eastAsia="Times New Roman" w:hAnsi="Times New Roman"/>
          <w:sz w:val="18"/>
          <w:szCs w:val="18"/>
          <w:i w:val="1"/>
          <w:iCs w:val="1"/>
          <w:color w:val="auto"/>
        </w:rPr>
        <w:t xml:space="preserve">Company Law </w:t>
      </w:r>
      <w:r>
        <w:rPr>
          <w:rFonts w:ascii="Times New Roman" w:cs="Times New Roman" w:eastAsia="Times New Roman" w:hAnsi="Times New Roman"/>
          <w:sz w:val="18"/>
          <w:szCs w:val="18"/>
          <w:color w:val="auto"/>
        </w:rPr>
        <w:t>of the guarantor;</w:t>
      </w:r>
    </w:p>
    <w:p>
      <w:pPr>
        <w:spacing w:after="0" w:line="161" w:lineRule="exact"/>
        <w:rPr>
          <w:rFonts w:ascii="Times New Roman" w:cs="Times New Roman" w:eastAsia="Times New Roman" w:hAnsi="Times New Roman"/>
          <w:sz w:val="18"/>
          <w:szCs w:val="18"/>
          <w:color w:val="auto"/>
        </w:rPr>
      </w:pPr>
    </w:p>
    <w:p>
      <w:pPr>
        <w:ind w:left="-386" w:firstLine="386"/>
        <w:spacing w:after="0" w:line="282" w:lineRule="auto"/>
        <w:tabs>
          <w:tab w:leader="none" w:pos="34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causes any liability accident or is made public by the media by violating any law, rule, regulation, national policy or industrial standard;</w:t>
      </w:r>
    </w:p>
    <w:p>
      <w:pPr>
        <w:spacing w:after="0" w:line="161"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encounters any safety or environment protection accident;</w:t>
      </w:r>
    </w:p>
    <w:p>
      <w:pPr>
        <w:spacing w:after="0" w:line="225"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affiliate and the borrower is changed;</w:t>
      </w:r>
    </w:p>
    <w:p>
      <w:pPr>
        <w:spacing w:after="0" w:line="225"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encounters any significant equity change;</w:t>
      </w:r>
    </w:p>
    <w:p>
      <w:pPr>
        <w:spacing w:after="0" w:line="225"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issued by the external audit of the borrower on its financial statements is not the standard unreserved opinion;</w:t>
      </w:r>
    </w:p>
    <w:p>
      <w:pPr>
        <w:spacing w:after="0" w:line="225" w:lineRule="exact"/>
        <w:rPr>
          <w:rFonts w:ascii="Times New Roman" w:cs="Times New Roman" w:eastAsia="Times New Roman" w:hAnsi="Times New Roman"/>
          <w:sz w:val="18"/>
          <w:szCs w:val="18"/>
          <w:color w:val="auto"/>
        </w:rPr>
      </w:pPr>
    </w:p>
    <w:p>
      <w:pPr>
        <w:ind w:left="-386" w:firstLine="386"/>
        <w:spacing w:after="0" w:line="282" w:lineRule="auto"/>
        <w:tabs>
          <w:tab w:leader="none" w:pos="347"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or may be investigated, punished or taken with other similar measures by the competent authority as it violates the law or rule and/or regulatory requirement;</w:t>
      </w:r>
    </w:p>
    <w:p>
      <w:pPr>
        <w:spacing w:after="0" w:line="162" w:lineRule="exact"/>
        <w:rPr>
          <w:sz w:val="20"/>
          <w:szCs w:val="20"/>
          <w:color w:val="auto"/>
        </w:rPr>
      </w:pPr>
    </w:p>
    <w:p>
      <w:pPr>
        <w:ind w:left="-346" w:firstLine="372"/>
        <w:spacing w:after="0" w:line="282" w:lineRule="auto"/>
        <w:tabs>
          <w:tab w:leader="none" w:pos="379"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affiliate is listed to be sanctioned by the UN, EU or US, or the country or area where the borrower or its affiliate resides in is listed to be sanctioned by the UN, EU or US;</w:t>
      </w:r>
    </w:p>
    <w:p>
      <w:pPr>
        <w:spacing w:after="0" w:line="161" w:lineRule="exact"/>
        <w:rPr>
          <w:rFonts w:ascii="Times New Roman" w:cs="Times New Roman" w:eastAsia="Times New Roman" w:hAnsi="Times New Roman"/>
          <w:sz w:val="18"/>
          <w:szCs w:val="18"/>
          <w:color w:val="auto"/>
        </w:rPr>
      </w:pPr>
    </w:p>
    <w:p>
      <w:pPr>
        <w:ind w:left="354" w:hanging="354"/>
        <w:spacing w:after="0"/>
        <w:tabs>
          <w:tab w:leader="none" w:pos="35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any other event with serious adverse influence on the solvency of the borrower or its affiliate.</w:t>
      </w:r>
    </w:p>
    <w:p>
      <w:pPr>
        <w:spacing w:after="0" w:line="225" w:lineRule="exact"/>
        <w:rPr>
          <w:rFonts w:ascii="Times New Roman" w:cs="Times New Roman" w:eastAsia="Times New Roman" w:hAnsi="Times New Roman"/>
          <w:sz w:val="18"/>
          <w:szCs w:val="18"/>
          <w:color w:val="auto"/>
        </w:rPr>
      </w:pPr>
    </w:p>
    <w:p>
      <w:pPr>
        <w:ind w:left="-386" w:right="20" w:firstLine="386"/>
        <w:spacing w:after="0" w:line="282" w:lineRule="auto"/>
        <w:tabs>
          <w:tab w:leader="none" w:pos="34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lender’s environmental and social risk assessment standards, if the borrower is a customer with environmental and social risks classified as A or B, the borrower has or may have any of the following events:</w:t>
      </w:r>
    </w:p>
    <w:p>
      <w:pPr>
        <w:spacing w:after="0" w:line="162" w:lineRule="exact"/>
        <w:rPr>
          <w:sz w:val="20"/>
          <w:szCs w:val="20"/>
          <w:color w:val="auto"/>
        </w:rPr>
      </w:pPr>
    </w:p>
    <w:p>
      <w:pPr>
        <w:jc w:val="center"/>
        <w:ind w:left="5154" w:right="160" w:hanging="5154"/>
        <w:spacing w:after="0" w:line="783" w:lineRule="auto"/>
        <w:tabs>
          <w:tab w:leader="none" w:pos="210" w:val="left"/>
        </w:tabs>
        <w:numPr>
          <w:ilvl w:val="0"/>
          <w:numId w:val="40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Various permits, approvals and approvals related to environment, society and risks during commencement, construction, operation and shutdown;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-296545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54"/>
          </w:cols>
          <w:pgMar w:left="706" w:top="904" w:right="339" w:bottom="1440" w:gutter="0" w:footer="0" w:header="0"/>
        </w:sectPr>
      </w:pPr>
    </w:p>
    <w:bookmarkStart w:id="334" w:name="page335"/>
    <w:bookmarkEnd w:id="334"/>
    <w:p>
      <w:pPr>
        <w:ind w:firstLine="386"/>
        <w:spacing w:after="0" w:line="282" w:lineRule="auto"/>
        <w:tabs>
          <w:tab w:leader="none" w:pos="583" w:val="left"/>
        </w:tabs>
        <w:numPr>
          <w:ilvl w:val="0"/>
          <w:numId w:val="40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assessment and inspection of the environmental and social risks of the borrower by the environmental and social risk regulatory authority or its recognized institution;</w:t>
      </w:r>
    </w:p>
    <w:p>
      <w:pPr>
        <w:spacing w:after="0" w:line="162" w:lineRule="exact"/>
        <w:rPr>
          <w:sz w:val="20"/>
          <w:szCs w:val="20"/>
          <w:color w:val="auto"/>
        </w:rPr>
      </w:pPr>
    </w:p>
    <w:p>
      <w:pPr>
        <w:ind w:left="600" w:hanging="214"/>
        <w:spacing w:after="0"/>
        <w:tabs>
          <w:tab w:leader="none" w:pos="600" w:val="left"/>
        </w:tabs>
        <w:numPr>
          <w:ilvl w:val="0"/>
          <w:numId w:val="40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Supporting construction and operation of environmental facilities;</w:t>
      </w:r>
    </w:p>
    <w:p>
      <w:pPr>
        <w:spacing w:after="0" w:line="225" w:lineRule="exact"/>
        <w:rPr>
          <w:sz w:val="20"/>
          <w:szCs w:val="20"/>
          <w:color w:val="auto"/>
        </w:rPr>
      </w:pPr>
    </w:p>
    <w:p>
      <w:pPr>
        <w:ind w:left="600" w:hanging="214"/>
        <w:spacing w:after="0"/>
        <w:tabs>
          <w:tab w:leader="none" w:pos="600" w:val="left"/>
        </w:tabs>
        <w:numPr>
          <w:ilvl w:val="0"/>
          <w:numId w:val="4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Discharge and compliance of pollutants;</w:t>
      </w:r>
    </w:p>
    <w:p>
      <w:pPr>
        <w:spacing w:after="0" w:line="225" w:lineRule="exact"/>
        <w:rPr>
          <w:sz w:val="20"/>
          <w:szCs w:val="20"/>
          <w:color w:val="auto"/>
        </w:rPr>
      </w:pPr>
    </w:p>
    <w:p>
      <w:pPr>
        <w:ind w:left="600" w:hanging="214"/>
        <w:spacing w:after="0"/>
        <w:tabs>
          <w:tab w:leader="none" w:pos="600" w:val="left"/>
        </w:tabs>
        <w:numPr>
          <w:ilvl w:val="0"/>
          <w:numId w:val="4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Safety and health of employees;</w:t>
      </w:r>
    </w:p>
    <w:p>
      <w:pPr>
        <w:spacing w:after="0" w:line="225" w:lineRule="exact"/>
        <w:rPr>
          <w:sz w:val="20"/>
          <w:szCs w:val="20"/>
          <w:color w:val="auto"/>
        </w:rPr>
      </w:pPr>
    </w:p>
    <w:p>
      <w:pPr>
        <w:ind w:left="600" w:hanging="214"/>
        <w:spacing w:after="0"/>
        <w:tabs>
          <w:tab w:leader="none" w:pos="600" w:val="left"/>
        </w:tabs>
        <w:numPr>
          <w:ilvl w:val="0"/>
          <w:numId w:val="40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Major complaints and protests from neighboring communities against the borrower;</w:t>
      </w:r>
    </w:p>
    <w:p>
      <w:pPr>
        <w:spacing w:after="0" w:line="225" w:lineRule="exact"/>
        <w:rPr>
          <w:sz w:val="20"/>
          <w:szCs w:val="20"/>
          <w:color w:val="auto"/>
        </w:rPr>
      </w:pPr>
    </w:p>
    <w:p>
      <w:pPr>
        <w:ind w:left="600" w:hanging="214"/>
        <w:spacing w:after="0"/>
        <w:tabs>
          <w:tab w:leader="none" w:pos="600" w:val="left"/>
        </w:tabs>
        <w:numPr>
          <w:ilvl w:val="0"/>
          <w:numId w:val="4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Major environmental and social claims;</w:t>
      </w:r>
    </w:p>
    <w:p>
      <w:pPr>
        <w:spacing w:after="0" w:line="225" w:lineRule="exact"/>
        <w:rPr>
          <w:sz w:val="20"/>
          <w:szCs w:val="20"/>
          <w:color w:val="auto"/>
        </w:rPr>
      </w:pPr>
    </w:p>
    <w:p>
      <w:pPr>
        <w:ind w:left="600" w:hanging="214"/>
        <w:spacing w:after="0"/>
        <w:tabs>
          <w:tab w:leader="none" w:pos="600" w:val="left"/>
        </w:tabs>
        <w:numPr>
          <w:ilvl w:val="0"/>
          <w:numId w:val="4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major circumstances that the lender considers relevant to environmental and social risks.</w:t>
      </w:r>
    </w:p>
    <w:p>
      <w:pPr>
        <w:spacing w:after="0" w:line="225"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▲▲8.7 In case of any change of guarantee under this contract that is adverse to the creditor’s right of the loaner, the borrower should provide other guarantee recognized by the loaner in time.</w:t>
      </w:r>
    </w:p>
    <w:p>
      <w:pPr>
        <w:spacing w:after="0" w:line="162"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9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76"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spacing w:after="0" w:line="183"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8.10 According to the lender’s environmental and social risk assessment standards, if the borrower is a customer with environmental and social risks classified as A or B, the borrower shall assume the following obligations:</w:t>
      </w:r>
    </w:p>
    <w:p>
      <w:pPr>
        <w:spacing w:after="0" w:line="162" w:lineRule="exact"/>
        <w:rPr>
          <w:sz w:val="20"/>
          <w:szCs w:val="20"/>
          <w:color w:val="auto"/>
        </w:rPr>
      </w:pPr>
    </w:p>
    <w:p>
      <w:pPr>
        <w:ind w:firstLine="386"/>
        <w:spacing w:after="0" w:line="282" w:lineRule="auto"/>
        <w:tabs>
          <w:tab w:leader="none" w:pos="67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improve the internal management system of environmental and social risks, and specify the responsibilities, obligations and punishment measures of relevant responsible personnel of the borrower;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5" w:name="page336"/>
    <w:bookmarkEnd w:id="335"/>
    <w:p>
      <w:pPr>
        <w:ind w:left="640" w:hanging="254"/>
        <w:spacing w:after="0"/>
        <w:tabs>
          <w:tab w:leader="none" w:pos="6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improve the emergency response mechanism and measures for environmental and social risk emergencies;</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special departments and/or designate special personnel to be responsible for environmental and social risks;</w:t>
      </w:r>
    </w:p>
    <w:p>
      <w:pPr>
        <w:spacing w:after="0" w:line="225"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lender or a third party recognized by the lender in the assessment and inspection of the borrower’s environmental and social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w:t>
      </w:r>
    </w:p>
    <w:p>
      <w:pPr>
        <w:spacing w:after="0" w:line="206" w:lineRule="exact"/>
        <w:rPr>
          <w:rFonts w:ascii="Times New Roman" w:cs="Times New Roman" w:eastAsia="Times New Roman" w:hAnsi="Times New Roman"/>
          <w:sz w:val="18"/>
          <w:szCs w:val="18"/>
          <w:color w:val="auto"/>
        </w:rPr>
      </w:pPr>
    </w:p>
    <w:p>
      <w:pPr>
        <w:ind w:firstLine="386"/>
        <w:spacing w:after="0" w:line="282" w:lineRule="auto"/>
        <w:tabs>
          <w:tab w:leader="none" w:pos="63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appropriately or take other necessary actions when the public or other interested parties strongly question the borrower’s performance in controlling environmental and social risks;</w:t>
      </w:r>
    </w:p>
    <w:p>
      <w:pPr>
        <w:spacing w:after="0" w:line="161" w:lineRule="exact"/>
        <w:rPr>
          <w:rFonts w:ascii="Times New Roman" w:cs="Times New Roman" w:eastAsia="Times New Roman" w:hAnsi="Times New Roman"/>
          <w:sz w:val="18"/>
          <w:szCs w:val="18"/>
          <w:color w:val="auto"/>
        </w:rPr>
      </w:pPr>
    </w:p>
    <w:p>
      <w:pPr>
        <w:ind w:firstLine="386"/>
        <w:spacing w:after="0" w:line="282" w:lineRule="auto"/>
        <w:tabs>
          <w:tab w:leader="none" w:pos="64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Urge the borrower’s vital related parties to strengthen management and prevent the environmental and social risks of related parties from being transmitted to the borrower;</w:t>
      </w:r>
    </w:p>
    <w:p>
      <w:pPr>
        <w:spacing w:after="0" w:line="161"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obligations that the lender considers relevant to the control of environmental and social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Adjustment of Line of Credit, Acceleration of Maturity and Repricing of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9.1 Any event below should be deemed as the “early maturity event” of this contract:</w:t>
      </w:r>
    </w:p>
    <w:p>
      <w:pPr>
        <w:spacing w:after="0" w:line="223" w:lineRule="exact"/>
        <w:rPr>
          <w:sz w:val="20"/>
          <w:szCs w:val="20"/>
          <w:color w:val="auto"/>
        </w:rPr>
      </w:pPr>
    </w:p>
    <w:p>
      <w:pPr>
        <w:ind w:left="640" w:hanging="254"/>
        <w:spacing w:after="0"/>
        <w:tabs>
          <w:tab w:leader="none" w:pos="6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does not repay the principal or interest of the loan according to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under this contract;</w:t>
      </w:r>
    </w:p>
    <w:p>
      <w:pPr>
        <w:spacing w:after="0" w:line="227"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makes any false representation or guarantee under this contract;</w:t>
      </w:r>
    </w:p>
    <w:p>
      <w:pPr>
        <w:spacing w:after="0" w:line="225"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should be notified as specified in Article 8.6 occurs and influences or may influence the security of the creditor’s right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loaner;</w:t>
      </w:r>
    </w:p>
    <w:p>
      <w:pPr>
        <w:spacing w:after="0" w:line="206"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rule or regulatory policy is changed to the extent that the loaner will or may violate the law or rule if it issues the loan according to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firstLine="386"/>
        <w:spacing w:after="0" w:line="282" w:lineRule="auto"/>
        <w:tabs>
          <w:tab w:leader="none" w:pos="633"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performing the contract with the loaner or any third party, the borrower conducts any breach or the debt may be or has been announced to be mature in advance;</w:t>
      </w:r>
    </w:p>
    <w:p>
      <w:pPr>
        <w:spacing w:after="0" w:line="161"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breaches any other article of this contract.</w:t>
      </w:r>
    </w:p>
    <w:p>
      <w:pPr>
        <w:spacing w:after="0" w:line="225" w:lineRule="exact"/>
        <w:rPr>
          <w:rFonts w:ascii="Times New Roman" w:cs="Times New Roman" w:eastAsia="Times New Roman" w:hAnsi="Times New Roman"/>
          <w:sz w:val="18"/>
          <w:szCs w:val="18"/>
          <w:color w:val="auto"/>
        </w:rPr>
      </w:pPr>
    </w:p>
    <w:p>
      <w:pPr>
        <w:ind w:firstLine="386"/>
        <w:spacing w:after="0" w:line="282" w:lineRule="auto"/>
        <w:tabs>
          <w:tab w:leader="none" w:pos="63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lender’s environmental and social risk assessment standards, if the borrower’s environmental and social risks are classified as A or B, the borrower has any of the following events:</w:t>
      </w:r>
    </w:p>
    <w:p>
      <w:pPr>
        <w:spacing w:after="0" w:line="162" w:lineRule="exact"/>
        <w:rPr>
          <w:sz w:val="20"/>
          <w:szCs w:val="20"/>
          <w:color w:val="auto"/>
        </w:rPr>
      </w:pPr>
    </w:p>
    <w:p>
      <w:pPr>
        <w:ind w:left="580" w:hanging="194"/>
        <w:spacing w:after="0"/>
        <w:tabs>
          <w:tab w:leader="none" w:pos="580" w:val="left"/>
        </w:tabs>
        <w:numPr>
          <w:ilvl w:val="0"/>
          <w:numId w:val="4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borrower is punished by relevant government departments due to poor environmental and social risk management;</w:t>
      </w:r>
    </w:p>
    <w:p>
      <w:pPr>
        <w:spacing w:after="0" w:line="225" w:lineRule="exact"/>
        <w:rPr>
          <w:sz w:val="20"/>
          <w:szCs w:val="20"/>
          <w:color w:val="auto"/>
        </w:rPr>
      </w:pPr>
    </w:p>
    <w:p>
      <w:pPr>
        <w:ind w:right="20" w:firstLine="386"/>
        <w:spacing w:after="0" w:line="282" w:lineRule="auto"/>
        <w:tabs>
          <w:tab w:leader="none" w:pos="591" w:val="left"/>
        </w:tabs>
        <w:numPr>
          <w:ilvl w:val="0"/>
          <w:numId w:val="4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borrower is strongly questioned by the public and/or the media due to poor environmental and social risk management, and it is verified that there are relevant situations;</w:t>
      </w:r>
    </w:p>
    <w:p>
      <w:pPr>
        <w:spacing w:after="0" w:line="162" w:lineRule="exact"/>
        <w:rPr>
          <w:sz w:val="20"/>
          <w:szCs w:val="20"/>
          <w:color w:val="auto"/>
        </w:rPr>
      </w:pPr>
    </w:p>
    <w:p>
      <w:pPr>
        <w:ind w:left="580" w:hanging="194"/>
        <w:spacing w:after="0"/>
        <w:tabs>
          <w:tab w:leader="none" w:pos="580" w:val="left"/>
        </w:tabs>
        <w:numPr>
          <w:ilvl w:val="0"/>
          <w:numId w:val="4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borrower violates the obligations related to environmental and social risk management agreed with the lender in other contracts.</w:t>
      </w:r>
    </w:p>
    <w:p>
      <w:pPr>
        <w:spacing w:after="0" w:line="225"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9.2 In case of any “early maturity event”, the loaner may take any one, several or all measures below:</w:t>
      </w:r>
    </w:p>
    <w:p>
      <w:pPr>
        <w:spacing w:after="0" w:line="225"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 To lower, suspend or cancel the line of credit under this contract;</w:t>
      </w:r>
    </w:p>
    <w:p>
      <w:pPr>
        <w:spacing w:after="0" w:line="225"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To stop issuing the loan unused by the borrower;</w:t>
      </w:r>
    </w:p>
    <w:p>
      <w:pPr>
        <w:spacing w:after="0" w:line="225"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 To stop paying the loan unused but already withdrawn by the borrower;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6" w:name="page337"/>
    <w:bookmarkEnd w:id="336"/>
    <w:p>
      <w:pPr>
        <w:ind w:left="640" w:hanging="254"/>
        <w:spacing w:after="0"/>
        <w:tabs>
          <w:tab w:leader="none" w:pos="6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the borrower to supplement the issuance and payment conditions of loan to the loaner with the regulated period;</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the borrower to change the payment mode as required by the loaner;</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reprice against the risk in executing the loan according to Article 9.3;</w:t>
      </w:r>
    </w:p>
    <w:p>
      <w:pPr>
        <w:spacing w:after="0" w:line="225" w:lineRule="exact"/>
        <w:rPr>
          <w:rFonts w:ascii="Times New Roman" w:cs="Times New Roman" w:eastAsia="Times New Roman" w:hAnsi="Times New Roman"/>
          <w:sz w:val="18"/>
          <w:szCs w:val="18"/>
          <w:color w:val="auto"/>
        </w:rPr>
      </w:pPr>
    </w:p>
    <w:p>
      <w:pPr>
        <w:ind w:firstLine="386"/>
        <w:spacing w:after="0" w:line="282" w:lineRule="auto"/>
        <w:tabs>
          <w:tab w:leader="none" w:pos="65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announce that the principal of loan already issued under this contract becomes mature and require the borrower to repay the principal and interest of all the mature loan immediately.</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9.3.1 The repricing mentioned above consists of two modes, including repricing and directly raising the loan interest rate. The specific mode is agreed by both parties in Article 21.</w:t>
      </w:r>
    </w:p>
    <w:p>
      <w:pPr>
        <w:spacing w:after="0" w:line="16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9.3.3 “Direct raise of loan interest rate” means that the loaner may directly raise the loan interest rate according to this article and Article 21.</w:t>
      </w:r>
    </w:p>
    <w:p>
      <w:pPr>
        <w:spacing w:after="0" w:line="225"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9.3.3.1 Since the loan sends a notice of “repricing date” to the borrower, the loan interest rate should be applied to each loan that the borrower has not repaid by the “repricing date”.</w:t>
      </w:r>
    </w:p>
    <w:p>
      <w:pPr>
        <w:spacing w:after="0" w:line="162"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spacing w:after="0" w:line="18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9.3.3.3 If the loan currency is other than RMB, US dollar, Euro, Hong Kong dollar, Japanese yen and British pound, the increased loan interest rate shall be determined according to Article 21.2.2.</w:t>
      </w:r>
    </w:p>
    <w:p>
      <w:pPr>
        <w:spacing w:after="0" w:line="162"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spacing w:after="0" w:line="183"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color w:val="auto"/>
        </w:rPr>
        <w:t>▲▲Article 10. Breach</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Deduction</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74" w:lineRule="exact"/>
        <w:rPr>
          <w:sz w:val="20"/>
          <w:szCs w:val="20"/>
          <w:color w:val="auto"/>
        </w:rPr>
      </w:pPr>
    </w:p>
    <w:p>
      <w:pPr>
        <w:jc w:val="both"/>
        <w:ind w:firstLine="378"/>
        <w:spacing w:after="0" w:line="284" w:lineRule="auto"/>
        <w:rPr>
          <w:sz w:val="20"/>
          <w:szCs w:val="20"/>
          <w:color w:val="auto"/>
        </w:rPr>
      </w:pPr>
      <w:r>
        <w:rPr>
          <w:rFonts w:ascii="Times New Roman" w:cs="Times New Roman" w:eastAsia="Times New Roman" w:hAnsi="Times New Roman"/>
          <w:sz w:val="18"/>
          <w:szCs w:val="18"/>
          <w:color w:val="auto"/>
        </w:rPr>
        <w:t xml:space="preserve">11.2 After such deduction, the loaner should inform the borrower of relevant account number, contract number, number of </w:t>
      </w:r>
      <w:r>
        <w:rPr>
          <w:rFonts w:ascii="Times New Roman" w:cs="Times New Roman" w:eastAsia="Times New Roman" w:hAnsi="Times New Roman"/>
          <w:sz w:val="18"/>
          <w:szCs w:val="18"/>
          <w:i w:val="1"/>
          <w:iCs w:val="1"/>
          <w:color w:val="auto"/>
        </w:rPr>
        <w:t>Application for Use of 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Credit</w:t>
      </w:r>
      <w:r>
        <w:rPr>
          <w:rFonts w:ascii="Times New Roman" w:cs="Times New Roman" w:eastAsia="Times New Roman" w:hAnsi="Times New Roman"/>
          <w:sz w:val="18"/>
          <w:szCs w:val="18"/>
          <w:color w:val="auto"/>
        </w:rPr>
        <w:t>, deduction amount and remaining debt.</w:t>
      </w:r>
    </w:p>
    <w:p>
      <w:pPr>
        <w:spacing w:after="0" w:line="16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11.3 If the deducted fund is insufficient to repay all the debt of the borrower, the debt to be repaid by such fund should be determined according to this contract.</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Notice</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76" w:lineRule="exact"/>
        <w:rPr>
          <w:sz w:val="20"/>
          <w:szCs w:val="20"/>
          <w:color w:val="auto"/>
        </w:rPr>
      </w:pPr>
    </w:p>
    <w:p>
      <w:pPr>
        <w:ind w:right="20" w:firstLine="386"/>
        <w:spacing w:after="0" w:line="282" w:lineRule="auto"/>
        <w:tabs>
          <w:tab w:leader="none" w:pos="643"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loaner chooses the announcement, the date at which the loaner publishes the announcement on its website, online bank, telephone bank or outlet should be deemed as the delivery date;</w:t>
      </w:r>
    </w:p>
    <w:p>
      <w:pPr>
        <w:spacing w:after="0" w:line="161"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loaner chooses the personal delivery, the date at which the borrower signs to confirm the reception should be deemed as the delivery date;</w:t>
      </w:r>
    </w:p>
    <w:p>
      <w:pPr>
        <w:spacing w:after="0" w:line="225" w:lineRule="exact"/>
        <w:rPr>
          <w:rFonts w:ascii="Times New Roman" w:cs="Times New Roman" w:eastAsia="Times New Roman" w:hAnsi="Times New Roman"/>
          <w:sz w:val="18"/>
          <w:szCs w:val="18"/>
          <w:color w:val="auto"/>
        </w:rPr>
      </w:pPr>
    </w:p>
    <w:p>
      <w:pPr>
        <w:jc w:val="both"/>
        <w:ind w:firstLine="386"/>
        <w:spacing w:after="0" w:line="266" w:lineRule="auto"/>
        <w:tabs>
          <w:tab w:leader="none" w:pos="65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175" w:lineRule="exact"/>
        <w:rPr>
          <w:rFonts w:ascii="Times New Roman" w:cs="Times New Roman" w:eastAsia="Times New Roman" w:hAnsi="Times New Roman"/>
          <w:sz w:val="18"/>
          <w:szCs w:val="18"/>
          <w:color w:val="auto"/>
        </w:rPr>
      </w:pPr>
    </w:p>
    <w:p>
      <w:pPr>
        <w:jc w:val="both"/>
        <w:ind w:firstLine="386"/>
        <w:spacing w:after="0" w:line="261" w:lineRule="auto"/>
        <w:tabs>
          <w:tab w:leader="none" w:pos="65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8" w:name="page339"/>
    <w:bookmarkEnd w:id="338"/>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 If the borrower responds to the lawsuit and directly submits the confirmation of service address to the court, if the confirmed address is inconsistent with the communication address recently known by the lender, the court has the right to serve according to the address on the confirmation of service address.</w:t>
      </w:r>
    </w:p>
    <w:p>
      <w:pPr>
        <w:spacing w:after="0" w:line="187"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In the process of dispute resolution under the Contract, the court may serve the judgment, ruling and mediation statement on the Borrower in any of the following ways:</w:t>
      </w:r>
    </w:p>
    <w:p>
      <w:pPr>
        <w:spacing w:after="0" w:line="162" w:lineRule="exact"/>
        <w:rPr>
          <w:sz w:val="20"/>
          <w:szCs w:val="20"/>
          <w:color w:val="auto"/>
        </w:rPr>
      </w:pPr>
    </w:p>
    <w:p>
      <w:pPr>
        <w:ind w:firstLine="386"/>
        <w:spacing w:after="0" w:line="282" w:lineRule="auto"/>
        <w:tabs>
          <w:tab w:leader="none" w:pos="65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delivery by post (including express mail, ordinary mail and registered mail) shall be the date on which the borrower signs on the service receipt;</w:t>
      </w:r>
    </w:p>
    <w:p>
      <w:pPr>
        <w:spacing w:after="0" w:line="161"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the borrower signs on the service receipt shall be deemed as the date of service.</w:t>
      </w:r>
    </w:p>
    <w:p>
      <w:pPr>
        <w:spacing w:after="0" w:line="22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If the court uses the method of delivery by post (including express mail, ordinary mail and registered mail), if the borrower fails to sign on the service receipt, or the mailing address filled in by the borrower is inaccurate, or the mailing address is actually changed, but the lender does not receive the borrower’s written notice on changing the mailing address, resulting in the return of the judgment, ruling and mediation statement, the date when the document is returned shall be deemed as the date of service.</w:t>
      </w:r>
    </w:p>
    <w:p>
      <w:pPr>
        <w:spacing w:after="0" w:line="18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If the court adopts the method of personal service, if the borrower fails to sign on the service receipt, the date of service shall be the date when the sender records the situation on the service receipt.</w:t>
      </w:r>
    </w:p>
    <w:p>
      <w:pPr>
        <w:spacing w:after="0" w:line="162"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Except for the judgment, ruling and mediation statement, the court has the right to give any notice to the borrower through any communication method agreed in Article 12.2. The Court shall have the right to choose such means of communication as it thinks fit, and shall not be liable for any errors, omissions or delays in the delivery of mail, fax, telephone, telex or any other communication system. If the court chooses multiple communication methods at the same time, the one that reaches the borrower faster shall prevail.</w:t>
      </w:r>
    </w:p>
    <w:p>
      <w:pPr>
        <w:spacing w:after="0" w:line="18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12.4 This clause is an independent dispute resolution clause in the contract. If the contract is invalid, canceled or terminated, the validity of this clause will not be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Article 13. Disclosure and Confidentiality</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under following circumstances:</w:t>
      </w:r>
    </w:p>
    <w:p>
      <w:pPr>
        <w:spacing w:after="0" w:line="176" w:lineRule="exact"/>
        <w:rPr>
          <w:sz w:val="20"/>
          <w:szCs w:val="20"/>
          <w:color w:val="auto"/>
        </w:rPr>
      </w:pPr>
    </w:p>
    <w:p>
      <w:pPr>
        <w:ind w:left="640" w:hanging="254"/>
        <w:spacing w:after="0"/>
        <w:tabs>
          <w:tab w:leader="none" w:pos="64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or rule requires such disclosure;</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judicial department or regulatory authority requires such disclosure;</w:t>
      </w:r>
    </w:p>
    <w:p>
      <w:pPr>
        <w:spacing w:after="0" w:line="225" w:lineRule="exact"/>
        <w:rPr>
          <w:rFonts w:ascii="Times New Roman" w:cs="Times New Roman" w:eastAsia="Times New Roman" w:hAnsi="Times New Roman"/>
          <w:sz w:val="18"/>
          <w:szCs w:val="18"/>
          <w:color w:val="auto"/>
        </w:rPr>
      </w:pPr>
    </w:p>
    <w:p>
      <w:pPr>
        <w:jc w:val="both"/>
        <w:ind w:firstLine="386"/>
        <w:spacing w:after="0" w:line="266" w:lineRule="auto"/>
        <w:tabs>
          <w:tab w:leader="none" w:pos="66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borrower does not repay the principal and/or interest of the loan in time, the loaner has to make the disclosure to the external professional advisor for the purpose of realizing the creditor’s right under this contract but such external professional advisor must assume the confidentiality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9" w:name="page340"/>
    <w:bookmarkEnd w:id="339"/>
    <w:p>
      <w:pPr>
        <w:ind w:left="380"/>
        <w:spacing w:after="0"/>
        <w:rPr>
          <w:sz w:val="20"/>
          <w:szCs w:val="20"/>
          <w:color w:val="auto"/>
        </w:rPr>
      </w:pPr>
      <w:r>
        <w:rPr>
          <w:rFonts w:ascii="Times New Roman" w:cs="Times New Roman" w:eastAsia="Times New Roman" w:hAnsi="Times New Roman"/>
          <w:sz w:val="18"/>
          <w:szCs w:val="18"/>
          <w:color w:val="auto"/>
        </w:rPr>
        <w:t>(4) The borrower agrees or authorizes the loaner to make the disclosure.</w:t>
      </w:r>
    </w:p>
    <w:p>
      <w:pPr>
        <w:spacing w:after="0" w:line="223" w:lineRule="exact"/>
        <w:rPr>
          <w:sz w:val="20"/>
          <w:szCs w:val="20"/>
          <w:color w:val="auto"/>
        </w:rPr>
      </w:pPr>
    </w:p>
    <w:p>
      <w:pPr>
        <w:jc w:val="both"/>
        <w:ind w:firstLine="378"/>
        <w:spacing w:after="0" w:line="284" w:lineRule="auto"/>
        <w:rPr>
          <w:sz w:val="20"/>
          <w:szCs w:val="20"/>
          <w:color w:val="auto"/>
        </w:rPr>
      </w:pPr>
      <w:r>
        <w:rPr>
          <w:rFonts w:ascii="Times New Roman" w:cs="Times New Roman" w:eastAsia="Times New Roman" w:hAnsi="Times New Roman"/>
          <w:sz w:val="18"/>
          <w:szCs w:val="18"/>
          <w:color w:val="auto"/>
        </w:rPr>
        <w:t xml:space="preserve">13.2 The borrower confirms that it has signed the </w:t>
      </w:r>
      <w:r>
        <w:rPr>
          <w:rFonts w:ascii="Times New Roman" w:cs="Times New Roman" w:eastAsia="Times New Roman" w:hAnsi="Times New Roman"/>
          <w:sz w:val="18"/>
          <w:szCs w:val="18"/>
          <w:i w:val="1"/>
          <w:iCs w:val="1"/>
          <w:color w:val="auto"/>
        </w:rPr>
        <w:t>Credit Information Inquiry and Provision Authorization</w:t>
      </w:r>
      <w:r>
        <w:rPr>
          <w:rFonts w:ascii="Times New Roman" w:cs="Times New Roman" w:eastAsia="Times New Roman" w:hAnsi="Times New Roman"/>
          <w:sz w:val="18"/>
          <w:szCs w:val="18"/>
          <w:color w:val="auto"/>
        </w:rPr>
        <w:t>. The loaner may inquire, use and keep the credit information of the borrower within the scope regulated by the authorization.</w:t>
      </w:r>
    </w:p>
    <w:p>
      <w:pPr>
        <w:spacing w:after="0" w:line="16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176" w:lineRule="exact"/>
        <w:rPr>
          <w:sz w:val="20"/>
          <w:szCs w:val="20"/>
          <w:color w:val="auto"/>
        </w:rPr>
      </w:pPr>
    </w:p>
    <w:p>
      <w:pPr>
        <w:jc w:val="both"/>
        <w:ind w:firstLine="378"/>
        <w:spacing w:after="0" w:line="219" w:lineRule="exact"/>
        <w:rPr>
          <w:sz w:val="20"/>
          <w:szCs w:val="20"/>
          <w:color w:val="auto"/>
        </w:rPr>
      </w:pPr>
      <w:r>
        <w:rPr>
          <w:rFonts w:ascii="Times New Roman" w:cs="Times New Roman" w:eastAsia="Times New Roman" w:hAnsi="Times New Roman"/>
          <w:sz w:val="18"/>
          <w:szCs w:val="18"/>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8"/>
          <w:szCs w:val="18"/>
          <w:color w:val="auto"/>
        </w:rPr>
        <w:t>①</w:t>
      </w:r>
      <w:r>
        <w:rPr>
          <w:rFonts w:ascii="Times New Roman" w:cs="Times New Roman" w:eastAsia="Times New Roman" w:hAnsi="Times New Roman"/>
          <w:sz w:val="18"/>
          <w:szCs w:val="18"/>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8"/>
          <w:szCs w:val="18"/>
          <w:color w:val="auto"/>
        </w:rPr>
        <w:t>②</w:t>
      </w:r>
      <w:r>
        <w:rPr>
          <w:rFonts w:ascii="Times New Roman" w:cs="Times New Roman" w:eastAsia="Times New Roman" w:hAnsi="Times New Roman"/>
          <w:sz w:val="18"/>
          <w:szCs w:val="18"/>
          <w:color w:val="auto"/>
        </w:rPr>
        <w:t xml:space="preserve"> The loaner provides or may provide the borrower with the new product or service, or further provides the service.</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Whether Article 13.3 is applicable should be subject to Article 24 of this contract.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Applicable Laws and Dispute Solution</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Effectiveness of the contract, loan nature and contract composition</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spacing w:after="0" w:line="178" w:lineRule="exact"/>
        <w:rPr>
          <w:sz w:val="20"/>
          <w:szCs w:val="20"/>
          <w:color w:val="auto"/>
        </w:rPr>
      </w:pPr>
    </w:p>
    <w:p>
      <w:pPr>
        <w:jc w:val="both"/>
        <w:ind w:firstLine="378"/>
        <w:spacing w:after="0" w:line="284" w:lineRule="auto"/>
        <w:rPr>
          <w:sz w:val="20"/>
          <w:szCs w:val="20"/>
          <w:color w:val="auto"/>
        </w:rPr>
      </w:pPr>
      <w:r>
        <w:rPr>
          <w:rFonts w:ascii="Times New Roman" w:cs="Times New Roman" w:eastAsia="Times New Roman" w:hAnsi="Times New Roman"/>
          <w:sz w:val="18"/>
          <w:szCs w:val="18"/>
          <w:color w:val="auto"/>
        </w:rPr>
        <w:t xml:space="preserve">15.2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and other relevant documents and materials signed under this contract are indispensable parts of this contract.</w:t>
      </w:r>
    </w:p>
    <w:p>
      <w:pPr>
        <w:spacing w:after="0" w:line="158" w:lineRule="exact"/>
        <w:rPr>
          <w:sz w:val="20"/>
          <w:szCs w:val="20"/>
          <w:color w:val="auto"/>
        </w:rPr>
      </w:pPr>
    </w:p>
    <w:p>
      <w:pPr>
        <w:jc w:val="both"/>
        <w:ind w:firstLine="378"/>
        <w:spacing w:after="0" w:line="28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is the supplement to this contract. Unless otherwise regulated in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rights, obligations and other matters of the borrower and the loaner should still be subject to this contract.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Specific Content of Line of Credit</w:t>
      </w:r>
    </w:p>
    <w:p>
      <w:pPr>
        <w:spacing w:after="0" w:line="200" w:lineRule="exact"/>
        <w:rPr>
          <w:sz w:val="20"/>
          <w:szCs w:val="20"/>
          <w:color w:val="auto"/>
        </w:rPr>
      </w:pPr>
    </w:p>
    <w:p>
      <w:pPr>
        <w:jc w:val="both"/>
        <w:ind w:firstLine="378"/>
        <w:spacing w:after="0" w:line="250" w:lineRule="exact"/>
        <w:rPr>
          <w:sz w:val="20"/>
          <w:szCs w:val="20"/>
          <w:color w:val="auto"/>
        </w:rPr>
      </w:pPr>
      <w:r>
        <w:rPr>
          <w:rFonts w:ascii="Times New Roman" w:cs="Times New Roman" w:eastAsia="Times New Roman" w:hAnsi="Times New Roman"/>
          <w:sz w:val="18"/>
          <w:szCs w:val="18"/>
          <w:color w:val="auto"/>
        </w:rPr>
        <w:t xml:space="preserve">16.1 Currency of line of credit: </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xml:space="preserve">; Amount in words: </w:t>
      </w:r>
      <w:r>
        <w:rPr>
          <w:rFonts w:ascii="Times New Roman" w:cs="Times New Roman" w:eastAsia="Times New Roman" w:hAnsi="Times New Roman"/>
          <w:sz w:val="18"/>
          <w:szCs w:val="18"/>
          <w:u w:val="single" w:color="auto"/>
          <w:color w:val="auto"/>
        </w:rPr>
        <w:t>ten million yuan;</w:t>
      </w:r>
      <w:r>
        <w:rPr>
          <w:rFonts w:ascii="Times New Roman" w:cs="Times New Roman" w:eastAsia="Times New Roman" w:hAnsi="Times New Roman"/>
          <w:sz w:val="18"/>
          <w:szCs w:val="18"/>
          <w:color w:val="auto"/>
        </w:rPr>
        <w:t xml:space="preserve"> It can be used in √ currency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line currency and other currencies acceptable to the lender; This line belongs to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Revolving line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One time line (can be used for many times) √ One time line (only used once).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16.2 Purpose of credit line: </w:t>
      </w:r>
      <w:r>
        <w:rPr>
          <w:rFonts w:ascii="Times New Roman" w:cs="Times New Roman" w:eastAsia="Times New Roman" w:hAnsi="Times New Roman"/>
          <w:sz w:val="18"/>
          <w:szCs w:val="18"/>
          <w:u w:val="single" w:color="auto"/>
          <w:color w:val="auto"/>
        </w:rPr>
        <w:t>business turnover.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16.3 The credit term is from </w:t>
      </w:r>
      <w:r>
        <w:rPr>
          <w:rFonts w:ascii="Times New Roman" w:cs="Times New Roman" w:eastAsia="Times New Roman" w:hAnsi="Times New Roman"/>
          <w:sz w:val="18"/>
          <w:szCs w:val="18"/>
          <w:u w:val="single" w:color="auto"/>
          <w:color w:val="auto"/>
        </w:rPr>
        <w:t>April 3, 2022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April 3,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0" w:name="page341"/>
    <w:bookmarkEnd w:id="340"/>
    <w:p>
      <w:pPr>
        <w:ind w:left="380"/>
        <w:spacing w:after="0"/>
        <w:rPr>
          <w:sz w:val="20"/>
          <w:szCs w:val="20"/>
          <w:color w:val="auto"/>
        </w:rPr>
      </w:pPr>
      <w:r>
        <w:rPr>
          <w:rFonts w:ascii="Times New Roman" w:cs="Times New Roman" w:eastAsia="Times New Roman" w:hAnsi="Times New Roman"/>
          <w:sz w:val="18"/>
          <w:szCs w:val="18"/>
          <w:b w:val="1"/>
          <w:bCs w:val="1"/>
          <w:color w:val="auto"/>
        </w:rPr>
        <w:t>Article 17. Interest Rate</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Account</w:t>
      </w:r>
    </w:p>
    <w:p>
      <w:pPr>
        <w:spacing w:after="0" w:line="200" w:lineRule="exact"/>
        <w:rPr>
          <w:sz w:val="20"/>
          <w:szCs w:val="20"/>
          <w:color w:val="auto"/>
        </w:rPr>
      </w:pPr>
    </w:p>
    <w:p>
      <w:pPr>
        <w:jc w:val="both"/>
        <w:ind w:firstLine="378"/>
        <w:spacing w:after="0" w:line="239" w:lineRule="exact"/>
        <w:rPr>
          <w:sz w:val="20"/>
          <w:szCs w:val="20"/>
          <w:color w:val="auto"/>
        </w:rPr>
      </w:pPr>
      <w:r>
        <w:rPr>
          <w:rFonts w:ascii="Times New Roman" w:cs="Times New Roman" w:eastAsia="Times New Roman" w:hAnsi="Times New Roman"/>
          <w:sz w:val="18"/>
          <w:szCs w:val="18"/>
          <w:color w:val="auto"/>
        </w:rPr>
        <w:t xml:space="preserve">18.1 The borrower appoints the following account to be the issuance account. The account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 is not the dedicated loan issuance account opened at the loaner. If both parties otherwise regulate in the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i w:val="1"/>
          <w:iCs w:val="1"/>
          <w:color w:val="auto"/>
        </w:rPr>
        <w:t>Application for Use of Line of Credit</w:t>
      </w:r>
      <w:r>
        <w:rPr>
          <w:rFonts w:ascii="Times New Roman" w:cs="Times New Roman" w:eastAsia="Times New Roman" w:hAnsi="Times New Roman"/>
          <w:sz w:val="18"/>
          <w:szCs w:val="18"/>
          <w:color w:val="auto"/>
        </w:rPr>
        <w:t xml:space="preserve"> should prevail.</w:t>
      </w:r>
    </w:p>
    <w:p>
      <w:pPr>
        <w:spacing w:after="0" w:line="199" w:lineRule="exact"/>
        <w:rPr>
          <w:sz w:val="20"/>
          <w:szCs w:val="20"/>
          <w:color w:val="auto"/>
        </w:rPr>
      </w:pPr>
    </w:p>
    <w:p>
      <w:pPr>
        <w:ind w:left="380"/>
        <w:spacing w:after="0"/>
        <w:tabs>
          <w:tab w:leader="none" w:pos="1720" w:val="left"/>
        </w:tabs>
        <w:rPr>
          <w:sz w:val="20"/>
          <w:szCs w:val="20"/>
          <w:color w:val="auto"/>
        </w:rPr>
      </w:pPr>
      <w:r>
        <w:rPr>
          <w:rFonts w:ascii="Times New Roman" w:cs="Times New Roman" w:eastAsia="Times New Roman" w:hAnsi="Times New Roman"/>
          <w:sz w:val="18"/>
          <w:szCs w:val="18"/>
          <w:color w:val="auto"/>
        </w:rPr>
        <w:t>Account name:</w:t>
      </w:r>
      <w:r>
        <w:rPr>
          <w:sz w:val="20"/>
          <w:szCs w:val="20"/>
          <w:color w:val="auto"/>
        </w:rPr>
        <w:tab/>
      </w:r>
      <w:r>
        <w:rPr>
          <w:rFonts w:ascii="Times New Roman" w:cs="Times New Roman" w:eastAsia="Times New Roman" w:hAnsi="Times New Roman"/>
          <w:sz w:val="17"/>
          <w:szCs w:val="17"/>
          <w:color w:val="auto"/>
        </w:rPr>
        <w:t>ChinaLink Professional Services Co., Ltd.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 number: 310066865018010213932</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Bank of deposit: Zhangjiang Sub-branch of Bank of Communications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18.2 The borrower appoints that: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The repayment account:</w:t>
      </w:r>
    </w:p>
    <w:p>
      <w:pPr>
        <w:spacing w:after="0" w:line="225" w:lineRule="exact"/>
        <w:rPr>
          <w:sz w:val="20"/>
          <w:szCs w:val="20"/>
          <w:color w:val="auto"/>
        </w:rPr>
      </w:pPr>
    </w:p>
    <w:p>
      <w:pPr>
        <w:ind w:left="380"/>
        <w:spacing w:after="0"/>
        <w:tabs>
          <w:tab w:leader="none" w:pos="1720" w:val="left"/>
        </w:tabs>
        <w:rPr>
          <w:sz w:val="20"/>
          <w:szCs w:val="20"/>
          <w:color w:val="auto"/>
        </w:rPr>
      </w:pPr>
      <w:r>
        <w:rPr>
          <w:rFonts w:ascii="Times New Roman" w:cs="Times New Roman" w:eastAsia="Times New Roman" w:hAnsi="Times New Roman"/>
          <w:sz w:val="18"/>
          <w:szCs w:val="18"/>
          <w:color w:val="auto"/>
        </w:rPr>
        <w:t>Account name:</w:t>
      </w:r>
      <w:r>
        <w:rPr>
          <w:sz w:val="20"/>
          <w:szCs w:val="20"/>
          <w:color w:val="auto"/>
        </w:rPr>
        <w:tab/>
      </w:r>
      <w:r>
        <w:rPr>
          <w:rFonts w:ascii="Times New Roman" w:cs="Times New Roman" w:eastAsia="Times New Roman" w:hAnsi="Times New Roman"/>
          <w:sz w:val="17"/>
          <w:szCs w:val="17"/>
          <w:color w:val="auto"/>
        </w:rPr>
        <w:t>ChinaLink Professional Services Co., Ltd.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 number: 310066865018010213932</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Bank of deposit: Zhangjiang Sub-branch of Bank of Communications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 The fund collection account:</w:t>
      </w:r>
    </w:p>
    <w:p>
      <w:pPr>
        <w:spacing w:after="0" w:line="225" w:lineRule="exact"/>
        <w:rPr>
          <w:sz w:val="20"/>
          <w:szCs w:val="20"/>
          <w:color w:val="auto"/>
        </w:rPr>
      </w:pPr>
    </w:p>
    <w:p>
      <w:pPr>
        <w:ind w:left="380"/>
        <w:spacing w:after="0"/>
        <w:tabs>
          <w:tab w:leader="none" w:pos="1720" w:val="left"/>
        </w:tabs>
        <w:rPr>
          <w:sz w:val="20"/>
          <w:szCs w:val="20"/>
          <w:color w:val="auto"/>
        </w:rPr>
      </w:pPr>
      <w:r>
        <w:rPr>
          <w:rFonts w:ascii="Times New Roman" w:cs="Times New Roman" w:eastAsia="Times New Roman" w:hAnsi="Times New Roman"/>
          <w:sz w:val="18"/>
          <w:szCs w:val="18"/>
          <w:color w:val="auto"/>
        </w:rPr>
        <w:t>Account name:</w:t>
      </w:r>
      <w:r>
        <w:rPr>
          <w:sz w:val="20"/>
          <w:szCs w:val="20"/>
          <w:color w:val="auto"/>
        </w:rPr>
        <w:tab/>
      </w:r>
      <w:r>
        <w:rPr>
          <w:rFonts w:ascii="Times New Roman" w:cs="Times New Roman" w:eastAsia="Times New Roman" w:hAnsi="Times New Roman"/>
          <w:sz w:val="17"/>
          <w:szCs w:val="17"/>
          <w:color w:val="auto"/>
        </w:rPr>
        <w:t>ChinaLink Professional Services Co., Ltd.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 number: 310066865018010213932</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Bank of deposit: Zhangjiang Sub-branch of Bank of Communications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Issuance, Payment and Repayment of Loan</w:t>
      </w:r>
    </w:p>
    <w:p>
      <w:pPr>
        <w:spacing w:after="0" w:line="200" w:lineRule="exact"/>
        <w:rPr>
          <w:sz w:val="20"/>
          <w:szCs w:val="20"/>
          <w:color w:val="auto"/>
        </w:rPr>
      </w:pPr>
    </w:p>
    <w:p>
      <w:pPr>
        <w:jc w:val="both"/>
        <w:ind w:firstLine="378"/>
        <w:spacing w:after="0" w:line="239" w:lineRule="exact"/>
        <w:rPr>
          <w:sz w:val="20"/>
          <w:szCs w:val="20"/>
          <w:color w:val="auto"/>
        </w:rPr>
      </w:pPr>
      <w:r>
        <w:rPr>
          <w:rFonts w:ascii="Times New Roman" w:cs="Times New Roman" w:eastAsia="Times New Roman" w:hAnsi="Times New Roman"/>
          <w:sz w:val="18"/>
          <w:szCs w:val="18"/>
          <w:color w:val="auto"/>
        </w:rPr>
        <w:t xml:space="preserve">19.1 The period of each loan withdrawn under this contract should be no longer than 12 √ months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days, and the maturity date of all the loan should be no later than </w:t>
      </w:r>
      <w:r>
        <w:rPr>
          <w:rFonts w:ascii="Times New Roman" w:cs="Times New Roman" w:eastAsia="Times New Roman" w:hAnsi="Times New Roman"/>
          <w:sz w:val="18"/>
          <w:szCs w:val="18"/>
          <w:u w:val="single" w:color="auto"/>
          <w:color w:val="auto"/>
        </w:rPr>
        <w:t>Oct 3, 2023</w:t>
      </w:r>
    </w:p>
    <w:p>
      <w:pPr>
        <w:spacing w:after="0" w:line="170"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19.2 The limit of independent payment under the Contract is: √ RMB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/(foreign currency) </w:t>
      </w:r>
      <w:r>
        <w:rPr>
          <w:rFonts w:ascii="Times New Roman" w:cs="Times New Roman" w:eastAsia="Times New Roman" w:hAnsi="Times New Roman"/>
          <w:sz w:val="18"/>
          <w:szCs w:val="18"/>
          <w:u w:val="single" w:color="auto"/>
          <w:color w:val="auto"/>
        </w:rPr>
        <w:t>zero</w:t>
      </w:r>
      <w:r>
        <w:rPr>
          <w:rFonts w:ascii="Times New Roman" w:cs="Times New Roman" w:eastAsia="Times New Roman" w:hAnsi="Times New Roman"/>
          <w:sz w:val="18"/>
          <w:szCs w:val="18"/>
          <w:color w:val="auto"/>
        </w:rPr>
        <w:t xml:space="preserve"> thousand yuan or equivalent in other currencies.</w:t>
      </w:r>
    </w:p>
    <w:p>
      <w:pPr>
        <w:spacing w:after="0" w:line="2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19.3 The entrusted payment by loaner is compulsory once any condition below is met: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_________________________________________________________________________</w:t>
      </w:r>
    </w:p>
    <w:p>
      <w:pPr>
        <w:spacing w:after="0" w:line="225"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19.4 In the mode of independent payment by the borrower, the borrower should report the payment of loan fund to the loaner within 15 days since the issuance of 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color w:val="auto"/>
        </w:rPr>
        <w:t>Article 20. Financial Restriction, External Rating, Production and Operation Qualification/License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20.1 Limit on the external investment by the borrower is RMB </w:t>
      </w:r>
      <w:r>
        <w:rPr>
          <w:rFonts w:ascii="Times New Roman" w:cs="Times New Roman" w:eastAsia="Times New Roman" w:hAnsi="Times New Roman"/>
          <w:sz w:val="18"/>
          <w:szCs w:val="18"/>
          <w:u w:val="single" w:color="auto"/>
          <w:color w:val="auto"/>
        </w:rPr>
        <w:t>90 million</w:t>
      </w:r>
      <w:r>
        <w:rPr>
          <w:rFonts w:ascii="Times New Roman" w:cs="Times New Roman" w:eastAsia="Times New Roman" w:hAnsi="Times New Roman"/>
          <w:sz w:val="18"/>
          <w:szCs w:val="18"/>
          <w:color w:val="auto"/>
        </w:rPr>
        <w:t xml:space="preserve">; limit on the increase of debt financing is RMB </w:t>
      </w:r>
      <w:r>
        <w:rPr>
          <w:rFonts w:ascii="Times New Roman" w:cs="Times New Roman" w:eastAsia="Times New Roman" w:hAnsi="Times New Roman"/>
          <w:sz w:val="18"/>
          <w:szCs w:val="18"/>
          <w:u w:val="single" w:color="auto"/>
          <w:color w:val="auto"/>
        </w:rPr>
        <w:t>90 million.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 Specific regulations on the financial indexes of the borrower:</w:t>
      </w:r>
    </w:p>
    <w:p>
      <w:pPr>
        <w:spacing w:after="0" w:line="225" w:lineRule="exact"/>
        <w:rPr>
          <w:sz w:val="20"/>
          <w:szCs w:val="20"/>
          <w:color w:val="auto"/>
        </w:rPr>
      </w:pPr>
    </w:p>
    <w:p>
      <w:pPr>
        <w:ind w:left="640" w:hanging="254"/>
        <w:spacing w:after="0"/>
        <w:tabs>
          <w:tab w:leader="none" w:pos="64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 Specific regulations on the external rating:</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_________________________________________________________________________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 Specific regulations on the production and operation qualification/license of the borrower:</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____________________________________/____________________________________</w:t>
      </w:r>
    </w:p>
    <w:p>
      <w:pPr>
        <w:spacing w:after="0" w:line="225" w:lineRule="exact"/>
        <w:rPr>
          <w:rFonts w:ascii="Times New Roman" w:cs="Times New Roman" w:eastAsia="Times New Roman" w:hAnsi="Times New Roman"/>
          <w:sz w:val="18"/>
          <w:szCs w:val="18"/>
          <w:color w:val="auto"/>
        </w:rPr>
      </w:pPr>
    </w:p>
    <w:p>
      <w:pPr>
        <w:ind w:left="640" w:hanging="254"/>
        <w:spacing w:after="0"/>
        <w:tabs>
          <w:tab w:leader="none" w:pos="6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_________________________________________________________________________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 Repricing of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21.1 This contract adopts the first repricing mode below: (1) Repricing through negotiations; (2) Direct raising the loan interest rate.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21.2 Once the “direct raising the loan interest rate” is adopted:</w:t>
      </w:r>
    </w:p>
    <w:p>
      <w:pPr>
        <w:spacing w:after="0" w:line="225" w:lineRule="exact"/>
        <w:rPr>
          <w:sz w:val="20"/>
          <w:szCs w:val="20"/>
          <w:color w:val="auto"/>
        </w:rPr>
      </w:pPr>
    </w:p>
    <w:p>
      <w:pPr>
        <w:jc w:val="both"/>
        <w:ind w:firstLine="378"/>
        <w:spacing w:after="0" w:line="222" w:lineRule="exact"/>
        <w:rPr>
          <w:sz w:val="20"/>
          <w:szCs w:val="20"/>
          <w:color w:val="auto"/>
        </w:rPr>
      </w:pPr>
      <w:r>
        <w:rPr>
          <w:rFonts w:ascii="Times New Roman" w:cs="Times New Roman" w:eastAsia="Times New Roman" w:hAnsi="Times New Roman"/>
          <w:sz w:val="18"/>
          <w:szCs w:val="18"/>
          <w:color w:val="auto"/>
        </w:rPr>
        <w:t xml:space="preserve">21.2.1 If the loan currency is RMB, US dollar, Euro, Hong Kong dollar, Japanese yen and British pound,, the increased interest rate plus (minus) points shall be: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point plus or minus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plus percentage points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minus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percentage points. If a loan is otherwise agreed, the increase (decrease) value of the interest rate after the increase of the loan shall be subject to the records in the application for the use of the applicable limit.</w:t>
      </w:r>
    </w:p>
    <w:p>
      <w:pPr>
        <w:spacing w:after="0" w:line="19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21.2.2 If the loan currency is other than RMB, US dollar, Euro, Hong Kong dollar, Japanese yen and British pound, the loan interest rate after the increase is: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22. Contact Details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Contact details of the borrower to receive the notice specified in Article 12:</w:t>
      </w:r>
    </w:p>
    <w:p>
      <w:pPr>
        <w:spacing w:after="0" w:line="225" w:lineRule="exact"/>
        <w:rPr>
          <w:sz w:val="20"/>
          <w:szCs w:val="20"/>
          <w:color w:val="auto"/>
        </w:rPr>
      </w:pPr>
    </w:p>
    <w:p>
      <w:pPr>
        <w:ind w:left="380"/>
        <w:spacing w:after="0"/>
        <w:tabs>
          <w:tab w:leader="none" w:pos="1720" w:val="left"/>
        </w:tabs>
        <w:rPr>
          <w:sz w:val="20"/>
          <w:szCs w:val="20"/>
          <w:color w:val="auto"/>
        </w:rPr>
      </w:pPr>
      <w:r>
        <w:rPr>
          <w:rFonts w:ascii="Times New Roman" w:cs="Times New Roman" w:eastAsia="Times New Roman" w:hAnsi="Times New Roman"/>
          <w:sz w:val="18"/>
          <w:szCs w:val="18"/>
          <w:color w:val="auto"/>
        </w:rPr>
        <w:t>Mailing address:</w:t>
      </w:r>
      <w:r>
        <w:rPr>
          <w:sz w:val="20"/>
          <w:szCs w:val="20"/>
          <w:color w:val="auto"/>
        </w:rPr>
        <w:tab/>
      </w:r>
      <w:r>
        <w:rPr>
          <w:rFonts w:ascii="Times New Roman" w:cs="Times New Roman" w:eastAsia="Times New Roman" w:hAnsi="Times New Roman"/>
          <w:sz w:val="17"/>
          <w:szCs w:val="17"/>
          <w:color w:val="auto"/>
        </w:rPr>
        <w:t>1F, Building 18, 498 Guoshoujing Road</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Addressee: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Yang Xiaofeng</w:t>
      </w:r>
    </w:p>
    <w:p>
      <w:pPr>
        <w:spacing w:after="0" w:line="211" w:lineRule="exact"/>
        <w:rPr>
          <w:sz w:val="20"/>
          <w:szCs w:val="20"/>
          <w:color w:val="auto"/>
        </w:rPr>
      </w:pPr>
    </w:p>
    <w:p>
      <w:pPr>
        <w:sectPr>
          <w:pgSz w:w="11900" w:h="16838" w:orient="portrait"/>
          <w:cols w:equalWidth="0" w:num="2">
            <w:col w:w="1180" w:space="560"/>
            <w:col w:w="9500"/>
          </w:cols>
          <w:pgMar w:left="320" w:top="900" w:right="339" w:bottom="1440" w:gutter="0" w:footer="0" w:header="0"/>
          <w:type w:val="continuous"/>
        </w:sectPr>
      </w:pP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Post code: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201203</w:t>
      </w:r>
    </w:p>
    <w:p>
      <w:pPr>
        <w:spacing w:after="0" w:line="200" w:lineRule="exact"/>
        <w:rPr>
          <w:sz w:val="20"/>
          <w:szCs w:val="20"/>
          <w:color w:val="auto"/>
        </w:rPr>
      </w:pPr>
    </w:p>
    <w:p>
      <w:pPr>
        <w:sectPr>
          <w:pgSz w:w="11900" w:h="16838" w:orient="portrait"/>
          <w:cols w:equalWidth="0" w:num="2">
            <w:col w:w="1140" w:space="600"/>
            <w:col w:w="9500"/>
          </w:cols>
          <w:pgMar w:left="320" w:top="900" w:right="339" w:bottom="1440" w:gutter="0" w:footer="0" w:header="0"/>
          <w:type w:val="continuous"/>
        </w:sectPr>
      </w:pP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Tel: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00" w:lineRule="exact"/>
        <w:rPr>
          <w:sz w:val="20"/>
          <w:szCs w:val="20"/>
          <w:color w:val="auto"/>
        </w:rPr>
      </w:pPr>
    </w:p>
    <w:p>
      <w:pPr>
        <w:sectPr>
          <w:pgSz w:w="11900" w:h="16838" w:orient="portrait"/>
          <w:cols w:equalWidth="0" w:num="2">
            <w:col w:w="1020" w:space="720"/>
            <w:col w:w="9500"/>
          </w:cols>
          <w:pgMar w:left="320" w:top="900" w:right="339" w:bottom="1440" w:gutter="0" w:footer="0" w:header="0"/>
          <w:type w:val="continuous"/>
        </w:sectPr>
      </w:pP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Mobile: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13701602419</w:t>
      </w:r>
    </w:p>
    <w:p>
      <w:pPr>
        <w:spacing w:after="0" w:line="211" w:lineRule="exact"/>
        <w:rPr>
          <w:sz w:val="20"/>
          <w:szCs w:val="20"/>
          <w:color w:val="auto"/>
        </w:rPr>
      </w:pPr>
    </w:p>
    <w:p>
      <w:pPr>
        <w:sectPr>
          <w:pgSz w:w="11900" w:h="16838" w:orient="portrait"/>
          <w:cols w:equalWidth="0" w:num="2">
            <w:col w:w="1020" w:space="720"/>
            <w:col w:w="9500"/>
          </w:cols>
          <w:pgMar w:left="320" w:top="900" w:right="339" w:bottom="1440" w:gutter="0" w:footer="0" w:header="0"/>
          <w:type w:val="continuous"/>
        </w:sectPr>
      </w:pP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Fax:</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00" w:lineRule="exact"/>
        <w:rPr>
          <w:sz w:val="20"/>
          <w:szCs w:val="20"/>
          <w:color w:val="auto"/>
        </w:rPr>
      </w:pPr>
    </w:p>
    <w:p>
      <w:pPr>
        <w:sectPr>
          <w:pgSz w:w="11900" w:h="16838" w:orient="portrait"/>
          <w:cols w:equalWidth="0" w:num="2">
            <w:col w:w="1020" w:space="720"/>
            <w:col w:w="9500"/>
          </w:cols>
          <w:pgMar w:left="320" w:top="900" w:right="339" w:bottom="1440" w:gutter="0" w:footer="0" w:header="0"/>
          <w:type w:val="continuous"/>
        </w:sectPr>
      </w:pP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paulyang@clpsglobal.com</w:t>
      </w:r>
    </w:p>
    <w:p>
      <w:pPr>
        <w:spacing w:after="0" w:line="200" w:lineRule="exact"/>
        <w:rPr>
          <w:sz w:val="20"/>
          <w:szCs w:val="20"/>
          <w:color w:val="auto"/>
        </w:rPr>
      </w:pPr>
    </w:p>
    <w:p>
      <w:pPr>
        <w:sectPr>
          <w:pgSz w:w="11900" w:h="16838" w:orient="portrait"/>
          <w:cols w:equalWidth="0" w:num="2">
            <w:col w:w="1020" w:space="720"/>
            <w:col w:w="950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 Counterparts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This contract is made with </w:t>
      </w:r>
      <w:r>
        <w:rPr>
          <w:rFonts w:ascii="Times New Roman" w:cs="Times New Roman" w:eastAsia="Times New Roman" w:hAnsi="Times New Roman"/>
          <w:sz w:val="17"/>
          <w:szCs w:val="17"/>
          <w:u w:val="single" w:color="auto"/>
          <w:color w:val="auto"/>
        </w:rPr>
        <w:t>four</w:t>
      </w:r>
      <w:r>
        <w:rPr>
          <w:rFonts w:ascii="Times New Roman" w:cs="Times New Roman" w:eastAsia="Times New Roman" w:hAnsi="Times New Roman"/>
          <w:sz w:val="17"/>
          <w:szCs w:val="17"/>
          <w:color w:val="auto"/>
        </w:rPr>
        <w:t xml:space="preserve"> copies. Both parties and the guarantor (if any) holds </w:t>
      </w:r>
      <w:r>
        <w:rPr>
          <w:rFonts w:ascii="Times New Roman" w:cs="Times New Roman" w:eastAsia="Times New Roman" w:hAnsi="Times New Roman"/>
          <w:sz w:val="17"/>
          <w:szCs w:val="17"/>
          <w:u w:val="single" w:color="auto"/>
          <w:color w:val="auto"/>
        </w:rPr>
        <w:t>one</w:t>
      </w:r>
      <w:r>
        <w:rPr>
          <w:rFonts w:ascii="Times New Roman" w:cs="Times New Roman" w:eastAsia="Times New Roman" w:hAnsi="Times New Roman"/>
          <w:sz w:val="17"/>
          <w:szCs w:val="17"/>
          <w:color w:val="auto"/>
        </w:rPr>
        <w:t xml:space="preserve"> copy (ies)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color w:val="auto"/>
        </w:rPr>
        <w:t>Article 24. Miscellaneous</w:t>
      </w:r>
    </w:p>
    <w:p>
      <w:pPr>
        <w:spacing w:after="0" w:line="200"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24.1 Both parties agree that Article 13.3 √ applies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does not apply to this contract.</w:t>
      </w:r>
    </w:p>
    <w:p>
      <w:pPr>
        <w:spacing w:after="0" w:line="225" w:lineRule="exact"/>
        <w:rPr>
          <w:sz w:val="20"/>
          <w:szCs w:val="20"/>
          <w:color w:val="auto"/>
        </w:rPr>
      </w:pPr>
    </w:p>
    <w:p>
      <w:pPr>
        <w:jc w:val="both"/>
        <w:ind w:firstLine="378"/>
        <w:spacing w:after="0" w:line="239" w:lineRule="exact"/>
        <w:rPr>
          <w:sz w:val="20"/>
          <w:szCs w:val="20"/>
          <w:color w:val="auto"/>
        </w:rPr>
      </w:pPr>
      <w:r>
        <w:rPr>
          <w:rFonts w:ascii="Times New Roman" w:cs="Times New Roman" w:eastAsia="Times New Roman" w:hAnsi="Times New Roman"/>
          <w:sz w:val="18"/>
          <w:szCs w:val="18"/>
          <w:color w:val="auto"/>
        </w:rPr>
        <w:t xml:space="preserve">24.2 According to the lender’s environmental and social risk assessment standards, the borrower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belongs to a customer √ not classified as A or B in terms of environmental and social risks.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24.3 The payment method of the loan under the Contract shall be subject to the Application for Use of Quota signed by the Lender.</w:t>
      </w:r>
    </w:p>
    <w:p>
      <w:pPr>
        <w:spacing w:after="0" w:line="225"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24.4 Although otherwise agreed in this contract, during the epidemic control period, both parties agreed that the signing and effective method of this contract was changed to: [Yang Xiaofeng, ID No. 310110196303106258, Chairman] signed this contract on behalf of the borrower, The signed contract and scanned copies of all documents and materials related to the performance of the contract (hereinafter collectively referred to as “contract documents”, in PDF or JPG format) shall be sent to the email designated by the borrower (paulyang@clpsglobal.com) Send to the email address designated by the lender (zhang_shiting@bankcomm.com) Such contract documents shall be deemed as the borrower’s own behavior, and shall have the same legal effect as the original and have legal binding force on the borrower. Once the contract documents are sent, they shall be deemed to be delivered. Without the written consent of the lender, they shall not be withdrawn, revoked, changed or declared invalid. The lender has the right to make loans, entrusted payments and other operations according to the contract documents. This contract takes effect from the date of the lender’s first loan. After the closure measures are lifted, the borrower shall timely submit the original contract documents to the lender, and cooperate with the lender to handle the re sealing and other necessary procedures.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Borrower: </w:t>
      </w:r>
      <w:r>
        <w:rPr>
          <w:rFonts w:ascii="Times New Roman" w:cs="Times New Roman" w:eastAsia="Times New Roman" w:hAnsi="Times New Roman"/>
          <w:sz w:val="18"/>
          <w:szCs w:val="18"/>
          <w:u w:val="single" w:color="auto"/>
          <w:color w:val="auto"/>
        </w:rPr>
        <w:t>ChinaLink Professional Services Co., Ltd.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Legal representative (responsible person): </w:t>
      </w:r>
      <w:r>
        <w:rPr>
          <w:rFonts w:ascii="Times New Roman" w:cs="Times New Roman" w:eastAsia="Times New Roman" w:hAnsi="Times New Roman"/>
          <w:sz w:val="18"/>
          <w:szCs w:val="18"/>
          <w:u w:val="single" w:color="auto"/>
          <w:color w:val="auto"/>
        </w:rPr>
        <w:t>Yang Xiaofeng</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Address: </w:t>
      </w:r>
      <w:r>
        <w:rPr>
          <w:rFonts w:ascii="Times New Roman" w:cs="Times New Roman" w:eastAsia="Times New Roman" w:hAnsi="Times New Roman"/>
          <w:sz w:val="18"/>
          <w:szCs w:val="18"/>
          <w:u w:val="single" w:color="auto"/>
          <w:color w:val="auto"/>
        </w:rPr>
        <w:t>Room 26C01, 828-838 Zhangyang Road, China (Shanghai) Free Trade Area</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Loaner: </w:t>
      </w:r>
      <w:r>
        <w:rPr>
          <w:rFonts w:ascii="Times New Roman" w:cs="Times New Roman" w:eastAsia="Times New Roman" w:hAnsi="Times New Roman"/>
          <w:sz w:val="18"/>
          <w:szCs w:val="18"/>
          <w:u w:val="single" w:color="auto"/>
          <w:color w:val="auto"/>
        </w:rPr>
        <w:t>Xinqu</w:t>
      </w:r>
      <w:r>
        <w:rPr>
          <w:rFonts w:ascii="Times New Roman" w:cs="Times New Roman" w:eastAsia="Times New Roman" w:hAnsi="Times New Roman"/>
          <w:sz w:val="18"/>
          <w:szCs w:val="18"/>
          <w:color w:val="auto"/>
        </w:rPr>
        <w:t xml:space="preserve"> Branch (Sub-branch) of Bank of Communications Co., Ltd.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Responsible person: </w:t>
      </w:r>
      <w:r>
        <w:rPr>
          <w:rFonts w:ascii="Times New Roman" w:cs="Times New Roman" w:eastAsia="Times New Roman" w:hAnsi="Times New Roman"/>
          <w:sz w:val="18"/>
          <w:szCs w:val="18"/>
          <w:u w:val="single" w:color="auto"/>
          <w:color w:val="auto"/>
        </w:rPr>
        <w:t>Cen De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Mailing address: </w:t>
      </w:r>
      <w:r>
        <w:rPr>
          <w:rFonts w:ascii="Times New Roman" w:cs="Times New Roman" w:eastAsia="Times New Roman" w:hAnsi="Times New Roman"/>
          <w:sz w:val="18"/>
          <w:szCs w:val="18"/>
          <w:u w:val="single" w:color="auto"/>
          <w:color w:val="auto"/>
        </w:rPr>
        <w:t>230 Xinjinqiao Road, Pudong New Area, Shanghai,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154305</wp:posOffset>
            </wp:positionV>
            <wp:extent cx="4277360" cy="7029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4277360" cy="702945"/>
                    </a:xfrm>
                    <a:prstGeom prst="rect">
                      <a:avLst/>
                    </a:prstGeom>
                    <a:noFill/>
                  </pic:spPr>
                </pic:pic>
              </a:graphicData>
            </a:graphic>
          </wp:anchor>
        </w:drawing>
      </w:r>
    </w:p>
    <w:p>
      <w:pPr>
        <w:spacing w:after="0" w:line="327" w:lineRule="exact"/>
        <w:rPr>
          <w:sz w:val="20"/>
          <w:szCs w:val="20"/>
          <w:color w:val="auto"/>
        </w:rPr>
      </w:pPr>
    </w:p>
    <w:p>
      <w:pPr>
        <w:jc w:val="both"/>
        <w:ind w:left="2380" w:right="2380"/>
        <w:spacing w:after="0" w:line="261" w:lineRule="auto"/>
        <w:rPr>
          <w:sz w:val="20"/>
          <w:szCs w:val="20"/>
          <w:color w:val="auto"/>
        </w:rPr>
      </w:pPr>
      <w:r>
        <w:rPr>
          <w:rFonts w:ascii="Times New Roman" w:cs="Times New Roman" w:eastAsia="Times New Roman" w:hAnsi="Times New Roman"/>
          <w:sz w:val="18"/>
          <w:szCs w:val="18"/>
          <w:color w:val="auto"/>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page is the signature page of the Working Capital Loan Contract, and there is no text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3" w:name="page344"/>
    <w:bookmarkEnd w:id="3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1339850</wp:posOffset>
            </wp:positionH>
            <wp:positionV relativeFrom="page">
              <wp:posOffset>586105</wp:posOffset>
            </wp:positionV>
            <wp:extent cx="1242695" cy="13373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124269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ChinaLink Professional Services Co., Ltd.)</w:t>
      </w:r>
    </w:p>
    <w:p>
      <w:pPr>
        <w:spacing w:after="0" w:line="200" w:lineRule="exact"/>
        <w:rPr>
          <w:sz w:val="20"/>
          <w:szCs w:val="20"/>
          <w:color w:val="auto"/>
        </w:rPr>
      </w:pPr>
    </w:p>
    <w:p>
      <w:pPr>
        <w:spacing w:after="0" w:line="241" w:lineRule="exact"/>
        <w:rPr>
          <w:sz w:val="20"/>
          <w:szCs w:val="20"/>
          <w:color w:val="auto"/>
        </w:rPr>
      </w:pPr>
    </w:p>
    <w:p>
      <w:pPr>
        <w:ind w:right="440"/>
        <w:spacing w:after="0" w:line="532" w:lineRule="auto"/>
        <w:rPr>
          <w:sz w:val="20"/>
          <w:szCs w:val="20"/>
          <w:color w:val="auto"/>
        </w:rPr>
      </w:pPr>
      <w:r>
        <w:rPr>
          <w:rFonts w:ascii="Times New Roman" w:cs="Times New Roman" w:eastAsia="Times New Roman" w:hAnsi="Times New Roman"/>
          <w:sz w:val="18"/>
          <w:szCs w:val="18"/>
          <w:color w:val="auto"/>
        </w:rPr>
        <w:t>Legal representative (responsible person) or authorized representative (Signature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-21590</wp:posOffset>
            </wp:positionV>
            <wp:extent cx="634365" cy="6343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-1276350</wp:posOffset>
            </wp:positionV>
            <wp:extent cx="1748790" cy="10204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1748790" cy="102044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(Seal: Line of Credit Business Contract Seal of Shanghai Xinqu Sub-branch of Bank of Communications Co., Ltd.)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representative (responsible person) or authorized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428625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80" w:space="720"/>
            <w:col w:w="5040"/>
          </w:cols>
          <w:pgMar w:left="320" w:top="1440" w:right="3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7543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left="80" w:right="240"/>
        <w:spacing w:after="0" w:line="268" w:lineRule="auto"/>
        <w:rPr>
          <w:sz w:val="20"/>
          <w:szCs w:val="20"/>
          <w:color w:val="auto"/>
        </w:rPr>
      </w:pPr>
      <w:r>
        <w:rPr>
          <w:rFonts w:ascii="Times New Roman" w:cs="Times New Roman" w:eastAsia="Times New Roman" w:hAnsi="Times New Roman"/>
          <w:sz w:val="18"/>
          <w:szCs w:val="18"/>
          <w:b w:val="1"/>
          <w:bCs w:val="1"/>
          <w:color w:val="auto"/>
        </w:rPr>
        <w:t>Dear customer, in order to safeguard the rights and interests of your company, please read the full text of this application carefully before signing this application, especially the black and bold clauses. If there is any doubt, please ask our bank to explain it in time. If you still have any questions or doubts, please consult your lawyers and relevant professionals.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 IR2204240000115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China Merchants Bank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Application for withdrawal</w:t>
      </w:r>
    </w:p>
    <w:p>
      <w:pPr>
        <w:spacing w:after="0" w:line="27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(Applicable to working capital loans that do not require a separate loan contract)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China Merchants Bank Co., Ltd </w:t>
      </w:r>
      <w:r>
        <w:rPr>
          <w:rFonts w:ascii="Times New Roman" w:cs="Times New Roman" w:eastAsia="Times New Roman" w:hAnsi="Times New Roman"/>
          <w:sz w:val="18"/>
          <w:szCs w:val="18"/>
          <w:u w:val="single" w:color="auto"/>
          <w:color w:val="auto"/>
        </w:rPr>
        <w:t>Shanghai branch</w:t>
      </w:r>
      <w:r>
        <w:rPr>
          <w:rFonts w:ascii="Times New Roman" w:cs="Times New Roman" w:eastAsia="Times New Roman" w:hAnsi="Times New Roman"/>
          <w:sz w:val="18"/>
          <w:szCs w:val="18"/>
          <w:color w:val="auto"/>
        </w:rPr>
        <w:t xml:space="preserve"> :</w:t>
      </w:r>
    </w:p>
    <w:p>
      <w:pPr>
        <w:spacing w:after="0" w:line="239" w:lineRule="exact"/>
        <w:rPr>
          <w:sz w:val="20"/>
          <w:szCs w:val="20"/>
          <w:color w:val="auto"/>
        </w:rPr>
      </w:pPr>
    </w:p>
    <w:p>
      <w:pPr>
        <w:ind w:left="340"/>
        <w:spacing w:after="0" w:line="219" w:lineRule="exact"/>
        <w:rPr>
          <w:sz w:val="20"/>
          <w:szCs w:val="20"/>
          <w:color w:val="auto"/>
        </w:rPr>
      </w:pPr>
      <w:r>
        <w:rPr>
          <w:rFonts w:ascii="Times New Roman" w:cs="Times New Roman" w:eastAsia="Times New Roman" w:hAnsi="Times New Roman"/>
          <w:sz w:val="18"/>
          <w:szCs w:val="18"/>
          <w:color w:val="auto"/>
        </w:rPr>
        <w:t>According to the contract No.</w:t>
      </w:r>
      <w:r>
        <w:rPr>
          <w:rFonts w:ascii="Times New Roman" w:cs="Times New Roman" w:eastAsia="Times New Roman" w:hAnsi="Times New Roman"/>
          <w:sz w:val="18"/>
          <w:szCs w:val="18"/>
          <w:u w:val="single" w:color="auto"/>
          <w:color w:val="auto"/>
        </w:rPr>
        <w:t>121XY2021015509</w:t>
      </w:r>
      <w:r>
        <w:rPr>
          <w:rFonts w:ascii="Times New Roman" w:cs="Times New Roman" w:eastAsia="Times New Roman" w:hAnsi="Times New Roman"/>
          <w:sz w:val="18"/>
          <w:szCs w:val="18"/>
          <w:color w:val="auto"/>
        </w:rPr>
        <w:t xml:space="preserve"> signed by both parties </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Credit Agreement </w:t>
      </w:r>
      <w:r>
        <w:rPr>
          <w:rFonts w:ascii="SimSun" w:cs="SimSun" w:eastAsia="SimSun" w:hAnsi="SimSun"/>
          <w:sz w:val="18"/>
          <w:szCs w:val="18"/>
          <w:color w:val="auto"/>
        </w:rPr>
        <w:t>》</w:t>
      </w:r>
      <w:r>
        <w:rPr>
          <w:rFonts w:ascii="Times New Roman" w:cs="Times New Roman" w:eastAsia="Times New Roman" w:hAnsi="Times New Roman"/>
          <w:sz w:val="18"/>
          <w:szCs w:val="18"/>
          <w:color w:val="auto"/>
        </w:rPr>
        <w:t>(including but not limited to Credit Agreement)</w:t>
      </w:r>
    </w:p>
    <w:p>
      <w:pPr>
        <w:spacing w:after="0" w:line="240" w:lineRule="exact"/>
        <w:rPr>
          <w:sz w:val="20"/>
          <w:szCs w:val="20"/>
          <w:color w:val="auto"/>
        </w:rPr>
      </w:pPr>
    </w:p>
    <w:p>
      <w:pPr>
        <w:jc w:val="both"/>
        <w:spacing w:after="0" w:line="236" w:lineRule="exact"/>
        <w:rPr>
          <w:sz w:val="20"/>
          <w:szCs w:val="20"/>
          <w:color w:val="auto"/>
        </w:rPr>
      </w:pPr>
      <w:r>
        <w:rPr>
          <w:rFonts w:ascii="SimSun" w:cs="SimSun" w:eastAsia="SimSun" w:hAnsi="SimSun"/>
          <w:sz w:val="18"/>
          <w:szCs w:val="18"/>
          <w:color w:val="auto"/>
        </w:rPr>
        <w:t>《</w:t>
      </w:r>
      <w:r>
        <w:rPr>
          <w:rFonts w:ascii="Times New Roman" w:cs="Times New Roman" w:eastAsia="Times New Roman" w:hAnsi="Times New Roman"/>
          <w:sz w:val="18"/>
          <w:szCs w:val="18"/>
          <w:color w:val="auto"/>
        </w:rPr>
        <w:t>Credit Agreement (applicable to working capital loans where no separate loan contract is required)</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Credit Agreement for Bill Pool Business, etc.</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hereinafter referred to as the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Credit Agreement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stipulates that the </w:t>
      </w:r>
      <w:r>
        <w:rPr>
          <w:rFonts w:ascii="Times New Roman" w:cs="Times New Roman" w:eastAsia="Times New Roman" w:hAnsi="Times New Roman"/>
          <w:sz w:val="18"/>
          <w:szCs w:val="18"/>
          <w:u w:val="single" w:color="auto"/>
          <w:color w:val="auto"/>
        </w:rPr>
        <w:t>7703600.59</w:t>
      </w:r>
      <w:r>
        <w:rPr>
          <w:rFonts w:ascii="Times New Roman" w:cs="Times New Roman" w:eastAsia="Times New Roman" w:hAnsi="Times New Roman"/>
          <w:sz w:val="18"/>
          <w:szCs w:val="18"/>
          <w:color w:val="auto"/>
        </w:rPr>
        <w:t xml:space="preserve"> of the loan (RMB) applied by our company this time, the loan term is 6 months, and the account number is </w:t>
      </w:r>
      <w:r>
        <w:rPr>
          <w:rFonts w:ascii="Times New Roman" w:cs="Times New Roman" w:eastAsia="Times New Roman" w:hAnsi="Times New Roman"/>
          <w:sz w:val="18"/>
          <w:szCs w:val="18"/>
          <w:u w:val="single" w:color="auto"/>
          <w:color w:val="auto"/>
        </w:rPr>
        <w:t>121908367810901</w:t>
      </w:r>
      <w:r>
        <w:rPr>
          <w:rFonts w:ascii="Times New Roman" w:cs="Times New Roman" w:eastAsia="Times New Roman" w:hAnsi="Times New Roman"/>
          <w:sz w:val="18"/>
          <w:szCs w:val="18"/>
          <w:color w:val="auto"/>
        </w:rPr>
        <w:t>. For the details listed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 of payment</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(Subject to the</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requirements of your</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Business contract</w:t>
            </w:r>
          </w:p>
        </w:tc>
      </w:tr>
      <w:tr>
        <w:trPr>
          <w:trHeight w:val="241"/>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bank)</w:t>
            </w:r>
          </w:p>
        </w:tc>
        <w:tc>
          <w:tcPr>
            <w:tcW w:w="120" w:type="dxa"/>
            <w:vAlign w:val="bottom"/>
          </w:tcPr>
          <w:p>
            <w:pPr>
              <w:spacing w:after="0"/>
              <w:rPr>
                <w:sz w:val="20"/>
                <w:szCs w:val="20"/>
                <w:color w:val="auto"/>
              </w:rPr>
            </w:pP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Name of the payee</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Currency</w:t>
            </w: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Use of funds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r>
      <w:tr>
        <w:trPr>
          <w:trHeight w:val="198"/>
        </w:trPr>
        <w:tc>
          <w:tcPr>
            <w:tcW w:w="1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Independent payment</w:t>
            </w:r>
          </w:p>
        </w:tc>
        <w:tc>
          <w:tcPr>
            <w:tcW w:w="120" w:type="dxa"/>
            <w:vAlign w:val="bottom"/>
          </w:tcPr>
          <w:p>
            <w:pPr>
              <w:spacing w:after="0"/>
              <w:rPr>
                <w:sz w:val="17"/>
                <w:szCs w:val="17"/>
                <w:color w:val="auto"/>
              </w:rPr>
            </w:pPr>
          </w:p>
        </w:tc>
        <w:tc>
          <w:tcPr>
            <w:tcW w:w="1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ChinaLink Professional</w:t>
            </w: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7"/>
                <w:szCs w:val="17"/>
                <w:color w:val="auto"/>
              </w:rPr>
            </w:pPr>
          </w:p>
        </w:tc>
        <w:tc>
          <w:tcPr>
            <w:tcW w:w="1680" w:type="dxa"/>
            <w:vAlign w:val="bottom"/>
            <w:tcBorders>
              <w:top w:val="single" w:sz="8" w:color="auto"/>
            </w:tcBorders>
          </w:tcPr>
          <w:p>
            <w:pPr>
              <w:jc w:val="right"/>
              <w:ind w:right="590"/>
              <w:spacing w:after="0" w:line="198" w:lineRule="exact"/>
              <w:rPr>
                <w:sz w:val="20"/>
                <w:szCs w:val="20"/>
                <w:color w:val="auto"/>
              </w:rPr>
            </w:pPr>
            <w:r>
              <w:rPr>
                <w:rFonts w:ascii="Times New Roman" w:cs="Times New Roman" w:eastAsia="Times New Roman" w:hAnsi="Times New Roman"/>
                <w:sz w:val="18"/>
                <w:szCs w:val="18"/>
                <w:color w:val="auto"/>
              </w:rPr>
              <w:t>7703600.59</w:t>
            </w: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Pay  taxes,</w:t>
            </w:r>
          </w:p>
        </w:tc>
        <w:tc>
          <w:tcPr>
            <w:tcW w:w="44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pay</w:t>
            </w:r>
          </w:p>
        </w:tc>
        <w:tc>
          <w:tcPr>
            <w:tcW w:w="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social</w:t>
            </w: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Services Co., Ltd.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security  fees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2280" w:type="dxa"/>
            <w:vAlign w:val="bottom"/>
            <w:gridSpan w:val="3"/>
          </w:tcPr>
          <w:p>
            <w:pPr>
              <w:jc w:val="right"/>
              <w:ind w:right="1710"/>
              <w:spacing w:after="0"/>
              <w:rPr>
                <w:sz w:val="20"/>
                <w:szCs w:val="20"/>
                <w:color w:val="auto"/>
              </w:rPr>
            </w:pPr>
            <w:r>
              <w:rPr>
                <w:rFonts w:ascii="Times New Roman" w:cs="Times New Roman" w:eastAsia="Times New Roman" w:hAnsi="Times New Roman"/>
                <w:sz w:val="18"/>
                <w:szCs w:val="18"/>
                <w:color w:val="auto"/>
              </w:rPr>
              <w:t>other</w:t>
            </w: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human resources expenses</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Our company agrees that the loan interest rate shall be subject to the following terms:</w:t>
      </w:r>
    </w:p>
    <w:p>
      <w:pPr>
        <w:spacing w:after="0" w:line="256" w:lineRule="exact"/>
        <w:rPr>
          <w:sz w:val="20"/>
          <w:szCs w:val="20"/>
          <w:color w:val="auto"/>
        </w:rPr>
      </w:pPr>
    </w:p>
    <w:p>
      <w:pPr>
        <w:ind w:right="5460" w:firstLine="8"/>
        <w:spacing w:after="0" w:line="276" w:lineRule="exact"/>
        <w:tabs>
          <w:tab w:leader="none" w:pos="32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loan is adopted (one of the following two options is marked with “√”): √ Return to fixed interest rate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floating interest rate</w:t>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interest rate during the contract period (please tick “√” if applicable):</w:t>
      </w:r>
    </w:p>
    <w:p>
      <w:pPr>
        <w:spacing w:after="0" w:line="196" w:lineRule="exact"/>
        <w:rPr>
          <w:sz w:val="20"/>
          <w:szCs w:val="20"/>
          <w:color w:val="auto"/>
        </w:rPr>
      </w:pPr>
    </w:p>
    <w:p>
      <w:pPr>
        <w:jc w:val="both"/>
        <w:ind w:firstLine="432"/>
        <w:spacing w:after="0" w:line="246" w:lineRule="exact"/>
        <w:rPr>
          <w:sz w:val="20"/>
          <w:szCs w:val="20"/>
          <w:color w:val="auto"/>
        </w:rPr>
      </w:pPr>
      <w:r>
        <w:rPr>
          <w:rFonts w:ascii="Times New Roman" w:cs="Times New Roman" w:eastAsia="Times New Roman" w:hAnsi="Times New Roman"/>
          <w:sz w:val="18"/>
          <w:szCs w:val="18"/>
          <w:color w:val="auto"/>
        </w:rPr>
        <w:t>2.1 The benchmark interest rate for RMB loans issued shall be the market quotation rate (LPR) for √ one-year/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five-year loans published by the National Interbank Funding Center one working day before the pricing date. </w:t>
      </w:r>
      <w:r>
        <w:rPr>
          <w:rFonts w:ascii="Times New Roman" w:cs="Times New Roman" w:eastAsia="Times New Roman" w:hAnsi="Times New Roman"/>
          <w:sz w:val="18"/>
          <w:szCs w:val="18"/>
          <w:u w:val="single" w:color="auto"/>
          <w:color w:val="auto"/>
        </w:rPr>
        <w:t>Add in points, 10.00 basis points (BPs)</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1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2.2 Pricing date refers to the reference date used to determine the benchmark interest rate during the loan period or floating period. If the loan adopts a fixed interest rate, the pricing date shall be the date when the loan is actually issued; If the loan adopts a floating interest rate, the determination of the pricing date shall be carried out in accordance with the provisions of Article 2.3.</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2.3 If this loan adopts a floating interest rate, it shall be based on: Float for floating periods, and the applicable benchmark interest rate for each floating period shall be determined in accordance with the provisions of Article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-185420</wp:posOffset>
            </wp:positionV>
            <wp:extent cx="16827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14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actual loan release date is the pricing date of the first floating cycle, and the first day of each subsequent floating cycle is the pricing date of the floating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5" w:name="page346"/>
    <w:bookmarkEnd w:id="345"/>
    <w:p>
      <w:pPr>
        <w:jc w:val="both"/>
        <w:ind w:left="900" w:hanging="445"/>
        <w:spacing w:after="0" w:line="225" w:lineRule="exact"/>
        <w:tabs>
          <w:tab w:leader="none" w:pos="880" w:val="left"/>
        </w:tabs>
        <w:rPr>
          <w:sz w:val="20"/>
          <w:szCs w:val="20"/>
          <w:color w:val="auto"/>
        </w:rPr>
      </w:pPr>
      <w:r>
        <w:rPr>
          <w:rFonts w:ascii="Times New Roman" w:cs="Times New Roman" w:eastAsia="Times New Roman" w:hAnsi="Times New Roman"/>
          <w:sz w:val="18"/>
          <w:szCs w:val="18"/>
          <w:color w:val="auto"/>
        </w:rPr>
        <w:t>2.4</w:t>
        <w:tab/>
        <w:t>Interest: The loan interest shall be calculated from the date when the loan is transferred to our account according to the actual loan amount and the actual number of days occupied, and our company shall adopt the interest rate</w:t>
      </w:r>
      <w:r>
        <w:rPr>
          <w:rFonts w:ascii="SimSun" w:cs="SimSun" w:eastAsia="SimSun" w:hAnsi="SimSun"/>
          <w:sz w:val="18"/>
          <w:szCs w:val="18"/>
          <w:color w:val="auto"/>
        </w:rPr>
        <w:t>。</w:t>
      </w:r>
      <w:r>
        <w:rPr>
          <w:rFonts w:ascii="Times New Roman" w:cs="Times New Roman" w:eastAsia="Times New Roman" w:hAnsi="Times New Roman"/>
          <w:sz w:val="18"/>
          <w:szCs w:val="18"/>
          <w:color w:val="auto"/>
        </w:rPr>
        <w:t>If the interest is paid in the form of clearing the principal, your bank may directly deduct the amount from our account □on the 20th day of each month or √on the 20th day of the last month of each quarter when the loan is due. Daily interest rate of RMB = annual interest rate/360. Unless otherwise specified, the loan interest rate under this Agreement shall be calculated by the simple interest method.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Commitment of our company:</w:t>
      </w:r>
    </w:p>
    <w:p>
      <w:pPr>
        <w:spacing w:after="0" w:line="229" w:lineRule="exact"/>
        <w:rPr>
          <w:sz w:val="20"/>
          <w:szCs w:val="20"/>
          <w:color w:val="auto"/>
        </w:rPr>
      </w:pPr>
    </w:p>
    <w:p>
      <w:pPr>
        <w:jc w:val="both"/>
        <w:ind w:firstLine="8"/>
        <w:spacing w:after="0" w:line="266" w:lineRule="auto"/>
        <w:tabs>
          <w:tab w:leader="none" w:pos="18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will withdraw the loan according to the details in the above table. If it is necessary to change the details, it will be reported to your bank for approval. If your bank requires our company to adopt the entrusted payment method according to the regulatory requirements or for the need of risk control, the requirements of your bank shall prevail.</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payment of loan funds in the form of entrusted payment, it shall be reported to your bank for approval before handling the transfer procedures. For the loan funds paid by our company independently, our company shall regularly (at least monthly) provide your bank with the evidence of the use of loan funds, including business contracts, payment vouchers, etc.</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guarantees that the preconditions required for the issuance of the loan agreed in the Credit Agreement have been met.</w:t>
      </w:r>
    </w:p>
    <w:p>
      <w:pPr>
        <w:spacing w:after="0" w:line="221" w:lineRule="exact"/>
        <w:rPr>
          <w:rFonts w:ascii="Times New Roman" w:cs="Times New Roman" w:eastAsia="Times New Roman" w:hAnsi="Times New Roman"/>
          <w:sz w:val="18"/>
          <w:szCs w:val="18"/>
          <w:color w:val="auto"/>
        </w:rPr>
      </w:pPr>
    </w:p>
    <w:p>
      <w:pPr>
        <w:jc w:val="both"/>
        <w:ind w:firstLine="8"/>
        <w:spacing w:after="0" w:line="268" w:lineRule="auto"/>
        <w:tabs>
          <w:tab w:leader="none" w:pos="196"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specific loan amount, term and interest rate will be approved and determined by your bank, and your bank has the right to reject our application. If your bank agrees to this application, The actual issuing amount, currency, term, purpose, interest rate, loan/settlement account and other matters of each withdrawal shall be subject to the business records of your bank’s system.</w:t>
      </w:r>
    </w:p>
    <w:p>
      <w:pPr>
        <w:spacing w:after="0" w:line="145" w:lineRule="exact"/>
        <w:rPr>
          <w:rFonts w:ascii="Times New Roman" w:cs="Times New Roman" w:eastAsia="Times New Roman" w:hAnsi="Times New Roman"/>
          <w:sz w:val="18"/>
          <w:szCs w:val="18"/>
          <w:b w:val="1"/>
          <w:bCs w:val="1"/>
          <w:color w:val="auto"/>
        </w:rPr>
      </w:pPr>
    </w:p>
    <w:p>
      <w:pPr>
        <w:ind w:firstLine="8"/>
        <w:spacing w:after="0" w:line="239" w:lineRule="exact"/>
        <w:tabs>
          <w:tab w:leader="none" w:pos="185" w:val="left"/>
        </w:tabs>
        <w:numPr>
          <w:ilvl w:val="0"/>
          <w:numId w:val="4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During the term of the loan, our company agrees to repay the loan in installments according to the following plan (if this clause is selected, “√” shall be marked in the “□” before this clause):</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in advance</w:t>
      </w:r>
    </w:p>
    <w:p>
      <w:pPr>
        <w:spacing w:after="0" w:line="2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6.1 If our company applies for prepayment, we shall submit a written application to your bank 7 working days before the planned prepayment date, and pay the liquidated damages for prepayment to your bank (except that Party B is a small and micro enterprise with national standards). Liquidated damages for prepayment = amount of prepayment × proportion of liquidated damages. The specific proportion of liquidated damages shall be determined by your bank according to the loan term and loan account age (i.e. the actual duration of the loan) agreed in the Contract. After your bank approves our application for prepayment and notifies us of the specific proportion of liquidated damages in writing, our company shall pay the liquidated damages for prepayment to your bank in full within the time required by your bank. Otherwise, your bank still has the right to reject our application for prepayment. Your bank has the right but not the obligation to reduce the amount of liquidated damages for our prepayment according to the remaining loan period and other factors at the time of our prepayment.</w:t>
      </w:r>
    </w:p>
    <w:p>
      <w:pPr>
        <w:spacing w:after="0" w:line="19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6.2 For prepayment by our company, the interest rate is still calculated according to the Credit Agreement, and the interest payable is calculated according to the actual loan term.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Borrower declares that:</w:t>
      </w:r>
    </w:p>
    <w:p>
      <w:pPr>
        <w:spacing w:after="0" w:line="225" w:lineRule="exact"/>
        <w:rPr>
          <w:sz w:val="20"/>
          <w:szCs w:val="20"/>
          <w:color w:val="auto"/>
        </w:rPr>
      </w:pPr>
    </w:p>
    <w:p>
      <w:pPr>
        <w:jc w:val="both"/>
        <w:ind w:left="360"/>
        <w:spacing w:after="0" w:line="262" w:lineRule="auto"/>
        <w:rPr>
          <w:sz w:val="20"/>
          <w:szCs w:val="20"/>
          <w:color w:val="auto"/>
        </w:rPr>
      </w:pPr>
      <w:r>
        <w:rPr>
          <w:rFonts w:ascii="Times New Roman" w:cs="Times New Roman" w:eastAsia="Times New Roman" w:hAnsi="Times New Roman"/>
          <w:sz w:val="18"/>
          <w:szCs w:val="18"/>
          <w:b w:val="1"/>
          <w:bCs w:val="1"/>
          <w:color w:val="auto"/>
        </w:rPr>
        <w:t>All terms of this application have been fully negotiated between the parties. The Bank has drawn the Borrower’s special attention to the exemption or mitigation of your Bank liability and other clauses that have a material interest in the borrower, and make corresponding explanations to the above clauses at the request of the borrower. The Borrower has fully and accurately understood it. The Borrower and the Bank have the same understanding of the terms of this Application.</w:t>
      </w:r>
    </w:p>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Borrower (electronic signature):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ChinaLink Professional Services Co.,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in the case of working capital loans where no separate loan contract is required)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u w:val="single" w:color="auto"/>
          <w:color w:val="auto"/>
        </w:rPr>
        <w:t>121XY2021035010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Grantor: </w:t>
      </w:r>
      <w:r>
        <w:rPr>
          <w:rFonts w:ascii="Times New Roman" w:cs="Times New Roman" w:eastAsia="Times New Roman" w:hAnsi="Times New Roman"/>
          <w:sz w:val="18"/>
          <w:szCs w:val="18"/>
          <w:color w:val="auto"/>
        </w:rPr>
        <w:t>China Merchants Bank Co. LTD Shanghai branch (hereinafter referred to as 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Applicant</w:t>
      </w:r>
      <w:r>
        <w:rPr>
          <w:rFonts w:ascii="Times New Roman" w:cs="Times New Roman" w:eastAsia="Times New Roman" w:hAnsi="Times New Roman"/>
          <w:sz w:val="18"/>
          <w:szCs w:val="18"/>
          <w:color w:val="auto"/>
        </w:rPr>
        <w:t>: JAJI (Shanghai) Co., Ltd. (hereinafter referred to as Party B)</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Credit limit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1.1 Under this Agreement, we shall provide you with a credit line (including revolving line and/or one-off line) in the amount of RMB </w:t>
      </w:r>
      <w:r>
        <w:rPr>
          <w:rFonts w:ascii="Times New Roman" w:cs="Times New Roman" w:eastAsia="Times New Roman" w:hAnsi="Times New Roman"/>
          <w:sz w:val="18"/>
          <w:szCs w:val="18"/>
          <w:u w:val="single" w:color="auto"/>
          <w:color w:val="auto"/>
        </w:rPr>
        <w:t>8 million</w:t>
      </w:r>
      <w:r>
        <w:rPr>
          <w:rFonts w:ascii="Times New Roman" w:cs="Times New Roman" w:eastAsia="Times New Roman" w:hAnsi="Times New Roman"/>
          <w:sz w:val="18"/>
          <w:szCs w:val="18"/>
          <w:color w:val="auto"/>
        </w:rPr>
        <w:t xml:space="preserve"> (including the equivalent in other currencies, the exchange rate of which shall be based on the foreign exchange rate published by us at the time of the actual occurrence of each specific business, hereinafter the same).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there is any outstanding balance in respect of a specific operation under (insert the name of the agreement here) between Party A (or Party A’s subsidiary) and Party B, it will automatically be included under this agreement and will directly occupy the credit line under this agreement.</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1.2 The credit period shall be for a period of months, from </w:t>
      </w:r>
      <w:r>
        <w:rPr>
          <w:rFonts w:ascii="Times New Roman" w:cs="Times New Roman" w:eastAsia="Times New Roman" w:hAnsi="Times New Roman"/>
          <w:sz w:val="18"/>
          <w:szCs w:val="18"/>
          <w:u w:val="single" w:color="auto"/>
          <w:color w:val="auto"/>
        </w:rPr>
        <w:t>2021.10.31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2022.10.30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Party B needs to use the credit line for specific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it shall submit 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7" w:name="page348"/>
    <w:bookmarkEnd w:id="34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1.4 Revolving Credit Limit means the maximum amount of the sum of the principal balance of one or more credit facilities referred to in the preceding paragraph that we may provide to you on a continuous and revolving basis during the credit period.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credit line occupancy arrangements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2.1 Specific credit operations applied for by you and approved by us during the credit period are automatically included in this Agreement and will be covered by the credit limit under this Agreement.</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If Party A applies for factoring business in which Party B is the payer (debtor of the receivables), the credit line mentioned above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used for the receivables claims assigned to Party B by Party A from a third party in such business; </w:t>
      </w:r>
      <w:r>
        <w:rPr>
          <w:rFonts w:ascii="Times New Roman" w:cs="Times New Roman" w:eastAsia="Times New Roman" w:hAnsi="Times New Roman"/>
          <w:sz w:val="18"/>
          <w:szCs w:val="18"/>
          <w:color w:val="auto"/>
        </w:rPr>
        <w:t>if Party B applies to Party A for factoring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Party B is the payee (creditor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Approval and use of credit lines</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8" w:name="page349"/>
    <w:bookmarkEnd w:id="34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Times New Roman" w:cs="Times New Roman" w:eastAsia="Times New Roman" w:hAnsi="Times New Roman"/>
          <w:sz w:val="18"/>
          <w:szCs w:val="18"/>
          <w:b w:val="1"/>
          <w:bCs w:val="1"/>
          <w:color w:val="auto"/>
        </w:rPr>
        <w:t>The specific amount, interest rate, term, purpose, fees and other business elements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loan or other credit business are determined 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3.4 We shall have the right to adjust the benchmark interest rate or interest rate pricing method for loans/other credit facilities under this Agreement from time to time, taking into account changes in relevant national policies, domestic and international market conditions or our own credit policies. Such adjustment shall take effect upon notice by us to you (by way of announcement at our branches or the official website of China Merchants Bank, or by sending notice to any of the contact addresses/methods reserved by you in this Agreement); if you do not accept the adjustment, you may repay the loan early, otherwise you shall be deemed to have accepted the implementation of the notice. If the relevant financing business under this Agreement involves periodic repricing and the market benchmark interest rate is lower than 0 at the time of repricing, both parties agree to use 0 as the benchmark for calculating the interest rate pricing.</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the event of any inconsistency between this clause and any other relevant agreement in this Agreement, the agreement in this clause shall prevail.</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3.6 During the credit period, we shall have the right to assess Party B’s operation and financial position on an annual basis and to adjust the credit limit available to Party B in the light of the assessment.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 Interest rate terms for working capital loans</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If Party B fails to use the loan in accordance with this Agreement, a penalty interest rate </w:t>
      </w:r>
      <w:r>
        <w:rPr>
          <w:rFonts w:ascii="Times New Roman" w:cs="Times New Roman" w:eastAsia="Times New Roman" w:hAnsi="Times New Roman"/>
          <w:sz w:val="18"/>
          <w:szCs w:val="18"/>
          <w:b w:val="1"/>
          <w:bCs w:val="1"/>
          <w:u w:val="single" w:color="auto"/>
          <w:color w:val="auto"/>
        </w:rPr>
        <w:t>of 100% will be charged on the original</w:t>
      </w:r>
      <w:r>
        <w:rPr>
          <w:rFonts w:ascii="Times New Roman" w:cs="Times New Roman" w:eastAsia="Times New Roman" w:hAnsi="Times New Roman"/>
          <w:sz w:val="18"/>
          <w:szCs w:val="18"/>
          <w:b w:val="1"/>
          <w:bCs w:val="1"/>
          <w:color w:val="auto"/>
        </w:rPr>
        <w:t xml:space="preserve"> interest rate from the date of change of use for the portion of the loan not used for the agreed purpose. The original interest rate refers to the interest rate that was applicable before the change of use of the loan.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9" w:name="page350"/>
    <w:bookmarkEnd w:id="349"/>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Party B fails to repay the loan on time, late interest (penalty interest) will be charged on the outstanding portion of the loan from the overdue date at a rate of </w:t>
      </w:r>
      <w:r>
        <w:rPr>
          <w:rFonts w:ascii="Times New Roman" w:cs="Times New Roman" w:eastAsia="Times New Roman" w:hAnsi="Times New Roman"/>
          <w:sz w:val="18"/>
          <w:szCs w:val="18"/>
          <w:b w:val="1"/>
          <w:bCs w:val="1"/>
          <w:u w:val="single" w:color="auto"/>
          <w:color w:val="auto"/>
        </w:rPr>
        <w:t>50% (the</w:t>
      </w:r>
      <w:r>
        <w:rPr>
          <w:rFonts w:ascii="Times New Roman" w:cs="Times New Roman" w:eastAsia="Times New Roman" w:hAnsi="Times New Roman"/>
          <w:sz w:val="18"/>
          <w:szCs w:val="18"/>
          <w:b w:val="1"/>
          <w:bCs w:val="1"/>
          <w:color w:val="auto"/>
        </w:rPr>
        <w:t xml:space="preserve"> 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If the loan is both overdue and not used for the contracted purpose, interest will accrue on the higher of the above provisions.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4.3 In the event that the People’s Bank of China adjusts the regulations on loan interest rates during the term of the loan, the relevant regulations of the People’s Bank of China shall apply.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4.4 If the maturity date of the loan falls on a holiday, the loan will automatically be postponed to the first working day after the holiday and the interest will be calculated according to the actual number of days the loan funds are occupied.</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 Guarantee clause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by Party A. other security measures that are acceptable to us.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 Party B’s rights and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 Party B shall have the following rights.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6.1.1 the right to require us to provide a loan or other credit within the credit limit on the terms set out in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6.1.2 the right to use the credit line as agreed in this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6.1.3 the right to require Party A to keep confidential the production, operations, property and accounts provided by Party B, except as otherwise provided in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0" w:name="page351"/>
    <w:bookmarkEnd w:id="350"/>
    <w:p>
      <w:pPr>
        <w:ind w:left="340"/>
        <w:spacing w:after="0"/>
        <w:rPr>
          <w:sz w:val="20"/>
          <w:szCs w:val="20"/>
          <w:color w:val="auto"/>
        </w:rPr>
      </w:pPr>
      <w:r>
        <w:rPr>
          <w:rFonts w:ascii="Times New Roman" w:cs="Times New Roman" w:eastAsia="Times New Roman" w:hAnsi="Times New Roman"/>
          <w:sz w:val="18"/>
          <w:szCs w:val="18"/>
          <w:color w:val="auto"/>
        </w:rPr>
        <w:t>6.1.4 The right to assign the debt to a third party with our written consent.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 Party B undertakes the following obligations.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6.2.2 shall accept Party A’s supervision of its use of credit funds and related production, operation and financial activities.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6.2.3 Loans and/or other credits shall be used as agreed and/or committed to in this Agreement and in each specific operational text.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6.2.4 shall repay in full and on time the principal, interest and fees on loans, advances and other credit obligations as agreed in this Agreement and each specific business text.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6.2.5 the assignment of all or part of the obligations under this Agreement to a third party shall be subject to our written consent.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6.2.6.1 the occurrence of a significant financial loss, loss of assets or other financial crisis.</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6.2.6.2 loans or guarantees for the benefit of third parties or for the protection of third parties against loss, or guarantees of credit (pledge) on own property (rights).</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6.2.6.4 where its controlling shareholder or other affiliated companies or the de facto controller has a major crisis in operation or finance which affects </w:t>
      </w:r>
      <w:r>
        <w:rPr>
          <w:rFonts w:ascii="Times New Roman" w:cs="Times New Roman" w:eastAsia="Times New Roman" w:hAnsi="Times New Roman"/>
          <w:sz w:val="18"/>
          <w:szCs w:val="18"/>
          <w:b w:val="1"/>
          <w:bCs w:val="1"/>
          <w:color w:val="auto"/>
        </w:rPr>
        <w:t>its normal 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6.2.6.6 the occurrence of any litigation, arbitration or criminal or administrative penalty that has a material adverse effect on its business or property position.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1" w:name="page352"/>
    <w:bookmarkEnd w:id="351"/>
    <w:p>
      <w:pPr>
        <w:ind w:left="340"/>
        <w:spacing w:after="0"/>
        <w:rPr>
          <w:sz w:val="20"/>
          <w:szCs w:val="20"/>
          <w:color w:val="auto"/>
        </w:rPr>
      </w:pPr>
      <w:r>
        <w:rPr>
          <w:rFonts w:ascii="Times New Roman" w:cs="Times New Roman" w:eastAsia="Times New Roman" w:hAnsi="Times New Roman"/>
          <w:sz w:val="18"/>
          <w:szCs w:val="18"/>
          <w:color w:val="auto"/>
        </w:rPr>
        <w:t>6.2.6.8 The occurrence of other material events that may affect the solvency of Party B and or its controlling shareholders/actual controllers.</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6.2.7 Not to neglect to manage and pursue its claims as they fall due, or to dispose of existing major property without compensation and in other inappropriate ways.</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6.2.9 In the case of pledge of accounts receivable, Party B guarantees that the credit balance at any point during the credit period is less than </w:t>
      </w:r>
      <w:r>
        <w:rPr>
          <w:rFonts w:ascii="Times New Roman" w:cs="Times New Roman" w:eastAsia="Times New Roman" w:hAnsi="Times New Roman"/>
          <w:sz w:val="18"/>
          <w:szCs w:val="18"/>
          <w:u w:val="single" w:color="auto"/>
          <w:color w:val="auto"/>
        </w:rPr>
        <w:t>80%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pledged accounts receivable balance</w:t>
      </w:r>
      <w:r>
        <w:rPr>
          <w:rFonts w:ascii="Times New Roman" w:cs="Times New Roman" w:eastAsia="Times New Roman" w:hAnsi="Times New Roman"/>
          <w:sz w:val="18"/>
          <w:szCs w:val="18"/>
          <w:color w:val="auto"/>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80% + Effective margin &gt; credit balance.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6.2.10 In the event that the balance in the margin account is less than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of the amount of the specific operation to which it relates due to exchange rate fluctuations, Party B shall be obliged to provide additional margin or other security in the corresponding amount as required by Party A. In the event that Party B provides a margin pledge, Party B shall be obliged to provide additional margin or other security in the corresponding amount as required by Party A.</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6.2.11 To ensure that the payment for sales under import is recovered from the account designated by Party A; and to transfer the bills and/or documents under the letter of credit to Party A under export negotiation.</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 Party A’s rights and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 We shall have the following rights.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7.1.1 the right to require you to repay the principal, interest and costs of loans, advances and other credit obligations under this Agreement and the specific Contract in full and on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7.1.2 the right to request information from you in relation to the use of its credit facilities.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7.1.3 the right to be informed of Party B’s production operations and financial activities.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7.1.4 the right to supervise the use of loans and/or other credit facilities by Party B in accordance with the purposes agreed in this Agreement and each specific business text; </w:t>
      </w:r>
      <w:r>
        <w:rPr>
          <w:rFonts w:ascii="Times New Roman" w:cs="Times New Roman" w:eastAsia="Times New Roman" w:hAnsi="Times New Roman"/>
          <w:sz w:val="18"/>
          <w:szCs w:val="18"/>
          <w:b w:val="1"/>
          <w:bCs w:val="1"/>
          <w:color w:val="auto"/>
        </w:rPr>
        <w:t>the right to unilaterally and directly suspend or restrict the corporate internet banking / corporate APP / other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functions of Party B’s account (including 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2" w:name="page353"/>
    <w:bookmarkEnd w:id="35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7.1.5 has the right to entrust other branches of China Merchants Bank located at the beneficiary’s location to re-open letters of credit to the beneficiary after accepting Party B’s application to open a letter of credit, as required by its internal processes.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7.1.7 the right to assign the claims it has against Party B and the right to </w:t>
      </w:r>
      <w:r>
        <w:rPr>
          <w:rFonts w:ascii="Times New Roman" w:cs="Times New Roman" w:eastAsia="Times New Roman" w:hAnsi="Times New Roman"/>
          <w:sz w:val="18"/>
          <w:szCs w:val="18"/>
          <w:b w:val="1"/>
          <w:bCs w:val="1"/>
          <w:color w:val="auto"/>
        </w:rPr>
        <w:t>notify Party B of the assignment by</w:t>
      </w:r>
      <w:r>
        <w:rPr>
          <w:rFonts w:ascii="Times New Roman" w:cs="Times New Roman" w:eastAsia="Times New Roman" w:hAnsi="Times New Roman"/>
          <w:sz w:val="18"/>
          <w:szCs w:val="18"/>
          <w:color w:val="auto"/>
        </w:rPr>
        <w:t xml:space="preserve"> such means as it considers appropriate, including but not limited to facsimile, post, personal service, </w:t>
      </w:r>
      <w:r>
        <w:rPr>
          <w:rFonts w:ascii="Times New Roman" w:cs="Times New Roman" w:eastAsia="Times New Roman" w:hAnsi="Times New Roman"/>
          <w:sz w:val="18"/>
          <w:szCs w:val="18"/>
          <w:b w:val="1"/>
          <w:bCs w:val="1"/>
          <w:color w:val="auto"/>
        </w:rPr>
        <w:t>announcement in the public media, etc., and to make collection calls on Party B.</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7.1.10 Other rights under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7.2 Party A undertakes the following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7.2.1 the granting of loans or other credit to you within the credit limit on the terms set out in this Agreement and in each specific contract.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 In particular, Party B warrants the following</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8.2 the execution and performance of this Agreement has been fully authorised by the Board or any other authorised body.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8.4 Strictly comply with the agreements of each specific operational text and the various types of correspondence and relevant documents issued to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8.8 you shall not settle other long-term debts in advance without our permission.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8.9 The loan items applied for under the credit line are in compliance with the requirements of laws and regulations, and the loan will not be used for investments in fixed assets, equity, etc., or for speculative buying and selling of securities, futures and real estate; will not be used for lending to each other to make illegal income; will not be used in areas and for purposes prohibited by the State for production and operation; and will not be used for purposes other than those stipulated in this Agreement and each specific business text.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loan funds are disbursed by the borrower, Party B shall regularly (at least on a monthly basis) report to Party A the summary of the loan funds disbursement, and Party A has the right to verify whether the loan disbursement is in accordance with the agreed purpose through account analysis, voucher checking and on-site investigation.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8.10 At the time of entering into and performing this Agreement, no other material event has occurred to you which affects the performance of your obligations under this Agreement.</w:t>
      </w:r>
    </w:p>
    <w:p>
      <w:pPr>
        <w:spacing w:after="0" w:line="162" w:lineRule="exact"/>
        <w:rPr>
          <w:sz w:val="20"/>
          <w:szCs w:val="20"/>
          <w:color w:val="auto"/>
        </w:rPr>
      </w:pPr>
    </w:p>
    <w:p>
      <w:pPr>
        <w:ind w:left="520" w:hanging="188"/>
        <w:spacing w:after="0"/>
        <w:tabs>
          <w:tab w:leader="none" w:pos="52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on working capital loans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Withdrawals and drawdowns</w:t>
      </w:r>
    </w:p>
    <w:p>
      <w:pPr>
        <w:spacing w:after="0" w:line="225" w:lineRule="exact"/>
        <w:rPr>
          <w:rFonts w:ascii="Times New Roman" w:cs="Times New Roman" w:eastAsia="Times New Roman" w:hAnsi="Times New Roman"/>
          <w:sz w:val="18"/>
          <w:szCs w:val="18"/>
          <w:color w:val="auto"/>
        </w:rPr>
      </w:pPr>
    </w:p>
    <w:p>
      <w:pPr>
        <w:ind w:left="340" w:right="33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use of the Working Capital Loan under this Agreement will be made both on your own and in trust. 9.1.1 Autonomous payments</w:t>
      </w:r>
    </w:p>
    <w:p>
      <w:pPr>
        <w:spacing w:after="0" w:line="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Self-disbursement is the disbursement of loan funds by us to your account after we have released the loan funds to your account in accordance with your request for withdrawal, and then by you to your counterparty who meets the agreed purpose.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9.1.2 Fiduciary payments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9.1.3 you shall use the fiduciary payment method unconditionally and in full if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4" w:name="page355"/>
    <w:bookmarkEnd w:id="354"/>
    <w:p>
      <w:pPr>
        <w:ind w:left="340"/>
        <w:spacing w:after="0"/>
        <w:rPr>
          <w:sz w:val="20"/>
          <w:szCs w:val="20"/>
          <w:color w:val="auto"/>
        </w:rPr>
      </w:pPr>
      <w:r>
        <w:rPr>
          <w:rFonts w:ascii="Times New Roman" w:cs="Times New Roman" w:eastAsia="Times New Roman" w:hAnsi="Times New Roman"/>
          <w:sz w:val="18"/>
          <w:szCs w:val="18"/>
          <w:color w:val="auto"/>
        </w:rPr>
        <w:t xml:space="preserve">9.1.3.1 Where a single withdrawal by Party B exceeds </w:t>
      </w:r>
      <w:r>
        <w:rPr>
          <w:rFonts w:ascii="Times New Roman" w:cs="Times New Roman" w:eastAsia="Times New Roman" w:hAnsi="Times New Roman"/>
          <w:sz w:val="18"/>
          <w:szCs w:val="18"/>
          <w:u w:val="single" w:color="auto"/>
          <w:color w:val="auto"/>
        </w:rPr>
        <w:t>RMB 5</w:t>
      </w:r>
      <w:r>
        <w:rPr>
          <w:rFonts w:ascii="Times New Roman" w:cs="Times New Roman" w:eastAsia="Times New Roman" w:hAnsi="Times New Roman"/>
          <w:sz w:val="18"/>
          <w:szCs w:val="18"/>
          <w:color w:val="auto"/>
        </w:rPr>
        <w:t xml:space="preserve"> million (inclusive, or its equivalent in foreign currency).</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9.1.3.2 Where Party A requires Party B to adopt a fiduciary payment method in accordance with regulatory requirements or for risk management purposes.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9.1.4 If payment is made on trust, external payment after loan disbursement must be approved by Party A. Party B shall not circumvent Party A’s supervision by means of online banking, reverse cheque withdrawal or conversion of the whole amount into zero.</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Times New Roman" w:cs="Times New Roman" w:eastAsia="Times New Roman" w:hAnsi="Times New Roman"/>
          <w:sz w:val="18"/>
          <w:szCs w:val="18"/>
          <w:b w:val="1"/>
          <w:bCs w:val="1"/>
          <w:color w:val="auto"/>
        </w:rPr>
        <w:t>not be liable for any</w:t>
      </w:r>
      <w:r>
        <w:rPr>
          <w:rFonts w:ascii="Times New Roman" w:cs="Times New Roman" w:eastAsia="Times New Roman" w:hAnsi="Times New Roman"/>
          <w:sz w:val="18"/>
          <w:szCs w:val="18"/>
          <w:color w:val="auto"/>
        </w:rPr>
        <w:t xml:space="preserve"> delay or failure in the payment of funds due to inaccurate or incomplete payment information provided by Party B, resulting in </w:t>
      </w:r>
      <w:r>
        <w:rPr>
          <w:rFonts w:ascii="Times New Roman" w:cs="Times New Roman" w:eastAsia="Times New Roman" w:hAnsi="Times New Roman"/>
          <w:sz w:val="18"/>
          <w:szCs w:val="18"/>
          <w:b w:val="1"/>
          <w:bCs w:val="1"/>
          <w:color w:val="auto"/>
        </w:rPr>
        <w:t>Party B’s default or formation of other losses to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counterparty.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9.3 Loan extensions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 Events of default and handling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 An event of default shall be deemed to have occurred if Party B.</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10.1.1 Failure to perform or breach of each of its obligations under this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10.1.2 if there is any untruthfulness or incompleteness in the Special Warranties by Party B under this Agreement, or if Party B breaches the Special Warranties and fails to rectify the same as required by Party 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10.1.4 a material breach by Party B under a legally valid contract with another creditor which is not satisfactorily resolved within three months from the date of the breach.</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foregoing material breach means that Party B’s breach of contract results in its creditors being entitled to claim from it for an amount </w:t>
      </w:r>
      <w:r>
        <w:rPr>
          <w:rFonts w:ascii="Times New Roman" w:cs="Times New Roman" w:eastAsia="Times New Roman" w:hAnsi="Times New Roman"/>
          <w:sz w:val="18"/>
          <w:szCs w:val="18"/>
          <w:b w:val="1"/>
          <w:bCs w:val="1"/>
          <w:u w:val="single" w:color="auto"/>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RMB1</w:t>
      </w:r>
      <w:r>
        <w:rPr>
          <w:rFonts w:ascii="Times New Roman" w:cs="Times New Roman" w:eastAsia="Times New Roman" w:hAnsi="Times New Roman"/>
          <w:sz w:val="18"/>
          <w:szCs w:val="18"/>
          <w:b w:val="1"/>
          <w:bCs w:val="1"/>
          <w:color w:val="auto"/>
        </w:rPr>
        <w:t xml:space="preserve"> million or more.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5" w:name="page356"/>
    <w:bookmarkEnd w:id="35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spacing w:after="0" w:line="180"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10.1.8 where Party B draws down the loan in a “fractional” manner in order to circumvent the requirement under this Agreement that Party B should entrust Party A with the external disbursement of the loan funds.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10.1.9 Your business activities may pose anti-money laundering or sanctions compliance risks to 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10.1.10 occurrence of other circumstances which we consider to be detrimental to our legitimate rights and interests.</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10.2.1 the occurrence of one of the circumstances similar to those described in clause 6.2.6 of this Agreement, or the occurrence of a circumstance described in clause 6.2.8 without our consent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10.2.2 the issuance of an irrevocable guarantee conceals its actual capacity to assume liability or is not authorized by a competent authority.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10.2.3 Failure to comply with registration, annual business report procedures and/or extension/extension of business term procedures, etc. on time.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10.2.4 neglects to manage and pursue its claims as they become due or disposes of existing major property without compensation or in any other improper manner.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10.2.5 breach of any obligation, undertaking or statement in an irrevocable undertaking signed by it.</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10.3.1 there is no right of ownership or disposition of the collateral (or pledge), or the ownership is disputed.</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6" w:name="page357"/>
    <w:bookmarkEnd w:id="35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10.3.5 where the mortgaged property has been or may be included in the scope of government demolition or expropriation and the mortgagor fails to immediately inform us and perform the relevant obligations as agreed in the mortgage contract.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10.3.7 where the pledgee pledges financial products, the source of funding for the subscription of the financial products is not legal/compliant.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10.3.8 other matters occurring or likely to occur in relation to the mortgage (pledge) affecting the value of the mortgage (pledge) or affecting our mortgage (pledge) rights, etc.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10.3.9 the mortgagor (or pledgee) breaches any obligation, promise or representation in the mortgage contract/pledge contract signed by him.</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10.4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10.5 In the event of any of the above events of default, we shall be entitled to take the following measures separately or concurrently.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10.5.1 reduce the amount of credit granted under this Agreement or discontinue the use of the remaining credit line.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10.5.2 early recovery of principal, interest and related fees on loans granted within the credit limit.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10.5.3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10.5.4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7" w:name="page358"/>
    <w:bookmarkEnd w:id="357"/>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10.5.5 Party A may also directly request Party B to provide other property acceptable to Party A as new security as appropriate. </w:t>
      </w:r>
      <w:r>
        <w:rPr>
          <w:rFonts w:ascii="Times New Roman" w:cs="Times New Roman" w:eastAsia="Times New Roman" w:hAnsi="Times New Roman"/>
          <w:sz w:val="18"/>
          <w:szCs w:val="18"/>
          <w:b w:val="1"/>
          <w:bCs w:val="1"/>
          <w:color w:val="auto"/>
        </w:rPr>
        <w:t>If Party B fails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provide new security as requested, Party B shall be liable for liquidated damages equivalent to </w:t>
      </w:r>
      <w:r>
        <w:rPr>
          <w:rFonts w:ascii="Times New Roman" w:cs="Times New Roman" w:eastAsia="Times New Roman" w:hAnsi="Times New Roman"/>
          <w:sz w:val="18"/>
          <w:szCs w:val="18"/>
          <w:b w:val="1"/>
          <w:bCs w:val="1"/>
          <w:u w:val="single" w:color="auto"/>
          <w:color w:val="auto"/>
        </w:rPr>
        <w:t>30% of the</w:t>
      </w:r>
      <w:r>
        <w:rPr>
          <w:rFonts w:ascii="Times New Roman" w:cs="Times New Roman" w:eastAsia="Times New Roman" w:hAnsi="Times New Roman"/>
          <w:sz w:val="18"/>
          <w:szCs w:val="18"/>
          <w:b w:val="1"/>
          <w:bCs w:val="1"/>
          <w:color w:val="auto"/>
        </w:rPr>
        <w:t xml:space="preserve"> amount of the credit facility under this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10.5.6 to directly freeze/withhold the deposits in any settlement account and/or other accounts opened by Party B with China Merchants Bank, to stop opening new settlement accounts for Party B and to stop issuing new credit cards to Party B’s legal representatives.</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10.5.7 to report to credit reference agencies and banking associations information on Party B’s default and breach of trust, and have the right to share such information among banking institutions and even publicize it to the community through appropriate means.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10.5.8 dispose of the pledge and/or recover it from the guarantor in accordance with the provisions of the security text.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10.5.9 for working capital loans under the credit facility, change the terms of the loan funds entrusted to you and remove the use of the loan by you on a “self-pay” basis.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10.5.10 Recourse in accordance with this Agreement.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10.6 The amounts recovered by us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Party A has the right to unilaterally adjust the above repayment order, unless otherwise required by law or regulation.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 Changes and additions to the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agreement may be varied by mutual agreement and written agreement between A and B. Until such time as a written agreement is reached, this Agreement shall remain in force. Neither party may make unilateral changes to this agreement.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written supplemental agreements reached by consensus between A and B in respect of matters not covered by this Agreement and changes thereto, as well as each specific business text under this Agreement, shall form an integral part of this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 Other matters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8" w:name="page359"/>
    <w:bookmarkEnd w:id="358"/>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If, as a result of changes in applicable laws and policy requirements, Party A incurs additional costs in performing its obligations under the Agreement, Party B shall reimburse Party A for the additional costs incurred at Party A’s request.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12.3.1 Party B acknowledges and agrees to use Party B’s China Merchants Bank Corporate Internet Banking / Corporate App and Party B’s contact address, email, fax number, mobile phone number or micro-signal set out in this Agreement as Party B’s address for service of all commercial and legal documents under this Agreement.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commercial documents referred to in this Article refer to all kinds of commercial documents such as business notices, confirmations, default notices, early maturity notices, overdue reminders, etc. formed in the course of business transactions under this Agreement; the legal documents referred to in this Article include notarized documents and judicial documents (including but not limited to indictment/application for arbitration, appeal, reply, evidence, summons, notice of appeal, notice of proof, notice of court hearing, notice of hearing, judgment/judgment, ruling, mediation, notice of deadline for performance, etc.). (including, but not limited to, documents for trial and enforcement, such as indictment/arbitration application, appeal, defence, evidence, summons, notice of appeal, notice of proof, notice of hearing, judgment/award, ruling, conciliation, notice of deadline for performance).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Service by Party A, the Court of Appeal and the Notary Public by the means of service agreed in this Agreement to the address for service agreed in the preceding paragraph shall be deemed to be valid service.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12.3.2 Party B acknowledges and agrees that: if delivered by hand (including but not limited to delivery by lawyers/notaries, courier delivery, etc.), delivery shall be deemed to have been effected upon signature by the recipient (if the </w:t>
      </w:r>
      <w:r>
        <w:rPr>
          <w:rFonts w:ascii="Times New Roman" w:cs="Times New Roman" w:eastAsia="Times New Roman" w:hAnsi="Times New Roman"/>
          <w:sz w:val="18"/>
          <w:szCs w:val="18"/>
          <w:b w:val="1"/>
          <w:bCs w:val="1"/>
          <w:color w:val="auto"/>
        </w:rPr>
        <w:t>recipient refuses to accept, delivery shall be deemed to have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effected upon the expiry of seven days from the date of refusal/return or the date of posting, whichever is earlier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if delivered by postal letter, delivery shall be deemed to have been effected upon the expiry of seven days from the date of posting; if delivered </w:t>
      </w:r>
      <w:r>
        <w:rPr>
          <w:rFonts w:ascii="Times New Roman" w:cs="Times New Roman" w:eastAsia="Times New Roman" w:hAnsi="Times New Roman"/>
          <w:sz w:val="18"/>
          <w:szCs w:val="18"/>
          <w:color w:val="auto"/>
        </w:rPr>
        <w:t>by fax, email, China Merchants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Bank Corporate Internet Banking/Enterprise App (i.e. delivery to Party B’s China Merchants Bank Corporate Internet Banking/Enterprise App via China Merchants Bank Corporate Internet Banking/Enterprise App), mobile phone SMS or WeChat, etc. (i.e. delivered to Party B’s China Merchants Bank Corporate Internet Banking/Enterprise App via China Merchants Bank Corporate Internet Banking/Enterprise App), mobile phone SMS or WeChat, etc., the date of delivery shall be deemed to be the date of delivery when the corresponding system/electronic device of Party A shows successful delivery. </w:t>
      </w:r>
      <w:r>
        <w:rPr>
          <w:rFonts w:ascii="Times New Roman" w:cs="Times New Roman" w:eastAsia="Times New Roman" w:hAnsi="Times New Roman"/>
          <w:sz w:val="18"/>
          <w:szCs w:val="18"/>
          <w:b w:val="1"/>
          <w:bCs w:val="1"/>
          <w:color w:val="auto"/>
        </w:rPr>
        <w:t>If</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Party A notifies Party B of the transfer of debts or makes a collection call on Party B by way of announcement in the public media, the date of announcement shall be deemed to be the date of service.</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9" w:name="page360"/>
    <w:bookmarkEnd w:id="35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12.3.4 Party B further agrees that the court may serve judicial documents on Party B by electronic means such as the China Open Network for Judicial Process Information and the National Unified Service Platform; if the court serves judicial documents electronically as agreed above, the date of successful transmission as shown on the China Open Network for Judicial Process Information and the National Unified Service Platform shall be regarded as the date of service; if the court completes the service of judicial documents by electronic service If the court completes the service of judicial documents by electronic service, there is no need to serve paper judicial documents to Party B’s contact address.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12.3.5 The address and mode of service agreed in this article apply to all stages of the contract performance, dispute resolution, arbitration, court hearing (first trial, second trial, retrial) and enforcement.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12.4 The Parties agree that for each application for business under the Trade Finance Business, it is sufficient for Party B to affix its reserved seal on Party A and both Parties acknowledge the validity of such signature.</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12.7 The annexes under this Agreement form an integral part of this Agreement and shall automatically apply to the corresponding specific operations actually occurring between the Parties.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12.8 Covering costs</w:t>
      </w:r>
    </w:p>
    <w:p>
      <w:pPr>
        <w:spacing w:after="0" w:line="225" w:lineRule="exact"/>
        <w:rPr>
          <w:sz w:val="20"/>
          <w:szCs w:val="20"/>
          <w:color w:val="auto"/>
        </w:rPr>
      </w:pPr>
    </w:p>
    <w:p>
      <w:pPr>
        <w:ind w:firstLine="332"/>
        <w:spacing w:after="0" w:line="235" w:lineRule="exact"/>
        <w:tabs>
          <w:tab w:leader="none" w:pos="536" w:val="left"/>
        </w:tabs>
        <w:numPr>
          <w:ilvl w:val="0"/>
          <w:numId w:val="4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12.8.1 Where this Agreement involves Party B taking out accident insurance with Party A as the first beneficiary, the relevant insurance costs shall be borne in the following form (a tick in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indicates that the provisions of this clause apply).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tick one of the following.</w:t>
      </w:r>
    </w:p>
    <w:p>
      <w:pPr>
        <w:spacing w:after="0" w:line="225" w:lineRule="exact"/>
        <w:rPr>
          <w:sz w:val="20"/>
          <w:szCs w:val="20"/>
          <w:color w:val="auto"/>
        </w:rPr>
      </w:pPr>
    </w:p>
    <w:p>
      <w:pPr>
        <w:ind w:left="540" w:hanging="208"/>
        <w:spacing w:after="0"/>
        <w:tabs>
          <w:tab w:leader="none" w:pos="540" w:val="left"/>
        </w:tabs>
        <w:numPr>
          <w:ilvl w:val="0"/>
          <w:numId w:val="4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Party A is responsible for.</w:t>
      </w:r>
    </w:p>
    <w:p>
      <w:pPr>
        <w:spacing w:after="0" w:line="221" w:lineRule="exact"/>
        <w:rPr>
          <w:rFonts w:ascii="MS PGothic" w:cs="MS PGothic" w:eastAsia="MS PGothic" w:hAnsi="MS PGothic"/>
          <w:sz w:val="18"/>
          <w:szCs w:val="18"/>
          <w:color w:val="auto"/>
        </w:rPr>
      </w:pPr>
    </w:p>
    <w:p>
      <w:pPr>
        <w:ind w:left="520" w:hanging="188"/>
        <w:spacing w:after="0"/>
        <w:tabs>
          <w:tab w:leader="none" w:pos="520" w:val="left"/>
        </w:tabs>
        <w:numPr>
          <w:ilvl w:val="0"/>
          <w:numId w:val="42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 and B share in the following proportions: Party A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 Party B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0" w:name="page361"/>
    <w:bookmarkEnd w:id="360"/>
    <w:p>
      <w:pPr>
        <w:ind w:right="20" w:firstLine="332"/>
        <w:spacing w:after="0" w:line="235" w:lineRule="exact"/>
        <w:tabs>
          <w:tab w:leader="none" w:pos="535" w:val="left"/>
        </w:tabs>
        <w:numPr>
          <w:ilvl w:val="0"/>
          <w:numId w:val="4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12.8.2 Where this Agreement relates to enforcement notary fees (other than the fee for the application for the issue of a certificate of enforcement), the following form of fee payment shall apply (a tick in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indicates that the provisions of this clause apply).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tick one of the following.</w:t>
      </w:r>
    </w:p>
    <w:p>
      <w:pPr>
        <w:spacing w:after="0" w:line="225" w:lineRule="exact"/>
        <w:rPr>
          <w:sz w:val="20"/>
          <w:szCs w:val="20"/>
          <w:color w:val="auto"/>
        </w:rPr>
      </w:pPr>
    </w:p>
    <w:p>
      <w:pPr>
        <w:ind w:left="540" w:hanging="208"/>
        <w:spacing w:after="0"/>
        <w:tabs>
          <w:tab w:leader="none" w:pos="540" w:val="left"/>
        </w:tabs>
        <w:numPr>
          <w:ilvl w:val="0"/>
          <w:numId w:val="4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Party A bears</w:t>
      </w:r>
    </w:p>
    <w:p>
      <w:pPr>
        <w:spacing w:after="0" w:line="221" w:lineRule="exact"/>
        <w:rPr>
          <w:rFonts w:ascii="MS PGothic" w:cs="MS PGothic" w:eastAsia="MS PGothic" w:hAnsi="MS PGothic"/>
          <w:sz w:val="18"/>
          <w:szCs w:val="18"/>
          <w:color w:val="auto"/>
        </w:rPr>
      </w:pPr>
    </w:p>
    <w:p>
      <w:pPr>
        <w:ind w:left="520" w:hanging="188"/>
        <w:spacing w:after="0"/>
        <w:tabs>
          <w:tab w:leader="none" w:pos="520" w:val="left"/>
        </w:tabs>
        <w:numPr>
          <w:ilvl w:val="0"/>
          <w:numId w:val="42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 and B share in the following proportions: Party A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 Party B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12.8.3 In other matters where services are entrusted to a third party, the relevant costs shall be borne by the principal. If both parties are jointly acting as principal, each shall bear 50%.</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Times New Roman" w:cs="Times New Roman" w:eastAsia="Times New Roman" w:hAnsi="Times New Roman"/>
          <w:sz w:val="18"/>
          <w:szCs w:val="18"/>
          <w:b w:val="1"/>
          <w:bCs w:val="1"/>
          <w:color w:val="auto"/>
        </w:rPr>
        <w:t>authorises Party A to deduct them directly from Party B’s bank account with Party A. If there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 any shortfall, Party B guarantees to reimburse the full amount upon receipt of notice from Party A without any proof from Party A.</w:t>
      </w:r>
    </w:p>
    <w:p>
      <w:pPr>
        <w:spacing w:after="0" w:line="15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b w:val="1"/>
          <w:bCs w:val="1"/>
          <w:color w:val="auto"/>
        </w:rPr>
        <w:t>12.9 Party B shall, at Party A’s request (tick one of the following options at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p>
    <w:p>
      <w:pPr>
        <w:spacing w:after="0" w:line="250" w:lineRule="exact"/>
        <w:rPr>
          <w:sz w:val="20"/>
          <w:szCs w:val="20"/>
          <w:color w:val="auto"/>
        </w:rPr>
      </w:pPr>
    </w:p>
    <w:p>
      <w:pPr>
        <w:ind w:left="540" w:hanging="208"/>
        <w:spacing w:after="0"/>
        <w:tabs>
          <w:tab w:leader="none" w:pos="540" w:val="left"/>
        </w:tabs>
        <w:numPr>
          <w:ilvl w:val="0"/>
          <w:numId w:val="430"/>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insure its core assets and designate us as the first-ranking beneficiary.</w:t>
      </w:r>
    </w:p>
    <w:p>
      <w:pPr>
        <w:spacing w:after="0" w:line="225" w:lineRule="exact"/>
        <w:rPr>
          <w:rFonts w:ascii="MS PGothic" w:cs="MS PGothic" w:eastAsia="MS PGothic" w:hAnsi="MS PGothic"/>
          <w:sz w:val="18"/>
          <w:szCs w:val="18"/>
          <w:color w:val="auto"/>
          <w:highlight w:val="black"/>
        </w:rPr>
      </w:pPr>
    </w:p>
    <w:p>
      <w:pPr>
        <w:ind w:left="540" w:hanging="208"/>
        <w:spacing w:after="0"/>
        <w:tabs>
          <w:tab w:leader="none" w:pos="540" w:val="left"/>
        </w:tabs>
        <w:numPr>
          <w:ilvl w:val="0"/>
          <w:numId w:val="430"/>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No sale or encumbrance of assets designated by us until the credit debt has been settled.</w:t>
      </w:r>
    </w:p>
    <w:p>
      <w:pPr>
        <w:spacing w:after="0" w:line="225" w:lineRule="exact"/>
        <w:rPr>
          <w:rFonts w:ascii="MS PGothic" w:cs="MS PGothic" w:eastAsia="MS PGothic" w:hAnsi="MS PGothic"/>
          <w:sz w:val="18"/>
          <w:szCs w:val="18"/>
          <w:color w:val="auto"/>
          <w:highlight w:val="black"/>
        </w:rPr>
      </w:pPr>
    </w:p>
    <w:p>
      <w:pPr>
        <w:ind w:left="540" w:hanging="208"/>
        <w:spacing w:after="0"/>
        <w:tabs>
          <w:tab w:leader="none" w:pos="540" w:val="left"/>
        </w:tabs>
        <w:numPr>
          <w:ilvl w:val="0"/>
          <w:numId w:val="430"/>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The dividends to its shareholders prior to the settlement of the credit debt are restricted in accordance with our requirements as follows.</w:t>
      </w:r>
    </w:p>
    <w:p>
      <w:pPr>
        <w:spacing w:after="0" w:line="225" w:lineRule="exact"/>
        <w:rPr>
          <w:rFonts w:ascii="MS PGothic" w:cs="MS PGothic" w:eastAsia="MS PGothic" w:hAnsi="MS PGothic"/>
          <w:sz w:val="18"/>
          <w:szCs w:val="18"/>
          <w:color w:val="auto"/>
          <w:highlight w:val="black"/>
        </w:rPr>
      </w:pPr>
    </w:p>
    <w:p>
      <w:pPr>
        <w:ind w:left="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12.10 You shall ensure that the financial indicators of Party B during the credit period do not fall below the following requirements.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12.11 You also acknowledge that China Merchants Bank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12.12 Other engagements.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1" w:name="page362"/>
    <w:bookmarkEnd w:id="361"/>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12.12.1 (1) Party B shall not use false contracts with related parties or debts such as bills and receivables without trade background to conduct various businesses such as bill discounting, factoring, pledge, letter of credit and forfaiting in Party A. If Party B uses the connected transactions to damage or evade the claims of Party A or other branches of China Merchants Bank, it shall be regarded as an event of default under this Agreement and Party A shall have the right to take corresponding default handling measures in accordance with this Agreement. (2) If any related party of Party B defaults on its obligations to China Merchants Bank, it shall be deemed to be an event of default under the Group Credit Facility and Party A shall be entitled to decide whether or not to take the default handling measures as stipulated in this Agreement in accordance with the degree of impact of the event of default, irrespective of whether or not Party B has defaulted under this Agreement. (3) Related transaction means a transfer of resources or obligations between related parties, whether or not a price is received. A related party is defined as a party who has the ability to control, jointly control or exercise significant influence over another party, directly or indirectly, in the financial and operating decisions of the enterprise; two or more parties are also related if they are controlled by the same party. Both parties agree that the specific definition of related party shall be determined by Party A. (4) Group means a group of legal persons who have a direct or indirect controlling (control) or controlled (control) relationship, or other groups of legal persons who have a materially significant risk connection (such as being jointly controlled by a third party, having other related relationships and possibly not transferring assets and profits on a fair price basis). A control relationship is one in which you have effective control or exert significant influence over the operating decisions, capital operations or senior management appointments of the other party. Both parties agree that whether or not they are members of the Group is subject to Party A’s determination.</w:t>
      </w:r>
    </w:p>
    <w:p>
      <w:pPr>
        <w:spacing w:after="0" w:line="19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12.12.2 Party B guarantees that there will be no performance under the foreign insured domestic loan, and if there is such a situation, Party B shall notify Party A in a timely manner, and Party A has the right to suspend the conclusion of new foreign insured domestic loan contracts or the processing of new withdrawals; Party B guarantees that if there is performance under the guarantee, the sum of the outstanding principal balance and the stock of external liabilities will not exceed the risk-weighted balance of Party B’s cross-border financing, and the risk arising from exceeding the risk-weighted balance of Party B’s cross-border financing shall be borne by Party B The risk arising from exceeding the risk-weighted balance of your cross-border financing shall be borne by you.</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12.12.3 Party B undertakes that it will not return the loan to the Affiliate in any form until the debt under this contract has been settled.</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12.12.4 Party B undertakes that until all credit obligations under this Agreement are settled, the terms of the guarantee provided by Party B to Party A for obtaining credit under this Agreement will not be weaker than the terms of the guarantee provided by Party B to other banks for new applications for financing by Party B in other banks.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 Account information</w:t>
      </w:r>
    </w:p>
    <w:p>
      <w:pPr>
        <w:spacing w:after="0" w:line="225" w:lineRule="exact"/>
        <w:rPr>
          <w:sz w:val="20"/>
          <w:szCs w:val="20"/>
          <w:color w:val="auto"/>
        </w:rPr>
      </w:pPr>
    </w:p>
    <w:p>
      <w:pPr>
        <w:ind w:left="540" w:hanging="208"/>
        <w:spacing w:after="0"/>
        <w:tabs>
          <w:tab w:leader="none" w:pos="540" w:val="left"/>
        </w:tabs>
        <w:numPr>
          <w:ilvl w:val="0"/>
          <w:numId w:val="4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13.1 Special Loan Account (tick if applicable)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disbursements and payments of loan funds under this Agreement must be made through the following accounts.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name</w:t>
      </w:r>
      <w:r>
        <w:rPr>
          <w:rFonts w:ascii="Times New Roman" w:cs="Times New Roman" w:eastAsia="Times New Roman" w:hAnsi="Times New Roman"/>
          <w:sz w:val="18"/>
          <w:szCs w:val="18"/>
          <w:u w:val="single" w:color="auto"/>
          <w:color w:val="auto"/>
        </w:rPr>
        <w:t>. JAJI (Shanghai) Co., Ltd.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number</w:t>
      </w:r>
      <w:r>
        <w:rPr>
          <w:rFonts w:ascii="Times New Roman" w:cs="Times New Roman" w:eastAsia="Times New Roman" w:hAnsi="Times New Roman"/>
          <w:sz w:val="18"/>
          <w:szCs w:val="18"/>
          <w:u w:val="single" w:color="auto"/>
          <w:color w:val="auto"/>
        </w:rPr>
        <w:t>. 121923728310801</w:t>
      </w:r>
    </w:p>
    <w:p>
      <w:pPr>
        <w:spacing w:after="0" w:line="225" w:lineRule="exact"/>
        <w:rPr>
          <w:sz w:val="20"/>
          <w:szCs w:val="20"/>
          <w:color w:val="auto"/>
        </w:rPr>
      </w:pPr>
    </w:p>
    <w:p>
      <w:pPr>
        <w:ind w:left="340" w:right="5240"/>
        <w:spacing w:after="0" w:line="500" w:lineRule="auto"/>
        <w:rPr>
          <w:sz w:val="20"/>
          <w:szCs w:val="20"/>
          <w:color w:val="auto"/>
        </w:rPr>
      </w:pPr>
      <w:r>
        <w:rPr>
          <w:rFonts w:ascii="Times New Roman" w:cs="Times New Roman" w:eastAsia="Times New Roman" w:hAnsi="Times New Roman"/>
          <w:sz w:val="18"/>
          <w:szCs w:val="18"/>
          <w:color w:val="auto"/>
        </w:rPr>
        <w:t>Bank of Account</w:t>
      </w:r>
      <w:r>
        <w:rPr>
          <w:rFonts w:ascii="Times New Roman" w:cs="Times New Roman" w:eastAsia="Times New Roman" w:hAnsi="Times New Roman"/>
          <w:sz w:val="18"/>
          <w:szCs w:val="18"/>
          <w:u w:val="single" w:color="auto"/>
          <w:color w:val="auto"/>
        </w:rPr>
        <w:t>. Century Avenue Branch of China Merchants Bank Co., LTD</w:t>
      </w:r>
      <w:r>
        <w:rPr>
          <w:rFonts w:ascii="Times New Roman" w:cs="Times New Roman" w:eastAsia="Times New Roman" w:hAnsi="Times New Roman"/>
          <w:sz w:val="18"/>
          <w:szCs w:val="18"/>
          <w:color w:val="auto"/>
        </w:rPr>
        <w:t xml:space="preserve"> 13.2 Funds back account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13.2.1 We both agree to designate the following account as Party B’s funds recovery account.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name</w:t>
      </w:r>
      <w:r>
        <w:rPr>
          <w:rFonts w:ascii="Times New Roman" w:cs="Times New Roman" w:eastAsia="Times New Roman" w:hAnsi="Times New Roman"/>
          <w:sz w:val="18"/>
          <w:szCs w:val="18"/>
          <w:u w:val="single" w:color="auto"/>
          <w:color w:val="auto"/>
        </w:rPr>
        <w:t>. JAJI (Shanghai) Co., Ltd.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number</w:t>
      </w:r>
      <w:r>
        <w:rPr>
          <w:rFonts w:ascii="Times New Roman" w:cs="Times New Roman" w:eastAsia="Times New Roman" w:hAnsi="Times New Roman"/>
          <w:sz w:val="18"/>
          <w:szCs w:val="18"/>
          <w:u w:val="single" w:color="auto"/>
          <w:color w:val="auto"/>
        </w:rPr>
        <w:t>. 121923728310801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Bank of Account</w:t>
      </w:r>
      <w:r>
        <w:rPr>
          <w:rFonts w:ascii="Times New Roman" w:cs="Times New Roman" w:eastAsia="Times New Roman" w:hAnsi="Times New Roman"/>
          <w:sz w:val="18"/>
          <w:szCs w:val="18"/>
          <w:u w:val="single" w:color="auto"/>
          <w:color w:val="auto"/>
        </w:rPr>
        <w:t>. Century Avenue Branch of China Merchants Bank Co.,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2" w:name="page363"/>
    <w:bookmarkEnd w:id="362"/>
    <w:p>
      <w:pPr>
        <w:ind w:left="340"/>
        <w:spacing w:after="0"/>
        <w:tabs>
          <w:tab w:leader="none" w:pos="4960" w:val="left"/>
        </w:tabs>
        <w:rPr>
          <w:sz w:val="20"/>
          <w:szCs w:val="20"/>
          <w:color w:val="auto"/>
        </w:rPr>
      </w:pPr>
      <w:r>
        <w:rPr>
          <w:rFonts w:ascii="Times New Roman" w:cs="Times New Roman" w:eastAsia="Times New Roman" w:hAnsi="Times New Roman"/>
          <w:sz w:val="18"/>
          <w:szCs w:val="18"/>
          <w:color w:val="auto"/>
        </w:rPr>
        <w:t>13.2.2 The account monitoring requirements are as follows.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-7620</wp:posOffset>
            </wp:positionV>
            <wp:extent cx="4883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13.3 Party B shall provide quarterly information on the movement of funds in and out of the above accounts and cooperate with Party A in the monitoring of the relevant accounts and the return of funds.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14. Applicable law and dispute resolution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14.2 Disputes arising in the course of the performance of this Agreement between A and B shall be settled by mutual agreement. If consultation fails, either party shall (choose one of the three, tick one of the following).</w:t>
      </w:r>
    </w:p>
    <w:p>
      <w:pPr>
        <w:spacing w:after="0" w:line="155" w:lineRule="exact"/>
        <w:rPr>
          <w:sz w:val="20"/>
          <w:szCs w:val="20"/>
          <w:color w:val="auto"/>
        </w:rPr>
      </w:pPr>
    </w:p>
    <w:p>
      <w:pPr>
        <w:ind w:left="540" w:hanging="208"/>
        <w:spacing w:after="0"/>
        <w:tabs>
          <w:tab w:leader="none" w:pos="540" w:val="left"/>
        </w:tabs>
        <w:numPr>
          <w:ilvl w:val="0"/>
          <w:numId w:val="43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14.2.1 to the People’s Court of competent jurisdiction in the location of Party A.</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0"/>
          <w:numId w:val="4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√14.2.2 to the people’s court with jurisdiction in the place where the agreement was signed, which is</w:t>
      </w:r>
    </w:p>
    <w:p>
      <w:pPr>
        <w:spacing w:after="0" w:line="225" w:lineRule="exact"/>
        <w:rPr>
          <w:rFonts w:ascii="MS PGothic" w:cs="MS PGothic" w:eastAsia="MS PGothic" w:hAnsi="MS PGothic"/>
          <w:sz w:val="18"/>
          <w:szCs w:val="18"/>
          <w:color w:val="auto"/>
          <w:highlight w:val="black"/>
        </w:rPr>
      </w:pPr>
    </w:p>
    <w:p>
      <w:pPr>
        <w:ind w:left="540" w:hanging="208"/>
        <w:spacing w:after="0"/>
        <w:tabs>
          <w:tab w:leader="none" w:pos="540" w:val="left"/>
        </w:tabs>
        <w:numPr>
          <w:ilvl w:val="0"/>
          <w:numId w:val="43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14.2.3 Application for arbitration to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(insert name of specific arbitration institution), where the arbitration will take place.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15. Entry into force of the agreement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16. By-laws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This agreement is made in </w:t>
      </w:r>
      <w:r>
        <w:rPr>
          <w:rFonts w:ascii="Times New Roman" w:cs="Times New Roman" w:eastAsia="Times New Roman" w:hAnsi="Times New Roman"/>
          <w:sz w:val="18"/>
          <w:szCs w:val="18"/>
          <w:u w:val="single" w:color="auto"/>
          <w:color w:val="auto"/>
        </w:rPr>
        <w:t>four copy</w:t>
      </w:r>
      <w:r>
        <w:rPr>
          <w:rFonts w:ascii="Times New Roman" w:cs="Times New Roman" w:eastAsia="Times New Roman" w:hAnsi="Times New Roman"/>
          <w:sz w:val="18"/>
          <w:szCs w:val="18"/>
          <w:color w:val="auto"/>
        </w:rPr>
        <w:t>, one for Party A, one for Party B and one for each with the same legal effect.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Attachment: 1. Special Terms and Conditions for Cross-border Trade Finance Business</w:t>
      </w:r>
    </w:p>
    <w:p>
      <w:pPr>
        <w:spacing w:after="0" w:line="225" w:lineRule="exact"/>
        <w:rPr>
          <w:sz w:val="20"/>
          <w:szCs w:val="20"/>
          <w:color w:val="auto"/>
        </w:rPr>
      </w:pPr>
    </w:p>
    <w:p>
      <w:pPr>
        <w:ind w:left="1160" w:hanging="180"/>
        <w:spacing w:after="0"/>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Terms for Buyer/Import Factoring</w:t>
      </w:r>
    </w:p>
    <w:p>
      <w:pPr>
        <w:spacing w:after="0" w:line="225"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Terms for Order Credit Business</w:t>
      </w:r>
    </w:p>
    <w:p>
      <w:pPr>
        <w:spacing w:after="0" w:line="225"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Terms for Commercial Acceptance Guarantee Business</w:t>
      </w:r>
    </w:p>
    <w:p>
      <w:pPr>
        <w:spacing w:after="0" w:line="225"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for derivative business</w:t>
      </w:r>
    </w:p>
    <w:p>
      <w:pPr>
        <w:spacing w:after="0" w:line="225"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Terms for Gold Leasing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color w:val="auto"/>
        </w:rPr>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Terms for Cross-border Trade Finance Business</w:t>
      </w:r>
    </w:p>
    <w:p>
      <w:pPr>
        <w:spacing w:after="0" w:line="225" w:lineRule="exact"/>
        <w:rPr>
          <w:sz w:val="20"/>
          <w:szCs w:val="20"/>
          <w:color w:val="auto"/>
        </w:rPr>
      </w:pPr>
    </w:p>
    <w:p>
      <w:pPr>
        <w:jc w:val="both"/>
        <w:ind w:firstLine="332"/>
        <w:spacing w:after="0" w:line="266" w:lineRule="auto"/>
        <w:tabs>
          <w:tab w:leader="none" w:pos="51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41"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12"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color w:val="auto"/>
        </w:rPr>
        <w:t>Attachment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Terms for Buyer/Import Factoring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Definition clause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spacing w:after="0" w:line="16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Times New Roman" w:cs="Times New Roman" w:eastAsia="Times New Roman" w:hAnsi="Times New Roman"/>
          <w:sz w:val="18"/>
          <w:szCs w:val="18"/>
          <w:b w:val="1"/>
          <w:bCs w:val="1"/>
          <w:color w:val="auto"/>
        </w:rPr>
        <w:t>and the assertion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a third party of its rights or application for seizure of the receivables under this Agreement. A dispute shall be deemed to have arisen whenever the receivables assigned to us are not fully or partially realised as a result of any credit risk other than that of the buyer.</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1.4 Commercial Contract: A contract for a transaction between Party B and a receivable creditor for the purpose of a commodity transaction and/or a service transaction, settled on credit.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spacing w:after="0" w:line="162" w:lineRule="exact"/>
        <w:rPr>
          <w:sz w:val="20"/>
          <w:szCs w:val="20"/>
          <w:color w:val="auto"/>
        </w:rPr>
      </w:pPr>
    </w:p>
    <w:p>
      <w:pPr>
        <w:ind w:firstLine="332"/>
        <w:spacing w:after="0" w:line="282" w:lineRule="auto"/>
        <w:tabs>
          <w:tab w:leader="none" w:pos="507"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amount paid by Party A as the buyer/import factor in fulfilling the approved payment/guaranteed payment obligations and the related fees shall be deemed to be the credit granted by Party A to Party B under the Credit Agreement (the interest rate for financing within 30 days from the date of granting and </w:t>
      </w:r>
      <w:r>
        <w:rPr>
          <w:rFonts w:ascii="Times New Roman" w:cs="Times New Roman" w:eastAsia="Times New Roman" w:hAnsi="Times New Roman"/>
          <w:sz w:val="18"/>
          <w:szCs w:val="18"/>
          <w:b w:val="1"/>
          <w:bCs w:val="1"/>
          <w:color w:val="auto"/>
        </w:rPr>
        <w:t>the interest rate for financing beyond this period shall be</w:t>
      </w:r>
      <w:r>
        <w:rPr>
          <w:rFonts w:ascii="Times New Roman" w:cs="Times New Roman" w:eastAsia="Times New Roman" w:hAnsi="Times New Roman"/>
          <w:sz w:val="18"/>
          <w:szCs w:val="18"/>
          <w:color w:val="auto"/>
        </w:rPr>
        <w:t xml:space="preserve"> ) and included in the guarantee of the credit guarantee provided by Party B. We are entitled to take all the measures agreed under the Credit Agreement to recover the approved/guaranteed payment from you. </w:t>
      </w:r>
      <w:r>
        <w:rPr>
          <w:rFonts w:ascii="Times New Roman" w:cs="Times New Roman" w:eastAsia="Times New Roman" w:hAnsi="Times New Roman"/>
          <w:sz w:val="18"/>
          <w:szCs w:val="18"/>
          <w:b w:val="1"/>
          <w:bCs w:val="1"/>
          <w:color w:val="auto"/>
        </w:rPr>
        <w:t>As long as the seller/export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factor (whether or not it is Party A) assigns the receivables within the credit period, Party A shall have the right of recourse against Party B in accordance with the Credit Agreement and the Commercial Contract, even if Party A fulfils its approved payment obligations beyond the credit period.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Buyer/Import Factoring Charges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spacing w:after="0" w:line="172" w:lineRule="exact"/>
        <w:rPr>
          <w:sz w:val="20"/>
          <w:szCs w:val="20"/>
          <w:color w:val="auto"/>
        </w:rPr>
      </w:pPr>
    </w:p>
    <w:p>
      <w:pPr>
        <w:jc w:val="both"/>
        <w:ind w:right="20" w:firstLine="332"/>
        <w:spacing w:after="0" w:line="268" w:lineRule="auto"/>
        <w:tabs>
          <w:tab w:leader="none" w:pos="530" w:val="left"/>
        </w:tabs>
        <w:numPr>
          <w:ilvl w:val="0"/>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color w:val="auto"/>
        </w:rPr>
        <w:t>Annex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Terms for Order Credit Business</w:t>
      </w:r>
    </w:p>
    <w:p>
      <w:pPr>
        <w:spacing w:after="0" w:line="225" w:lineRule="exact"/>
        <w:rPr>
          <w:sz w:val="20"/>
          <w:szCs w:val="20"/>
          <w:color w:val="auto"/>
        </w:rPr>
      </w:pPr>
    </w:p>
    <w:p>
      <w:pPr>
        <w:jc w:val="both"/>
        <w:ind w:firstLine="332"/>
        <w:spacing w:after="0" w:line="266" w:lineRule="auto"/>
        <w:tabs>
          <w:tab w:leader="none" w:pos="509"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spacing w:after="0" w:line="175" w:lineRule="exact"/>
        <w:rPr>
          <w:rFonts w:ascii="Times New Roman" w:cs="Times New Roman" w:eastAsia="Times New Roman" w:hAnsi="Times New Roman"/>
          <w:sz w:val="18"/>
          <w:szCs w:val="18"/>
          <w:color w:val="auto"/>
        </w:rPr>
      </w:pPr>
    </w:p>
    <w:p>
      <w:pPr>
        <w:jc w:val="both"/>
        <w:ind w:firstLine="332"/>
        <w:spacing w:after="0" w:line="258" w:lineRule="auto"/>
        <w:tabs>
          <w:tab w:leader="none" w:pos="517"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spacing w:after="0" w:line="183" w:lineRule="exact"/>
        <w:rPr>
          <w:rFonts w:ascii="Times New Roman" w:cs="Times New Roman" w:eastAsia="Times New Roman" w:hAnsi="Times New Roman"/>
          <w:sz w:val="18"/>
          <w:szCs w:val="18"/>
          <w:color w:val="auto"/>
        </w:rPr>
      </w:pPr>
    </w:p>
    <w:p>
      <w:pPr>
        <w:ind w:firstLine="332"/>
        <w:spacing w:after="0" w:line="282" w:lineRule="auto"/>
        <w:tabs>
          <w:tab w:leader="none" w:pos="50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may immediately stop the use of Party B’s credit line under the Credit Agreement and take default handling measures as agreed in the Credit Agreement when the following circumstances occur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3.1 circumstances that are not conducive to the protection of our claims, such as three consecutive late payments by Party B’s downstream customers or, in our reasonable judgement, a deterioration in their financial position.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color w:val="auto"/>
        </w:rPr>
        <w:t>Annex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Terms and Conditions for Commercial Acceptance Guarantee Business</w:t>
      </w:r>
    </w:p>
    <w:p>
      <w:pPr>
        <w:spacing w:after="0" w:line="225" w:lineRule="exact"/>
        <w:rPr>
          <w:sz w:val="20"/>
          <w:szCs w:val="20"/>
          <w:color w:val="auto"/>
        </w:rPr>
      </w:pPr>
    </w:p>
    <w:p>
      <w:pPr>
        <w:jc w:val="both"/>
        <w:ind w:firstLine="332"/>
        <w:spacing w:after="0" w:line="266" w:lineRule="auto"/>
        <w:tabs>
          <w:tab w:leader="none" w:pos="51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spacing w:after="0" w:line="189" w:lineRule="exact"/>
        <w:rPr>
          <w:sz w:val="20"/>
          <w:szCs w:val="20"/>
          <w:color w:val="auto"/>
        </w:rPr>
      </w:pPr>
    </w:p>
    <w:p>
      <w:pPr>
        <w:jc w:val="both"/>
        <w:ind w:firstLine="364"/>
        <w:spacing w:after="0" w:line="274" w:lineRule="auto"/>
        <w:rPr>
          <w:sz w:val="20"/>
          <w:szCs w:val="20"/>
          <w:color w:val="auto"/>
        </w:rPr>
      </w:pPr>
      <w:r>
        <w:rPr>
          <w:rFonts w:ascii="Times New Roman" w:cs="Times New Roman" w:eastAsia="Times New Roman" w:hAnsi="Times New Roman"/>
          <w:sz w:val="18"/>
          <w:szCs w:val="18"/>
          <w:color w:val="auto"/>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spacing w:after="0" w:line="169" w:lineRule="exact"/>
        <w:rPr>
          <w:sz w:val="20"/>
          <w:szCs w:val="20"/>
          <w:color w:val="auto"/>
        </w:rPr>
      </w:pPr>
    </w:p>
    <w:p>
      <w:pPr>
        <w:jc w:val="both"/>
        <w:ind w:firstLine="332"/>
        <w:spacing w:after="0" w:line="266" w:lineRule="auto"/>
        <w:tabs>
          <w:tab w:leader="none" w:pos="531"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spacing w:after="0" w:line="175" w:lineRule="exact"/>
        <w:rPr>
          <w:rFonts w:ascii="Times New Roman" w:cs="Times New Roman" w:eastAsia="Times New Roman" w:hAnsi="Times New Roman"/>
          <w:sz w:val="18"/>
          <w:szCs w:val="18"/>
          <w:color w:val="auto"/>
        </w:rPr>
      </w:pPr>
    </w:p>
    <w:p>
      <w:pPr>
        <w:jc w:val="both"/>
        <w:ind w:firstLine="379"/>
        <w:spacing w:after="0" w:line="266" w:lineRule="auto"/>
        <w:tabs>
          <w:tab w:leader="none" w:pos="554"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Party B is the acceptor of a commercial acceptances, Party B shall deposit the full amount of each commercial acceptances payable in its margin account opened with Party A before the maturity of the bill.</w:t>
      </w:r>
    </w:p>
    <w:p>
      <w:pPr>
        <w:spacing w:after="0" w:line="162" w:lineRule="exact"/>
        <w:rPr>
          <w:sz w:val="20"/>
          <w:szCs w:val="20"/>
          <w:color w:val="auto"/>
        </w:rPr>
      </w:pPr>
    </w:p>
    <w:p>
      <w:pPr>
        <w:jc w:val="both"/>
        <w:ind w:firstLine="332"/>
        <w:spacing w:after="0" w:line="261" w:lineRule="auto"/>
        <w:tabs>
          <w:tab w:leader="none" w:pos="53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spacing w:after="0" w:line="180" w:lineRule="exact"/>
        <w:rPr>
          <w:sz w:val="20"/>
          <w:szCs w:val="20"/>
          <w:color w:val="auto"/>
        </w:rPr>
      </w:pPr>
    </w:p>
    <w:p>
      <w:pPr>
        <w:jc w:val="both"/>
        <w:ind w:firstLine="332"/>
        <w:spacing w:after="0" w:line="261" w:lineRule="auto"/>
        <w:tabs>
          <w:tab w:leader="none" w:pos="50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spacing w:after="0" w:line="179" w:lineRule="exact"/>
        <w:rPr>
          <w:rFonts w:ascii="Times New Roman" w:cs="Times New Roman" w:eastAsia="Times New Roman" w:hAnsi="Times New Roman"/>
          <w:sz w:val="18"/>
          <w:szCs w:val="18"/>
          <w:color w:val="auto"/>
        </w:rPr>
      </w:pPr>
    </w:p>
    <w:p>
      <w:pPr>
        <w:jc w:val="both"/>
        <w:ind w:firstLine="332"/>
        <w:spacing w:after="0" w:line="266" w:lineRule="auto"/>
        <w:tabs>
          <w:tab w:leader="none" w:pos="507"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spacing w:after="0" w:line="175" w:lineRule="exact"/>
        <w:rPr>
          <w:rFonts w:ascii="Times New Roman" w:cs="Times New Roman" w:eastAsia="Times New Roman" w:hAnsi="Times New Roman"/>
          <w:sz w:val="18"/>
          <w:szCs w:val="18"/>
          <w:color w:val="auto"/>
        </w:rPr>
      </w:pPr>
    </w:p>
    <w:p>
      <w:pPr>
        <w:jc w:val="both"/>
        <w:ind w:firstLine="332"/>
        <w:spacing w:after="0" w:line="256" w:lineRule="auto"/>
        <w:tabs>
          <w:tab w:leader="none" w:pos="51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Times New Roman" w:cs="Times New Roman" w:eastAsia="Times New Roman" w:hAnsi="Times New Roman"/>
          <w:sz w:val="18"/>
          <w:szCs w:val="18"/>
          <w:b w:val="1"/>
          <w:bCs w:val="1"/>
          <w:color w:val="auto"/>
        </w:rPr>
        <w:t>penalty interest charge by Party</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to Party B</w:t>
      </w:r>
      <w:r>
        <w:rPr>
          <w:rFonts w:ascii="Times New Roman" w:cs="Times New Roman" w:eastAsia="Times New Roman" w:hAnsi="Times New Roman"/>
          <w:sz w:val="18"/>
          <w:szCs w:val="18"/>
          <w:color w:val="auto"/>
        </w:rPr>
        <w:t xml:space="preserve"> at the rate of </w:t>
      </w:r>
      <w:r>
        <w:rPr>
          <w:rFonts w:ascii="Times New Roman" w:cs="Times New Roman" w:eastAsia="Times New Roman" w:hAnsi="Times New Roman"/>
          <w:sz w:val="18"/>
          <w:szCs w:val="18"/>
          <w:b w:val="1"/>
          <w:bCs w:val="1"/>
          <w:u w:val="single" w:color="auto"/>
          <w:color w:val="auto"/>
        </w:rPr>
        <w:t>5%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 of</w:t>
      </w:r>
      <w:r>
        <w:rPr>
          <w:rFonts w:ascii="Times New Roman" w:cs="Times New Roman" w:eastAsia="Times New Roman" w:hAnsi="Times New Roman"/>
          <w:sz w:val="18"/>
          <w:szCs w:val="18"/>
          <w:color w:val="auto"/>
        </w:rPr>
        <w:t xml:space="preserve"> the amount advanced in accordance with the relevant provisions of the Payment and Settlement Measures.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color w:val="auto"/>
        </w:rPr>
        <w:t>Annex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Special Terms for Derivative Trading Business</w:t>
      </w:r>
    </w:p>
    <w:p>
      <w:pPr>
        <w:spacing w:after="0" w:line="225" w:lineRule="exact"/>
        <w:rPr>
          <w:sz w:val="20"/>
          <w:szCs w:val="20"/>
          <w:color w:val="auto"/>
        </w:rPr>
      </w:pPr>
    </w:p>
    <w:p>
      <w:pPr>
        <w:jc w:val="both"/>
        <w:ind w:firstLine="332"/>
        <w:spacing w:after="0" w:line="256" w:lineRule="auto"/>
        <w:tabs>
          <w:tab w:leader="none" w:pos="52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Times New Roman" w:cs="Times New Roman" w:eastAsia="Times New Roman" w:hAnsi="Times New Roman"/>
          <w:sz w:val="18"/>
          <w:szCs w:val="18"/>
          <w:b w:val="1"/>
          <w:bCs w:val="1"/>
          <w:color w:val="auto"/>
        </w:rPr>
        <w:t>time of each transaction, Party A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determine the specific amount of credit line to be taken up in accordance with the variety, maturity and risk level of the transaction, the business to which the credit line is deducted, etc.). The </w:t>
      </w:r>
      <w:r>
        <w:rPr>
          <w:rFonts w:ascii="Times New Roman" w:cs="Times New Roman" w:eastAsia="Times New Roman" w:hAnsi="Times New Roman"/>
          <w:sz w:val="18"/>
          <w:szCs w:val="18"/>
          <w:color w:val="auto"/>
        </w:rPr>
        <w:t>actual amount of credit line to be taken up shall be determined by the transaction documents such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 of credit line taking up and/or the confirmation/certification of the transaction issued by Party A.</w:t>
      </w:r>
    </w:p>
    <w:p>
      <w:pPr>
        <w:spacing w:after="0" w:line="183" w:lineRule="exact"/>
        <w:rPr>
          <w:rFonts w:ascii="Times New Roman" w:cs="Times New Roman" w:eastAsia="Times New Roman" w:hAnsi="Times New Roman"/>
          <w:sz w:val="18"/>
          <w:szCs w:val="18"/>
          <w:color w:val="auto"/>
        </w:rPr>
      </w:pPr>
    </w:p>
    <w:p>
      <w:pPr>
        <w:ind w:right="20" w:firstLine="332"/>
        <w:spacing w:after="0" w:line="286" w:lineRule="auto"/>
        <w:tabs>
          <w:tab w:leader="none" w:pos="528"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derivative transaction that has a balance or loss during the credit period, whether or not the transaction occurs within the credit period, will be charged to the credit line in accordance with the previous article.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color w:val="auto"/>
        </w:rPr>
        <w:t>Annex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Special Terms for Gold Leasing Business</w:t>
      </w:r>
    </w:p>
    <w:p>
      <w:pPr>
        <w:spacing w:after="0" w:line="225" w:lineRule="exact"/>
        <w:rPr>
          <w:sz w:val="20"/>
          <w:szCs w:val="20"/>
          <w:color w:val="auto"/>
        </w:rPr>
      </w:pPr>
    </w:p>
    <w:p>
      <w:pPr>
        <w:ind w:firstLine="332"/>
        <w:spacing w:after="0" w:line="282" w:lineRule="auto"/>
        <w:tabs>
          <w:tab w:leader="none" w:pos="50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Leasing” is a business in which we lease out physical gold to Party B. Upon expiry, Party B returns an equivalent amount of gold of the same quality and property and pays the leasing fee to Party A in RMB on a regular basis.</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1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Party B declares that</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text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t>(The following is the signature line of the Credit Agreement (for liquidity loans without a separate loan contract) numbered:121XY2021035010)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China Merchants Bank Co. LTD. Shanghai Branch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or authorised agent (signature/name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Contact address. </w:t>
      </w:r>
      <w:r>
        <w:rPr>
          <w:rFonts w:ascii="Times New Roman" w:cs="Times New Roman" w:eastAsia="Times New Roman" w:hAnsi="Times New Roman"/>
          <w:sz w:val="18"/>
          <w:szCs w:val="18"/>
          <w:u w:val="single" w:color="auto"/>
          <w:color w:val="auto"/>
        </w:rPr>
        <w:t>1088 Lujiazui Ring Road, Pudong New Area, Shanghai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e-mail address.</w:t>
      </w:r>
      <w:r>
        <w:rPr>
          <w:rFonts w:ascii="Times New Roman" w:cs="Times New Roman" w:eastAsia="Times New Roman" w:hAnsi="Times New Roman"/>
          <w:sz w:val="18"/>
          <w:szCs w:val="18"/>
          <w:u w:val="single" w:color="auto"/>
          <w:color w:val="auto"/>
        </w:rPr>
        <w:t>qsong@cmbchina.com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Unit fax number. </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Contact mobile number. </w:t>
      </w:r>
      <w:r>
        <w:rPr>
          <w:rFonts w:ascii="Times New Roman" w:cs="Times New Roman" w:eastAsia="Times New Roman" w:hAnsi="Times New Roman"/>
          <w:sz w:val="18"/>
          <w:szCs w:val="18"/>
          <w:u w:val="single" w:color="auto"/>
          <w:color w:val="auto"/>
        </w:rPr>
        <w:t>Song Qian 13585859417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Unit micro signal. </w:t>
      </w:r>
      <w:r>
        <w:rPr>
          <w:rFonts w:ascii="Times New Roman" w:cs="Times New Roman" w:eastAsia="Times New Roman" w:hAnsi="Times New Roman"/>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 (seal)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JAJI (Shanghai) Co., Ltd.</w:t>
      </w:r>
    </w:p>
    <w:p>
      <w:pPr>
        <w:spacing w:after="0" w:line="229" w:lineRule="exact"/>
        <w:rPr>
          <w:sz w:val="20"/>
          <w:szCs w:val="20"/>
          <w:color w:val="auto"/>
        </w:rPr>
      </w:pPr>
    </w:p>
    <w:p>
      <w:pPr>
        <w:ind w:right="4800"/>
        <w:spacing w:after="0" w:line="500" w:lineRule="auto"/>
        <w:rPr>
          <w:sz w:val="20"/>
          <w:szCs w:val="20"/>
          <w:color w:val="auto"/>
        </w:rPr>
      </w:pPr>
      <w:r>
        <w:rPr>
          <w:rFonts w:ascii="Times New Roman" w:cs="Times New Roman" w:eastAsia="Times New Roman" w:hAnsi="Times New Roman"/>
          <w:sz w:val="18"/>
          <w:szCs w:val="18"/>
          <w:color w:val="auto"/>
        </w:rPr>
        <w:t xml:space="preserve">Legal representative/principal person in charge or authorised agent (signature/name seal). Contact address. </w:t>
      </w:r>
      <w:r>
        <w:rPr>
          <w:rFonts w:ascii="Times New Roman" w:cs="Times New Roman" w:eastAsia="Times New Roman" w:hAnsi="Times New Roman"/>
          <w:sz w:val="18"/>
          <w:szCs w:val="18"/>
          <w:u w:val="single" w:color="auto"/>
          <w:color w:val="auto"/>
        </w:rPr>
        <w:t>1F, Building 18, 498 Guoshoujing Road, Pudong New Area, Shanghai</w:t>
      </w:r>
      <w:r>
        <w:rPr>
          <w:rFonts w:ascii="Times New Roman" w:cs="Times New Roman" w:eastAsia="Times New Roman" w:hAnsi="Times New Roman"/>
          <w:sz w:val="18"/>
          <w:szCs w:val="18"/>
          <w:color w:val="auto"/>
        </w:rPr>
        <w:t xml:space="preserve"> Unit e-mail address.</w:t>
      </w:r>
      <w:r>
        <w:rPr>
          <w:rFonts w:ascii="Times New Roman" w:cs="Times New Roman" w:eastAsia="Times New Roman" w:hAnsi="Times New Roman"/>
          <w:sz w:val="18"/>
          <w:szCs w:val="18"/>
          <w:u w:val="single" w:color="auto"/>
          <w:color w:val="auto"/>
        </w:rPr>
        <w:t>penny.dai@jajiglobal.com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Unit fax number. </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Contact mobile number. </w:t>
      </w:r>
      <w:r>
        <w:rPr>
          <w:rFonts w:ascii="Times New Roman" w:cs="Times New Roman" w:eastAsia="Times New Roman" w:hAnsi="Times New Roman"/>
          <w:sz w:val="18"/>
          <w:szCs w:val="18"/>
          <w:u w:val="single" w:color="auto"/>
          <w:color w:val="auto"/>
        </w:rPr>
        <w:t>Dai Panpan 15721320032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Unit micro signal. </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2021.10.20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22"/>
          <w:szCs w:val="22"/>
          <w:b w:val="1"/>
          <w:bCs w:val="1"/>
          <w:color w:val="auto"/>
        </w:rPr>
        <w:t>Exhibit 12.1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Ming Hui Lin, certify that:</w:t>
      </w:r>
    </w:p>
    <w:p>
      <w:pPr>
        <w:spacing w:after="0" w:line="225" w:lineRule="exact"/>
        <w:rPr>
          <w:sz w:val="20"/>
          <w:szCs w:val="20"/>
          <w:color w:val="auto"/>
        </w:rPr>
      </w:pPr>
    </w:p>
    <w:p>
      <w:pPr>
        <w:ind w:left="340" w:hanging="332"/>
        <w:spacing w:after="0"/>
        <w:tabs>
          <w:tab w:leader="none" w:pos="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CLPS Incorporation;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8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October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22"/>
          <w:szCs w:val="22"/>
          <w:b w:val="1"/>
          <w:bCs w:val="1"/>
          <w:color w:val="auto"/>
        </w:rPr>
        <w:t>Exhibit 12.2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Rui Yang, certify that:</w:t>
      </w:r>
    </w:p>
    <w:p>
      <w:pPr>
        <w:spacing w:after="0" w:line="225" w:lineRule="exact"/>
        <w:rPr>
          <w:sz w:val="20"/>
          <w:szCs w:val="20"/>
          <w:color w:val="auto"/>
        </w:rPr>
      </w:pPr>
    </w:p>
    <w:p>
      <w:pPr>
        <w:ind w:left="340" w:hanging="332"/>
        <w:spacing w:after="0"/>
        <w:tabs>
          <w:tab w:leader="none" w:pos="3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CLPS Incorporation;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0"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October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Rui Yang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8" w:right="33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22"/>
          <w:szCs w:val="22"/>
          <w:b w:val="1"/>
          <w:bCs w:val="1"/>
          <w:color w:val="auto"/>
        </w:rPr>
        <w:t>Exhibit 13.1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2022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October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October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Rui Yang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8" w:right="33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the Entity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Qinheng Co., Limited</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Qiner Co.,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Qincheng Information Technology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ChinaLink Professional Services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Dalian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 Ruicheng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Beijing Hengtong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JAJI (Shanghai)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JAJI (Shanghai) Human Resource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CLPS-Ridik Technology (Australia) Pty.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Technology (Singapore) Pte.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 Technology (HK)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Shenzhen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Tianjin Huanyu Qinshang Network Technology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Guangzhou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 Technology (US)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Delware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Technology (California) Inc.</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 Hangzhou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Ridik Pte.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Ridik Consulting Private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Ridik Sdn. Bhd.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Ridik Software Solutions Pte.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CLPS Technology Japan</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Qinson Credit Card Services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Qincheng Software Technology Co.Ltd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 Xian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Chenqin Information Technology Services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CareerWin Executive Search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Ring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Arabian Jasmine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 (SINGAPORE) PTE.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CLPS-Beefinance Holding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LinkCrypto Finance Technology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Qinson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LQE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CLPS Technology (Philippines) Corp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MSCT Investment Holdings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BVI</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MNYC HOLDINGS (HK)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Haikou Huaqin Minshang Software Development Co., Ltd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PRC</w:t>
            </w:r>
          </w:p>
        </w:tc>
      </w:tr>
    </w:tbl>
    <w:p>
      <w:pPr>
        <w:sectPr>
          <w:pgSz w:w="11900" w:h="16838" w:orient="portrait"/>
          <w:cols w:equalWidth="0" w:num="1">
            <w:col w:w="11240"/>
          </w:cols>
          <w:pgMar w:left="320" w:top="108" w:right="33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820" w:hanging="326"/>
        <w:spacing w:after="0" w:line="261" w:lineRule="auto"/>
        <w:tabs>
          <w:tab w:leader="none" w:pos="8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333-237846) and Amendment No. 1 to Registration Statement (Form S-8 No. 333-237846) pertaining to the 2020 Equity Incentive Plan of CLPS Incorporation,</w:t>
      </w:r>
    </w:p>
    <w:p>
      <w:pPr>
        <w:ind w:left="820" w:hanging="326"/>
        <w:spacing w:after="0" w:line="250" w:lineRule="auto"/>
        <w:tabs>
          <w:tab w:leader="none" w:pos="8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333-254910) and Amendment No.1 to the Registration Statement (Form F-3 No. 333-254910) of CLPS Incorporation, and</w:t>
      </w:r>
    </w:p>
    <w:p>
      <w:pPr>
        <w:ind w:left="820" w:hanging="326"/>
        <w:spacing w:after="0" w:line="260" w:lineRule="auto"/>
        <w:tabs>
          <w:tab w:leader="none" w:pos="8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333-266951) and Amendment No.1 to the Registration Statement (Form F-3 No. 333-266951) of CLPS Incorporation;</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October 20, 2022, with respect to the consolidated financial statements of CLPS Incorporation included in this Annual Report (Form 20-F) of CLPS Incorporation for the year ended June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91467C"/>
    <w:multiLevelType w:val="hybridMultilevel"/>
    <w:lvl w:ilvl="0">
      <w:lvlJc w:val="left"/>
      <w:lvlText w:val="☐"/>
      <w:numFmt w:val="bullet"/>
      <w:start w:val="1"/>
    </w:lvl>
  </w:abstractNum>
  <w:abstractNum w:abstractNumId="1">
    <w:nsid w:val="316032B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4344C22"/>
    <w:multiLevelType w:val="hybridMultilevel"/>
    <w:lvl w:ilvl="0">
      <w:lvlJc w:val="left"/>
      <w:lvlText w:val="●"/>
      <w:numFmt w:val="bullet"/>
      <w:start w:val="1"/>
    </w:lvl>
  </w:abstractNum>
  <w:abstractNum w:abstractNumId="3">
    <w:nsid w:val="13CDFCFC"/>
    <w:multiLevelType w:val="hybridMultilevel"/>
    <w:lvl w:ilvl="0">
      <w:lvlJc w:val="left"/>
      <w:lvlText w:val="●"/>
      <w:numFmt w:val="bullet"/>
      <w:start w:val="1"/>
    </w:lvl>
  </w:abstractNum>
  <w:abstractNum w:abstractNumId="4">
    <w:nsid w:val="471745E4"/>
    <w:multiLevelType w:val="hybridMultilevel"/>
    <w:lvl w:ilvl="0">
      <w:lvlJc w:val="left"/>
      <w:lvlText w:val="●"/>
      <w:numFmt w:val="bullet"/>
      <w:start w:val="1"/>
    </w:lvl>
  </w:abstractNum>
  <w:abstractNum w:abstractNumId="5">
    <w:nsid w:val="1DDBC66"/>
    <w:multiLevelType w:val="hybridMultilevel"/>
    <w:lvl w:ilvl="0">
      <w:lvlJc w:val="left"/>
      <w:lvlText w:val="%1."/>
      <w:numFmt w:val="upperLetter"/>
      <w:start w:val="1"/>
    </w:lvl>
  </w:abstractNum>
  <w:abstractNum w:abstractNumId="6">
    <w:nsid w:val="30AADFDA"/>
    <w:multiLevelType w:val="hybridMultilevel"/>
    <w:lvl w:ilvl="0">
      <w:lvlJc w:val="left"/>
      <w:lvlText w:val="(%1)"/>
      <w:numFmt w:val="decimal"/>
      <w:start w:val="1"/>
    </w:lvl>
  </w:abstractNum>
  <w:abstractNum w:abstractNumId="7">
    <w:nsid w:val="30EADA61"/>
    <w:multiLevelType w:val="hybridMultilevel"/>
    <w:lvl w:ilvl="0">
      <w:lvlJc w:val="left"/>
      <w:lvlText w:val="%1."/>
      <w:numFmt w:val="upperLetter"/>
      <w:start w:val="3"/>
    </w:lvl>
  </w:abstractNum>
  <w:abstractNum w:abstractNumId="8">
    <w:nsid w:val="27179C0B"/>
    <w:multiLevelType w:val="hybridMultilevel"/>
    <w:lvl w:ilvl="0">
      <w:lvlJc w:val="left"/>
      <w:lvlText w:val="%1."/>
      <w:numFmt w:val="upperLetter"/>
      <w:start w:val="4"/>
    </w:lvl>
  </w:abstractNum>
  <w:abstractNum w:abstractNumId="9">
    <w:nsid w:val="5E636063"/>
    <w:multiLevelType w:val="hybridMultilevel"/>
    <w:lvl w:ilvl="0">
      <w:lvlJc w:val="left"/>
      <w:lvlText w:val="●"/>
      <w:numFmt w:val="bullet"/>
      <w:start w:val="1"/>
    </w:lvl>
  </w:abstractNum>
  <w:abstractNum w:abstractNumId="10">
    <w:nsid w:val="215641AF"/>
    <w:multiLevelType w:val="hybridMultilevel"/>
    <w:lvl w:ilvl="0">
      <w:lvlJc w:val="left"/>
      <w:lvlText w:val="●"/>
      <w:numFmt w:val="bullet"/>
      <w:start w:val="1"/>
    </w:lvl>
  </w:abstractNum>
  <w:abstractNum w:abstractNumId="11">
    <w:nsid w:val="53280662"/>
    <w:multiLevelType w:val="hybridMultilevel"/>
    <w:lvl w:ilvl="0">
      <w:lvlJc w:val="left"/>
      <w:lvlText w:val="●"/>
      <w:numFmt w:val="bullet"/>
      <w:start w:val="1"/>
    </w:lvl>
  </w:abstractNum>
  <w:abstractNum w:abstractNumId="12">
    <w:nsid w:val="46B24DBC"/>
    <w:multiLevelType w:val="hybridMultilevel"/>
    <w:lvl w:ilvl="0">
      <w:lvlJc w:val="left"/>
      <w:lvlText w:val="●"/>
      <w:numFmt w:val="bullet"/>
      <w:start w:val="1"/>
    </w:lvl>
  </w:abstractNum>
  <w:abstractNum w:abstractNumId="13">
    <w:nsid w:val="75B52783"/>
    <w:multiLevelType w:val="hybridMultilevel"/>
    <w:lvl w:ilvl="0">
      <w:lvlJc w:val="left"/>
      <w:lvlText w:val="●"/>
      <w:numFmt w:val="bullet"/>
      <w:start w:val="1"/>
    </w:lvl>
  </w:abstractNum>
  <w:abstractNum w:abstractNumId="14">
    <w:nsid w:val="57CE66B4"/>
    <w:multiLevelType w:val="hybridMultilevel"/>
    <w:lvl w:ilvl="0">
      <w:lvlJc w:val="left"/>
      <w:lvlText w:val="●"/>
      <w:numFmt w:val="bullet"/>
      <w:start w:val="1"/>
    </w:lvl>
  </w:abstractNum>
  <w:abstractNum w:abstractNumId="15">
    <w:nsid w:val="67A70B69"/>
    <w:multiLevelType w:val="hybridMultilevel"/>
    <w:lvl w:ilvl="0">
      <w:lvlJc w:val="left"/>
      <w:lvlText w:val="●"/>
      <w:numFmt w:val="bullet"/>
      <w:start w:val="1"/>
    </w:lvl>
  </w:abstractNum>
  <w:abstractNum w:abstractNumId="16">
    <w:nsid w:val="5953172F"/>
    <w:multiLevelType w:val="hybridMultilevel"/>
    <w:lvl w:ilvl="0">
      <w:lvlJc w:val="left"/>
      <w:lvlText w:val="●"/>
      <w:numFmt w:val="bullet"/>
      <w:start w:val="1"/>
    </w:lvl>
  </w:abstractNum>
  <w:abstractNum w:abstractNumId="17">
    <w:nsid w:val="27EDFE3A"/>
    <w:multiLevelType w:val="hybridMultilevel"/>
    <w:lvl w:ilvl="0">
      <w:lvlJc w:val="left"/>
      <w:lvlText w:val="●"/>
      <w:numFmt w:val="bullet"/>
      <w:start w:val="1"/>
    </w:lvl>
  </w:abstractNum>
  <w:abstractNum w:abstractNumId="18">
    <w:nsid w:val="52AC7DFF"/>
    <w:multiLevelType w:val="hybridMultilevel"/>
    <w:lvl w:ilvl="0">
      <w:lvlJc w:val="left"/>
      <w:lvlText w:val="●"/>
      <w:numFmt w:val="bullet"/>
      <w:start w:val="1"/>
    </w:lvl>
  </w:abstractNum>
  <w:abstractNum w:abstractNumId="19">
    <w:nsid w:val="C4C3AF"/>
    <w:multiLevelType w:val="hybridMultilevel"/>
    <w:lvl w:ilvl="0">
      <w:lvlJc w:val="left"/>
      <w:lvlText w:val="(%1)"/>
      <w:numFmt w:val="decimal"/>
      <w:start w:val="1"/>
    </w:lvl>
  </w:abstractNum>
  <w:abstractNum w:abstractNumId="20">
    <w:nsid w:val="44380727"/>
    <w:multiLevelType w:val="hybridMultilevel"/>
    <w:lvl w:ilvl="0">
      <w:lvlJc w:val="left"/>
      <w:lvlText w:val="●"/>
      <w:numFmt w:val="bullet"/>
      <w:start w:val="1"/>
    </w:lvl>
  </w:abstractNum>
  <w:abstractNum w:abstractNumId="21">
    <w:nsid w:val="6C053B16"/>
    <w:multiLevelType w:val="hybridMultilevel"/>
    <w:lvl w:ilvl="0">
      <w:lvlJc w:val="left"/>
      <w:lvlText w:val="●"/>
      <w:numFmt w:val="bullet"/>
      <w:start w:val="1"/>
    </w:lvl>
  </w:abstractNum>
  <w:abstractNum w:abstractNumId="22">
    <w:nsid w:val="4F294393"/>
    <w:multiLevelType w:val="hybridMultilevel"/>
    <w:lvl w:ilvl="0">
      <w:lvlJc w:val="left"/>
      <w:lvlText w:val="●"/>
      <w:numFmt w:val="bullet"/>
      <w:start w:val="1"/>
    </w:lvl>
  </w:abstractNum>
  <w:abstractNum w:abstractNumId="23">
    <w:nsid w:val="5243BFAC"/>
    <w:multiLevelType w:val="hybridMultilevel"/>
    <w:lvl w:ilvl="0">
      <w:lvlJc w:val="left"/>
      <w:lvlText w:val="●"/>
      <w:numFmt w:val="bullet"/>
      <w:start w:val="1"/>
    </w:lvl>
  </w:abstractNum>
  <w:abstractNum w:abstractNumId="24">
    <w:nsid w:val="425EB207"/>
    <w:multiLevelType w:val="hybridMultilevel"/>
    <w:lvl w:ilvl="0">
      <w:lvlJc w:val="left"/>
      <w:lvlText w:val="%1."/>
      <w:numFmt w:val="upperLetter"/>
      <w:start w:val="1"/>
    </w:lvl>
  </w:abstractNum>
  <w:abstractNum w:abstractNumId="25">
    <w:nsid w:val="334A6F1F"/>
    <w:multiLevelType w:val="hybridMultilevel"/>
    <w:lvl w:ilvl="0">
      <w:lvlJc w:val="left"/>
      <w:lvlText w:val="●"/>
      <w:numFmt w:val="bullet"/>
      <w:start w:val="1"/>
    </w:lvl>
  </w:abstractNum>
  <w:abstractNum w:abstractNumId="26">
    <w:nsid w:val="2E5B12B8"/>
    <w:multiLevelType w:val="hybridMultilevel"/>
    <w:lvl w:ilvl="0">
      <w:lvlJc w:val="left"/>
      <w:lvlText w:val="●"/>
      <w:numFmt w:val="bullet"/>
      <w:start w:val="1"/>
    </w:lvl>
  </w:abstractNum>
  <w:abstractNum w:abstractNumId="27">
    <w:nsid w:val="5C03D76D"/>
    <w:multiLevelType w:val="hybridMultilevel"/>
    <w:lvl w:ilvl="0">
      <w:lvlJc w:val="left"/>
      <w:lvlText w:val="●"/>
      <w:numFmt w:val="bullet"/>
      <w:start w:val="1"/>
    </w:lvl>
  </w:abstractNum>
  <w:abstractNum w:abstractNumId="28">
    <w:nsid w:val="66A48D11"/>
    <w:multiLevelType w:val="hybridMultilevel"/>
    <w:lvl w:ilvl="0">
      <w:lvlJc w:val="left"/>
      <w:lvlText w:val="%1."/>
      <w:numFmt w:val="upperLetter"/>
      <w:start w:val="2"/>
    </w:lvl>
  </w:abstractNum>
  <w:abstractNum w:abstractNumId="29">
    <w:nsid w:val="56C28E34"/>
    <w:multiLevelType w:val="hybridMultilevel"/>
    <w:lvl w:ilvl="0">
      <w:lvlJc w:val="left"/>
      <w:lvlText w:val="●"/>
      <w:numFmt w:val="bullet"/>
      <w:start w:val="1"/>
    </w:lvl>
  </w:abstractNum>
  <w:abstractNum w:abstractNumId="30">
    <w:nsid w:val="13916F2D"/>
    <w:multiLevelType w:val="hybridMultilevel"/>
    <w:lvl w:ilvl="0">
      <w:lvlJc w:val="left"/>
      <w:lvlText w:val="●"/>
      <w:numFmt w:val="bullet"/>
      <w:start w:val="1"/>
    </w:lvl>
  </w:abstractNum>
  <w:abstractNum w:abstractNumId="31">
    <w:nsid w:val="435D38D"/>
    <w:multiLevelType w:val="hybridMultilevel"/>
    <w:lvl w:ilvl="0">
      <w:lvlJc w:val="left"/>
      <w:lvlText w:val="●"/>
      <w:numFmt w:val="bullet"/>
      <w:start w:val="1"/>
    </w:lvl>
  </w:abstractNum>
  <w:abstractNum w:abstractNumId="32">
    <w:nsid w:val="822C0EF"/>
    <w:multiLevelType w:val="hybridMultilevel"/>
    <w:lvl w:ilvl="0">
      <w:lvlJc w:val="left"/>
      <w:lvlText w:val="●"/>
      <w:numFmt w:val="bullet"/>
      <w:start w:val="1"/>
    </w:lvl>
  </w:abstractNum>
  <w:abstractNum w:abstractNumId="33">
    <w:nsid w:val="57C5BB4F"/>
    <w:multiLevelType w:val="hybridMultilevel"/>
    <w:lvl w:ilvl="0">
      <w:lvlJc w:val="left"/>
      <w:lvlText w:val="%1."/>
      <w:numFmt w:val="decimal"/>
      <w:start w:val="2"/>
    </w:lvl>
    <w:lvl w:ilvl="1">
      <w:lvlJc w:val="left"/>
      <w:lvlText w:val="●"/>
      <w:numFmt w:val="bullet"/>
      <w:start w:val="1"/>
    </w:lvl>
  </w:abstractNum>
  <w:abstractNum w:abstractNumId="34">
    <w:nsid w:val="1803D089"/>
    <w:multiLevelType w:val="hybridMultilevel"/>
    <w:lvl w:ilvl="0">
      <w:lvlJc w:val="left"/>
      <w:lvlText w:val="●"/>
      <w:numFmt w:val="bullet"/>
      <w:start w:val="1"/>
    </w:lvl>
  </w:abstractNum>
  <w:abstractNum w:abstractNumId="35">
    <w:nsid w:val="4F3A06D4"/>
    <w:multiLevelType w:val="hybridMultilevel"/>
    <w:lvl w:ilvl="0">
      <w:lvlJc w:val="left"/>
      <w:lvlText w:val="●"/>
      <w:numFmt w:val="bullet"/>
      <w:start w:val="1"/>
    </w:lvl>
  </w:abstractNum>
  <w:abstractNum w:abstractNumId="36">
    <w:nsid w:val="59A377B6"/>
    <w:multiLevelType w:val="hybridMultilevel"/>
    <w:lvl w:ilvl="0">
      <w:lvlJc w:val="left"/>
      <w:lvlText w:val="●"/>
      <w:numFmt w:val="bullet"/>
      <w:start w:val="1"/>
    </w:lvl>
  </w:abstractNum>
  <w:abstractNum w:abstractNumId="37">
    <w:nsid w:val="48AEB063"/>
    <w:multiLevelType w:val="hybridMultilevel"/>
    <w:lvl w:ilvl="0">
      <w:lvlJc w:val="left"/>
      <w:lvlText w:val="●"/>
      <w:numFmt w:val="bullet"/>
      <w:start w:val="1"/>
    </w:lvl>
  </w:abstractNum>
  <w:abstractNum w:abstractNumId="38">
    <w:nsid w:val="24E135"/>
    <w:multiLevelType w:val="hybridMultilevel"/>
    <w:lvl w:ilvl="0">
      <w:lvlJc w:val="left"/>
      <w:lvlText w:val="$"/>
      <w:numFmt w:val="bullet"/>
      <w:start w:val="1"/>
    </w:lvl>
  </w:abstractNum>
  <w:abstractNum w:abstractNumId="39">
    <w:nsid w:val="BB13C1"/>
    <w:multiLevelType w:val="hybridMultilevel"/>
    <w:lvl w:ilvl="0">
      <w:lvlJc w:val="left"/>
      <w:lvlText w:val="$"/>
      <w:numFmt w:val="bullet"/>
      <w:start w:val="1"/>
    </w:lvl>
  </w:abstractNum>
  <w:abstractNum w:abstractNumId="40">
    <w:nsid w:val="271210C7"/>
    <w:multiLevelType w:val="hybridMultilevel"/>
    <w:lvl w:ilvl="0">
      <w:lvlJc w:val="left"/>
      <w:lvlText w:val="%1."/>
      <w:numFmt w:val="upperLetter"/>
      <w:start w:val="1"/>
    </w:lvl>
  </w:abstractNum>
  <w:abstractNum w:abstractNumId="41">
    <w:nsid w:val="217B22E4"/>
    <w:multiLevelType w:val="hybridMultilevel"/>
    <w:lvl w:ilvl="0">
      <w:lvlJc w:val="left"/>
      <w:lvlText w:val="(%1)"/>
      <w:numFmt w:val="decimal"/>
      <w:start w:val="1"/>
    </w:lvl>
  </w:abstractNum>
  <w:abstractNum w:abstractNumId="42">
    <w:nsid w:val="53E31A24"/>
    <w:multiLevelType w:val="hybridMultilevel"/>
    <w:lvl w:ilvl="0">
      <w:lvlJc w:val="left"/>
      <w:lvlText w:val="(%1)"/>
      <w:numFmt w:val="decimal"/>
      <w:start w:val="1"/>
    </w:lvl>
  </w:abstractNum>
  <w:abstractNum w:abstractNumId="43">
    <w:nsid w:val="6DC45E83"/>
    <w:multiLevelType w:val="hybridMultilevel"/>
    <w:lvl w:ilvl="0">
      <w:lvlJc w:val="left"/>
      <w:lvlText w:val="%1."/>
      <w:numFmt w:val="upperLetter"/>
      <w:start w:val="3"/>
    </w:lvl>
  </w:abstractNum>
  <w:abstractNum w:abstractNumId="44">
    <w:nsid w:val="17304A67"/>
    <w:multiLevelType w:val="hybridMultilevel"/>
    <w:lvl w:ilvl="0">
      <w:lvlJc w:val="left"/>
      <w:lvlText w:val="●"/>
      <w:numFmt w:val="bullet"/>
      <w:start w:val="1"/>
    </w:lvl>
  </w:abstractNum>
  <w:abstractNum w:abstractNumId="45">
    <w:nsid w:val="2BB180D8"/>
    <w:multiLevelType w:val="hybridMultilevel"/>
    <w:lvl w:ilvl="0">
      <w:lvlJc w:val="left"/>
      <w:lvlText w:val="●"/>
      <w:numFmt w:val="bullet"/>
      <w:start w:val="1"/>
    </w:lvl>
  </w:abstractNum>
  <w:abstractNum w:abstractNumId="46">
    <w:nsid w:val="556B69ED"/>
    <w:multiLevelType w:val="hybridMultilevel"/>
    <w:lvl w:ilvl="0">
      <w:lvlJc w:val="left"/>
      <w:lvlText w:val="●"/>
      <w:numFmt w:val="bullet"/>
      <w:start w:val="1"/>
    </w:lvl>
  </w:abstractNum>
  <w:abstractNum w:abstractNumId="47">
    <w:nsid w:val="70836196"/>
    <w:multiLevelType w:val="hybridMultilevel"/>
    <w:lvl w:ilvl="0">
      <w:lvlJc w:val="left"/>
      <w:lvlText w:val="●"/>
      <w:numFmt w:val="bullet"/>
      <w:start w:val="1"/>
    </w:lvl>
  </w:abstractNum>
  <w:abstractNum w:abstractNumId="48">
    <w:nsid w:val="539F7F12"/>
    <w:multiLevelType w:val="hybridMultilevel"/>
    <w:lvl w:ilvl="0">
      <w:lvlJc w:val="left"/>
      <w:lvlText w:val="%1."/>
      <w:numFmt w:val="upperLetter"/>
      <w:start w:val="4"/>
    </w:lvl>
  </w:abstractNum>
  <w:abstractNum w:abstractNumId="49">
    <w:nsid w:val="2817E7EC"/>
    <w:multiLevelType w:val="hybridMultilevel"/>
    <w:lvl w:ilvl="0">
      <w:lvlJc w:val="left"/>
      <w:lvlText w:val="%1."/>
      <w:numFmt w:val="upperLetter"/>
      <w:start w:val="5"/>
    </w:lvl>
  </w:abstractNum>
  <w:abstractNum w:abstractNumId="50">
    <w:nsid w:val="71482545"/>
    <w:multiLevelType w:val="hybridMultilevel"/>
    <w:lvl w:ilvl="0">
      <w:lvlJc w:val="left"/>
      <w:lvlText w:val="%1."/>
      <w:numFmt w:val="upperLetter"/>
      <w:start w:val="1"/>
    </w:lvl>
  </w:abstractNum>
  <w:abstractNum w:abstractNumId="51">
    <w:nsid w:val="17D78639"/>
    <w:multiLevelType w:val="hybridMultilevel"/>
    <w:lvl w:ilvl="0">
      <w:lvlJc w:val="left"/>
      <w:lvlText w:val="(%1)"/>
      <w:numFmt w:val="decimal"/>
      <w:start w:val="1"/>
    </w:lvl>
  </w:abstractNum>
  <w:abstractNum w:abstractNumId="52">
    <w:nsid w:val="141D2302"/>
    <w:multiLevelType w:val="hybridMultilevel"/>
    <w:lvl w:ilvl="0">
      <w:lvlJc w:val="left"/>
      <w:lvlText w:val="(%1)"/>
      <w:numFmt w:val="decimal"/>
      <w:start w:val="2"/>
    </w:lvl>
  </w:abstractNum>
  <w:abstractNum w:abstractNumId="53">
    <w:nsid w:val="407168D8"/>
    <w:multiLevelType w:val="hybridMultilevel"/>
    <w:lvl w:ilvl="0">
      <w:lvlJc w:val="left"/>
      <w:lvlText w:val="(%1)"/>
      <w:numFmt w:val="decimal"/>
      <w:start w:val="6"/>
    </w:lvl>
  </w:abstractNum>
  <w:abstractNum w:abstractNumId="54">
    <w:nsid w:val="6A1B45E5"/>
    <w:multiLevelType w:val="hybridMultilevel"/>
    <w:lvl w:ilvl="0">
      <w:lvlJc w:val="left"/>
      <w:lvlText w:val="%1."/>
      <w:numFmt w:val="upperLetter"/>
      <w:start w:val="2"/>
    </w:lvl>
  </w:abstractNum>
  <w:abstractNum w:abstractNumId="55">
    <w:nsid w:val="567BD50A"/>
    <w:multiLevelType w:val="hybridMultilevel"/>
    <w:lvl w:ilvl="0">
      <w:lvlJc w:val="left"/>
      <w:lvlText w:val="(%1)"/>
      <w:numFmt w:val="lowerLetter"/>
      <w:start w:val="2"/>
    </w:lvl>
  </w:abstractNum>
  <w:abstractNum w:abstractNumId="56">
    <w:nsid w:val="73BBD7F8"/>
    <w:multiLevelType w:val="hybridMultilevel"/>
    <w:lvl w:ilvl="0">
      <w:lvlJc w:val="left"/>
      <w:lvlText w:val="%1)"/>
      <w:numFmt w:val="lowerLetter"/>
      <w:start w:val="2"/>
    </w:lvl>
  </w:abstractNum>
  <w:abstractNum w:abstractNumId="57">
    <w:nsid w:val="1876589D"/>
    <w:multiLevelType w:val="hybridMultilevel"/>
    <w:lvl w:ilvl="0">
      <w:lvlJc w:val="left"/>
      <w:lvlText w:val="%1)"/>
      <w:numFmt w:val="lowerLetter"/>
      <w:start w:val="3"/>
    </w:lvl>
  </w:abstractNum>
  <w:abstractNum w:abstractNumId="58">
    <w:nsid w:val="327FAC77"/>
    <w:multiLevelType w:val="hybridMultilevel"/>
    <w:lvl w:ilvl="0">
      <w:lvlJc w:val="left"/>
      <w:lvlText w:val="%1)"/>
      <w:numFmt w:val="lowerLetter"/>
      <w:start w:val="4"/>
    </w:lvl>
  </w:abstractNum>
  <w:abstractNum w:abstractNumId="59">
    <w:nsid w:val="5A606509"/>
    <w:multiLevelType w:val="hybridMultilevel"/>
    <w:lvl w:ilvl="0">
      <w:lvlJc w:val="left"/>
      <w:lvlText w:val="%1)"/>
      <w:numFmt w:val="lowerLetter"/>
      <w:start w:val="6"/>
    </w:lvl>
  </w:abstractNum>
  <w:abstractNum w:abstractNumId="60">
    <w:nsid w:val="6F38E6D1"/>
    <w:multiLevelType w:val="hybridMultilevel"/>
    <w:lvl w:ilvl="0">
      <w:lvlJc w:val="left"/>
      <w:lvlText w:val="%1."/>
      <w:numFmt w:val="upperLetter"/>
      <w:start w:val="1"/>
    </w:lvl>
  </w:abstractNum>
  <w:abstractNum w:abstractNumId="61">
    <w:nsid w:val="46111BA5"/>
    <w:multiLevelType w:val="hybridMultilevel"/>
    <w:lvl w:ilvl="0">
      <w:lvlJc w:val="left"/>
      <w:lvlText w:val="%1."/>
      <w:numFmt w:val="upperLetter"/>
      <w:start w:val="2"/>
    </w:lvl>
  </w:abstractNum>
  <w:abstractNum w:abstractNumId="62">
    <w:nsid w:val="5E963896"/>
    <w:multiLevelType w:val="hybridMultilevel"/>
    <w:lvl w:ilvl="0">
      <w:lvlJc w:val="left"/>
      <w:lvlText w:val="%1."/>
      <w:numFmt w:val="upperLetter"/>
      <w:start w:val="1"/>
    </w:lvl>
  </w:abstractNum>
  <w:abstractNum w:abstractNumId="63">
    <w:nsid w:val="775BA7C1"/>
    <w:multiLevelType w:val="hybridMultilevel"/>
    <w:lvl w:ilvl="0">
      <w:lvlJc w:val="left"/>
      <w:lvlText w:val="%1."/>
      <w:numFmt w:val="upperLetter"/>
      <w:start w:val="2"/>
    </w:lvl>
  </w:abstractNum>
  <w:abstractNum w:abstractNumId="64">
    <w:nsid w:val="1DD6D6F4"/>
    <w:multiLevelType w:val="hybridMultilevel"/>
    <w:lvl w:ilvl="0">
      <w:lvlJc w:val="left"/>
      <w:lvlText w:val="%1."/>
      <w:numFmt w:val="upperLetter"/>
      <w:start w:val="3"/>
    </w:lvl>
  </w:abstractNum>
  <w:abstractNum w:abstractNumId="65">
    <w:nsid w:val="769A091F"/>
    <w:multiLevelType w:val="hybridMultilevel"/>
    <w:lvl w:ilvl="0">
      <w:lvlJc w:val="left"/>
      <w:lvlText w:val="%1."/>
      <w:numFmt w:val="upperLetter"/>
      <w:start w:val="4"/>
    </w:lvl>
  </w:abstractNum>
  <w:abstractNum w:abstractNumId="66">
    <w:nsid w:val="4695AE95"/>
    <w:multiLevelType w:val="hybridMultilevel"/>
    <w:lvl w:ilvl="0">
      <w:lvlJc w:val="left"/>
      <w:lvlText w:val="%1."/>
      <w:numFmt w:val="upperLetter"/>
      <w:start w:val="5"/>
    </w:lvl>
  </w:abstractNum>
  <w:abstractNum w:abstractNumId="67">
    <w:nsid w:val="777A4EAA"/>
    <w:multiLevelType w:val="hybridMultilevel"/>
    <w:lvl w:ilvl="0">
      <w:lvlJc w:val="left"/>
      <w:lvlText w:val="%1."/>
      <w:numFmt w:val="upperLetter"/>
      <w:start w:val="6"/>
    </w:lvl>
  </w:abstractNum>
  <w:abstractNum w:abstractNumId="68">
    <w:nsid w:val="3F48B982"/>
    <w:multiLevelType w:val="hybridMultilevel"/>
    <w:lvl w:ilvl="0">
      <w:lvlJc w:val="left"/>
      <w:lvlText w:val="%1."/>
      <w:numFmt w:val="upperLetter"/>
      <w:start w:val="1"/>
    </w:lvl>
  </w:abstractNum>
  <w:abstractNum w:abstractNumId="69">
    <w:nsid w:val="46BA8FCA"/>
    <w:multiLevelType w:val="hybridMultilevel"/>
    <w:lvl w:ilvl="0">
      <w:lvlJc w:val="left"/>
      <w:lvlText w:val="%1."/>
      <w:numFmt w:val="upperLetter"/>
      <w:start w:val="2"/>
    </w:lvl>
  </w:abstractNum>
  <w:abstractNum w:abstractNumId="70">
    <w:nsid w:val="7835626C"/>
    <w:multiLevelType w:val="hybridMultilevel"/>
    <w:lvl w:ilvl="0">
      <w:lvlJc w:val="left"/>
      <w:lvlText w:val="%1."/>
      <w:numFmt w:val="upperLetter"/>
      <w:start w:val="3"/>
    </w:lvl>
  </w:abstractNum>
  <w:abstractNum w:abstractNumId="71">
    <w:nsid w:val="665ACA49"/>
    <w:multiLevelType w:val="hybridMultilevel"/>
    <w:lvl w:ilvl="0">
      <w:lvlJc w:val="left"/>
      <w:lvlText w:val="%1."/>
      <w:numFmt w:val="upperLetter"/>
      <w:start w:val="4"/>
    </w:lvl>
  </w:abstractNum>
  <w:abstractNum w:abstractNumId="72">
    <w:nsid w:val="6835B2AE"/>
    <w:multiLevelType w:val="hybridMultilevel"/>
    <w:lvl w:ilvl="0">
      <w:lvlJc w:val="left"/>
      <w:lvlText w:val="%1."/>
      <w:numFmt w:val="upperLetter"/>
      <w:start w:val="5"/>
    </w:lvl>
  </w:abstractNum>
  <w:abstractNum w:abstractNumId="73">
    <w:nsid w:val="4C187C90"/>
    <w:multiLevelType w:val="hybridMultilevel"/>
    <w:lvl w:ilvl="0">
      <w:lvlJc w:val="left"/>
      <w:lvlText w:val="●"/>
      <w:numFmt w:val="bullet"/>
      <w:start w:val="1"/>
    </w:lvl>
  </w:abstractNum>
  <w:abstractNum w:abstractNumId="74">
    <w:nsid w:val="541F28CD"/>
    <w:multiLevelType w:val="hybridMultilevel"/>
    <w:lvl w:ilvl="0">
      <w:lvlJc w:val="left"/>
      <w:lvlText w:val="●"/>
      <w:numFmt w:val="bullet"/>
      <w:start w:val="1"/>
    </w:lvl>
  </w:abstractNum>
  <w:abstractNum w:abstractNumId="75">
    <w:nsid w:val="7F65FD16"/>
    <w:multiLevelType w:val="hybridMultilevel"/>
    <w:lvl w:ilvl="0">
      <w:lvlJc w:val="left"/>
      <w:lvlText w:val="●"/>
      <w:numFmt w:val="bullet"/>
      <w:start w:val="1"/>
    </w:lvl>
  </w:abstractNum>
  <w:abstractNum w:abstractNumId="76">
    <w:nsid w:val="77C9FD68"/>
    <w:multiLevelType w:val="hybridMultilevel"/>
    <w:lvl w:ilvl="0">
      <w:lvlJc w:val="left"/>
      <w:lvlText w:val="●"/>
      <w:numFmt w:val="bullet"/>
      <w:start w:val="1"/>
    </w:lvl>
  </w:abstractNum>
  <w:abstractNum w:abstractNumId="77">
    <w:nsid w:val="298A92BA"/>
    <w:multiLevelType w:val="hybridMultilevel"/>
    <w:lvl w:ilvl="0">
      <w:lvlJc w:val="left"/>
      <w:lvlText w:val="●"/>
      <w:numFmt w:val="bullet"/>
      <w:start w:val="1"/>
    </w:lvl>
  </w:abstractNum>
  <w:abstractNum w:abstractNumId="78">
    <w:nsid w:val="6FE95EAC"/>
    <w:multiLevelType w:val="hybridMultilevel"/>
    <w:lvl w:ilvl="0">
      <w:lvlJc w:val="left"/>
      <w:lvlText w:val="●"/>
      <w:numFmt w:val="bullet"/>
      <w:start w:val="1"/>
    </w:lvl>
  </w:abstractNum>
  <w:abstractNum w:abstractNumId="79">
    <w:nsid w:val="4B697C7A"/>
    <w:multiLevelType w:val="hybridMultilevel"/>
    <w:lvl w:ilvl="0">
      <w:lvlJc w:val="left"/>
      <w:lvlText w:val="%1."/>
      <w:numFmt w:val="upperLetter"/>
      <w:start w:val="6"/>
    </w:lvl>
  </w:abstractNum>
  <w:abstractNum w:abstractNumId="80">
    <w:nsid w:val="51A27AA6"/>
    <w:multiLevelType w:val="hybridMultilevel"/>
    <w:lvl w:ilvl="0">
      <w:lvlJc w:val="left"/>
      <w:lvlText w:val="%1."/>
      <w:numFmt w:val="upperLetter"/>
      <w:start w:val="7"/>
    </w:lvl>
  </w:abstractNum>
  <w:abstractNum w:abstractNumId="81">
    <w:nsid w:val="613183F2"/>
    <w:multiLevelType w:val="hybridMultilevel"/>
    <w:lvl w:ilvl="0">
      <w:lvlJc w:val="left"/>
      <w:lvlText w:val="%1."/>
      <w:numFmt w:val="upperLetter"/>
      <w:start w:val="8"/>
    </w:lvl>
  </w:abstractNum>
  <w:abstractNum w:abstractNumId="82">
    <w:nsid w:val="634102B4"/>
    <w:multiLevelType w:val="hybridMultilevel"/>
    <w:lvl w:ilvl="0">
      <w:lvlJc w:val="left"/>
      <w:lvlText w:val="%1."/>
      <w:numFmt w:val="upperLetter"/>
      <w:start w:val="9"/>
    </w:lvl>
  </w:abstractNum>
  <w:abstractNum w:abstractNumId="83">
    <w:nsid w:val="65BF9DA8"/>
    <w:multiLevelType w:val="hybridMultilevel"/>
    <w:lvl w:ilvl="0">
      <w:lvlJc w:val="left"/>
      <w:lvlText w:val="(%1)"/>
      <w:numFmt w:val="lowerRoman"/>
      <w:start w:val="2"/>
    </w:lvl>
  </w:abstractNum>
  <w:abstractNum w:abstractNumId="84">
    <w:nsid w:val="21A2ECCA"/>
    <w:multiLevelType w:val="hybridMultilevel"/>
    <w:lvl w:ilvl="0">
      <w:lvlJc w:val="left"/>
      <w:lvlText w:val="(%1)"/>
      <w:numFmt w:val="lowerLetter"/>
      <w:start w:val="2"/>
    </w:lvl>
  </w:abstractNum>
  <w:abstractNum w:abstractNumId="85">
    <w:nsid w:val="4D5C4899"/>
    <w:multiLevelType w:val="hybridMultilevel"/>
    <w:lvl w:ilvl="0">
      <w:lvlJc w:val="left"/>
      <w:lvlText w:val="(%1)"/>
      <w:numFmt w:val="lowerLetter"/>
      <w:start w:val="4"/>
    </w:lvl>
  </w:abstractNum>
  <w:abstractNum w:abstractNumId="86">
    <w:nsid w:val="3C3B72B2"/>
    <w:multiLevelType w:val="hybridMultilevel"/>
    <w:lvl w:ilvl="0">
      <w:lvlJc w:val="left"/>
      <w:lvlText w:val="$"/>
      <w:numFmt w:val="bullet"/>
      <w:start w:val="1"/>
    </w:lvl>
  </w:abstractNum>
  <w:abstractNum w:abstractNumId="87">
    <w:nsid w:val="155EC4C2"/>
    <w:multiLevelType w:val="hybridMultilevel"/>
    <w:lvl w:ilvl="0">
      <w:lvlJc w:val="left"/>
      <w:lvlText w:val="$"/>
      <w:numFmt w:val="bullet"/>
      <w:start w:val="1"/>
    </w:lvl>
  </w:abstractNum>
  <w:abstractNum w:abstractNumId="88">
    <w:nsid w:val="65D2A137"/>
    <w:multiLevelType w:val="hybridMultilevel"/>
    <w:lvl w:ilvl="0">
      <w:lvlJc w:val="left"/>
      <w:lvlText w:val="$"/>
      <w:numFmt w:val="bullet"/>
      <w:start w:val="1"/>
    </w:lvl>
  </w:abstractNum>
  <w:abstractNum w:abstractNumId="89">
    <w:nsid w:val="6EBB1F2A"/>
    <w:multiLevelType w:val="hybridMultilevel"/>
    <w:lvl w:ilvl="0">
      <w:lvlJc w:val="left"/>
      <w:lvlText w:val="(%1)"/>
      <w:numFmt w:val="lowerLetter"/>
      <w:start w:val="1"/>
    </w:lvl>
  </w:abstractNum>
  <w:abstractNum w:abstractNumId="90">
    <w:nsid w:val="6FBF29CB"/>
    <w:multiLevelType w:val="hybridMultilevel"/>
    <w:lvl w:ilvl="0">
      <w:lvlJc w:val="left"/>
      <w:lvlText w:val="(%1)"/>
      <w:numFmt w:val="lowerLetter"/>
      <w:start w:val="1"/>
    </w:lvl>
  </w:abstractNum>
  <w:abstractNum w:abstractNumId="91">
    <w:nsid w:val="550B8808"/>
    <w:multiLevelType w:val="hybridMultilevel"/>
    <w:lvl w:ilvl="0">
      <w:lvlJc w:val="left"/>
      <w:lvlText w:val="$"/>
      <w:numFmt w:val="bullet"/>
      <w:start w:val="1"/>
    </w:lvl>
  </w:abstractNum>
  <w:abstractNum w:abstractNumId="92">
    <w:nsid w:val="34CC3ACF"/>
    <w:multiLevelType w:val="hybridMultilevel"/>
    <w:lvl w:ilvl="0">
      <w:lvlJc w:val="left"/>
      <w:lvlText w:val="$"/>
      <w:numFmt w:val="bullet"/>
      <w:start w:val="1"/>
    </w:lvl>
  </w:abstractNum>
  <w:abstractNum w:abstractNumId="93">
    <w:nsid w:val="4E556261"/>
    <w:multiLevelType w:val="hybridMultilevel"/>
    <w:lvl w:ilvl="0">
      <w:lvlJc w:val="left"/>
      <w:lvlText w:val="%1)"/>
      <w:numFmt w:val="lowerLetter"/>
      <w:start w:val="1"/>
    </w:lvl>
  </w:abstractNum>
  <w:abstractNum w:abstractNumId="94">
    <w:nsid w:val="4C672FC9"/>
    <w:multiLevelType w:val="hybridMultilevel"/>
    <w:lvl w:ilvl="0">
      <w:lvlJc w:val="left"/>
      <w:lvlText w:val="%1)"/>
      <w:numFmt w:val="lowerLetter"/>
      <w:start w:val="2"/>
    </w:lvl>
  </w:abstractNum>
  <w:abstractNum w:abstractNumId="95">
    <w:nsid w:val="52A311C3"/>
    <w:multiLevelType w:val="hybridMultilevel"/>
    <w:lvl w:ilvl="0">
      <w:lvlJc w:val="left"/>
      <w:lvlText w:val="%1)"/>
      <w:numFmt w:val="lowerLetter"/>
      <w:start w:val="3"/>
    </w:lvl>
  </w:abstractNum>
  <w:abstractNum w:abstractNumId="96">
    <w:nsid w:val="44EF6B80"/>
    <w:multiLevelType w:val="hybridMultilevel"/>
    <w:lvl w:ilvl="0">
      <w:lvlJc w:val="left"/>
      <w:lvlText w:val="*"/>
      <w:numFmt w:val="bullet"/>
      <w:start w:val="1"/>
    </w:lvl>
  </w:abstractNum>
  <w:abstractNum w:abstractNumId="97">
    <w:nsid w:val="12FCDE5E"/>
    <w:multiLevelType w:val="hybridMultilevel"/>
    <w:lvl w:ilvl="0">
      <w:lvlJc w:val="left"/>
      <w:lvlText w:val="$"/>
      <w:numFmt w:val="bullet"/>
      <w:start w:val="1"/>
    </w:lvl>
  </w:abstractNum>
  <w:abstractNum w:abstractNumId="98">
    <w:nsid w:val="4A1D606E"/>
    <w:multiLevelType w:val="hybridMultilevel"/>
    <w:lvl w:ilvl="0">
      <w:lvlJc w:val="left"/>
      <w:lvlText w:val="2"/>
      <w:numFmt w:val="bullet"/>
      <w:start w:val="1"/>
    </w:lvl>
  </w:abstractNum>
  <w:abstractNum w:abstractNumId="99">
    <w:nsid w:val="4382503"/>
    <w:multiLevelType w:val="hybridMultilevel"/>
    <w:lvl w:ilvl="0">
      <w:lvlJc w:val="left"/>
      <w:lvlText w:val="(%1)"/>
      <w:numFmt w:val="decimal"/>
      <w:start w:val="1"/>
    </w:lvl>
  </w:abstractNum>
  <w:abstractNum w:abstractNumId="100">
    <w:nsid w:val="59B76E28"/>
    <w:multiLevelType w:val="hybridMultilevel"/>
    <w:lvl w:ilvl="0">
      <w:lvlJc w:val="left"/>
      <w:lvlText w:val="%1"/>
      <w:numFmt w:val="decimal"/>
      <w:start w:val="1"/>
    </w:lvl>
    <w:lvl w:ilvl="1">
      <w:lvlJc w:val="left"/>
      <w:lvlText w:val="(%2)"/>
      <w:numFmt w:val="decimal"/>
      <w:start w:val="1"/>
    </w:lvl>
  </w:abstractNum>
  <w:abstractNum w:abstractNumId="101">
    <w:nsid w:val="4252C2DA"/>
    <w:multiLevelType w:val="hybridMultilevel"/>
    <w:lvl w:ilvl="0">
      <w:lvlJc w:val="left"/>
      <w:lvlText w:val="%1."/>
      <w:numFmt w:val="decimal"/>
      <w:start w:val="13"/>
    </w:lvl>
    <w:lvl w:ilvl="1">
      <w:lvlJc w:val="left"/>
      <w:lvlText w:val="%2"/>
      <w:numFmt w:val="decimal"/>
      <w:start w:val="1"/>
    </w:lvl>
  </w:abstractNum>
  <w:abstractNum w:abstractNumId="102">
    <w:nsid w:val="6A92EF4C"/>
    <w:multiLevelType w:val="hybridMultilevel"/>
    <w:lvl w:ilvl="0">
      <w:lvlJc w:val="left"/>
      <w:lvlText w:val="(%1)"/>
      <w:numFmt w:val="decimal"/>
      <w:start w:val="1"/>
    </w:lvl>
  </w:abstractNum>
  <w:abstractNum w:abstractNumId="103">
    <w:nsid w:val="41ED20D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4">
    <w:nsid w:val="E6B3F6A"/>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abstractNum>
  <w:abstractNum w:abstractNumId="105">
    <w:nsid w:val="3EB21819"/>
    <w:multiLevelType w:val="hybridMultilevel"/>
    <w:lvl w:ilvl="0">
      <w:lvlJc w:val="left"/>
      <w:lvlText w:val="(%1)"/>
      <w:numFmt w:val="decimal"/>
      <w:start w:val="1"/>
    </w:lvl>
  </w:abstractNum>
  <w:abstractNum w:abstractNumId="106">
    <w:nsid w:val="41531DED"/>
    <w:multiLevelType w:val="hybridMultilevel"/>
    <w:lvl w:ilvl="0">
      <w:lvlJc w:val="left"/>
      <w:lvlText w:val="(%1)"/>
      <w:numFmt w:val="decimal"/>
      <w:start w:val="1"/>
    </w:lvl>
  </w:abstractNum>
  <w:abstractNum w:abstractNumId="107">
    <w:nsid w:val="6353CD2"/>
    <w:multiLevelType w:val="hybridMultilevel"/>
    <w:lvl w:ilvl="0">
      <w:lvlJc w:val="left"/>
      <w:lvlText w:val="%1)"/>
      <w:numFmt w:val="lowerLetter"/>
      <w:start w:val="1"/>
    </w:lvl>
    <w:lvl w:ilvl="1">
      <w:lvlJc w:val="left"/>
      <w:lvlText w:val="(%2)"/>
      <w:numFmt w:val="decimal"/>
      <w:start w:val="1"/>
    </w:lvl>
  </w:abstractNum>
  <w:abstractNum w:abstractNumId="108">
    <w:nsid w:val="683CAAD3"/>
    <w:multiLevelType w:val="hybridMultilevel"/>
    <w:lvl w:ilvl="0">
      <w:lvlJc w:val="left"/>
      <w:lvlText w:val="(%1)"/>
      <w:numFmt w:val="decimal"/>
      <w:start w:val="1"/>
    </w:lvl>
  </w:abstractNum>
  <w:abstractNum w:abstractNumId="109">
    <w:nsid w:val="313C7C99"/>
    <w:multiLevelType w:val="hybridMultilevel"/>
    <w:lvl w:ilvl="0">
      <w:lvlJc w:val="left"/>
      <w:lvlText w:val="%1."/>
      <w:numFmt w:val="decimal"/>
      <w:start w:val="1"/>
    </w:lvl>
    <w:lvl w:ilvl="1">
      <w:lvlJc w:val="left"/>
      <w:lvlText w:val="%2."/>
      <w:numFmt w:val="decimal"/>
      <w:start w:val="1"/>
    </w:lvl>
  </w:abstractNum>
  <w:abstractNum w:abstractNumId="110">
    <w:nsid w:val="519EB94C"/>
    <w:multiLevelType w:val="hybridMultilevel"/>
    <w:lvl w:ilvl="0">
      <w:lvlJc w:val="left"/>
      <w:lvlText w:val="%1"/>
      <w:numFmt w:val="decimal"/>
      <w:start w:val="1"/>
    </w:lvl>
    <w:lvl w:ilvl="1">
      <w:lvlJc w:val="left"/>
      <w:lvlText w:val="%2."/>
      <w:numFmt w:val="decimal"/>
      <w:start w:val="4"/>
    </w:lvl>
  </w:abstractNum>
  <w:abstractNum w:abstractNumId="111">
    <w:nsid w:val="39DF2579"/>
    <w:multiLevelType w:val="hybridMultilevel"/>
    <w:lvl w:ilvl="0">
      <w:lvlJc w:val="left"/>
      <w:lvlText w:val="%1."/>
      <w:numFmt w:val="decimal"/>
      <w:start w:val="3"/>
    </w:lvl>
    <w:lvl w:ilvl="1">
      <w:lvlJc w:val="left"/>
      <w:lvlText w:val="%2."/>
      <w:numFmt w:val="decimal"/>
      <w:start w:val="1"/>
    </w:lvl>
  </w:abstractNum>
  <w:abstractNum w:abstractNumId="112">
    <w:nsid w:val="126E008B"/>
    <w:multiLevelType w:val="hybridMultilevel"/>
    <w:lvl w:ilvl="0">
      <w:lvlJc w:val="left"/>
      <w:lvlText w:val="(%1)"/>
      <w:numFmt w:val="decimal"/>
      <w:start w:val="1"/>
    </w:lvl>
  </w:abstractNum>
  <w:abstractNum w:abstractNumId="113">
    <w:nsid w:val="34DFBC00"/>
    <w:multiLevelType w:val="hybridMultilevel"/>
    <w:lvl w:ilvl="0">
      <w:lvlJc w:val="left"/>
      <w:lvlText w:val="%1"/>
      <w:numFmt w:val="decimal"/>
      <w:start w:val="1"/>
    </w:lvl>
    <w:lvl w:ilvl="1">
      <w:lvlJc w:val="left"/>
      <w:lvlText w:val="(%2)"/>
      <w:numFmt w:val="decimal"/>
      <w:start w:val="2"/>
    </w:lvl>
  </w:abstractNum>
  <w:abstractNum w:abstractNumId="114">
    <w:nsid w:val="1F9EC322"/>
    <w:multiLevelType w:val="hybridMultilevel"/>
    <w:lvl w:ilvl="0">
      <w:lvlJc w:val="left"/>
      <w:lvlText w:val="%1."/>
      <w:numFmt w:val="decimal"/>
      <w:start w:val="13"/>
    </w:lvl>
    <w:lvl w:ilvl="1">
      <w:lvlJc w:val="left"/>
      <w:lvlText w:val="%2"/>
      <w:numFmt w:val="decimal"/>
      <w:start w:val="1"/>
    </w:lvl>
  </w:abstractNum>
  <w:abstractNum w:abstractNumId="115">
    <w:nsid w:val="3410ED56"/>
    <w:multiLevelType w:val="hybridMultilevel"/>
    <w:lvl w:ilvl="0">
      <w:lvlJc w:val="left"/>
      <w:lvlText w:val="(%1)"/>
      <w:numFmt w:val="decimal"/>
      <w:start w:val="1"/>
    </w:lvl>
  </w:abstractNum>
  <w:abstractNum w:abstractNumId="116">
    <w:nsid w:val="23C049A"/>
    <w:multiLevelType w:val="hybridMultilevel"/>
    <w:lvl w:ilvl="0">
      <w:lvlJc w:val="left"/>
      <w:lvlText w:val="(%1)"/>
      <w:numFmt w:val="decimal"/>
      <w:start w:val="1"/>
    </w:lvl>
    <w:lvl w:ilvl="1">
      <w:lvlJc w:val="left"/>
      <w:lvlText w:val="(%2)"/>
      <w:numFmt w:val="decimal"/>
      <w:start w:val="1"/>
    </w:lvl>
  </w:abstractNum>
  <w:abstractNum w:abstractNumId="117">
    <w:nsid w:val="5BDA35D4"/>
    <w:multiLevelType w:val="hybridMultilevel"/>
    <w:lvl w:ilvl="0">
      <w:lvlJc w:val="left"/>
      <w:lvlText w:val="%1"/>
      <w:numFmt w:val="decimal"/>
      <w:start w:val="1"/>
    </w:lvl>
    <w:lvl w:ilvl="1">
      <w:lvlJc w:val="left"/>
      <w:lvlText w:val="(%2)"/>
      <w:numFmt w:val="decimal"/>
      <w:start w:val="2"/>
    </w:lvl>
  </w:abstractNum>
  <w:abstractNum w:abstractNumId="118">
    <w:nsid w:val="496FB218"/>
    <w:multiLevelType w:val="hybridMultilevel"/>
    <w:lvl w:ilvl="0">
      <w:lvlJc w:val="left"/>
      <w:lvlText w:val="%1."/>
      <w:numFmt w:val="decimal"/>
      <w:start w:val="14"/>
    </w:lvl>
    <w:lvl w:ilvl="1">
      <w:lvlJc w:val="left"/>
      <w:lvlText w:val="%2"/>
      <w:numFmt w:val="decimal"/>
      <w:start w:val="1"/>
    </w:lvl>
  </w:abstractNum>
  <w:abstractNum w:abstractNumId="119">
    <w:nsid w:val="680EA5D1"/>
    <w:multiLevelType w:val="hybridMultilevel"/>
    <w:lvl w:ilvl="0">
      <w:lvlJc w:val="left"/>
      <w:lvlText w:val="(%1)"/>
      <w:numFmt w:val="decimal"/>
      <w:start w:val="1"/>
    </w:lvl>
  </w:abstractNum>
  <w:abstractNum w:abstractNumId="120">
    <w:nsid w:val="4A9554FE"/>
    <w:multiLevelType w:val="hybridMultilevel"/>
    <w:lvl w:ilvl="0">
      <w:lvlJc w:val="left"/>
      <w:lvlText w:val="(%1)"/>
      <w:numFmt w:val="decimal"/>
      <w:start w:val="2"/>
    </w:lvl>
  </w:abstractNum>
  <w:abstractNum w:abstractNumId="121">
    <w:nsid w:val="392EDBE4"/>
    <w:multiLevelType w:val="hybridMultilevel"/>
    <w:lvl w:ilvl="0">
      <w:lvlJc w:val="left"/>
      <w:lvlText w:val="(%1)"/>
      <w:numFmt w:val="decimal"/>
      <w:start w:val="1"/>
    </w:lvl>
  </w:abstractNum>
  <w:abstractNum w:abstractNumId="122">
    <w:nsid w:val="3D1A2DD9"/>
    <w:multiLevelType w:val="hybridMultilevel"/>
    <w:lvl w:ilvl="0">
      <w:lvlJc w:val="left"/>
      <w:lvlText w:val="%1)"/>
      <w:numFmt w:val="lowerLetter"/>
      <w:start w:val="1"/>
    </w:lvl>
    <w:lvl w:ilvl="1">
      <w:lvlJc w:val="left"/>
      <w:lvlText w:val="(%2)"/>
      <w:numFmt w:val="decimal"/>
      <w:start w:val="1"/>
    </w:lvl>
  </w:abstractNum>
  <w:abstractNum w:abstractNumId="123">
    <w:nsid w:val="7F618FCD"/>
    <w:multiLevelType w:val="hybridMultilevel"/>
    <w:lvl w:ilvl="0">
      <w:lvlJc w:val="left"/>
      <w:lvlText w:val="(%1)"/>
      <w:numFmt w:val="decimal"/>
      <w:start w:val="1"/>
    </w:lvl>
  </w:abstractNum>
  <w:abstractNum w:abstractNumId="124">
    <w:nsid w:val="7843E45"/>
    <w:multiLevelType w:val="hybridMultilevel"/>
    <w:lvl w:ilvl="0">
      <w:lvlJc w:val="left"/>
      <w:lvlText w:val="%1."/>
      <w:numFmt w:val="decimal"/>
      <w:start w:val="1"/>
    </w:lvl>
    <w:lvl w:ilvl="1">
      <w:lvlJc w:val="left"/>
      <w:lvlText w:val="%2."/>
      <w:numFmt w:val="decimal"/>
      <w:start w:val="1"/>
    </w:lvl>
  </w:abstractNum>
  <w:abstractNum w:abstractNumId="125">
    <w:nsid w:val="9815DA3"/>
    <w:multiLevelType w:val="hybridMultilevel"/>
    <w:lvl w:ilvl="0">
      <w:lvlJc w:val="left"/>
      <w:lvlText w:val="%1"/>
      <w:numFmt w:val="decimal"/>
      <w:start w:val="1"/>
    </w:lvl>
    <w:lvl w:ilvl="1">
      <w:lvlJc w:val="left"/>
      <w:lvlText w:val="%2."/>
      <w:numFmt w:val="decimal"/>
      <w:start w:val="4"/>
    </w:lvl>
  </w:abstractNum>
  <w:abstractNum w:abstractNumId="126">
    <w:nsid w:val="5204A191"/>
    <w:multiLevelType w:val="hybridMultilevel"/>
    <w:lvl w:ilvl="0">
      <w:lvlJc w:val="left"/>
      <w:lvlText w:val="%1."/>
      <w:numFmt w:val="decimal"/>
      <w:start w:val="3"/>
    </w:lvl>
    <w:lvl w:ilvl="1">
      <w:lvlJc w:val="left"/>
      <w:lvlText w:val="%2."/>
      <w:numFmt w:val="decimal"/>
      <w:start w:val="1"/>
    </w:lvl>
  </w:abstractNum>
  <w:abstractNum w:abstractNumId="127">
    <w:nsid w:val="4C73A9C6"/>
    <w:multiLevelType w:val="hybridMultilevel"/>
    <w:lvl w:ilvl="0">
      <w:lvlJc w:val="left"/>
      <w:lvlText w:val="%1."/>
      <w:numFmt w:val="decimal"/>
      <w:start w:val="11"/>
    </w:lvl>
  </w:abstractNum>
  <w:abstractNum w:abstractNumId="128">
    <w:nsid w:val="1C7E3C01"/>
    <w:multiLevelType w:val="hybridMultilevel"/>
    <w:lvl w:ilvl="0">
      <w:lvlJc w:val="left"/>
      <w:lvlText w:val="(%1)"/>
      <w:numFmt w:val="decimal"/>
      <w:start w:val="1"/>
    </w:lvl>
  </w:abstractNum>
  <w:abstractNum w:abstractNumId="129">
    <w:nsid w:val="1C2201FF"/>
    <w:multiLevelType w:val="hybridMultilevel"/>
    <w:lvl w:ilvl="0">
      <w:lvlJc w:val="left"/>
      <w:lvlText w:val="(%1)"/>
      <w:numFmt w:val="decimal"/>
      <w:start w:val="1"/>
    </w:lvl>
  </w:abstractNum>
  <w:abstractNum w:abstractNumId="130">
    <w:nsid w:val="50ABCEC9"/>
    <w:multiLevelType w:val="hybridMultilevel"/>
    <w:lvl w:ilvl="0">
      <w:lvlJc w:val="left"/>
      <w:lvlText w:val="%1."/>
      <w:numFmt w:val="decimal"/>
      <w:start w:val="19"/>
    </w:lvl>
  </w:abstractNum>
  <w:abstractNum w:abstractNumId="131">
    <w:nsid w:val="7635AA2A"/>
    <w:multiLevelType w:val="hybridMultilevel"/>
    <w:lvl w:ilvl="0">
      <w:lvlJc w:val="left"/>
      <w:lvlText w:val="%1."/>
      <w:numFmt w:val="decimal"/>
      <w:start w:val="1"/>
    </w:lvl>
  </w:abstractNum>
  <w:abstractNum w:abstractNumId="132">
    <w:nsid w:val="5E74C4D9"/>
    <w:multiLevelType w:val="hybridMultilevel"/>
    <w:lvl w:ilvl="0">
      <w:lvlJc w:val="left"/>
      <w:lvlText w:val="%1."/>
      <w:numFmt w:val="decimal"/>
      <w:start w:val="1"/>
    </w:lvl>
  </w:abstractNum>
  <w:abstractNum w:abstractNumId="133">
    <w:nsid w:val="3B3EBE15"/>
    <w:multiLevelType w:val="hybridMultilevel"/>
    <w:lvl w:ilvl="0">
      <w:lvlJc w:val="left"/>
      <w:lvlText w:val="%1."/>
      <w:numFmt w:val="decimal"/>
      <w:start w:val="1"/>
    </w:lvl>
  </w:abstractNum>
  <w:abstractNum w:abstractNumId="134">
    <w:nsid w:val="3822CB01"/>
    <w:multiLevelType w:val="hybridMultilevel"/>
    <w:lvl w:ilvl="0">
      <w:lvlJc w:val="left"/>
      <w:lvlText w:val="%1."/>
      <w:numFmt w:val="decimal"/>
      <w:start w:val="1"/>
    </w:lvl>
  </w:abstractNum>
  <w:abstractNum w:abstractNumId="135">
    <w:nsid w:val="6CE00443"/>
    <w:multiLevelType w:val="hybridMultilevel"/>
    <w:lvl w:ilvl="0">
      <w:lvlJc w:val="left"/>
      <w:lvlText w:val="%1."/>
      <w:numFmt w:val="decimal"/>
      <w:start w:val="1"/>
    </w:lvl>
  </w:abstractNum>
  <w:abstractNum w:abstractNumId="136">
    <w:nsid w:val="79F0D62F"/>
    <w:multiLevelType w:val="hybridMultilevel"/>
    <w:lvl w:ilvl="0">
      <w:lvlJc w:val="left"/>
      <w:lvlText w:val="☒"/>
      <w:numFmt w:val="bullet"/>
      <w:start w:val="1"/>
    </w:lvl>
  </w:abstractNum>
  <w:abstractNum w:abstractNumId="137">
    <w:nsid w:val="7975E8EE"/>
    <w:multiLevelType w:val="hybridMultilevel"/>
    <w:lvl w:ilvl="0">
      <w:lvlJc w:val="left"/>
      <w:lvlText w:val="þ"/>
      <w:numFmt w:val="bullet"/>
      <w:start w:val="1"/>
    </w:lvl>
  </w:abstractNum>
  <w:abstractNum w:abstractNumId="138">
    <w:nsid w:val="73154115"/>
    <w:multiLevelType w:val="hybridMultilevel"/>
    <w:lvl w:ilvl="0">
      <w:lvlJc w:val="left"/>
      <w:lvlText w:val="☒"/>
      <w:numFmt w:val="bullet"/>
      <w:start w:val="1"/>
    </w:lvl>
  </w:abstractNum>
  <w:abstractNum w:abstractNumId="139">
    <w:nsid w:val="622D8102"/>
    <w:multiLevelType w:val="hybridMultilevel"/>
    <w:lvl w:ilvl="0">
      <w:lvlJc w:val="left"/>
      <w:lvlText w:val="%1."/>
      <w:numFmt w:val="decimal"/>
      <w:start w:val="1"/>
    </w:lvl>
  </w:abstractNum>
  <w:abstractNum w:abstractNumId="140">
    <w:nsid w:val="2AB26587"/>
    <w:multiLevelType w:val="hybridMultilevel"/>
    <w:lvl w:ilvl="0">
      <w:lvlJc w:val="left"/>
      <w:lvlText w:val="þ"/>
      <w:numFmt w:val="bullet"/>
      <w:start w:val="1"/>
    </w:lvl>
  </w:abstractNum>
  <w:abstractNum w:abstractNumId="141">
    <w:nsid w:val="44B3FA61"/>
    <w:multiLevelType w:val="hybridMultilevel"/>
    <w:lvl w:ilvl="0">
      <w:lvlJc w:val="left"/>
      <w:lvlText w:val="☒"/>
      <w:numFmt w:val="bullet"/>
      <w:start w:val="1"/>
    </w:lvl>
  </w:abstractNum>
  <w:abstractNum w:abstractNumId="142">
    <w:nsid w:val="1C0CA67C"/>
    <w:multiLevelType w:val="hybridMultilevel"/>
    <w:lvl w:ilvl="0">
      <w:lvlJc w:val="left"/>
      <w:lvlText w:val="☒"/>
      <w:numFmt w:val="bullet"/>
      <w:start w:val="1"/>
    </w:lvl>
  </w:abstractNum>
  <w:abstractNum w:abstractNumId="143">
    <w:nsid w:val="3D206613"/>
    <w:multiLevelType w:val="hybridMultilevel"/>
    <w:lvl w:ilvl="0">
      <w:lvlJc w:val="left"/>
      <w:lvlText w:val="☒"/>
      <w:numFmt w:val="bullet"/>
      <w:start w:val="1"/>
    </w:lvl>
  </w:abstractNum>
  <w:abstractNum w:abstractNumId="144">
    <w:nsid w:val="7993B662"/>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145">
    <w:nsid w:val="3BAB699E"/>
    <w:multiLevelType w:val="hybridMultilevel"/>
    <w:lvl w:ilvl="0">
      <w:lvlJc w:val="left"/>
      <w:lvlText w:val="☒"/>
      <w:numFmt w:val="bullet"/>
      <w:start w:val="1"/>
    </w:lvl>
  </w:abstractNum>
  <w:abstractNum w:abstractNumId="146">
    <w:nsid w:val="71315369"/>
    <w:multiLevelType w:val="hybridMultilevel"/>
    <w:lvl w:ilvl="0">
      <w:lvlJc w:val="left"/>
      <w:lvlText w:val="%1."/>
      <w:numFmt w:val="decimal"/>
      <w:start w:val="7"/>
    </w:lvl>
    <w:lvl w:ilvl="1">
      <w:lvlJc w:val="left"/>
      <w:lvlText w:val="(%2)"/>
      <w:numFmt w:val="decimal"/>
      <w:start w:val="1"/>
    </w:lvl>
  </w:abstractNum>
  <w:abstractNum w:abstractNumId="147">
    <w:nsid w:val="7BCFBAFC"/>
    <w:multiLevelType w:val="hybridMultilevel"/>
    <w:lvl w:ilvl="0">
      <w:lvlJc w:val="left"/>
      <w:lvlText w:val="%1."/>
      <w:numFmt w:val="decimal"/>
      <w:start w:val="11"/>
    </w:lvl>
  </w:abstractNum>
  <w:abstractNum w:abstractNumId="148">
    <w:nsid w:val="17859F72"/>
    <w:multiLevelType w:val="hybridMultilevel"/>
    <w:lvl w:ilvl="0">
      <w:lvlJc w:val="left"/>
      <w:lvlText w:val="%1."/>
      <w:numFmt w:val="decimal"/>
      <w:start w:val="13"/>
    </w:lvl>
  </w:abstractNum>
  <w:abstractNum w:abstractNumId="149">
    <w:nsid w:val="3AA10581"/>
    <w:multiLevelType w:val="hybridMultilevel"/>
    <w:lvl w:ilvl="0">
      <w:lvlJc w:val="left"/>
      <w:lvlText w:val="(%1)"/>
      <w:numFmt w:val="decimal"/>
      <w:start w:val="1"/>
    </w:lvl>
  </w:abstractNum>
  <w:abstractNum w:abstractNumId="150">
    <w:nsid w:val="63DE60CD"/>
    <w:multiLevelType w:val="hybridMultilevel"/>
    <w:lvl w:ilvl="0">
      <w:lvlJc w:val="left"/>
      <w:lvlText w:val="%1"/>
      <w:numFmt w:val="decimal"/>
      <w:start w:val="1"/>
    </w:lvl>
    <w:lvl w:ilvl="1">
      <w:lvlJc w:val="left"/>
      <w:lvlText w:val="(%2)"/>
      <w:numFmt w:val="decimal"/>
      <w:start w:val="1"/>
    </w:lvl>
  </w:abstractNum>
  <w:abstractNum w:abstractNumId="151">
    <w:nsid w:val="621AF471"/>
    <w:multiLevelType w:val="hybridMultilevel"/>
    <w:lvl w:ilvl="0">
      <w:lvlJc w:val="left"/>
      <w:lvlText w:val="%1."/>
      <w:numFmt w:val="decimal"/>
      <w:start w:val="14"/>
    </w:lvl>
    <w:lvl w:ilvl="1">
      <w:lvlJc w:val="left"/>
      <w:lvlText w:val="%2"/>
      <w:numFmt w:val="decimal"/>
      <w:start w:val="1"/>
    </w:lvl>
  </w:abstractNum>
  <w:abstractNum w:abstractNumId="152">
    <w:nsid w:val="73CFE165"/>
    <w:multiLevelType w:val="hybridMultilevel"/>
    <w:lvl w:ilvl="0">
      <w:lvlJc w:val="left"/>
      <w:lvlText w:val="%1."/>
      <w:numFmt w:val="decimal"/>
      <w:start w:val="16"/>
    </w:lvl>
    <w:lvl w:ilvl="1">
      <w:lvlJc w:val="left"/>
      <w:lvlText w:val="(%2)"/>
      <w:numFmt w:val="decimal"/>
      <w:start w:val="1"/>
    </w:lvl>
  </w:abstractNum>
  <w:abstractNum w:abstractNumId="153">
    <w:nsid w:val="20F88EA6"/>
    <w:multiLevelType w:val="hybridMultilevel"/>
    <w:lvl w:ilvl="0">
      <w:lvlJc w:val="left"/>
      <w:lvlText w:val="%1."/>
      <w:numFmt w:val="decimal"/>
      <w:start w:val="2"/>
    </w:lvl>
  </w:abstractNum>
  <w:abstractNum w:abstractNumId="154">
    <w:nsid w:val="617C843E"/>
    <w:multiLevelType w:val="hybridMultilevel"/>
    <w:lvl w:ilvl="0">
      <w:lvlJc w:val="left"/>
      <w:lvlText w:val="%1."/>
      <w:numFmt w:val="decimal"/>
      <w:start w:val="1"/>
    </w:lvl>
  </w:abstractNum>
  <w:abstractNum w:abstractNumId="155">
    <w:nsid w:val="7B541FAB"/>
    <w:multiLevelType w:val="hybridMultilevel"/>
    <w:lvl w:ilvl="0">
      <w:lvlJc w:val="left"/>
      <w:lvlText w:val="(%1)"/>
      <w:numFmt w:val="decimal"/>
      <w:start w:val="1"/>
    </w:lvl>
  </w:abstractNum>
  <w:abstractNum w:abstractNumId="156">
    <w:nsid w:val="2A79EC49"/>
    <w:multiLevelType w:val="hybridMultilevel"/>
    <w:lvl w:ilvl="0">
      <w:lvlJc w:val="left"/>
      <w:lvlText w:val="(%1)"/>
      <w:numFmt w:val="decimal"/>
      <w:start w:val="1"/>
    </w:lvl>
  </w:abstractNum>
  <w:abstractNum w:abstractNumId="157">
    <w:nsid w:val="338125CF"/>
    <w:multiLevelType w:val="hybridMultilevel"/>
    <w:lvl w:ilvl="0">
      <w:lvlJc w:val="left"/>
      <w:lvlText w:val="(%1)"/>
      <w:numFmt w:val="decimal"/>
      <w:start w:val="1"/>
    </w:lvl>
  </w:abstractNum>
  <w:abstractNum w:abstractNumId="158">
    <w:nsid w:val="47C7C971"/>
    <w:multiLevelType w:val="hybridMultilevel"/>
    <w:lvl w:ilvl="0">
      <w:lvlJc w:val="left"/>
      <w:lvlText w:val="%1."/>
      <w:numFmt w:val="decimal"/>
      <w:start w:val="1"/>
    </w:lvl>
  </w:abstractNum>
  <w:abstractNum w:abstractNumId="159">
    <w:nsid w:val="46F8284B"/>
    <w:multiLevelType w:val="hybridMultilevel"/>
    <w:lvl w:ilvl="0">
      <w:lvlJc w:val="left"/>
      <w:lvlText w:val="%1."/>
      <w:numFmt w:val="decimal"/>
      <w:start w:val="3"/>
    </w:lvl>
  </w:abstractNum>
  <w:abstractNum w:abstractNumId="160">
    <w:nsid w:val="4FA327CE"/>
    <w:multiLevelType w:val="hybridMultilevel"/>
    <w:lvl w:ilvl="0">
      <w:lvlJc w:val="left"/>
      <w:lvlText w:val="%1."/>
      <w:numFmt w:val="decimal"/>
      <w:start w:val="1"/>
    </w:lvl>
  </w:abstractNum>
  <w:abstractNum w:abstractNumId="161">
    <w:nsid w:val="1873983A"/>
    <w:multiLevelType w:val="hybridMultilevel"/>
    <w:lvl w:ilvl="0">
      <w:lvlJc w:val="left"/>
      <w:lvlText w:val="%1."/>
      <w:numFmt w:val="decimal"/>
      <w:start w:val="2"/>
    </w:lvl>
  </w:abstractNum>
  <w:abstractNum w:abstractNumId="162">
    <w:nsid w:val="3D2DD275"/>
    <w:multiLevelType w:val="hybridMultilevel"/>
    <w:lvl w:ilvl="0">
      <w:lvlJc w:val="left"/>
      <w:lvlText w:val="%1."/>
      <w:numFmt w:val="decimal"/>
      <w:start w:val="3"/>
    </w:lvl>
  </w:abstractNum>
  <w:abstractNum w:abstractNumId="163">
    <w:nsid w:val="2E17ECA7"/>
    <w:multiLevelType w:val="hybridMultilevel"/>
    <w:lvl w:ilvl="0">
      <w:lvlJc w:val="left"/>
      <w:lvlText w:val="(%1)"/>
      <w:numFmt w:val="decimal"/>
      <w:start w:val="1"/>
    </w:lvl>
  </w:abstractNum>
  <w:abstractNum w:abstractNumId="164">
    <w:nsid w:val="53B2564F"/>
    <w:multiLevelType w:val="hybridMultilevel"/>
    <w:lvl w:ilvl="0">
      <w:lvlJc w:val="left"/>
      <w:lvlText w:val="%1."/>
      <w:numFmt w:val="decimal"/>
      <w:start w:val="4"/>
    </w:lvl>
  </w:abstractNum>
  <w:abstractNum w:abstractNumId="165">
    <w:nsid w:val="75509D76"/>
    <w:multiLevelType w:val="hybridMultilevel"/>
    <w:lvl w:ilvl="0">
      <w:lvlJc w:val="left"/>
      <w:lvlText w:val="%1."/>
      <w:numFmt w:val="decimal"/>
      <w:start w:val="5"/>
    </w:lvl>
  </w:abstractNum>
  <w:abstractNum w:abstractNumId="166">
    <w:nsid w:val="1AF7F0EA"/>
    <w:multiLevelType w:val="hybridMultilevel"/>
    <w:lvl w:ilvl="0">
      <w:lvlJc w:val="left"/>
      <w:lvlText w:val="(%1)"/>
      <w:numFmt w:val="decimal"/>
      <w:start w:val="1"/>
    </w:lvl>
  </w:abstractNum>
  <w:abstractNum w:abstractNumId="167">
    <w:nsid w:val="4DA32C7E"/>
    <w:multiLevelType w:val="hybridMultilevel"/>
    <w:lvl w:ilvl="0">
      <w:lvlJc w:val="left"/>
      <w:lvlText w:val="%1."/>
      <w:numFmt w:val="decimal"/>
      <w:start w:val="1"/>
    </w:lvl>
  </w:abstractNum>
  <w:abstractNum w:abstractNumId="168">
    <w:nsid w:val="6EC68664"/>
    <w:multiLevelType w:val="hybridMultilevel"/>
    <w:lvl w:ilvl="0">
      <w:lvlJc w:val="left"/>
      <w:lvlText w:val="%1."/>
      <w:numFmt w:val="decimal"/>
      <w:start w:val="3"/>
    </w:lvl>
  </w:abstractNum>
  <w:abstractNum w:abstractNumId="169">
    <w:nsid w:val="E0D31FF"/>
    <w:multiLevelType w:val="hybridMultilevel"/>
    <w:lvl w:ilvl="0">
      <w:lvlJc w:val="left"/>
      <w:lvlText w:val="%1."/>
      <w:numFmt w:val="decimal"/>
      <w:start w:val="1"/>
    </w:lvl>
  </w:abstractNum>
  <w:abstractNum w:abstractNumId="170">
    <w:nsid w:val="2FD0AD81"/>
    <w:multiLevelType w:val="hybridMultilevel"/>
    <w:lvl w:ilvl="0">
      <w:lvlJc w:val="left"/>
      <w:lvlText w:val="%1."/>
      <w:numFmt w:val="decimal"/>
      <w:start w:val="8"/>
    </w:lvl>
  </w:abstractNum>
  <w:abstractNum w:abstractNumId="171">
    <w:nsid w:val="1978EBEB"/>
    <w:multiLevelType w:val="hybridMultilevel"/>
    <w:lvl w:ilvl="0">
      <w:lvlJc w:val="left"/>
      <w:lvlText w:val="%1."/>
      <w:numFmt w:val="decimal"/>
      <w:start w:val="11"/>
    </w:lvl>
  </w:abstractNum>
  <w:abstractNum w:abstractNumId="172">
    <w:nsid w:val="52C12C61"/>
    <w:multiLevelType w:val="hybridMultilevel"/>
    <w:lvl w:ilvl="0">
      <w:lvlJc w:val="left"/>
      <w:lvlText w:val="%1."/>
      <w:numFmt w:val="decimal"/>
      <w:start w:val="1"/>
    </w:lvl>
  </w:abstractNum>
  <w:abstractNum w:abstractNumId="173">
    <w:nsid w:val="4BDD53FD"/>
    <w:multiLevelType w:val="hybridMultilevel"/>
    <w:lvl w:ilvl="0">
      <w:lvlJc w:val="left"/>
      <w:lvlText w:val="(%1)"/>
      <w:numFmt w:val="decimal"/>
      <w:start w:val="1"/>
    </w:lvl>
  </w:abstractNum>
  <w:abstractNum w:abstractNumId="174">
    <w:nsid w:val="569951FE"/>
    <w:multiLevelType w:val="hybridMultilevel"/>
    <w:lvl w:ilvl="0">
      <w:lvlJc w:val="left"/>
      <w:lvlText w:val="%1."/>
      <w:numFmt w:val="decimal"/>
      <w:start w:val="5"/>
    </w:lvl>
  </w:abstractNum>
  <w:abstractNum w:abstractNumId="175">
    <w:nsid w:val="4C54E2C3"/>
    <w:multiLevelType w:val="hybridMultilevel"/>
    <w:lvl w:ilvl="0">
      <w:lvlJc w:val="left"/>
      <w:lvlText w:val="(%1)"/>
      <w:numFmt w:val="decimal"/>
      <w:start w:val="1"/>
    </w:lvl>
  </w:abstractNum>
  <w:abstractNum w:abstractNumId="176">
    <w:nsid w:val="788BD9B"/>
    <w:multiLevelType w:val="hybridMultilevel"/>
    <w:lvl w:ilvl="0">
      <w:lvlJc w:val="left"/>
      <w:lvlText w:val="%1."/>
      <w:numFmt w:val="decimal"/>
      <w:start w:val="6"/>
    </w:lvl>
  </w:abstractNum>
  <w:abstractNum w:abstractNumId="177">
    <w:nsid w:val="47CAA567"/>
    <w:multiLevelType w:val="hybridMultilevel"/>
    <w:lvl w:ilvl="0">
      <w:lvlJc w:val="left"/>
      <w:lvlText w:val="④"/>
      <w:numFmt w:val="bullet"/>
      <w:start w:val="1"/>
    </w:lvl>
    <w:lvl w:ilvl="1">
      <w:lvlJc w:val="left"/>
      <w:lvlText w:val="(%2)"/>
      <w:numFmt w:val="decimal"/>
      <w:start w:val="1"/>
    </w:lvl>
  </w:abstractNum>
  <w:abstractNum w:abstractNumId="178">
    <w:nsid w:val="48249DBF"/>
    <w:multiLevelType w:val="hybridMultilevel"/>
    <w:lvl w:ilvl="0">
      <w:lvlJc w:val="left"/>
      <w:lvlText w:val="(%1)"/>
      <w:numFmt w:val="decimal"/>
      <w:start w:val="2"/>
    </w:lvl>
  </w:abstractNum>
  <w:abstractNum w:abstractNumId="179">
    <w:nsid w:val="1F0E5D0D"/>
    <w:multiLevelType w:val="hybridMultilevel"/>
    <w:lvl w:ilvl="0">
      <w:lvlJc w:val="left"/>
      <w:lvlText w:val="%1."/>
      <w:numFmt w:val="decimal"/>
      <w:start w:val="12"/>
    </w:lvl>
  </w:abstractNum>
  <w:abstractNum w:abstractNumId="180">
    <w:nsid w:val="26BAAE9"/>
    <w:multiLevelType w:val="hybridMultilevel"/>
    <w:lvl w:ilvl="0">
      <w:lvlJc w:val="left"/>
      <w:lvlText w:val="④"/>
      <w:numFmt w:val="bullet"/>
      <w:start w:val="1"/>
    </w:lvl>
    <w:lvl w:ilvl="1">
      <w:lvlJc w:val="left"/>
      <w:lvlText w:val="(%2)"/>
      <w:numFmt w:val="decimal"/>
      <w:start w:val="1"/>
    </w:lvl>
  </w:abstractNum>
  <w:abstractNum w:abstractNumId="181">
    <w:nsid w:val="2C02FE8C"/>
    <w:multiLevelType w:val="hybridMultilevel"/>
    <w:lvl w:ilvl="0">
      <w:lvlJc w:val="left"/>
      <w:lvlText w:val="④"/>
      <w:numFmt w:val="bullet"/>
      <w:start w:val="1"/>
    </w:lvl>
    <w:lvl w:ilvl="1">
      <w:lvlJc w:val="left"/>
      <w:lvlText w:val="(%2)"/>
      <w:numFmt w:val="decimal"/>
      <w:start w:val="3"/>
    </w:lvl>
  </w:abstractNum>
  <w:abstractNum w:abstractNumId="182">
    <w:nsid w:val="129517E"/>
    <w:multiLevelType w:val="hybridMultilevel"/>
    <w:lvl w:ilvl="0">
      <w:lvlJc w:val="left"/>
      <w:lvlText w:val="(%1)"/>
      <w:numFmt w:val="decimal"/>
      <w:start w:val="4"/>
    </w:lvl>
  </w:abstractNum>
  <w:abstractNum w:abstractNumId="183">
    <w:nsid w:val="763B8C4E"/>
    <w:multiLevelType w:val="hybridMultilevel"/>
    <w:lvl w:ilvl="0">
      <w:lvlJc w:val="left"/>
      <w:lvlText w:val="②"/>
      <w:numFmt w:val="bullet"/>
      <w:start w:val="1"/>
    </w:lvl>
  </w:abstractNum>
  <w:abstractNum w:abstractNumId="184">
    <w:nsid w:val="4CFB8D32"/>
    <w:multiLevelType w:val="hybridMultilevel"/>
    <w:lvl w:ilvl="0">
      <w:lvlJc w:val="left"/>
      <w:lvlText w:val="%1."/>
      <w:numFmt w:val="decimal"/>
      <w:start w:val="13"/>
    </w:lvl>
  </w:abstractNum>
  <w:abstractNum w:abstractNumId="185">
    <w:nsid w:val="62A5D5BD"/>
    <w:multiLevelType w:val="hybridMultilevel"/>
    <w:lvl w:ilvl="0">
      <w:lvlJc w:val="left"/>
      <w:lvlText w:val="%1."/>
      <w:numFmt w:val="decimal"/>
      <w:start w:val="1"/>
    </w:lvl>
  </w:abstractNum>
  <w:abstractNum w:abstractNumId="186">
    <w:nsid w:val="718FABF9"/>
    <w:multiLevelType w:val="hybridMultilevel"/>
    <w:lvl w:ilvl="0">
      <w:lvlJc w:val="left"/>
      <w:lvlText w:val="(%1)"/>
      <w:numFmt w:val="decimal"/>
      <w:start w:val="1"/>
    </w:lvl>
  </w:abstractNum>
  <w:abstractNum w:abstractNumId="187">
    <w:nsid w:val="7775797C"/>
    <w:multiLevelType w:val="hybridMultilevel"/>
    <w:lvl w:ilvl="0">
      <w:lvlJc w:val="left"/>
      <w:lvlText w:val="(%1)"/>
      <w:numFmt w:val="decimal"/>
      <w:start w:val="3"/>
    </w:lvl>
  </w:abstractNum>
  <w:abstractNum w:abstractNumId="188">
    <w:nsid w:val="1626FB8C"/>
    <w:multiLevelType w:val="hybridMultilevel"/>
    <w:lvl w:ilvl="0">
      <w:lvlJc w:val="left"/>
      <w:lvlText w:val="%1."/>
      <w:numFmt w:val="decimal"/>
      <w:start w:val="1"/>
    </w:lvl>
  </w:abstractNum>
  <w:abstractNum w:abstractNumId="189">
    <w:nsid w:val="3957756A"/>
    <w:multiLevelType w:val="hybridMultilevel"/>
    <w:lvl w:ilvl="0">
      <w:lvlJc w:val="left"/>
      <w:lvlText w:val="(%1)"/>
      <w:numFmt w:val="decimal"/>
      <w:start w:val="1"/>
    </w:lvl>
  </w:abstractNum>
  <w:abstractNum w:abstractNumId="190">
    <w:nsid w:val="3E6DA1C7"/>
    <w:multiLevelType w:val="hybridMultilevel"/>
    <w:lvl w:ilvl="0">
      <w:lvlJc w:val="left"/>
      <w:lvlText w:val="(%1)"/>
      <w:numFmt w:val="decimal"/>
      <w:start w:val="7"/>
    </w:lvl>
  </w:abstractNum>
  <w:abstractNum w:abstractNumId="191">
    <w:nsid w:val="65CA235B"/>
    <w:multiLevelType w:val="hybridMultilevel"/>
    <w:lvl w:ilvl="0">
      <w:lvlJc w:val="left"/>
      <w:lvlText w:val="(%1)"/>
      <w:numFmt w:val="decimal"/>
      <w:start w:val="1"/>
    </w:lvl>
  </w:abstractNum>
  <w:abstractNum w:abstractNumId="192">
    <w:nsid w:val="51CB0DA4"/>
    <w:multiLevelType w:val="hybridMultilevel"/>
    <w:lvl w:ilvl="0">
      <w:lvlJc w:val="left"/>
      <w:lvlText w:val="①"/>
      <w:numFmt w:val="bullet"/>
      <w:start w:val="1"/>
    </w:lvl>
  </w:abstractNum>
  <w:abstractNum w:abstractNumId="193">
    <w:nsid w:val="7B9B743C"/>
    <w:multiLevelType w:val="hybridMultilevel"/>
    <w:lvl w:ilvl="0">
      <w:lvlJc w:val="left"/>
      <w:lvlText w:val="②"/>
      <w:numFmt w:val="bullet"/>
      <w:start w:val="1"/>
    </w:lvl>
  </w:abstractNum>
  <w:abstractNum w:abstractNumId="194">
    <w:nsid w:val="13E21002"/>
    <w:multiLevelType w:val="hybridMultilevel"/>
    <w:lvl w:ilvl="0">
      <w:lvlJc w:val="left"/>
      <w:lvlText w:val="③"/>
      <w:numFmt w:val="bullet"/>
      <w:start w:val="1"/>
    </w:lvl>
  </w:abstractNum>
  <w:abstractNum w:abstractNumId="195">
    <w:nsid w:val="257D63F4"/>
    <w:multiLevelType w:val="hybridMultilevel"/>
    <w:lvl w:ilvl="0">
      <w:lvlJc w:val="left"/>
      <w:lvlText w:val="④"/>
      <w:numFmt w:val="bullet"/>
      <w:start w:val="1"/>
    </w:lvl>
  </w:abstractNum>
  <w:abstractNum w:abstractNumId="196">
    <w:nsid w:val="70EC11B2"/>
    <w:multiLevelType w:val="hybridMultilevel"/>
    <w:lvl w:ilvl="0">
      <w:lvlJc w:val="left"/>
      <w:lvlText w:val="⑤"/>
      <w:numFmt w:val="bullet"/>
      <w:start w:val="1"/>
    </w:lvl>
  </w:abstractNum>
  <w:abstractNum w:abstractNumId="197">
    <w:nsid w:val="2EDA00ED"/>
    <w:multiLevelType w:val="hybridMultilevel"/>
    <w:lvl w:ilvl="0">
      <w:lvlJc w:val="left"/>
      <w:lvlText w:val="⑥"/>
      <w:numFmt w:val="bullet"/>
      <w:start w:val="1"/>
    </w:lvl>
  </w:abstractNum>
  <w:abstractNum w:abstractNumId="198">
    <w:nsid w:val="73209072"/>
    <w:multiLevelType w:val="hybridMultilevel"/>
    <w:lvl w:ilvl="0">
      <w:lvlJc w:val="left"/>
      <w:lvlText w:val="⑦"/>
      <w:numFmt w:val="bullet"/>
      <w:start w:val="1"/>
    </w:lvl>
  </w:abstractNum>
  <w:abstractNum w:abstractNumId="199">
    <w:nsid w:val="5FB29816"/>
    <w:multiLevelType w:val="hybridMultilevel"/>
    <w:lvl w:ilvl="0">
      <w:lvlJc w:val="left"/>
      <w:lvlText w:val="⑧"/>
      <w:numFmt w:val="bullet"/>
      <w:start w:val="1"/>
    </w:lvl>
  </w:abstractNum>
  <w:abstractNum w:abstractNumId="200">
    <w:nsid w:val="3CE732EC"/>
    <w:multiLevelType w:val="hybridMultilevel"/>
    <w:lvl w:ilvl="0">
      <w:lvlJc w:val="left"/>
      <w:lvlText w:val="(%1)"/>
      <w:numFmt w:val="decimal"/>
      <w:start w:val="2"/>
    </w:lvl>
  </w:abstractNum>
  <w:abstractNum w:abstractNumId="201">
    <w:nsid w:val="22F13DF3"/>
    <w:multiLevelType w:val="hybridMultilevel"/>
    <w:lvl w:ilvl="0">
      <w:lvlJc w:val="left"/>
      <w:lvlText w:val="%1."/>
      <w:numFmt w:val="decimal"/>
      <w:start w:val="1"/>
    </w:lvl>
  </w:abstractNum>
  <w:abstractNum w:abstractNumId="202">
    <w:nsid w:val="792B8401"/>
    <w:multiLevelType w:val="hybridMultilevel"/>
    <w:lvl w:ilvl="0">
      <w:lvlJc w:val="left"/>
      <w:lvlText w:val="(%1)"/>
      <w:numFmt w:val="decimal"/>
      <w:start w:val="1"/>
    </w:lvl>
  </w:abstractNum>
  <w:abstractNum w:abstractNumId="203">
    <w:nsid w:val="FA85F4D"/>
    <w:multiLevelType w:val="hybridMultilevel"/>
    <w:lvl w:ilvl="0">
      <w:lvlJc w:val="left"/>
      <w:lvlText w:val="(%1)"/>
      <w:numFmt w:val="decimal"/>
      <w:start w:val="1"/>
    </w:lvl>
  </w:abstractNum>
  <w:abstractNum w:abstractNumId="204">
    <w:nsid w:val="6ECE91F0"/>
    <w:multiLevelType w:val="hybridMultilevel"/>
    <w:lvl w:ilvl="0">
      <w:lvlJc w:val="left"/>
      <w:lvlText w:val="(%1)"/>
      <w:numFmt w:val="decimal"/>
      <w:start w:val="4"/>
    </w:lvl>
  </w:abstractNum>
  <w:abstractNum w:abstractNumId="205">
    <w:nsid w:val="4FC4D600"/>
    <w:multiLevelType w:val="hybridMultilevel"/>
    <w:lvl w:ilvl="0">
      <w:lvlJc w:val="left"/>
      <w:lvlText w:val="☒"/>
      <w:numFmt w:val="bullet"/>
      <w:start w:val="1"/>
    </w:lvl>
  </w:abstractNum>
  <w:abstractNum w:abstractNumId="206">
    <w:nsid w:val="5BFD4210"/>
    <w:multiLevelType w:val="hybridMultilevel"/>
    <w:lvl w:ilvl="0">
      <w:lvlJc w:val="left"/>
      <w:lvlText w:val="☑"/>
      <w:numFmt w:val="bullet"/>
      <w:start w:val="1"/>
    </w:lvl>
  </w:abstractNum>
  <w:abstractNum w:abstractNumId="207">
    <w:nsid w:val="76574F8B"/>
    <w:multiLevelType w:val="hybridMultilevel"/>
    <w:lvl w:ilvl="0">
      <w:lvlJc w:val="left"/>
      <w:lvlText w:val="☒"/>
      <w:numFmt w:val="bullet"/>
      <w:start w:val="1"/>
    </w:lvl>
  </w:abstractNum>
  <w:abstractNum w:abstractNumId="208">
    <w:nsid w:val="178F7B67"/>
    <w:multiLevelType w:val="hybridMultilevel"/>
    <w:lvl w:ilvl="0">
      <w:lvlJc w:val="left"/>
      <w:lvlText w:val="%1."/>
      <w:numFmt w:val="decimal"/>
      <w:start w:val="1"/>
    </w:lvl>
  </w:abstractNum>
  <w:abstractNum w:abstractNumId="209">
    <w:nsid w:val="2421DFCF"/>
    <w:multiLevelType w:val="hybridMultilevel"/>
    <w:lvl w:ilvl="0">
      <w:lvlJc w:val="left"/>
      <w:lvlText w:val="☒"/>
      <w:numFmt w:val="bullet"/>
      <w:start w:val="1"/>
    </w:lvl>
  </w:abstractNum>
  <w:abstractNum w:abstractNumId="210">
    <w:nsid w:val="1565AC99"/>
    <w:multiLevelType w:val="hybridMultilevel"/>
    <w:lvl w:ilvl="0">
      <w:lvlJc w:val="left"/>
      <w:lvlText w:val="☒"/>
      <w:numFmt w:val="bullet"/>
      <w:start w:val="1"/>
    </w:lvl>
  </w:abstractNum>
  <w:abstractNum w:abstractNumId="211">
    <w:nsid w:val="19FB2650"/>
    <w:multiLevelType w:val="hybridMultilevel"/>
    <w:lvl w:ilvl="0">
      <w:lvlJc w:val="left"/>
      <w:lvlText w:val="%1."/>
      <w:numFmt w:val="decimal"/>
      <w:start w:val="6"/>
    </w:lvl>
    <w:lvl w:ilvl="1">
      <w:lvlJc w:val="left"/>
      <w:lvlText w:val="☒"/>
      <w:numFmt w:val="bullet"/>
      <w:start w:val="1"/>
    </w:lvl>
  </w:abstractNum>
  <w:abstractNum w:abstractNumId="212">
    <w:nsid w:val="5024DE5B"/>
    <w:multiLevelType w:val="hybridMultilevel"/>
    <w:lvl w:ilvl="0">
      <w:lvlJc w:val="left"/>
      <w:lvlText w:val="☑"/>
      <w:numFmt w:val="bullet"/>
      <w:start w:val="1"/>
    </w:lvl>
  </w:abstractNum>
  <w:abstractNum w:abstractNumId="213">
    <w:nsid w:val="168EFE17"/>
    <w:multiLevelType w:val="hybridMultilevel"/>
    <w:lvl w:ilvl="0">
      <w:lvlJc w:val="left"/>
      <w:lvlText w:val="☒"/>
      <w:numFmt w:val="bullet"/>
      <w:start w:val="1"/>
    </w:lvl>
  </w:abstractNum>
  <w:abstractNum w:abstractNumId="214">
    <w:nsid w:val="1036B29F"/>
    <w:multiLevelType w:val="hybridMultilevel"/>
    <w:lvl w:ilvl="0">
      <w:lvlJc w:val="left"/>
      <w:lvlText w:val="%1."/>
      <w:numFmt w:val="decimal"/>
      <w:start w:val="7"/>
    </w:lvl>
    <w:lvl w:ilvl="1">
      <w:lvlJc w:val="left"/>
      <w:lvlText w:val="(%2)"/>
      <w:numFmt w:val="decimal"/>
      <w:start w:val="1"/>
    </w:lvl>
  </w:abstractNum>
  <w:abstractNum w:abstractNumId="215">
    <w:nsid w:val="1D206B8E"/>
    <w:multiLevelType w:val="hybridMultilevel"/>
    <w:lvl w:ilvl="0">
      <w:lvlJc w:val="left"/>
      <w:lvlText w:val="%1."/>
      <w:numFmt w:val="decimal"/>
      <w:start w:val="9"/>
    </w:lvl>
  </w:abstractNum>
  <w:abstractNum w:abstractNumId="216">
    <w:nsid w:val="7934D3D4"/>
    <w:multiLevelType w:val="hybridMultilevel"/>
    <w:lvl w:ilvl="0">
      <w:lvlJc w:val="left"/>
      <w:lvlText w:val="%1."/>
      <w:numFmt w:val="decimal"/>
      <w:start w:val="9"/>
    </w:lvl>
    <w:lvl w:ilvl="1">
      <w:lvlJc w:val="left"/>
      <w:lvlText w:val="☒"/>
      <w:numFmt w:val="bullet"/>
      <w:start w:val="1"/>
    </w:lvl>
  </w:abstractNum>
  <w:abstractNum w:abstractNumId="217">
    <w:nsid w:val="1C65E98"/>
    <w:multiLevelType w:val="hybridMultilevel"/>
    <w:lvl w:ilvl="0">
      <w:lvlJc w:val="left"/>
      <w:lvlText w:val="%1."/>
      <w:numFmt w:val="decimal"/>
      <w:start w:val="10"/>
    </w:lvl>
    <w:lvl w:ilvl="1">
      <w:lvlJc w:val="left"/>
      <w:lvlText w:val="☒"/>
      <w:numFmt w:val="bullet"/>
      <w:start w:val="1"/>
    </w:lvl>
  </w:abstractNum>
  <w:abstractNum w:abstractNumId="218">
    <w:nsid w:val="1495E50A"/>
    <w:multiLevelType w:val="hybridMultilevel"/>
    <w:lvl w:ilvl="0">
      <w:lvlJc w:val="left"/>
      <w:lvlText w:val="%1."/>
      <w:numFmt w:val="decimal"/>
      <w:start w:val="13"/>
    </w:lvl>
    <w:lvl w:ilvl="1">
      <w:lvlJc w:val="left"/>
      <w:lvlText w:val="☑"/>
      <w:numFmt w:val="bullet"/>
      <w:start w:val="1"/>
    </w:lvl>
  </w:abstractNum>
  <w:abstractNum w:abstractNumId="219">
    <w:nsid w:val="F5BCF61"/>
    <w:multiLevelType w:val="hybridMultilevel"/>
    <w:lvl w:ilvl="0">
      <w:lvlJc w:val="left"/>
      <w:lvlText w:val="(%1)"/>
      <w:numFmt w:val="decimal"/>
      <w:start w:val="1"/>
    </w:lvl>
  </w:abstractNum>
  <w:abstractNum w:abstractNumId="220">
    <w:nsid w:val="3B1DD403"/>
    <w:multiLevelType w:val="hybridMultilevel"/>
    <w:lvl w:ilvl="0">
      <w:lvlJc w:val="left"/>
      <w:lvlText w:val="☒"/>
      <w:numFmt w:val="bullet"/>
      <w:start w:val="1"/>
    </w:lvl>
  </w:abstractNum>
  <w:abstractNum w:abstractNumId="221">
    <w:nsid w:val="530386D1"/>
    <w:multiLevelType w:val="hybridMultilevel"/>
    <w:lvl w:ilvl="0">
      <w:lvlJc w:val="left"/>
      <w:lvlText w:val="(%1)"/>
      <w:numFmt w:val="decimal"/>
      <w:start w:val="1"/>
    </w:lvl>
  </w:abstractNum>
  <w:abstractNum w:abstractNumId="222">
    <w:nsid w:val="7525F2BC"/>
    <w:multiLevelType w:val="hybridMultilevel"/>
    <w:lvl w:ilvl="0">
      <w:lvlJc w:val="left"/>
      <w:lvlText w:val="(%1)"/>
      <w:numFmt w:val="decimal"/>
      <w:start w:val="2"/>
    </w:lvl>
  </w:abstractNum>
  <w:abstractNum w:abstractNumId="223">
    <w:nsid w:val="CE8E1A7"/>
    <w:multiLevelType w:val="hybridMultilevel"/>
    <w:lvl w:ilvl="0">
      <w:lvlJc w:val="left"/>
      <w:lvlText w:val="(%1)"/>
      <w:numFmt w:val="decimal"/>
      <w:start w:val="3"/>
    </w:lvl>
  </w:abstractNum>
  <w:abstractNum w:abstractNumId="224">
    <w:nsid w:val="4E9EFB0D"/>
    <w:multiLevelType w:val="hybridMultilevel"/>
    <w:lvl w:ilvl="0">
      <w:lvlJc w:val="left"/>
      <w:lvlText w:val="%1."/>
      <w:numFmt w:val="decimal"/>
      <w:start w:val="14"/>
    </w:lvl>
  </w:abstractNum>
  <w:abstractNum w:abstractNumId="225">
    <w:nsid w:val="90802BE"/>
    <w:multiLevelType w:val="hybridMultilevel"/>
    <w:lvl w:ilvl="0">
      <w:lvlJc w:val="left"/>
      <w:lvlText w:val="%1."/>
      <w:numFmt w:val="decimal"/>
      <w:start w:val="17"/>
    </w:lvl>
    <w:lvl w:ilvl="1">
      <w:lvlJc w:val="left"/>
      <w:lvlText w:val="(%2)"/>
      <w:numFmt w:val="decimal"/>
      <w:start w:val="1"/>
    </w:lvl>
  </w:abstractNum>
  <w:abstractNum w:abstractNumId="226">
    <w:nsid w:val="3266459B"/>
    <w:multiLevelType w:val="hybridMultilevel"/>
    <w:lvl w:ilvl="0">
      <w:lvlJc w:val="left"/>
      <w:lvlText w:val="%1."/>
      <w:numFmt w:val="decimal"/>
      <w:start w:val="18"/>
    </w:lvl>
  </w:abstractNum>
  <w:abstractNum w:abstractNumId="227">
    <w:nsid w:val="3F8B0CBF"/>
    <w:multiLevelType w:val="hybridMultilevel"/>
    <w:lvl w:ilvl="0">
      <w:lvlJc w:val="left"/>
      <w:lvlText w:val="%1."/>
      <w:numFmt w:val="decimal"/>
      <w:start w:val="1"/>
    </w:lvl>
  </w:abstractNum>
  <w:abstractNum w:abstractNumId="228">
    <w:nsid w:val="37E203AB"/>
    <w:multiLevelType w:val="hybridMultilevel"/>
    <w:lvl w:ilvl="0">
      <w:lvlJc w:val="left"/>
      <w:lvlText w:val="%1."/>
      <w:numFmt w:val="decimal"/>
      <w:start w:val="1"/>
    </w:lvl>
  </w:abstractNum>
  <w:abstractNum w:abstractNumId="229">
    <w:nsid w:val="2586D60E"/>
    <w:multiLevelType w:val="hybridMultilevel"/>
    <w:lvl w:ilvl="0">
      <w:lvlJc w:val="left"/>
      <w:lvlText w:val="%1."/>
      <w:numFmt w:val="decimal"/>
      <w:start w:val="1"/>
    </w:lvl>
    <w:lvl w:ilvl="1">
      <w:lvlJc w:val="left"/>
      <w:lvlText w:val="(%2)"/>
      <w:numFmt w:val="decimal"/>
      <w:start w:val="1"/>
    </w:lvl>
  </w:abstractNum>
  <w:abstractNum w:abstractNumId="230">
    <w:nsid w:val="1F3DA4D5"/>
    <w:multiLevelType w:val="hybridMultilevel"/>
    <w:lvl w:ilvl="0">
      <w:lvlJc w:val="left"/>
      <w:lvlText w:val="%1."/>
      <w:numFmt w:val="decimal"/>
      <w:start w:val="2"/>
    </w:lvl>
  </w:abstractNum>
  <w:abstractNum w:abstractNumId="231">
    <w:nsid w:val="74C93698"/>
    <w:multiLevelType w:val="hybridMultilevel"/>
    <w:lvl w:ilvl="0">
      <w:lvlJc w:val="left"/>
      <w:lvlText w:val="%1."/>
      <w:numFmt w:val="decimal"/>
      <w:start w:val="3"/>
    </w:lvl>
  </w:abstractNum>
  <w:abstractNum w:abstractNumId="232">
    <w:nsid w:val="48781401"/>
    <w:multiLevelType w:val="hybridMultilevel"/>
    <w:lvl w:ilvl="0">
      <w:lvlJc w:val="left"/>
      <w:lvlText w:val="%1."/>
      <w:numFmt w:val="decimal"/>
      <w:start w:val="1"/>
    </w:lvl>
  </w:abstractNum>
  <w:abstractNum w:abstractNumId="233">
    <w:nsid w:val="186928D6"/>
    <w:multiLevelType w:val="hybridMultilevel"/>
    <w:lvl w:ilvl="0">
      <w:lvlJc w:val="left"/>
      <w:lvlText w:val="%1."/>
      <w:numFmt w:val="decimal"/>
      <w:start w:val="2"/>
    </w:lvl>
  </w:abstractNum>
  <w:abstractNum w:abstractNumId="234">
    <w:nsid w:val="47195E5"/>
    <w:multiLevelType w:val="hybridMultilevel"/>
    <w:lvl w:ilvl="0">
      <w:lvlJc w:val="left"/>
      <w:lvlText w:val="%1."/>
      <w:numFmt w:val="decimal"/>
      <w:start w:val="3"/>
    </w:lvl>
    <w:lvl w:ilvl="1">
      <w:lvlJc w:val="left"/>
      <w:lvlText w:val="(%2)"/>
      <w:numFmt w:val="decimal"/>
      <w:start w:val="1"/>
    </w:lvl>
  </w:abstractNum>
  <w:abstractNum w:abstractNumId="235">
    <w:nsid w:val="3746A5F2"/>
    <w:multiLevelType w:val="hybridMultilevel"/>
    <w:lvl w:ilvl="0">
      <w:lvlJc w:val="left"/>
      <w:lvlText w:val="%1."/>
      <w:numFmt w:val="decimal"/>
      <w:start w:val="4"/>
    </w:lvl>
  </w:abstractNum>
  <w:abstractNum w:abstractNumId="236">
    <w:nsid w:val="682DFED6"/>
    <w:multiLevelType w:val="hybridMultilevel"/>
    <w:lvl w:ilvl="0">
      <w:lvlJc w:val="left"/>
      <w:lvlText w:val="%1."/>
      <w:numFmt w:val="decimal"/>
      <w:start w:val="5"/>
    </w:lvl>
  </w:abstractNum>
  <w:abstractNum w:abstractNumId="237">
    <w:nsid w:val="606ED7F6"/>
    <w:multiLevelType w:val="hybridMultilevel"/>
    <w:lvl w:ilvl="0">
      <w:lvlJc w:val="left"/>
      <w:lvlText w:val="%1."/>
      <w:numFmt w:val="decimal"/>
      <w:start w:val="6"/>
    </w:lvl>
    <w:lvl w:ilvl="1">
      <w:lvlJc w:val="left"/>
      <w:lvlText w:val="(%2)"/>
      <w:numFmt w:val="decimal"/>
      <w:start w:val="1"/>
    </w:lvl>
  </w:abstractNum>
  <w:abstractNum w:abstractNumId="238">
    <w:nsid w:val="2D9DF57D"/>
    <w:multiLevelType w:val="hybridMultilevel"/>
    <w:lvl w:ilvl="0">
      <w:lvlJc w:val="left"/>
      <w:lvlText w:val="%1."/>
      <w:numFmt w:val="decimal"/>
      <w:start w:val="1"/>
    </w:lvl>
  </w:abstractNum>
  <w:abstractNum w:abstractNumId="239">
    <w:nsid w:val="7FBD7A3E"/>
    <w:multiLevelType w:val="hybridMultilevel"/>
    <w:lvl w:ilvl="0">
      <w:lvlJc w:val="left"/>
      <w:lvlText w:val="%1."/>
      <w:numFmt w:val="decimal"/>
      <w:start w:val="3"/>
    </w:lvl>
  </w:abstractNum>
  <w:abstractNum w:abstractNumId="240">
    <w:nsid w:val="490B7C5"/>
    <w:multiLevelType w:val="hybridMultilevel"/>
    <w:lvl w:ilvl="0">
      <w:lvlJc w:val="left"/>
      <w:lvlText w:val="%1."/>
      <w:numFmt w:val="decimal"/>
      <w:start w:val="1"/>
    </w:lvl>
  </w:abstractNum>
  <w:abstractNum w:abstractNumId="241">
    <w:nsid w:val="4303A216"/>
    <w:multiLevelType w:val="hybridMultilevel"/>
    <w:lvl w:ilvl="0">
      <w:lvlJc w:val="left"/>
      <w:lvlText w:val="%1."/>
      <w:numFmt w:val="decimal"/>
      <w:start w:val="6"/>
    </w:lvl>
  </w:abstractNum>
  <w:abstractNum w:abstractNumId="242">
    <w:nsid w:val="19B8A08E"/>
    <w:multiLevelType w:val="hybridMultilevel"/>
    <w:lvl w:ilvl="0">
      <w:lvlJc w:val="left"/>
      <w:lvlText w:val="%1."/>
      <w:numFmt w:val="decimal"/>
      <w:start w:val="1"/>
    </w:lvl>
  </w:abstractNum>
  <w:abstractNum w:abstractNumId="243">
    <w:nsid w:val="54B59621"/>
    <w:multiLevelType w:val="hybridMultilevel"/>
    <w:lvl w:ilvl="0">
      <w:lvlJc w:val="left"/>
      <w:lvlText w:val="%1."/>
      <w:numFmt w:val="decimal"/>
      <w:start w:val="4"/>
    </w:lvl>
    <w:lvl w:ilvl="1">
      <w:lvlJc w:val="left"/>
      <w:lvlText w:val="(%2)"/>
      <w:numFmt w:val="decimal"/>
      <w:start w:val="1"/>
    </w:lvl>
  </w:abstractNum>
  <w:abstractNum w:abstractNumId="244">
    <w:nsid w:val="5992A02E"/>
    <w:multiLevelType w:val="hybridMultilevel"/>
    <w:lvl w:ilvl="0">
      <w:lvlJc w:val="left"/>
      <w:lvlText w:val="%1."/>
      <w:numFmt w:val="decimal"/>
      <w:start w:val="6"/>
    </w:lvl>
  </w:abstractNum>
  <w:abstractNum w:abstractNumId="245">
    <w:nsid w:val="29EF532D"/>
    <w:multiLevelType w:val="hybridMultilevel"/>
    <w:lvl w:ilvl="0">
      <w:lvlJc w:val="left"/>
      <w:lvlText w:val="(%1)"/>
      <w:numFmt w:val="decimal"/>
      <w:start w:val="1"/>
    </w:lvl>
  </w:abstractNum>
  <w:abstractNum w:abstractNumId="246">
    <w:nsid w:val="71D601AF"/>
    <w:multiLevelType w:val="hybridMultilevel"/>
    <w:lvl w:ilvl="0">
      <w:lvlJc w:val="left"/>
      <w:lvlText w:val="%1."/>
      <w:numFmt w:val="decimal"/>
      <w:start w:val="12"/>
    </w:lvl>
    <w:lvl w:ilvl="1">
      <w:lvlJc w:val="left"/>
      <w:lvlText w:val="(%2)"/>
      <w:numFmt w:val="decimal"/>
      <w:start w:val="1"/>
    </w:lvl>
  </w:abstractNum>
  <w:abstractNum w:abstractNumId="247">
    <w:nsid w:val="52C77402"/>
    <w:multiLevelType w:val="hybridMultilevel"/>
    <w:lvl w:ilvl="0">
      <w:lvlJc w:val="left"/>
      <w:lvlText w:val="%1."/>
      <w:numFmt w:val="decimal"/>
      <w:start w:val="13"/>
    </w:lvl>
  </w:abstractNum>
  <w:abstractNum w:abstractNumId="248">
    <w:nsid w:val="2BB5B1C6"/>
    <w:multiLevelType w:val="hybridMultilevel"/>
    <w:lvl w:ilvl="0">
      <w:lvlJc w:val="left"/>
      <w:lvlText w:val="%1."/>
      <w:numFmt w:val="decimal"/>
      <w:start w:val="2"/>
    </w:lvl>
  </w:abstractNum>
  <w:abstractNum w:abstractNumId="249">
    <w:nsid w:val="66BE6B9"/>
    <w:multiLevelType w:val="hybridMultilevel"/>
    <w:lvl w:ilvl="0">
      <w:lvlJc w:val="left"/>
      <w:lvlText w:val="(%1)"/>
      <w:numFmt w:val="decimal"/>
      <w:start w:val="1"/>
    </w:lvl>
  </w:abstractNum>
  <w:abstractNum w:abstractNumId="250">
    <w:nsid w:val="62234363"/>
    <w:multiLevelType w:val="hybridMultilevel"/>
    <w:lvl w:ilvl="0">
      <w:lvlJc w:val="left"/>
      <w:lvlText w:val="%1."/>
      <w:numFmt w:val="decimal"/>
      <w:start w:val="1"/>
    </w:lvl>
  </w:abstractNum>
  <w:abstractNum w:abstractNumId="251">
    <w:nsid w:val="66D385C9"/>
    <w:multiLevelType w:val="hybridMultilevel"/>
    <w:lvl w:ilvl="0">
      <w:lvlJc w:val="left"/>
      <w:lvlText w:val="(%1)"/>
      <w:numFmt w:val="decimal"/>
      <w:start w:val="1"/>
    </w:lvl>
  </w:abstractNum>
  <w:abstractNum w:abstractNumId="252">
    <w:nsid w:val="596F6D8A"/>
    <w:multiLevelType w:val="hybridMultilevel"/>
    <w:lvl w:ilvl="0">
      <w:lvlJc w:val="left"/>
      <w:lvlText w:val="%1"/>
      <w:numFmt w:val="decimal"/>
      <w:start w:val="1"/>
    </w:lvl>
    <w:lvl w:ilvl="1">
      <w:lvlJc w:val="left"/>
      <w:lvlText w:val="(%2)"/>
      <w:numFmt w:val="decimal"/>
      <w:start w:val="11"/>
    </w:lvl>
  </w:abstractNum>
  <w:abstractNum w:abstractNumId="253">
    <w:nsid w:val="5749361F"/>
    <w:multiLevelType w:val="hybridMultilevel"/>
    <w:lvl w:ilvl="0">
      <w:lvlJc w:val="left"/>
      <w:lvlText w:val="%1."/>
      <w:numFmt w:val="decimal"/>
      <w:start w:val="2"/>
    </w:lvl>
    <w:lvl w:ilvl="1">
      <w:lvlJc w:val="left"/>
      <w:lvlText w:val="(%2)"/>
      <w:numFmt w:val="decimal"/>
      <w:start w:val="1"/>
    </w:lvl>
  </w:abstractNum>
  <w:abstractNum w:abstractNumId="254">
    <w:nsid w:val="73BC6770"/>
    <w:multiLevelType w:val="hybridMultilevel"/>
    <w:lvl w:ilvl="0">
      <w:lvlJc w:val="left"/>
      <w:lvlText w:val="%1"/>
      <w:numFmt w:val="decimal"/>
      <w:start w:val="1"/>
    </w:lvl>
    <w:lvl w:ilvl="1">
      <w:lvlJc w:val="left"/>
      <w:lvlText w:val="(%2)"/>
      <w:numFmt w:val="decimal"/>
      <w:start w:val="1"/>
    </w:lvl>
  </w:abstractNum>
  <w:abstractNum w:abstractNumId="255">
    <w:nsid w:val="280E6897"/>
    <w:multiLevelType w:val="hybridMultilevel"/>
    <w:lvl w:ilvl="0">
      <w:lvlJc w:val="left"/>
      <w:lvlText w:val="(%1)"/>
      <w:numFmt w:val="decimal"/>
      <w:start w:val="2"/>
    </w:lvl>
    <w:lvl w:ilvl="1">
      <w:lvlJc w:val="left"/>
      <w:lvlText w:val="%2"/>
      <w:numFmt w:val="decimal"/>
      <w:start w:val="1"/>
    </w:lvl>
  </w:abstractNum>
  <w:abstractNum w:abstractNumId="256">
    <w:nsid w:val="605138DE"/>
    <w:multiLevelType w:val="hybridMultilevel"/>
    <w:lvl w:ilvl="0">
      <w:lvlJc w:val="left"/>
      <w:lvlText w:val="%1."/>
      <w:numFmt w:val="decimal"/>
      <w:start w:val="1"/>
    </w:lvl>
  </w:abstractNum>
  <w:abstractNum w:abstractNumId="257">
    <w:nsid w:val="2622AD0C"/>
    <w:multiLevelType w:val="hybridMultilevel"/>
    <w:lvl w:ilvl="0">
      <w:lvlJc w:val="left"/>
      <w:lvlText w:val="(%1)"/>
      <w:numFmt w:val="decimal"/>
      <w:start w:val="1"/>
    </w:lvl>
  </w:abstractNum>
  <w:abstractNum w:abstractNumId="258">
    <w:nsid w:val="67997556"/>
    <w:multiLevelType w:val="hybridMultilevel"/>
    <w:lvl w:ilvl="0">
      <w:lvlJc w:val="left"/>
      <w:lvlText w:val="(%1)"/>
      <w:numFmt w:val="decimal"/>
      <w:start w:val="1"/>
    </w:lvl>
  </w:abstractNum>
  <w:abstractNum w:abstractNumId="259">
    <w:nsid w:val="18333C89"/>
    <w:multiLevelType w:val="hybridMultilevel"/>
    <w:lvl w:ilvl="0">
      <w:lvlJc w:val="left"/>
      <w:lvlText w:val="(%1)"/>
      <w:numFmt w:val="decimal"/>
      <w:start w:val="4"/>
    </w:lvl>
  </w:abstractNum>
  <w:abstractNum w:abstractNumId="260">
    <w:nsid w:val="4BA9831A"/>
    <w:multiLevelType w:val="hybridMultilevel"/>
    <w:lvl w:ilvl="0">
      <w:lvlJc w:val="left"/>
      <w:lvlText w:val="☒"/>
      <w:numFmt w:val="bullet"/>
      <w:start w:val="1"/>
    </w:lvl>
  </w:abstractNum>
  <w:abstractNum w:abstractNumId="261">
    <w:nsid w:val="6D71A2B"/>
    <w:multiLevelType w:val="hybridMultilevel"/>
    <w:lvl w:ilvl="0">
      <w:lvlJc w:val="left"/>
      <w:lvlText w:val="þ"/>
      <w:numFmt w:val="bullet"/>
      <w:start w:val="1"/>
    </w:lvl>
  </w:abstractNum>
  <w:abstractNum w:abstractNumId="262">
    <w:nsid w:val="CFC7321"/>
    <w:multiLevelType w:val="hybridMultilevel"/>
    <w:lvl w:ilvl="0">
      <w:lvlJc w:val="left"/>
      <w:lvlText w:val="☒"/>
      <w:numFmt w:val="bullet"/>
      <w:start w:val="1"/>
    </w:lvl>
  </w:abstractNum>
  <w:abstractNum w:abstractNumId="263">
    <w:nsid w:val="1421971B"/>
    <w:multiLevelType w:val="hybridMultilevel"/>
    <w:lvl w:ilvl="0">
      <w:lvlJc w:val="left"/>
      <w:lvlText w:val="%1."/>
      <w:numFmt w:val="decimal"/>
      <w:start w:val="1"/>
    </w:lvl>
  </w:abstractNum>
  <w:abstractNum w:abstractNumId="264">
    <w:nsid w:val="1F404301"/>
    <w:multiLevelType w:val="hybridMultilevel"/>
    <w:lvl w:ilvl="0">
      <w:lvlJc w:val="left"/>
      <w:lvlText w:val="☑"/>
      <w:numFmt w:val="bullet"/>
      <w:start w:val="1"/>
    </w:lvl>
  </w:abstractNum>
  <w:abstractNum w:abstractNumId="265">
    <w:nsid w:val="116E0907"/>
    <w:multiLevelType w:val="hybridMultilevel"/>
    <w:lvl w:ilvl="0">
      <w:lvlJc w:val="left"/>
      <w:lvlText w:val="%1."/>
      <w:numFmt w:val="decimal"/>
      <w:start w:val="5"/>
    </w:lvl>
  </w:abstractNum>
  <w:abstractNum w:abstractNumId="266">
    <w:nsid w:val="4B683D0D"/>
    <w:multiLevelType w:val="hybridMultilevel"/>
    <w:lvl w:ilvl="0">
      <w:lvlJc w:val="left"/>
      <w:lvlText w:val="☒"/>
      <w:numFmt w:val="bullet"/>
      <w:start w:val="1"/>
    </w:lvl>
  </w:abstractNum>
  <w:abstractNum w:abstractNumId="267">
    <w:nsid w:val="76E41D8"/>
    <w:multiLevelType w:val="hybridMultilevel"/>
    <w:lvl w:ilvl="0">
      <w:lvlJc w:val="left"/>
      <w:lvlText w:val="☒"/>
      <w:numFmt w:val="bullet"/>
      <w:start w:val="1"/>
    </w:lvl>
  </w:abstractNum>
  <w:abstractNum w:abstractNumId="268">
    <w:nsid w:val="71DCE0FD"/>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269">
    <w:nsid w:val="7906328B"/>
    <w:multiLevelType w:val="hybridMultilevel"/>
    <w:lvl w:ilvl="0">
      <w:lvlJc w:val="left"/>
      <w:lvlText w:val="☒"/>
      <w:numFmt w:val="bullet"/>
      <w:start w:val="1"/>
    </w:lvl>
  </w:abstractNum>
  <w:abstractNum w:abstractNumId="270">
    <w:nsid w:val="72BBC16"/>
    <w:multiLevelType w:val="hybridMultilevel"/>
    <w:lvl w:ilvl="0">
      <w:lvlJc w:val="left"/>
      <w:lvlText w:val="%1."/>
      <w:numFmt w:val="decimal"/>
      <w:start w:val="7"/>
    </w:lvl>
    <w:lvl w:ilvl="1">
      <w:lvlJc w:val="left"/>
      <w:lvlText w:val="(%2)"/>
      <w:numFmt w:val="decimal"/>
      <w:start w:val="1"/>
    </w:lvl>
  </w:abstractNum>
  <w:abstractNum w:abstractNumId="271">
    <w:nsid w:val="766D98C2"/>
    <w:multiLevelType w:val="hybridMultilevel"/>
    <w:lvl w:ilvl="0">
      <w:lvlJc w:val="left"/>
      <w:lvlText w:val="%1."/>
      <w:numFmt w:val="decimal"/>
      <w:start w:val="11"/>
    </w:lvl>
  </w:abstractNum>
  <w:abstractNum w:abstractNumId="272">
    <w:nsid w:val="3C09D4A1"/>
    <w:multiLevelType w:val="hybridMultilevel"/>
    <w:lvl w:ilvl="0">
      <w:lvlJc w:val="left"/>
      <w:lvlText w:val="%1."/>
      <w:numFmt w:val="decimal"/>
      <w:start w:val="13"/>
    </w:lvl>
    <w:lvl w:ilvl="1">
      <w:lvlJc w:val="left"/>
      <w:lvlText w:val="þ"/>
      <w:numFmt w:val="bullet"/>
      <w:start w:val="1"/>
    </w:lvl>
  </w:abstractNum>
  <w:abstractNum w:abstractNumId="273">
    <w:nsid w:val="20E45CA4"/>
    <w:multiLevelType w:val="hybridMultilevel"/>
    <w:lvl w:ilvl="0">
      <w:lvlJc w:val="left"/>
      <w:lvlText w:val="(%1)"/>
      <w:numFmt w:val="decimal"/>
      <w:start w:val="1"/>
    </w:lvl>
  </w:abstractNum>
  <w:abstractNum w:abstractNumId="274">
    <w:nsid w:val="4B232EE3"/>
    <w:multiLevelType w:val="hybridMultilevel"/>
    <w:lvl w:ilvl="0">
      <w:lvlJc w:val="left"/>
      <w:lvlText w:val="☒"/>
      <w:numFmt w:val="bullet"/>
      <w:start w:val="1"/>
    </w:lvl>
  </w:abstractNum>
  <w:abstractNum w:abstractNumId="275">
    <w:nsid w:val="159C74CF"/>
    <w:multiLevelType w:val="hybridMultilevel"/>
    <w:lvl w:ilvl="0">
      <w:lvlJc w:val="left"/>
      <w:lvlText w:val="%1."/>
      <w:numFmt w:val="decimal"/>
      <w:start w:val="14"/>
    </w:lvl>
    <w:lvl w:ilvl="1">
      <w:lvlJc w:val="left"/>
      <w:lvlText w:val="☒"/>
      <w:numFmt w:val="bullet"/>
      <w:start w:val="1"/>
    </w:lvl>
  </w:abstractNum>
  <w:abstractNum w:abstractNumId="276">
    <w:nsid w:val="4AD3AFD2"/>
    <w:multiLevelType w:val="hybridMultilevel"/>
    <w:lvl w:ilvl="0">
      <w:lvlJc w:val="left"/>
      <w:lvlText w:val="%1."/>
      <w:numFmt w:val="decimal"/>
      <w:start w:val="19"/>
    </w:lvl>
  </w:abstractNum>
  <w:abstractNum w:abstractNumId="277">
    <w:nsid w:val="3CF93092"/>
    <w:multiLevelType w:val="hybridMultilevel"/>
    <w:lvl w:ilvl="0">
      <w:lvlJc w:val="left"/>
      <w:lvlText w:val="%1."/>
      <w:numFmt w:val="decimal"/>
      <w:start w:val="2"/>
    </w:lvl>
  </w:abstractNum>
  <w:abstractNum w:abstractNumId="278">
    <w:nsid w:val="6863E8D2"/>
    <w:multiLevelType w:val="hybridMultilevel"/>
    <w:lvl w:ilvl="0">
      <w:lvlJc w:val="left"/>
      <w:lvlText w:val="%1."/>
      <w:numFmt w:val="decimal"/>
      <w:start w:val="1"/>
    </w:lvl>
  </w:abstractNum>
  <w:abstractNum w:abstractNumId="279">
    <w:nsid w:val="76896198"/>
    <w:multiLevelType w:val="hybridMultilevel"/>
    <w:lvl w:ilvl="0">
      <w:lvlJc w:val="left"/>
      <w:lvlText w:val="(%1)"/>
      <w:numFmt w:val="decimal"/>
      <w:start w:val="1"/>
    </w:lvl>
  </w:abstractNum>
  <w:abstractNum w:abstractNumId="280">
    <w:nsid w:val="4365174B"/>
    <w:multiLevelType w:val="hybridMultilevel"/>
    <w:lvl w:ilvl="0">
      <w:lvlJc w:val="left"/>
      <w:lvlText w:val="(%1)"/>
      <w:numFmt w:val="decimal"/>
      <w:start w:val="1"/>
    </w:lvl>
  </w:abstractNum>
  <w:abstractNum w:abstractNumId="281">
    <w:nsid w:val="4A872C35"/>
    <w:multiLevelType w:val="hybridMultilevel"/>
    <w:lvl w:ilvl="0">
      <w:lvlJc w:val="left"/>
      <w:lvlText w:val="(%1)"/>
      <w:numFmt w:val="decimal"/>
      <w:start w:val="1"/>
    </w:lvl>
  </w:abstractNum>
  <w:abstractNum w:abstractNumId="282">
    <w:nsid w:val="5D5CE761"/>
    <w:multiLevelType w:val="hybridMultilevel"/>
    <w:lvl w:ilvl="0">
      <w:lvlJc w:val="left"/>
      <w:lvlText w:val="%1."/>
      <w:numFmt w:val="decimal"/>
      <w:start w:val="3"/>
    </w:lvl>
  </w:abstractNum>
  <w:abstractNum w:abstractNumId="283">
    <w:nsid w:val="1CD484D5"/>
    <w:multiLevelType w:val="hybridMultilevel"/>
    <w:lvl w:ilvl="0">
      <w:lvlJc w:val="left"/>
      <w:lvlText w:val="%1."/>
      <w:numFmt w:val="decimal"/>
      <w:start w:val="3"/>
    </w:lvl>
  </w:abstractNum>
  <w:abstractNum w:abstractNumId="284">
    <w:nsid w:val="21D06255"/>
    <w:multiLevelType w:val="hybridMultilevel"/>
    <w:lvl w:ilvl="0">
      <w:lvlJc w:val="left"/>
      <w:lvlText w:val="(%1)"/>
      <w:numFmt w:val="decimal"/>
      <w:start w:val="1"/>
    </w:lvl>
  </w:abstractNum>
  <w:abstractNum w:abstractNumId="285">
    <w:nsid w:val="51194ED1"/>
    <w:multiLevelType w:val="hybridMultilevel"/>
    <w:lvl w:ilvl="0">
      <w:lvlJc w:val="left"/>
      <w:lvlText w:val="%1."/>
      <w:numFmt w:val="decimal"/>
      <w:start w:val="4"/>
    </w:lvl>
  </w:abstractNum>
  <w:abstractNum w:abstractNumId="286">
    <w:nsid w:val="44E2ED6C"/>
    <w:multiLevelType w:val="hybridMultilevel"/>
    <w:lvl w:ilvl="0">
      <w:lvlJc w:val="left"/>
      <w:lvlText w:val="%1."/>
      <w:numFmt w:val="decimal"/>
      <w:start w:val="7"/>
    </w:lvl>
  </w:abstractNum>
  <w:abstractNum w:abstractNumId="287">
    <w:nsid w:val="2219B33"/>
    <w:multiLevelType w:val="hybridMultilevel"/>
    <w:lvl w:ilvl="0">
      <w:lvlJc w:val="left"/>
      <w:lvlText w:val="(%1)"/>
      <w:numFmt w:val="decimal"/>
      <w:start w:val="1"/>
    </w:lvl>
  </w:abstractNum>
  <w:abstractNum w:abstractNumId="288">
    <w:nsid w:val="773BFBDD"/>
    <w:multiLevelType w:val="hybridMultilevel"/>
    <w:lvl w:ilvl="0">
      <w:lvlJc w:val="left"/>
      <w:lvlText w:val="%1."/>
      <w:numFmt w:val="decimal"/>
      <w:start w:val="1"/>
    </w:lvl>
  </w:abstractNum>
  <w:abstractNum w:abstractNumId="289">
    <w:nsid w:val="2C7C62C2"/>
    <w:multiLevelType w:val="hybridMultilevel"/>
    <w:lvl w:ilvl="0">
      <w:lvlJc w:val="left"/>
      <w:lvlText w:val="(%1)"/>
      <w:numFmt w:val="decimal"/>
      <w:start w:val="1"/>
    </w:lvl>
  </w:abstractNum>
  <w:abstractNum w:abstractNumId="290">
    <w:nsid w:val="1A54D7BC"/>
    <w:multiLevelType w:val="hybridMultilevel"/>
    <w:lvl w:ilvl="0">
      <w:lvlJc w:val="left"/>
      <w:lvlText w:val="(%1)"/>
      <w:numFmt w:val="decimal"/>
      <w:start w:val="1"/>
    </w:lvl>
  </w:abstractNum>
  <w:abstractNum w:abstractNumId="291">
    <w:nsid w:val="42E57EF7"/>
    <w:multiLevelType w:val="hybridMultilevel"/>
    <w:lvl w:ilvl="0">
      <w:lvlJc w:val="left"/>
      <w:lvlText w:val="%1."/>
      <w:numFmt w:val="decimal"/>
      <w:start w:val="10"/>
    </w:lvl>
  </w:abstractNum>
  <w:abstractNum w:abstractNumId="292">
    <w:nsid w:val="33537CED"/>
    <w:multiLevelType w:val="hybridMultilevel"/>
    <w:lvl w:ilvl="0">
      <w:lvlJc w:val="left"/>
      <w:lvlText w:val="④"/>
      <w:numFmt w:val="bullet"/>
      <w:start w:val="1"/>
    </w:lvl>
    <w:lvl w:ilvl="1">
      <w:lvlJc w:val="left"/>
      <w:lvlText w:val="(%2)"/>
      <w:numFmt w:val="decimal"/>
      <w:start w:val="1"/>
    </w:lvl>
  </w:abstractNum>
  <w:abstractNum w:abstractNumId="293">
    <w:nsid w:val="27514ADE"/>
    <w:multiLevelType w:val="hybridMultilevel"/>
    <w:lvl w:ilvl="0">
      <w:lvlJc w:val="left"/>
      <w:lvlText w:val="(%1)"/>
      <w:numFmt w:val="decimal"/>
      <w:start w:val="2"/>
    </w:lvl>
  </w:abstractNum>
  <w:abstractNum w:abstractNumId="294">
    <w:nsid w:val="57071613"/>
    <w:multiLevelType w:val="hybridMultilevel"/>
    <w:lvl w:ilvl="0">
      <w:lvlJc w:val="left"/>
      <w:lvlText w:val="%1."/>
      <w:numFmt w:val="decimal"/>
      <w:start w:val="12"/>
    </w:lvl>
  </w:abstractNum>
  <w:abstractNum w:abstractNumId="295">
    <w:nsid w:val="5293BFEF"/>
    <w:multiLevelType w:val="hybridMultilevel"/>
    <w:lvl w:ilvl="0">
      <w:lvlJc w:val="left"/>
      <w:lvlText w:val="④"/>
      <w:numFmt w:val="bullet"/>
      <w:start w:val="1"/>
    </w:lvl>
    <w:lvl w:ilvl="1">
      <w:lvlJc w:val="left"/>
      <w:lvlText w:val="(%2)"/>
      <w:numFmt w:val="decimal"/>
      <w:start w:val="1"/>
    </w:lvl>
  </w:abstractNum>
  <w:abstractNum w:abstractNumId="296">
    <w:nsid w:val="38BF53E5"/>
    <w:multiLevelType w:val="hybridMultilevel"/>
    <w:lvl w:ilvl="0">
      <w:lvlJc w:val="left"/>
      <w:lvlText w:val="④"/>
      <w:numFmt w:val="bullet"/>
      <w:start w:val="1"/>
    </w:lvl>
    <w:lvl w:ilvl="1">
      <w:lvlJc w:val="left"/>
      <w:lvlText w:val="(%2)"/>
      <w:numFmt w:val="decimal"/>
      <w:start w:val="3"/>
    </w:lvl>
  </w:abstractNum>
  <w:abstractNum w:abstractNumId="297">
    <w:nsid w:val="226F5320"/>
    <w:multiLevelType w:val="hybridMultilevel"/>
    <w:lvl w:ilvl="0">
      <w:lvlJc w:val="left"/>
      <w:lvlText w:val="(%1)"/>
      <w:numFmt w:val="decimal"/>
      <w:start w:val="4"/>
    </w:lvl>
  </w:abstractNum>
  <w:abstractNum w:abstractNumId="298">
    <w:nsid w:val="5A0201C7"/>
    <w:multiLevelType w:val="hybridMultilevel"/>
    <w:lvl w:ilvl="0">
      <w:lvlJc w:val="left"/>
      <w:lvlText w:val="②"/>
      <w:numFmt w:val="bullet"/>
      <w:start w:val="1"/>
    </w:lvl>
  </w:abstractNum>
  <w:abstractNum w:abstractNumId="299">
    <w:nsid w:val="2A9C34E2"/>
    <w:multiLevelType w:val="hybridMultilevel"/>
    <w:lvl w:ilvl="0">
      <w:lvlJc w:val="left"/>
      <w:lvlText w:val="%1."/>
      <w:numFmt w:val="decimal"/>
      <w:start w:val="13"/>
    </w:lvl>
  </w:abstractNum>
  <w:abstractNum w:abstractNumId="300">
    <w:nsid w:val="1B7585AB"/>
    <w:multiLevelType w:val="hybridMultilevel"/>
    <w:lvl w:ilvl="0">
      <w:lvlJc w:val="left"/>
      <w:lvlText w:val="(%1)"/>
      <w:numFmt w:val="decimal"/>
      <w:start w:val="1"/>
    </w:lvl>
  </w:abstractNum>
  <w:abstractNum w:abstractNumId="301">
    <w:nsid w:val="612DBDDD"/>
    <w:multiLevelType w:val="hybridMultilevel"/>
    <w:lvl w:ilvl="0">
      <w:lvlJc w:val="left"/>
      <w:lvlText w:val="(%1)"/>
      <w:numFmt w:val="decimal"/>
      <w:start w:val="3"/>
    </w:lvl>
  </w:abstractNum>
  <w:abstractNum w:abstractNumId="302">
    <w:nsid w:val="2109CDA4"/>
    <w:multiLevelType w:val="hybridMultilevel"/>
    <w:lvl w:ilvl="0">
      <w:lvlJc w:val="left"/>
      <w:lvlText w:val="%1."/>
      <w:numFmt w:val="decimal"/>
      <w:start w:val="1"/>
    </w:lvl>
  </w:abstractNum>
  <w:abstractNum w:abstractNumId="303">
    <w:nsid w:val="577F5A4D"/>
    <w:multiLevelType w:val="hybridMultilevel"/>
    <w:lvl w:ilvl="0">
      <w:lvlJc w:val="left"/>
      <w:lvlText w:val="(%1)"/>
      <w:numFmt w:val="decimal"/>
      <w:start w:val="1"/>
    </w:lvl>
  </w:abstractNum>
  <w:abstractNum w:abstractNumId="304">
    <w:nsid w:val="2121A81"/>
    <w:multiLevelType w:val="hybridMultilevel"/>
    <w:lvl w:ilvl="0">
      <w:lvlJc w:val="left"/>
      <w:lvlText w:val="(%1)"/>
      <w:numFmt w:val="decimal"/>
      <w:start w:val="7"/>
    </w:lvl>
  </w:abstractNum>
  <w:abstractNum w:abstractNumId="305">
    <w:nsid w:val="6C2CFC88"/>
    <w:multiLevelType w:val="hybridMultilevel"/>
    <w:lvl w:ilvl="0">
      <w:lvlJc w:val="left"/>
      <w:lvlText w:val="(%1)"/>
      <w:numFmt w:val="decimal"/>
      <w:start w:val="1"/>
    </w:lvl>
  </w:abstractNum>
  <w:abstractNum w:abstractNumId="306">
    <w:nsid w:val="6D1BCF1C"/>
    <w:multiLevelType w:val="hybridMultilevel"/>
    <w:lvl w:ilvl="0">
      <w:lvlJc w:val="left"/>
      <w:lvlText w:val="①"/>
      <w:numFmt w:val="bullet"/>
      <w:start w:val="1"/>
    </w:lvl>
  </w:abstractNum>
  <w:abstractNum w:abstractNumId="307">
    <w:nsid w:val="4CE5CA53"/>
    <w:multiLevelType w:val="hybridMultilevel"/>
    <w:lvl w:ilvl="0">
      <w:lvlJc w:val="left"/>
      <w:lvlText w:val="②"/>
      <w:numFmt w:val="bullet"/>
      <w:start w:val="1"/>
    </w:lvl>
  </w:abstractNum>
  <w:abstractNum w:abstractNumId="308">
    <w:nsid w:val="29262D1A"/>
    <w:multiLevelType w:val="hybridMultilevel"/>
    <w:lvl w:ilvl="0">
      <w:lvlJc w:val="left"/>
      <w:lvlText w:val="③"/>
      <w:numFmt w:val="bullet"/>
      <w:start w:val="1"/>
    </w:lvl>
  </w:abstractNum>
  <w:abstractNum w:abstractNumId="309">
    <w:nsid w:val="557FB7EE"/>
    <w:multiLevelType w:val="hybridMultilevel"/>
    <w:lvl w:ilvl="0">
      <w:lvlJc w:val="left"/>
      <w:lvlText w:val="④"/>
      <w:numFmt w:val="bullet"/>
      <w:start w:val="1"/>
    </w:lvl>
  </w:abstractNum>
  <w:abstractNum w:abstractNumId="310">
    <w:nsid w:val="436F2BEB"/>
    <w:multiLevelType w:val="hybridMultilevel"/>
    <w:lvl w:ilvl="0">
      <w:lvlJc w:val="left"/>
      <w:lvlText w:val="⑤"/>
      <w:numFmt w:val="bullet"/>
      <w:start w:val="1"/>
    </w:lvl>
  </w:abstractNum>
  <w:abstractNum w:abstractNumId="311">
    <w:nsid w:val="6C8B4466"/>
    <w:multiLevelType w:val="hybridMultilevel"/>
    <w:lvl w:ilvl="0">
      <w:lvlJc w:val="left"/>
      <w:lvlText w:val="⑥"/>
      <w:numFmt w:val="bullet"/>
      <w:start w:val="1"/>
    </w:lvl>
  </w:abstractNum>
  <w:abstractNum w:abstractNumId="312">
    <w:nsid w:val="2006E424"/>
    <w:multiLevelType w:val="hybridMultilevel"/>
    <w:lvl w:ilvl="0">
      <w:lvlJc w:val="left"/>
      <w:lvlText w:val="⑦"/>
      <w:numFmt w:val="bullet"/>
      <w:start w:val="1"/>
    </w:lvl>
  </w:abstractNum>
  <w:abstractNum w:abstractNumId="313">
    <w:nsid w:val="20CC134C"/>
    <w:multiLevelType w:val="hybridMultilevel"/>
    <w:lvl w:ilvl="0">
      <w:lvlJc w:val="left"/>
      <w:lvlText w:val="⑧"/>
      <w:numFmt w:val="bullet"/>
      <w:start w:val="1"/>
    </w:lvl>
  </w:abstractNum>
  <w:abstractNum w:abstractNumId="314">
    <w:nsid w:val="95FC93B"/>
    <w:multiLevelType w:val="hybridMultilevel"/>
    <w:lvl w:ilvl="0">
      <w:lvlJc w:val="left"/>
      <w:lvlText w:val="(%1)"/>
      <w:numFmt w:val="decimal"/>
      <w:start w:val="2"/>
    </w:lvl>
  </w:abstractNum>
  <w:abstractNum w:abstractNumId="315">
    <w:nsid w:val="41D74679"/>
    <w:multiLevelType w:val="hybridMultilevel"/>
    <w:lvl w:ilvl="0">
      <w:lvlJc w:val="left"/>
      <w:lvlText w:val="%1."/>
      <w:numFmt w:val="decimal"/>
      <w:start w:val="1"/>
    </w:lvl>
  </w:abstractNum>
  <w:abstractNum w:abstractNumId="316">
    <w:nsid w:val="71E5621E"/>
    <w:multiLevelType w:val="hybridMultilevel"/>
    <w:lvl w:ilvl="0">
      <w:lvlJc w:val="left"/>
      <w:lvlText w:val="(%1)"/>
      <w:numFmt w:val="decimal"/>
      <w:start w:val="1"/>
    </w:lvl>
  </w:abstractNum>
  <w:abstractNum w:abstractNumId="317">
    <w:nsid w:val="4E42B6A8"/>
    <w:multiLevelType w:val="hybridMultilevel"/>
    <w:lvl w:ilvl="0">
      <w:lvlJc w:val="left"/>
      <w:lvlText w:val="(%1)"/>
      <w:numFmt w:val="decimal"/>
      <w:start w:val="1"/>
    </w:lvl>
  </w:abstractNum>
  <w:abstractNum w:abstractNumId="318">
    <w:nsid w:val="43F8E1AC"/>
    <w:multiLevelType w:val="hybridMultilevel"/>
    <w:lvl w:ilvl="0">
      <w:lvlJc w:val="left"/>
      <w:lvlText w:val="(%1)"/>
      <w:numFmt w:val="decimal"/>
      <w:start w:val="4"/>
    </w:lvl>
  </w:abstractNum>
  <w:abstractNum w:abstractNumId="319">
    <w:nsid w:val="69215DFB"/>
    <w:multiLevelType w:val="hybridMultilevel"/>
    <w:lvl w:ilvl="0">
      <w:lvlJc w:val="left"/>
      <w:lvlText w:val="☒"/>
      <w:numFmt w:val="bullet"/>
      <w:start w:val="1"/>
    </w:lvl>
  </w:abstractNum>
  <w:abstractNum w:abstractNumId="320">
    <w:nsid w:val="7ABF196A"/>
    <w:multiLevelType w:val="hybridMultilevel"/>
    <w:lvl w:ilvl="0">
      <w:lvlJc w:val="left"/>
      <w:lvlText w:val="þ"/>
      <w:numFmt w:val="bullet"/>
      <w:start w:val="1"/>
    </w:lvl>
  </w:abstractNum>
  <w:abstractNum w:abstractNumId="321">
    <w:nsid w:val="5E4DB968"/>
    <w:multiLevelType w:val="hybridMultilevel"/>
    <w:lvl w:ilvl="0">
      <w:lvlJc w:val="left"/>
      <w:lvlText w:val="☒"/>
      <w:numFmt w:val="bullet"/>
      <w:start w:val="1"/>
    </w:lvl>
  </w:abstractNum>
  <w:abstractNum w:abstractNumId="322">
    <w:nsid w:val="2C06DCF3"/>
    <w:multiLevelType w:val="hybridMultilevel"/>
    <w:lvl w:ilvl="0">
      <w:lvlJc w:val="left"/>
      <w:lvlText w:val="%1."/>
      <w:numFmt w:val="decimal"/>
      <w:start w:val="1"/>
    </w:lvl>
  </w:abstractNum>
  <w:abstractNum w:abstractNumId="323">
    <w:nsid w:val="2E129658"/>
    <w:multiLevelType w:val="hybridMultilevel"/>
    <w:lvl w:ilvl="0">
      <w:lvlJc w:val="left"/>
      <w:lvlText w:val="þ"/>
      <w:numFmt w:val="bullet"/>
      <w:start w:val="1"/>
    </w:lvl>
  </w:abstractNum>
  <w:abstractNum w:abstractNumId="324">
    <w:nsid w:val="59F0446"/>
    <w:multiLevelType w:val="hybridMultilevel"/>
    <w:lvl w:ilvl="0">
      <w:lvlJc w:val="left"/>
      <w:lvlText w:val="☒"/>
      <w:numFmt w:val="bullet"/>
      <w:start w:val="1"/>
    </w:lvl>
  </w:abstractNum>
  <w:abstractNum w:abstractNumId="325">
    <w:nsid w:val="30DF306"/>
    <w:multiLevelType w:val="hybridMultilevel"/>
    <w:lvl w:ilvl="0">
      <w:lvlJc w:val="left"/>
      <w:lvlText w:val="☒"/>
      <w:numFmt w:val="bullet"/>
      <w:start w:val="1"/>
    </w:lvl>
  </w:abstractNum>
  <w:abstractNum w:abstractNumId="326">
    <w:nsid w:val="A65647"/>
    <w:multiLevelType w:val="hybridMultilevel"/>
    <w:lvl w:ilvl="0">
      <w:lvlJc w:val="left"/>
      <w:lvlText w:val="☒"/>
      <w:numFmt w:val="bullet"/>
      <w:start w:val="1"/>
    </w:lvl>
  </w:abstractNum>
  <w:abstractNum w:abstractNumId="327">
    <w:nsid w:val="3E5E582B"/>
    <w:multiLevelType w:val="hybridMultilevel"/>
    <w:lvl w:ilvl="0">
      <w:lvlJc w:val="left"/>
      <w:lvlText w:val="%1."/>
      <w:numFmt w:val="decimal"/>
      <w:start w:val="5"/>
    </w:lvl>
    <w:lvl w:ilvl="1">
      <w:lvlJc w:val="left"/>
      <w:lvlText w:val="☒"/>
      <w:numFmt w:val="bullet"/>
      <w:start w:val="1"/>
    </w:lvl>
  </w:abstractNum>
  <w:abstractNum w:abstractNumId="328">
    <w:nsid w:val="257D4626"/>
    <w:multiLevelType w:val="hybridMultilevel"/>
    <w:lvl w:ilvl="0">
      <w:lvlJc w:val="left"/>
      <w:lvlText w:val="þ"/>
      <w:numFmt w:val="bullet"/>
      <w:start w:val="1"/>
    </w:lvl>
  </w:abstractNum>
  <w:abstractNum w:abstractNumId="329">
    <w:nsid w:val="5AA8580E"/>
    <w:multiLevelType w:val="hybridMultilevel"/>
    <w:lvl w:ilvl="0">
      <w:lvlJc w:val="left"/>
      <w:lvlText w:val="☒"/>
      <w:numFmt w:val="bullet"/>
      <w:start w:val="1"/>
    </w:lvl>
  </w:abstractNum>
  <w:abstractNum w:abstractNumId="330">
    <w:nsid w:val="68FA8D0D"/>
    <w:multiLevelType w:val="hybridMultilevel"/>
    <w:lvl w:ilvl="0">
      <w:lvlJc w:val="left"/>
      <w:lvlText w:val="%1."/>
      <w:numFmt w:val="decimal"/>
      <w:start w:val="7"/>
    </w:lvl>
    <w:lvl w:ilvl="1">
      <w:lvlJc w:val="left"/>
      <w:lvlText w:val="(%2)"/>
      <w:numFmt w:val="decimal"/>
      <w:start w:val="1"/>
    </w:lvl>
  </w:abstractNum>
  <w:abstractNum w:abstractNumId="331">
    <w:nsid w:val="40F2CBD2"/>
    <w:multiLevelType w:val="hybridMultilevel"/>
    <w:lvl w:ilvl="0">
      <w:lvlJc w:val="left"/>
      <w:lvlText w:val="☒"/>
      <w:numFmt w:val="bullet"/>
      <w:start w:val="1"/>
    </w:lvl>
    <w:lvl w:ilvl="1">
      <w:lvlJc w:val="left"/>
      <w:lvlText w:val="%2."/>
      <w:numFmt w:val="decimal"/>
      <w:start w:val="10"/>
    </w:lvl>
  </w:abstractNum>
  <w:abstractNum w:abstractNumId="332">
    <w:nsid w:val="3BD615EB"/>
    <w:multiLevelType w:val="hybridMultilevel"/>
    <w:lvl w:ilvl="0">
      <w:lvlJc w:val="left"/>
      <w:lvlText w:val="%1."/>
      <w:numFmt w:val="decimal"/>
      <w:start w:val="11"/>
    </w:lvl>
  </w:abstractNum>
  <w:abstractNum w:abstractNumId="333">
    <w:nsid w:val="A045AB2"/>
    <w:multiLevelType w:val="hybridMultilevel"/>
    <w:lvl w:ilvl="0">
      <w:lvlJc w:val="left"/>
      <w:lvlText w:val="%1."/>
      <w:numFmt w:val="decimal"/>
      <w:start w:val="13"/>
    </w:lvl>
  </w:abstractNum>
  <w:abstractNum w:abstractNumId="334">
    <w:nsid w:val="1872261F"/>
    <w:multiLevelType w:val="hybridMultilevel"/>
    <w:lvl w:ilvl="0">
      <w:lvlJc w:val="left"/>
      <w:lvlText w:val="(%1)"/>
      <w:numFmt w:val="decimal"/>
      <w:start w:val="1"/>
    </w:lvl>
  </w:abstractNum>
  <w:abstractNum w:abstractNumId="335">
    <w:nsid w:val="3DE8306C"/>
    <w:multiLevelType w:val="hybridMultilevel"/>
    <w:lvl w:ilvl="0">
      <w:lvlJc w:val="left"/>
      <w:lvlText w:val="%1"/>
      <w:numFmt w:val="decimal"/>
      <w:start w:val="1"/>
    </w:lvl>
    <w:lvl w:ilvl="1">
      <w:lvlJc w:val="left"/>
      <w:lvlText w:val="(%2)"/>
      <w:numFmt w:val="decimal"/>
      <w:start w:val="1"/>
    </w:lvl>
  </w:abstractNum>
  <w:abstractNum w:abstractNumId="336">
    <w:nsid w:val="7631573A"/>
    <w:multiLevelType w:val="hybridMultilevel"/>
    <w:lvl w:ilvl="0">
      <w:lvlJc w:val="left"/>
      <w:lvlText w:val="%1."/>
      <w:numFmt w:val="decimal"/>
      <w:start w:val="14"/>
    </w:lvl>
    <w:lvl w:ilvl="1">
      <w:lvlJc w:val="left"/>
      <w:lvlText w:val="%2"/>
      <w:numFmt w:val="decimal"/>
      <w:start w:val="1"/>
    </w:lvl>
  </w:abstractNum>
  <w:abstractNum w:abstractNumId="337">
    <w:nsid w:val="58DF53B"/>
    <w:multiLevelType w:val="hybridMultilevel"/>
    <w:lvl w:ilvl="0">
      <w:lvlJc w:val="left"/>
      <w:lvlText w:val="%1."/>
      <w:numFmt w:val="decimal"/>
      <w:start w:val="17"/>
    </w:lvl>
    <w:lvl w:ilvl="1">
      <w:lvlJc w:val="left"/>
      <w:lvlText w:val="(%2)"/>
      <w:numFmt w:val="decimal"/>
      <w:start w:val="1"/>
    </w:lvl>
  </w:abstractNum>
  <w:abstractNum w:abstractNumId="338">
    <w:nsid w:val="ACDFAC0"/>
    <w:multiLevelType w:val="hybridMultilevel"/>
    <w:lvl w:ilvl="0">
      <w:lvlJc w:val="left"/>
      <w:lvlText w:val="%1."/>
      <w:numFmt w:val="decimal"/>
      <w:start w:val="1"/>
    </w:lvl>
  </w:abstractNum>
  <w:abstractNum w:abstractNumId="339">
    <w:nsid w:val="1F578454"/>
    <w:multiLevelType w:val="hybridMultilevel"/>
    <w:lvl w:ilvl="0">
      <w:lvlJc w:val="left"/>
      <w:lvlText w:val="%1."/>
      <w:numFmt w:val="decimal"/>
      <w:start w:val="1"/>
    </w:lvl>
  </w:abstractNum>
  <w:abstractNum w:abstractNumId="340">
    <w:nsid w:val="5B0DAD2A"/>
    <w:multiLevelType w:val="hybridMultilevel"/>
    <w:lvl w:ilvl="0">
      <w:lvlJc w:val="left"/>
      <w:lvlText w:val="(%1)"/>
      <w:numFmt w:val="decimal"/>
      <w:start w:val="1"/>
    </w:lvl>
  </w:abstractNum>
  <w:abstractNum w:abstractNumId="341">
    <w:nsid w:val="4E3D26AB"/>
    <w:multiLevelType w:val="hybridMultilevel"/>
    <w:lvl w:ilvl="0">
      <w:lvlJc w:val="left"/>
      <w:lvlText w:val="(%1)"/>
      <w:numFmt w:val="decimal"/>
      <w:start w:val="1"/>
    </w:lvl>
  </w:abstractNum>
  <w:abstractNum w:abstractNumId="342">
    <w:nsid w:val="BE2C8BA"/>
    <w:multiLevelType w:val="hybridMultilevel"/>
    <w:lvl w:ilvl="0">
      <w:lvlJc w:val="left"/>
      <w:lvlText w:val="(%1)"/>
      <w:numFmt w:val="decimal"/>
      <w:start w:val="1"/>
    </w:lvl>
  </w:abstractNum>
  <w:abstractNum w:abstractNumId="343">
    <w:nsid w:val="7B14914E"/>
    <w:multiLevelType w:val="hybridMultilevel"/>
    <w:lvl w:ilvl="0">
      <w:lvlJc w:val="left"/>
      <w:lvlText w:val="%1."/>
      <w:numFmt w:val="decimal"/>
      <w:start w:val="1"/>
    </w:lvl>
  </w:abstractNum>
  <w:abstractNum w:abstractNumId="344">
    <w:nsid w:val="6F0939F8"/>
    <w:multiLevelType w:val="hybridMultilevel"/>
    <w:lvl w:ilvl="0">
      <w:lvlJc w:val="left"/>
      <w:lvlText w:val="%1."/>
      <w:numFmt w:val="decimal"/>
      <w:start w:val="3"/>
    </w:lvl>
  </w:abstractNum>
  <w:abstractNum w:abstractNumId="345">
    <w:nsid w:val="154291F6"/>
    <w:multiLevelType w:val="hybridMultilevel"/>
    <w:lvl w:ilvl="0">
      <w:lvlJc w:val="left"/>
      <w:lvlText w:val="%1."/>
      <w:numFmt w:val="decimal"/>
      <w:start w:val="1"/>
    </w:lvl>
  </w:abstractNum>
  <w:abstractNum w:abstractNumId="346">
    <w:nsid w:val="3CEBD7C7"/>
    <w:multiLevelType w:val="hybridMultilevel"/>
    <w:lvl w:ilvl="0">
      <w:lvlJc w:val="left"/>
      <w:lvlText w:val="%1."/>
      <w:numFmt w:val="decimal"/>
      <w:start w:val="2"/>
    </w:lvl>
  </w:abstractNum>
  <w:abstractNum w:abstractNumId="347">
    <w:nsid w:val="60EE9C16"/>
    <w:multiLevelType w:val="hybridMultilevel"/>
    <w:lvl w:ilvl="0">
      <w:lvlJc w:val="left"/>
      <w:lvlText w:val="%1."/>
      <w:numFmt w:val="decimal"/>
      <w:start w:val="3"/>
    </w:lvl>
  </w:abstractNum>
  <w:abstractNum w:abstractNumId="348">
    <w:nsid w:val="6385489E"/>
    <w:multiLevelType w:val="hybridMultilevel"/>
    <w:lvl w:ilvl="0">
      <w:lvlJc w:val="left"/>
      <w:lvlText w:val="(%1)"/>
      <w:numFmt w:val="decimal"/>
      <w:start w:val="1"/>
    </w:lvl>
  </w:abstractNum>
  <w:abstractNum w:abstractNumId="349">
    <w:nsid w:val="E4B973"/>
    <w:multiLevelType w:val="hybridMultilevel"/>
    <w:lvl w:ilvl="0">
      <w:lvlJc w:val="left"/>
      <w:lvlText w:val="%1."/>
      <w:numFmt w:val="decimal"/>
      <w:start w:val="4"/>
    </w:lvl>
  </w:abstractNum>
  <w:abstractNum w:abstractNumId="350">
    <w:nsid w:val="4A0FFA11"/>
    <w:multiLevelType w:val="hybridMultilevel"/>
    <w:lvl w:ilvl="0">
      <w:lvlJc w:val="left"/>
      <w:lvlText w:val="%1."/>
      <w:numFmt w:val="decimal"/>
      <w:start w:val="5"/>
    </w:lvl>
  </w:abstractNum>
  <w:abstractNum w:abstractNumId="351">
    <w:nsid w:val="5E446208"/>
    <w:multiLevelType w:val="hybridMultilevel"/>
    <w:lvl w:ilvl="0">
      <w:lvlJc w:val="left"/>
      <w:lvlText w:val="(%1)"/>
      <w:numFmt w:val="decimal"/>
      <w:start w:val="1"/>
    </w:lvl>
  </w:abstractNum>
  <w:abstractNum w:abstractNumId="352">
    <w:nsid w:val="5F3272DB"/>
    <w:multiLevelType w:val="hybridMultilevel"/>
    <w:lvl w:ilvl="0">
      <w:lvlJc w:val="left"/>
      <w:lvlText w:val="%1."/>
      <w:numFmt w:val="decimal"/>
      <w:start w:val="1"/>
    </w:lvl>
  </w:abstractNum>
  <w:abstractNum w:abstractNumId="353">
    <w:nsid w:val="7616D704"/>
    <w:multiLevelType w:val="hybridMultilevel"/>
    <w:lvl w:ilvl="0">
      <w:lvlJc w:val="left"/>
      <w:lvlText w:val="%1."/>
      <w:numFmt w:val="decimal"/>
      <w:start w:val="3"/>
    </w:lvl>
  </w:abstractNum>
  <w:abstractNum w:abstractNumId="354">
    <w:nsid w:val="C56F860"/>
    <w:multiLevelType w:val="hybridMultilevel"/>
    <w:lvl w:ilvl="0">
      <w:lvlJc w:val="left"/>
      <w:lvlText w:val="%1."/>
      <w:numFmt w:val="decimal"/>
      <w:start w:val="1"/>
    </w:lvl>
  </w:abstractNum>
  <w:abstractNum w:abstractNumId="355">
    <w:nsid w:val="64D17722"/>
    <w:multiLevelType w:val="hybridMultilevel"/>
    <w:lvl w:ilvl="0">
      <w:lvlJc w:val="left"/>
      <w:lvlText w:val="%1."/>
      <w:numFmt w:val="decimal"/>
      <w:start w:val="8"/>
    </w:lvl>
  </w:abstractNum>
  <w:abstractNum w:abstractNumId="356">
    <w:nsid w:val="7924CA0A"/>
    <w:multiLevelType w:val="hybridMultilevel"/>
    <w:lvl w:ilvl="0">
      <w:lvlJc w:val="left"/>
      <w:lvlText w:val="%1."/>
      <w:numFmt w:val="decimal"/>
      <w:start w:val="11"/>
    </w:lvl>
  </w:abstractNum>
  <w:abstractNum w:abstractNumId="357">
    <w:nsid w:val="CFD4EA7"/>
    <w:multiLevelType w:val="hybridMultilevel"/>
    <w:lvl w:ilvl="0">
      <w:lvlJc w:val="left"/>
      <w:lvlText w:val="%1."/>
      <w:numFmt w:val="decimal"/>
      <w:start w:val="1"/>
    </w:lvl>
  </w:abstractNum>
  <w:abstractNum w:abstractNumId="358">
    <w:nsid w:val="232FCF4D"/>
    <w:multiLevelType w:val="hybridMultilevel"/>
    <w:lvl w:ilvl="0">
      <w:lvlJc w:val="left"/>
      <w:lvlText w:val="(%1)"/>
      <w:numFmt w:val="decimal"/>
      <w:start w:val="1"/>
    </w:lvl>
  </w:abstractNum>
  <w:abstractNum w:abstractNumId="359">
    <w:nsid w:val="1EA21031"/>
    <w:multiLevelType w:val="hybridMultilevel"/>
    <w:lvl w:ilvl="0">
      <w:lvlJc w:val="left"/>
      <w:lvlText w:val="%1."/>
      <w:numFmt w:val="decimal"/>
      <w:start w:val="5"/>
    </w:lvl>
  </w:abstractNum>
  <w:abstractNum w:abstractNumId="360">
    <w:nsid w:val="67A5A6B5"/>
    <w:multiLevelType w:val="hybridMultilevel"/>
    <w:lvl w:ilvl="0">
      <w:lvlJc w:val="left"/>
      <w:lvlText w:val="(%1)"/>
      <w:numFmt w:val="decimal"/>
      <w:start w:val="1"/>
    </w:lvl>
  </w:abstractNum>
  <w:abstractNum w:abstractNumId="361">
    <w:nsid w:val="C2A5C5B"/>
    <w:multiLevelType w:val="hybridMultilevel"/>
    <w:lvl w:ilvl="0">
      <w:lvlJc w:val="left"/>
      <w:lvlText w:val="%1."/>
      <w:numFmt w:val="decimal"/>
      <w:start w:val="6"/>
    </w:lvl>
  </w:abstractNum>
  <w:abstractNum w:abstractNumId="362">
    <w:nsid w:val="5F94DC03"/>
    <w:multiLevelType w:val="hybridMultilevel"/>
    <w:lvl w:ilvl="0">
      <w:lvlJc w:val="left"/>
      <w:lvlText w:val="④"/>
      <w:numFmt w:val="bullet"/>
      <w:start w:val="1"/>
    </w:lvl>
    <w:lvl w:ilvl="1">
      <w:lvlJc w:val="left"/>
      <w:lvlText w:val="(%2)"/>
      <w:numFmt w:val="decimal"/>
      <w:start w:val="1"/>
    </w:lvl>
  </w:abstractNum>
  <w:abstractNum w:abstractNumId="363">
    <w:nsid w:val="237BBCA0"/>
    <w:multiLevelType w:val="hybridMultilevel"/>
    <w:lvl w:ilvl="0">
      <w:lvlJc w:val="left"/>
      <w:lvlText w:val="(%1)"/>
      <w:numFmt w:val="decimal"/>
      <w:start w:val="2"/>
    </w:lvl>
  </w:abstractNum>
  <w:abstractNum w:abstractNumId="364">
    <w:nsid w:val="162EB70D"/>
    <w:multiLevelType w:val="hybridMultilevel"/>
    <w:lvl w:ilvl="0">
      <w:lvlJc w:val="left"/>
      <w:lvlText w:val="%1."/>
      <w:numFmt w:val="decimal"/>
      <w:start w:val="12"/>
    </w:lvl>
  </w:abstractNum>
  <w:abstractNum w:abstractNumId="365">
    <w:nsid w:val="78070222"/>
    <w:multiLevelType w:val="hybridMultilevel"/>
    <w:lvl w:ilvl="0">
      <w:lvlJc w:val="left"/>
      <w:lvlText w:val="④"/>
      <w:numFmt w:val="bullet"/>
      <w:start w:val="1"/>
    </w:lvl>
    <w:lvl w:ilvl="1">
      <w:lvlJc w:val="left"/>
      <w:lvlText w:val="(%2)"/>
      <w:numFmt w:val="decimal"/>
      <w:start w:val="1"/>
    </w:lvl>
  </w:abstractNum>
  <w:abstractNum w:abstractNumId="366">
    <w:nsid w:val="6163ED0D"/>
    <w:multiLevelType w:val="hybridMultilevel"/>
    <w:lvl w:ilvl="0">
      <w:lvlJc w:val="left"/>
      <w:lvlText w:val="④"/>
      <w:numFmt w:val="bullet"/>
      <w:start w:val="1"/>
    </w:lvl>
    <w:lvl w:ilvl="1">
      <w:lvlJc w:val="left"/>
      <w:lvlText w:val="(%2)"/>
      <w:numFmt w:val="decimal"/>
      <w:start w:val="3"/>
    </w:lvl>
  </w:abstractNum>
  <w:abstractNum w:abstractNumId="367">
    <w:nsid w:val="C600E47"/>
    <w:multiLevelType w:val="hybridMultilevel"/>
    <w:lvl w:ilvl="0">
      <w:lvlJc w:val="left"/>
      <w:lvlText w:val="(%1)"/>
      <w:numFmt w:val="decimal"/>
      <w:start w:val="4"/>
    </w:lvl>
  </w:abstractNum>
  <w:abstractNum w:abstractNumId="368">
    <w:nsid w:val="7D94F75D"/>
    <w:multiLevelType w:val="hybridMultilevel"/>
    <w:lvl w:ilvl="0">
      <w:lvlJc w:val="left"/>
      <w:lvlText w:val="②"/>
      <w:numFmt w:val="bullet"/>
      <w:start w:val="1"/>
    </w:lvl>
  </w:abstractNum>
  <w:abstractNum w:abstractNumId="369">
    <w:nsid w:val="6C31E7CD"/>
    <w:multiLevelType w:val="hybridMultilevel"/>
    <w:lvl w:ilvl="0">
      <w:lvlJc w:val="left"/>
      <w:lvlText w:val="%1."/>
      <w:numFmt w:val="decimal"/>
      <w:start w:val="13"/>
    </w:lvl>
  </w:abstractNum>
  <w:abstractNum w:abstractNumId="370">
    <w:nsid w:val="2BB7929B"/>
    <w:multiLevelType w:val="hybridMultilevel"/>
    <w:lvl w:ilvl="0">
      <w:lvlJc w:val="left"/>
      <w:lvlText w:val="%1."/>
      <w:numFmt w:val="decimal"/>
      <w:start w:val="1"/>
    </w:lvl>
  </w:abstractNum>
  <w:abstractNum w:abstractNumId="371">
    <w:nsid w:val="58A2A487"/>
    <w:multiLevelType w:val="hybridMultilevel"/>
    <w:lvl w:ilvl="0">
      <w:lvlJc w:val="left"/>
      <w:lvlText w:val="(%1)"/>
      <w:numFmt w:val="decimal"/>
      <w:start w:val="1"/>
    </w:lvl>
  </w:abstractNum>
  <w:abstractNum w:abstractNumId="372">
    <w:nsid w:val="3A6F0E78"/>
    <w:multiLevelType w:val="hybridMultilevel"/>
    <w:lvl w:ilvl="0">
      <w:lvlJc w:val="left"/>
      <w:lvlText w:val="(%1)"/>
      <w:numFmt w:val="decimal"/>
      <w:start w:val="3"/>
    </w:lvl>
  </w:abstractNum>
  <w:abstractNum w:abstractNumId="373">
    <w:nsid w:val="379A5B56"/>
    <w:multiLevelType w:val="hybridMultilevel"/>
    <w:lvl w:ilvl="0">
      <w:lvlJc w:val="left"/>
      <w:lvlText w:val="%1."/>
      <w:numFmt w:val="decimal"/>
      <w:start w:val="1"/>
    </w:lvl>
  </w:abstractNum>
  <w:abstractNum w:abstractNumId="374">
    <w:nsid w:val="53B735D5"/>
    <w:multiLevelType w:val="hybridMultilevel"/>
    <w:lvl w:ilvl="0">
      <w:lvlJc w:val="left"/>
      <w:lvlText w:val="(%1)"/>
      <w:numFmt w:val="decimal"/>
      <w:start w:val="1"/>
    </w:lvl>
  </w:abstractNum>
  <w:abstractNum w:abstractNumId="375">
    <w:nsid w:val="29784870"/>
    <w:multiLevelType w:val="hybridMultilevel"/>
    <w:lvl w:ilvl="0">
      <w:lvlJc w:val="left"/>
      <w:lvlText w:val="(%1)"/>
      <w:numFmt w:val="decimal"/>
      <w:start w:val="7"/>
    </w:lvl>
  </w:abstractNum>
  <w:abstractNum w:abstractNumId="376">
    <w:nsid w:val="4CDCED4C"/>
    <w:multiLevelType w:val="hybridMultilevel"/>
    <w:lvl w:ilvl="0">
      <w:lvlJc w:val="left"/>
      <w:lvlText w:val="(%1)"/>
      <w:numFmt w:val="decimal"/>
      <w:start w:val="1"/>
    </w:lvl>
  </w:abstractNum>
  <w:abstractNum w:abstractNumId="377">
    <w:nsid w:val="10A30D9C"/>
    <w:multiLevelType w:val="hybridMultilevel"/>
    <w:lvl w:ilvl="0">
      <w:lvlJc w:val="left"/>
      <w:lvlText w:val="①"/>
      <w:numFmt w:val="bullet"/>
      <w:start w:val="1"/>
    </w:lvl>
  </w:abstractNum>
  <w:abstractNum w:abstractNumId="378">
    <w:nsid w:val="A66E486"/>
    <w:multiLevelType w:val="hybridMultilevel"/>
    <w:lvl w:ilvl="0">
      <w:lvlJc w:val="left"/>
      <w:lvlText w:val="②"/>
      <w:numFmt w:val="bullet"/>
      <w:start w:val="1"/>
    </w:lvl>
  </w:abstractNum>
  <w:abstractNum w:abstractNumId="379">
    <w:nsid w:val="306235EA"/>
    <w:multiLevelType w:val="hybridMultilevel"/>
    <w:lvl w:ilvl="0">
      <w:lvlJc w:val="left"/>
      <w:lvlText w:val="③"/>
      <w:numFmt w:val="bullet"/>
      <w:start w:val="1"/>
    </w:lvl>
  </w:abstractNum>
  <w:abstractNum w:abstractNumId="380">
    <w:nsid w:val="1187C70F"/>
    <w:multiLevelType w:val="hybridMultilevel"/>
    <w:lvl w:ilvl="0">
      <w:lvlJc w:val="left"/>
      <w:lvlText w:val="④"/>
      <w:numFmt w:val="bullet"/>
      <w:start w:val="1"/>
    </w:lvl>
  </w:abstractNum>
  <w:abstractNum w:abstractNumId="381">
    <w:nsid w:val="5476DE98"/>
    <w:multiLevelType w:val="hybridMultilevel"/>
    <w:lvl w:ilvl="0">
      <w:lvlJc w:val="left"/>
      <w:lvlText w:val="⑤"/>
      <w:numFmt w:val="bullet"/>
      <w:start w:val="1"/>
    </w:lvl>
  </w:abstractNum>
  <w:abstractNum w:abstractNumId="382">
    <w:nsid w:val="EA697F2"/>
    <w:multiLevelType w:val="hybridMultilevel"/>
    <w:lvl w:ilvl="0">
      <w:lvlJc w:val="left"/>
      <w:lvlText w:val="⑥"/>
      <w:numFmt w:val="bullet"/>
      <w:start w:val="1"/>
    </w:lvl>
  </w:abstractNum>
  <w:abstractNum w:abstractNumId="383">
    <w:nsid w:val="70BA39EB"/>
    <w:multiLevelType w:val="hybridMultilevel"/>
    <w:lvl w:ilvl="0">
      <w:lvlJc w:val="left"/>
      <w:lvlText w:val="⑦"/>
      <w:numFmt w:val="bullet"/>
      <w:start w:val="1"/>
    </w:lvl>
  </w:abstractNum>
  <w:abstractNum w:abstractNumId="384">
    <w:nsid w:val="4A8DB59C"/>
    <w:multiLevelType w:val="hybridMultilevel"/>
    <w:lvl w:ilvl="0">
      <w:lvlJc w:val="left"/>
      <w:lvlText w:val="⑧"/>
      <w:numFmt w:val="bullet"/>
      <w:start w:val="1"/>
    </w:lvl>
  </w:abstractNum>
  <w:abstractNum w:abstractNumId="385">
    <w:nsid w:val="1AFD9053"/>
    <w:multiLevelType w:val="hybridMultilevel"/>
    <w:lvl w:ilvl="0">
      <w:lvlJc w:val="left"/>
      <w:lvlText w:val="(%1)"/>
      <w:numFmt w:val="decimal"/>
      <w:start w:val="2"/>
    </w:lvl>
  </w:abstractNum>
  <w:abstractNum w:abstractNumId="386">
    <w:nsid w:val="558BB10D"/>
    <w:multiLevelType w:val="hybridMultilevel"/>
    <w:lvl w:ilvl="0">
      <w:lvlJc w:val="left"/>
      <w:lvlText w:val="%1."/>
      <w:numFmt w:val="decimal"/>
      <w:start w:val="1"/>
    </w:lvl>
  </w:abstractNum>
  <w:abstractNum w:abstractNumId="387">
    <w:nsid w:val="43B27FA7"/>
    <w:multiLevelType w:val="hybridMultilevel"/>
    <w:lvl w:ilvl="0">
      <w:lvlJc w:val="left"/>
      <w:lvlText w:val="(%1)"/>
      <w:numFmt w:val="decimal"/>
      <w:start w:val="1"/>
    </w:lvl>
  </w:abstractNum>
  <w:abstractNum w:abstractNumId="388">
    <w:nsid w:val="27FADEFA"/>
    <w:multiLevelType w:val="hybridMultilevel"/>
    <w:lvl w:ilvl="0">
      <w:lvlJc w:val="left"/>
      <w:lvlText w:val="(%1)"/>
      <w:numFmt w:val="decimal"/>
      <w:start w:val="1"/>
    </w:lvl>
  </w:abstractNum>
  <w:abstractNum w:abstractNumId="389">
    <w:nsid w:val="78BB805A"/>
    <w:multiLevelType w:val="hybridMultilevel"/>
    <w:lvl w:ilvl="0">
      <w:lvlJc w:val="left"/>
      <w:lvlText w:val="(%1)"/>
      <w:numFmt w:val="decimal"/>
      <w:start w:val="4"/>
    </w:lvl>
  </w:abstractNum>
  <w:abstractNum w:abstractNumId="390">
    <w:nsid w:val="62548FD8"/>
    <w:multiLevelType w:val="hybridMultilevel"/>
    <w:lvl w:ilvl="0">
      <w:lvlJc w:val="left"/>
      <w:lvlText w:val="(%1)"/>
      <w:numFmt w:val="decimal"/>
      <w:start w:val="1"/>
    </w:lvl>
  </w:abstractNum>
  <w:abstractNum w:abstractNumId="391">
    <w:nsid w:val="FA085B0"/>
    <w:multiLevelType w:val="hybridMultilevel"/>
    <w:lvl w:ilvl="0">
      <w:lvlJc w:val="left"/>
      <w:lvlText w:val="▲▲"/>
      <w:numFmt w:val="bullet"/>
      <w:start w:val="1"/>
    </w:lvl>
  </w:abstractNum>
  <w:abstractNum w:abstractNumId="392">
    <w:nsid w:val="4E5DCB5"/>
    <w:multiLevelType w:val="hybridMultilevel"/>
    <w:lvl w:ilvl="0">
      <w:lvlJc w:val="left"/>
      <w:lvlText w:val="(%1)"/>
      <w:numFmt w:val="decimal"/>
      <w:start w:val="1"/>
    </w:lvl>
  </w:abstractNum>
  <w:abstractNum w:abstractNumId="393">
    <w:nsid w:val="41E96BDB"/>
    <w:multiLevelType w:val="hybridMultilevel"/>
    <w:lvl w:ilvl="0">
      <w:lvlJc w:val="left"/>
      <w:lvlText w:val="▲▲"/>
      <w:numFmt w:val="bullet"/>
      <w:start w:val="1"/>
    </w:lvl>
  </w:abstractNum>
  <w:abstractNum w:abstractNumId="394">
    <w:nsid w:val="331C4250"/>
    <w:multiLevelType w:val="hybridMultilevel"/>
    <w:lvl w:ilvl="0">
      <w:lvlJc w:val="left"/>
      <w:lvlText w:val="(%1)"/>
      <w:numFmt w:val="decimal"/>
      <w:start w:val="1"/>
    </w:lvl>
  </w:abstractNum>
  <w:abstractNum w:abstractNumId="395">
    <w:nsid w:val="1B1493C2"/>
    <w:multiLevelType w:val="hybridMultilevel"/>
    <w:lvl w:ilvl="0">
      <w:lvlJc w:val="left"/>
      <w:lvlText w:val="▲▲"/>
      <w:numFmt w:val="bullet"/>
      <w:start w:val="1"/>
    </w:lvl>
  </w:abstractNum>
  <w:abstractNum w:abstractNumId="396">
    <w:nsid w:val="39F06DFD"/>
    <w:multiLevelType w:val="hybridMultilevel"/>
    <w:lvl w:ilvl="0">
      <w:lvlJc w:val="left"/>
      <w:lvlText w:val="(%1)"/>
      <w:numFmt w:val="decimal"/>
      <w:start w:val="1"/>
    </w:lvl>
  </w:abstractNum>
  <w:abstractNum w:abstractNumId="397">
    <w:nsid w:val="14802F5D"/>
    <w:multiLevelType w:val="hybridMultilevel"/>
    <w:lvl w:ilvl="0">
      <w:lvlJc w:val="left"/>
      <w:lvlText w:val="(%1)"/>
      <w:numFmt w:val="decimal"/>
      <w:start w:val="1"/>
    </w:lvl>
  </w:abstractNum>
  <w:abstractNum w:abstractNumId="398">
    <w:nsid w:val="2774A209"/>
    <w:multiLevelType w:val="hybridMultilevel"/>
    <w:lvl w:ilvl="0">
      <w:lvlJc w:val="left"/>
      <w:lvlText w:val="(%1)"/>
      <w:numFmt w:val="decimal"/>
      <w:start w:val="2"/>
    </w:lvl>
  </w:abstractNum>
  <w:abstractNum w:abstractNumId="399">
    <w:nsid w:val="3785655A"/>
    <w:multiLevelType w:val="hybridMultilevel"/>
    <w:lvl w:ilvl="0">
      <w:lvlJc w:val="left"/>
      <w:lvlText w:val="%1"/>
      <w:numFmt w:val="decimal"/>
      <w:start w:val="1"/>
    </w:lvl>
    <w:lvl w:ilvl="1">
      <w:lvlJc w:val="left"/>
      <w:lvlText w:val="(%2)"/>
      <w:numFmt w:val="decimal"/>
      <w:start w:val="18"/>
    </w:lvl>
  </w:abstractNum>
  <w:abstractNum w:abstractNumId="400">
    <w:nsid w:val="B2172A"/>
    <w:multiLevelType w:val="hybridMultilevel"/>
    <w:lvl w:ilvl="0">
      <w:lvlJc w:val="left"/>
      <w:lvlText w:val="(%1)"/>
      <w:numFmt w:val="decimal"/>
      <w:start w:val="19"/>
    </w:lvl>
    <w:lvl w:ilvl="1">
      <w:lvlJc w:val="left"/>
      <w:lvlText w:val="%2"/>
      <w:numFmt w:val="decimal"/>
      <w:start w:val="1"/>
    </w:lvl>
  </w:abstractNum>
  <w:abstractNum w:abstractNumId="401">
    <w:nsid w:val="532C34A5"/>
    <w:multiLevelType w:val="hybridMultilevel"/>
    <w:lvl w:ilvl="0">
      <w:lvlJc w:val="left"/>
      <w:lvlText w:val="①"/>
      <w:numFmt w:val="bullet"/>
      <w:start w:val="1"/>
    </w:lvl>
  </w:abstractNum>
  <w:abstractNum w:abstractNumId="402">
    <w:nsid w:val="102809E2"/>
    <w:multiLevelType w:val="hybridMultilevel"/>
    <w:lvl w:ilvl="0">
      <w:lvlJc w:val="left"/>
      <w:lvlText w:val="②"/>
      <w:numFmt w:val="bullet"/>
      <w:start w:val="1"/>
    </w:lvl>
  </w:abstractNum>
  <w:abstractNum w:abstractNumId="403">
    <w:nsid w:val="3B2125A3"/>
    <w:multiLevelType w:val="hybridMultilevel"/>
    <w:lvl w:ilvl="0">
      <w:lvlJc w:val="left"/>
      <w:lvlText w:val="③"/>
      <w:numFmt w:val="bullet"/>
      <w:start w:val="1"/>
    </w:lvl>
  </w:abstractNum>
  <w:abstractNum w:abstractNumId="404">
    <w:nsid w:val="AC68FFB"/>
    <w:multiLevelType w:val="hybridMultilevel"/>
    <w:lvl w:ilvl="0">
      <w:lvlJc w:val="left"/>
      <w:lvlText w:val="④"/>
      <w:numFmt w:val="bullet"/>
      <w:start w:val="1"/>
    </w:lvl>
  </w:abstractNum>
  <w:abstractNum w:abstractNumId="405">
    <w:nsid w:val="63DF3FB7"/>
    <w:multiLevelType w:val="hybridMultilevel"/>
    <w:lvl w:ilvl="0">
      <w:lvlJc w:val="left"/>
      <w:lvlText w:val="⑤"/>
      <w:numFmt w:val="bullet"/>
      <w:start w:val="1"/>
    </w:lvl>
  </w:abstractNum>
  <w:abstractNum w:abstractNumId="406">
    <w:nsid w:val="64996E13"/>
    <w:multiLevelType w:val="hybridMultilevel"/>
    <w:lvl w:ilvl="0">
      <w:lvlJc w:val="left"/>
      <w:lvlText w:val="⑥"/>
      <w:numFmt w:val="bullet"/>
      <w:start w:val="1"/>
    </w:lvl>
  </w:abstractNum>
  <w:abstractNum w:abstractNumId="407">
    <w:nsid w:val="57A37D47"/>
    <w:multiLevelType w:val="hybridMultilevel"/>
    <w:lvl w:ilvl="0">
      <w:lvlJc w:val="left"/>
      <w:lvlText w:val="⑦"/>
      <w:numFmt w:val="bullet"/>
      <w:start w:val="1"/>
    </w:lvl>
  </w:abstractNum>
  <w:abstractNum w:abstractNumId="408">
    <w:nsid w:val="74824D54"/>
    <w:multiLevelType w:val="hybridMultilevel"/>
    <w:lvl w:ilvl="0">
      <w:lvlJc w:val="left"/>
      <w:lvlText w:val="⑧"/>
      <w:numFmt w:val="bullet"/>
      <w:start w:val="1"/>
    </w:lvl>
  </w:abstractNum>
  <w:abstractNum w:abstractNumId="409">
    <w:nsid w:val="6F00529A"/>
    <w:multiLevelType w:val="hybridMultilevel"/>
    <w:lvl w:ilvl="0">
      <w:lvlJc w:val="left"/>
      <w:lvlText w:val="(%1)"/>
      <w:numFmt w:val="decimal"/>
      <w:start w:val="1"/>
    </w:lvl>
  </w:abstractNum>
  <w:abstractNum w:abstractNumId="410">
    <w:nsid w:val="805B331"/>
    <w:multiLevelType w:val="hybridMultilevel"/>
    <w:lvl w:ilvl="0">
      <w:lvlJc w:val="left"/>
      <w:lvlText w:val="(%1)"/>
      <w:numFmt w:val="decimal"/>
      <w:start w:val="2"/>
    </w:lvl>
  </w:abstractNum>
  <w:abstractNum w:abstractNumId="411">
    <w:nsid w:val="60A1463"/>
    <w:multiLevelType w:val="hybridMultilevel"/>
    <w:lvl w:ilvl="0">
      <w:lvlJc w:val="left"/>
      <w:lvlText w:val="(%1)"/>
      <w:numFmt w:val="decimal"/>
      <w:start w:val="1"/>
    </w:lvl>
  </w:abstractNum>
  <w:abstractNum w:abstractNumId="412">
    <w:nsid w:val="43773132"/>
    <w:multiLevelType w:val="hybridMultilevel"/>
    <w:lvl w:ilvl="0">
      <w:lvlJc w:val="left"/>
      <w:lvlText w:val="①"/>
      <w:numFmt w:val="bullet"/>
      <w:start w:val="1"/>
    </w:lvl>
  </w:abstractNum>
  <w:abstractNum w:abstractNumId="413">
    <w:nsid w:val="16AC4B23"/>
    <w:multiLevelType w:val="hybridMultilevel"/>
    <w:lvl w:ilvl="0">
      <w:lvlJc w:val="left"/>
      <w:lvlText w:val="②"/>
      <w:numFmt w:val="bullet"/>
      <w:start w:val="1"/>
    </w:lvl>
  </w:abstractNum>
  <w:abstractNum w:abstractNumId="414">
    <w:nsid w:val="76C44E4E"/>
    <w:multiLevelType w:val="hybridMultilevel"/>
    <w:lvl w:ilvl="0">
      <w:lvlJc w:val="left"/>
      <w:lvlText w:val="③"/>
      <w:numFmt w:val="bullet"/>
      <w:start w:val="1"/>
    </w:lvl>
  </w:abstractNum>
  <w:abstractNum w:abstractNumId="415">
    <w:nsid w:val="E04E6CE"/>
    <w:multiLevelType w:val="hybridMultilevel"/>
    <w:lvl w:ilvl="0">
      <w:lvlJc w:val="left"/>
      <w:lvlText w:val="(%1)"/>
      <w:numFmt w:val="decimal"/>
      <w:start w:val="4"/>
    </w:lvl>
  </w:abstractNum>
  <w:abstractNum w:abstractNumId="416">
    <w:nsid w:val="31A9DB76"/>
    <w:multiLevelType w:val="hybridMultilevel"/>
    <w:lvl w:ilvl="0">
      <w:lvlJc w:val="left"/>
      <w:lvlText w:val="(%1)"/>
      <w:numFmt w:val="decimal"/>
      <w:start w:val="1"/>
    </w:lvl>
  </w:abstractNum>
  <w:abstractNum w:abstractNumId="417">
    <w:nsid w:val="4C4FFF5B"/>
    <w:multiLevelType w:val="hybridMultilevel"/>
    <w:lvl w:ilvl="0">
      <w:lvlJc w:val="left"/>
      <w:lvlText w:val="(%1)"/>
      <w:numFmt w:val="decimal"/>
      <w:start w:val="1"/>
    </w:lvl>
  </w:abstractNum>
  <w:abstractNum w:abstractNumId="418">
    <w:nsid w:val="51B76675"/>
    <w:multiLevelType w:val="hybridMultilevel"/>
    <w:lvl w:ilvl="0">
      <w:lvlJc w:val="left"/>
      <w:lvlText w:val="(%1)"/>
      <w:numFmt w:val="decimal"/>
      <w:start w:val="1"/>
    </w:lvl>
  </w:abstractNum>
  <w:abstractNum w:abstractNumId="419">
    <w:nsid w:val="59A4BA71"/>
    <w:multiLevelType w:val="hybridMultilevel"/>
    <w:lvl w:ilvl="0">
      <w:lvlJc w:val="left"/>
      <w:lvlText w:val="(%1)"/>
      <w:numFmt w:val="decimal"/>
      <w:start w:val="1"/>
    </w:lvl>
  </w:abstractNum>
  <w:abstractNum w:abstractNumId="420">
    <w:nsid w:val="450B7FB6"/>
    <w:multiLevelType w:val="hybridMultilevel"/>
    <w:lvl w:ilvl="0">
      <w:lvlJc w:val="left"/>
      <w:lvlText w:val="(%1)"/>
      <w:numFmt w:val="decimal"/>
      <w:start w:val="1"/>
    </w:lvl>
  </w:abstractNum>
  <w:abstractNum w:abstractNumId="421">
    <w:nsid w:val="340BF64D"/>
    <w:multiLevelType w:val="hybridMultilevel"/>
    <w:lvl w:ilvl="0">
      <w:lvlJc w:val="left"/>
      <w:lvlText w:val="(%1)"/>
      <w:numFmt w:val="decimal"/>
      <w:start w:val="1"/>
    </w:lvl>
  </w:abstractNum>
  <w:abstractNum w:abstractNumId="422">
    <w:nsid w:val="69454021"/>
    <w:multiLevelType w:val="hybridMultilevel"/>
    <w:lvl w:ilvl="0">
      <w:lvlJc w:val="left"/>
      <w:lvlText w:val="%1."/>
      <w:numFmt w:val="decimal"/>
      <w:start w:val="1"/>
    </w:lvl>
  </w:abstractNum>
  <w:abstractNum w:abstractNumId="423">
    <w:nsid w:val="49F15C6B"/>
    <w:multiLevelType w:val="hybridMultilevel"/>
    <w:lvl w:ilvl="0">
      <w:lvlJc w:val="left"/>
      <w:lvlText w:val="%1."/>
      <w:numFmt w:val="decimal"/>
      <w:start w:val="1"/>
    </w:lvl>
  </w:abstractNum>
  <w:abstractNum w:abstractNumId="424">
    <w:nsid w:val="75F56228"/>
    <w:multiLevelType w:val="hybridMultilevel"/>
    <w:lvl w:ilvl="0">
      <w:lvlJc w:val="left"/>
      <w:lvlText w:val="%1."/>
      <w:numFmt w:val="decimal"/>
      <w:start w:val="9"/>
    </w:lvl>
  </w:abstractNum>
  <w:abstractNum w:abstractNumId="425">
    <w:nsid w:val="1C618271"/>
    <w:multiLevelType w:val="hybridMultilevel"/>
    <w:lvl w:ilvl="0">
      <w:lvlJc w:val="left"/>
      <w:lvlText w:val="☐"/>
      <w:numFmt w:val="bullet"/>
      <w:start w:val="1"/>
    </w:lvl>
  </w:abstractNum>
  <w:abstractNum w:abstractNumId="426">
    <w:nsid w:val="6505F02E"/>
    <w:multiLevelType w:val="hybridMultilevel"/>
    <w:lvl w:ilvl="0">
      <w:lvlJc w:val="left"/>
      <w:lvlText w:val="☐"/>
      <w:numFmt w:val="bullet"/>
      <w:start w:val="1"/>
    </w:lvl>
  </w:abstractNum>
  <w:abstractNum w:abstractNumId="427">
    <w:nsid w:val="2FE5D025"/>
    <w:multiLevelType w:val="hybridMultilevel"/>
    <w:lvl w:ilvl="0">
      <w:lvlJc w:val="left"/>
      <w:lvlText w:val="☐"/>
      <w:numFmt w:val="bullet"/>
      <w:start w:val="1"/>
    </w:lvl>
  </w:abstractNum>
  <w:abstractNum w:abstractNumId="428">
    <w:nsid w:val="30E1B1CF"/>
    <w:multiLevelType w:val="hybridMultilevel"/>
    <w:lvl w:ilvl="0">
      <w:lvlJc w:val="left"/>
      <w:lvlText w:val="☐"/>
      <w:numFmt w:val="bullet"/>
      <w:start w:val="1"/>
    </w:lvl>
  </w:abstractNum>
  <w:abstractNum w:abstractNumId="429">
    <w:nsid w:val="C7A9237"/>
    <w:multiLevelType w:val="hybridMultilevel"/>
    <w:lvl w:ilvl="0">
      <w:lvlJc w:val="left"/>
      <w:lvlText w:val="☐"/>
      <w:numFmt w:val="bullet"/>
      <w:start w:val="1"/>
    </w:lvl>
  </w:abstractNum>
  <w:abstractNum w:abstractNumId="430">
    <w:nsid w:val="676B3580"/>
    <w:multiLevelType w:val="hybridMultilevel"/>
    <w:lvl w:ilvl="0">
      <w:lvlJc w:val="left"/>
      <w:lvlText w:val="☐"/>
      <w:numFmt w:val="bullet"/>
      <w:start w:val="1"/>
    </w:lvl>
  </w:abstractNum>
  <w:abstractNum w:abstractNumId="431">
    <w:nsid w:val="3193C8F9"/>
    <w:multiLevelType w:val="hybridMultilevel"/>
    <w:lvl w:ilvl="0">
      <w:lvlJc w:val="left"/>
      <w:lvlText w:val="☐"/>
      <w:numFmt w:val="bullet"/>
      <w:start w:val="1"/>
    </w:lvl>
  </w:abstractNum>
  <w:abstractNum w:abstractNumId="432">
    <w:nsid w:val="5FA6C6DC"/>
    <w:multiLevelType w:val="hybridMultilevel"/>
    <w:lvl w:ilvl="0">
      <w:lvlJc w:val="left"/>
      <w:lvlText w:val="%1."/>
      <w:numFmt w:val="decimal"/>
      <w:start w:val="2"/>
    </w:lvl>
  </w:abstractNum>
  <w:abstractNum w:abstractNumId="433">
    <w:nsid w:val="77933F62"/>
    <w:multiLevelType w:val="hybridMultilevel"/>
    <w:lvl w:ilvl="0">
      <w:lvlJc w:val="left"/>
      <w:lvlText w:val="%1."/>
      <w:numFmt w:val="decimal"/>
      <w:start w:val="1"/>
    </w:lvl>
  </w:abstractNum>
  <w:abstractNum w:abstractNumId="434">
    <w:nsid w:val="6CB4EE9C"/>
    <w:multiLevelType w:val="hybridMultilevel"/>
    <w:lvl w:ilvl="0">
      <w:lvlJc w:val="left"/>
      <w:lvlText w:val="%1."/>
      <w:numFmt w:val="decimal"/>
      <w:start w:val="2"/>
    </w:lvl>
  </w:abstractNum>
  <w:abstractNum w:abstractNumId="435">
    <w:nsid w:val="6A6D56D7"/>
    <w:multiLevelType w:val="hybridMultilevel"/>
    <w:lvl w:ilvl="0">
      <w:lvlJc w:val="left"/>
      <w:lvlText w:val="%1."/>
      <w:numFmt w:val="decimal"/>
      <w:start w:val="4"/>
    </w:lvl>
  </w:abstractNum>
  <w:abstractNum w:abstractNumId="436">
    <w:nsid w:val="5B727F19"/>
    <w:multiLevelType w:val="hybridMultilevel"/>
    <w:lvl w:ilvl="0">
      <w:lvlJc w:val="left"/>
      <w:lvlText w:val="%1."/>
      <w:numFmt w:val="decimal"/>
      <w:start w:val="1"/>
    </w:lvl>
  </w:abstractNum>
  <w:abstractNum w:abstractNumId="437">
    <w:nsid w:val="514E5CB0"/>
    <w:multiLevelType w:val="hybridMultilevel"/>
    <w:lvl w:ilvl="0">
      <w:lvlJc w:val="left"/>
      <w:lvlText w:val="%1."/>
      <w:numFmt w:val="decimal"/>
      <w:start w:val="1"/>
    </w:lvl>
  </w:abstractNum>
  <w:abstractNum w:abstractNumId="438">
    <w:nsid w:val="4210D41E"/>
    <w:multiLevelType w:val="hybridMultilevel"/>
    <w:lvl w:ilvl="0">
      <w:lvlJc w:val="left"/>
      <w:lvlText w:val="%1."/>
      <w:numFmt w:val="decimal"/>
      <w:start w:val="2"/>
    </w:lvl>
    <w:lvl w:ilvl="1">
      <w:lvlJc w:val="left"/>
      <w:lvlText w:val="%2."/>
      <w:numFmt w:val="decimal"/>
      <w:start w:val="3"/>
    </w:lvl>
  </w:abstractNum>
  <w:abstractNum w:abstractNumId="439">
    <w:nsid w:val="4FF4CC6D"/>
    <w:multiLevelType w:val="hybridMultilevel"/>
    <w:lvl w:ilvl="0">
      <w:lvlJc w:val="left"/>
      <w:lvlText w:val="%1."/>
      <w:numFmt w:val="decimal"/>
      <w:start w:val="4"/>
    </w:lvl>
  </w:abstractNum>
  <w:abstractNum w:abstractNumId="440">
    <w:nsid w:val="404EAF4A"/>
    <w:multiLevelType w:val="hybridMultilevel"/>
    <w:lvl w:ilvl="0">
      <w:lvlJc w:val="left"/>
      <w:lvlText w:val="%1."/>
      <w:numFmt w:val="decimal"/>
      <w:start w:val="5"/>
    </w:lvl>
  </w:abstractNum>
  <w:abstractNum w:abstractNumId="441">
    <w:nsid w:val="4A16874F"/>
    <w:multiLevelType w:val="hybridMultilevel"/>
    <w:lvl w:ilvl="0">
      <w:lvlJc w:val="left"/>
      <w:lvlText w:val="%1."/>
      <w:numFmt w:val="decimal"/>
      <w:start w:val="1"/>
    </w:lvl>
  </w:abstractNum>
  <w:abstractNum w:abstractNumId="442">
    <w:nsid w:val="55FEE0D1"/>
    <w:multiLevelType w:val="hybridMultilevel"/>
    <w:lvl w:ilvl="0">
      <w:lvlJc w:val="left"/>
      <w:lvlText w:val="%1."/>
      <w:numFmt w:val="decimal"/>
      <w:start w:val="1"/>
    </w:lvl>
  </w:abstractNum>
  <w:abstractNum w:abstractNumId="443">
    <w:nsid w:val="3C5E07C"/>
    <w:multiLevelType w:val="hybridMultilevel"/>
    <w:lvl w:ilvl="0">
      <w:lvlJc w:val="left"/>
      <w:lvlText w:val="%1."/>
      <w:numFmt w:val="decimal"/>
      <w:start w:val="1"/>
    </w:lvl>
    <w:lvl w:ilvl="1">
      <w:lvlJc w:val="left"/>
      <w:lvlText w:val="%2."/>
      <w:numFmt w:val="lowerLetter"/>
      <w:start w:val="1"/>
    </w:lvl>
  </w:abstractNum>
  <w:abstractNum w:abstractNumId="444">
    <w:nsid w:val="60C2D273"/>
    <w:multiLevelType w:val="hybridMultilevel"/>
    <w:lvl w:ilvl="0">
      <w:lvlJc w:val="left"/>
      <w:lvlText w:val="%1."/>
      <w:numFmt w:val="decimal"/>
      <w:start w:val="1"/>
    </w:lvl>
    <w:lvl w:ilvl="1">
      <w:lvlJc w:val="left"/>
      <w:lvlText w:val="%2."/>
      <w:numFmt w:val="lowerLetter"/>
      <w:start w:val="1"/>
    </w:lvl>
  </w:abstractNum>
  <w:abstractNum w:abstractNumId="445">
    <w:nsid w:val="4CC32F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jpeg"/><Relationship Id="rId491" Type="http://schemas.openxmlformats.org/officeDocument/2006/relationships/image" Target="media/image463.jpeg"/><Relationship Id="rId492" Type="http://schemas.openxmlformats.org/officeDocument/2006/relationships/image" Target="media/image464.jpe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4" Type="http://schemas.openxmlformats.org/officeDocument/2006/relationships/image" Target="media/image476.png"/><Relationship Id="rId505" Type="http://schemas.openxmlformats.org/officeDocument/2006/relationships/image" Target="media/image477.png"/><Relationship Id="rId506" Type="http://schemas.openxmlformats.org/officeDocument/2006/relationships/image" Target="media/image478.png"/><Relationship Id="rId50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png"/><Relationship Id="rId510" Type="http://schemas.openxmlformats.org/officeDocument/2006/relationships/image" Target="media/image482.png"/><Relationship Id="rId511" Type="http://schemas.openxmlformats.org/officeDocument/2006/relationships/image" Target="media/image483.png"/><Relationship Id="rId512" Type="http://schemas.openxmlformats.org/officeDocument/2006/relationships/image" Target="media/image484.png"/><Relationship Id="rId513" Type="http://schemas.openxmlformats.org/officeDocument/2006/relationships/image" Target="media/image485.png"/><Relationship Id="rId514" Type="http://schemas.openxmlformats.org/officeDocument/2006/relationships/image" Target="media/image486.png"/><Relationship Id="rId515" Type="http://schemas.openxmlformats.org/officeDocument/2006/relationships/image" Target="media/image487.png"/><Relationship Id="rId516" Type="http://schemas.openxmlformats.org/officeDocument/2006/relationships/image" Target="media/image488.png"/><Relationship Id="rId517" Type="http://schemas.openxmlformats.org/officeDocument/2006/relationships/image" Target="media/image489.png"/><Relationship Id="rId518" Type="http://schemas.openxmlformats.org/officeDocument/2006/relationships/image" Target="media/image490.png"/><Relationship Id="rId519" Type="http://schemas.openxmlformats.org/officeDocument/2006/relationships/image" Target="media/image491.png"/><Relationship Id="rId520" Type="http://schemas.openxmlformats.org/officeDocument/2006/relationships/image" Target="media/image492.pn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png"/><Relationship Id="rId524" Type="http://schemas.openxmlformats.org/officeDocument/2006/relationships/image" Target="media/image496.png"/><Relationship Id="rId525" Type="http://schemas.openxmlformats.org/officeDocument/2006/relationships/image" Target="media/image497.png"/><Relationship Id="rId526" Type="http://schemas.openxmlformats.org/officeDocument/2006/relationships/image" Target="media/image498.png"/><Relationship Id="rId280" Type="http://schemas.openxmlformats.org/officeDocument/2006/relationships/hyperlink" Target="http://www.sec.gov/Archives/edgar/data/1724542/000121390018006558/ff12018a2ex1-1_clpsinc.htm" TargetMode="External"/><Relationship Id="rId282" Type="http://schemas.openxmlformats.org/officeDocument/2006/relationships/hyperlink" Target="http://www.sec.gov/Archives/edgar/data/1724542/000121390018006724/f8a12b0518_clpsincorporation.htm" TargetMode="External"/><Relationship Id="rId283" Type="http://schemas.openxmlformats.org/officeDocument/2006/relationships/hyperlink" Target="http://www.sec.gov/Archives/edgar/data/1724542/000121390018003524/ff12018ex3-1_clpsincorp.htm" TargetMode="External"/><Relationship Id="rId284" Type="http://schemas.openxmlformats.org/officeDocument/2006/relationships/hyperlink" Target="http://www.sec.gov/Archives/edgar/data/1724542/000121390018003524/ff12018ex4-1_clpsincorp.htm" TargetMode="External"/><Relationship Id="rId285" Type="http://schemas.openxmlformats.org/officeDocument/2006/relationships/hyperlink" Target="http://www.sec.gov/Archives/edgar/data/1724542/000121390018003524/ff12018ex10-1_clpsincorp.htm" TargetMode="External"/><Relationship Id="rId286" Type="http://schemas.openxmlformats.org/officeDocument/2006/relationships/hyperlink" Target="http://www.sec.gov/Archives/edgar/data/1724542/000121390019007304/fs82019ex10-1_clpsincorp.htm" TargetMode="External"/><Relationship Id="rId287" Type="http://schemas.openxmlformats.org/officeDocument/2006/relationships/hyperlink" Target="http://www.sec.gov/Archives/edgar/data/1724542/000121390020010075/ea121022ex10-1_clpsincorp.htm" TargetMode="External"/><Relationship Id="rId288" Type="http://schemas.openxmlformats.org/officeDocument/2006/relationships/hyperlink" Target="http://www.sec.gov/Archives/edgar/data/1724542/000121390018003524/ff12018ex10-2_clpsincorp.htm" TargetMode="External"/><Relationship Id="rId289" Type="http://schemas.openxmlformats.org/officeDocument/2006/relationships/hyperlink" Target="http://www.sec.gov/Archives/edgar/data/1724542/000121390018003524/ff12018ex10-3_clpsincorp.htm" TargetMode="External"/><Relationship Id="rId290" Type="http://schemas.openxmlformats.org/officeDocument/2006/relationships/hyperlink" Target="http://www.sec.gov/Archives/edgar/data/1724542/000121390018003524/ff12018ex10-4_clpsincorp.htm" TargetMode="External"/><Relationship Id="rId291" Type="http://schemas.openxmlformats.org/officeDocument/2006/relationships/hyperlink" Target="http://www.sec.gov/Archives/edgar/data/1724542/000121390019021899/f6k110419ex99-1_clpsincorp.htm" TargetMode="External"/><Relationship Id="rId292" Type="http://schemas.openxmlformats.org/officeDocument/2006/relationships/hyperlink" Target="http://www.sec.gov/Archives/edgar/data/1724542/000121390020032817/f20f2020ex10-8_clpsincorp.htm" TargetMode="External"/><Relationship Id="rId293" Type="http://schemas.openxmlformats.org/officeDocument/2006/relationships/hyperlink" Target="http://www.sec.gov/Archives/edgar/data/1724542/000121390018003524/ff12018ex10-6_clpsincorp.htm" TargetMode="External"/><Relationship Id="rId294" Type="http://schemas.openxmlformats.org/officeDocument/2006/relationships/hyperlink" Target="http://www.sec.gov/Archives/edgar/data/1724542/000121390018003524/ff12018ex10-8_clpsincorp.htm" TargetMode="External"/><Relationship Id="rId295" Type="http://schemas.openxmlformats.org/officeDocument/2006/relationships/hyperlink" Target="http://www.sec.gov/Archives/edgar/data/1724542/000121390018006558/ff12018a2ex10-9_clpsinc.htm" TargetMode="External"/><Relationship Id="rId296" Type="http://schemas.openxmlformats.org/officeDocument/2006/relationships/hyperlink" Target="http://www.sec.gov/Archives/edgar/data/1724542/000121390018006558/ff12018a2ex10-10_clpsinc.htm" TargetMode="External"/><Relationship Id="rId297" Type="http://schemas.openxmlformats.org/officeDocument/2006/relationships/hyperlink" Target="http://www.sec.gov/Archives/edgar/data/1724542/000121390018006558/ff12018a2ex10-11_clpsinc.htm" TargetMode="External"/><Relationship Id="rId298" Type="http://schemas.openxmlformats.org/officeDocument/2006/relationships/hyperlink" Target="http://www.sec.gov/Archives/edgar/data/1724542/000121390018003524/ff12018ex14-1_clpsincorp.htm" TargetMode="External"/><Relationship Id="rId299" Type="http://schemas.openxmlformats.org/officeDocument/2006/relationships/hyperlink" Target="http://www.sec.gov/Archives/edgar/data/1724542/000121390018003524/ff12018ex99-1_clpsincorp.htm" TargetMode="External"/><Relationship Id="rId300" Type="http://schemas.openxmlformats.org/officeDocument/2006/relationships/hyperlink" Target="http://www.sec.gov/Archives/edgar/data/1724542/000121390018003524/ff12018ex99-2_clpsincorp.htm" TargetMode="External"/><Relationship Id="rId301"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2022-10-20T07:20:16Z</dcterms:created>
  <dcterms:modified xsi:type="dcterms:W3CDTF">2022-10-20T07:20:16Z</dcterms:modified>
</cp:coreProperties>
</file>