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10"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9" w:lineRule="exact"/>
        <w:rPr>
          <w:rFonts w:ascii="MS PGothic" w:cs="MS PGothic" w:eastAsia="MS PGothic" w:hAnsi="MS PGothic"/>
          <w:sz w:val="18"/>
          <w:szCs w:val="18"/>
          <w:color w:val="auto"/>
        </w:rPr>
      </w:pPr>
    </w:p>
    <w:p>
      <w:pPr>
        <w:ind w:left="1580" w:hanging="196"/>
        <w:spacing w:after="0"/>
        <w:tabs>
          <w:tab w:leader="none" w:pos="15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2023</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0" w:lineRule="exact"/>
        <w:rPr>
          <w:sz w:val="24"/>
          <w:szCs w:val="24"/>
          <w:color w:val="auto"/>
        </w:rPr>
      </w:pPr>
    </w:p>
    <w:p>
      <w:pPr>
        <w:ind w:left="1440" w:hanging="214"/>
        <w:spacing w:after="0"/>
        <w:tabs>
          <w:tab w:leader="none" w:pos="1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9" w:lineRule="exact"/>
        <w:rPr>
          <w:rFonts w:ascii="MS PGothic" w:cs="MS PGothic" w:eastAsia="MS PGothic" w:hAnsi="MS PGothic"/>
          <w:sz w:val="18"/>
          <w:szCs w:val="18"/>
          <w:color w:val="auto"/>
        </w:rPr>
      </w:pPr>
    </w:p>
    <w:p>
      <w:pPr>
        <w:jc w:val="center"/>
        <w:ind w:left="3400" w:right="1020" w:hanging="2376"/>
        <w:spacing w:after="0" w:line="495" w:lineRule="auto"/>
        <w:tabs>
          <w:tab w:leader="none" w:pos="12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15(d) OF THE SECURITIES EXCHANGE ACT OF 1934 for the transition period from ____________to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001-38505</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Cayman Islands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1000,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III</w:t>
      </w: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jc w:val="center"/>
        <w:spacing w:after="0" w:line="201" w:lineRule="auto"/>
        <w:rPr>
          <w:sz w:val="20"/>
          <w:szCs w:val="20"/>
          <w:color w:val="auto"/>
        </w:rPr>
      </w:pPr>
      <w:r>
        <w:rPr>
          <w:rFonts w:ascii="Arial" w:cs="Arial" w:eastAsia="Arial" w:hAnsi="Arial"/>
          <w:sz w:val="18"/>
          <w:szCs w:val="18"/>
          <w:b w:val="1"/>
          <w:bCs w:val="1"/>
          <w:color w:val="auto"/>
        </w:rPr>
        <w:t>c/o Unit 1000,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Millennium City III</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13"/>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Shares, par value $0.0001</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CLPS</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 September 24, 2023, the issuer had 25,586,122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5"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0"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2"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5"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30" w:lineRule="exact"/>
        <w:rPr>
          <w:sz w:val="20"/>
          <w:szCs w:val="20"/>
          <w:color w:val="auto"/>
        </w:rPr>
      </w:pPr>
    </w:p>
    <w:p>
      <w:pPr>
        <w:spacing w:after="0" w:line="207" w:lineRule="exact"/>
        <w:tabs>
          <w:tab w:leader="none" w:pos="4380" w:val="left"/>
          <w:tab w:leader="none" w:pos="7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2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2" w:right="339" w:bottom="1440" w:gutter="0" w:footer="0" w:header="0"/>
        </w:sectPr>
      </w:pPr>
    </w:p>
    <w:p>
      <w:pPr>
        <w:spacing w:after="0" w:line="17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US GAAP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640" w:hanging="559"/>
        <w:spacing w:after="0" w:line="242"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International Financial Reporting Standards as issued by the International Accounting </w:t>
      </w:r>
      <w:r>
        <w:rPr>
          <w:rFonts w:ascii="MS PGothic" w:cs="MS PGothic" w:eastAsia="MS PGothic" w:hAnsi="MS PGothic"/>
          <w:sz w:val="18"/>
          <w:szCs w:val="18"/>
          <w:color w:val="auto"/>
        </w:rPr>
        <w:t>☐</w:t>
      </w:r>
      <w:r>
        <w:rPr>
          <w:rFonts w:ascii="Arial" w:cs="Arial" w:eastAsia="Arial" w:hAnsi="Arial"/>
          <w:sz w:val="18"/>
          <w:szCs w:val="18"/>
          <w:color w:val="auto"/>
        </w:rPr>
        <w:t xml:space="preserve"> Other Standards Board</w:t>
      </w:r>
    </w:p>
    <w:p>
      <w:pPr>
        <w:spacing w:after="0" w:line="200" w:lineRule="exact"/>
        <w:rPr>
          <w:sz w:val="20"/>
          <w:szCs w:val="20"/>
          <w:color w:val="auto"/>
        </w:rPr>
      </w:pPr>
    </w:p>
    <w:p>
      <w:pPr>
        <w:sectPr>
          <w:pgSz w:w="11900" w:h="16838" w:orient="portrait"/>
          <w:cols w:equalWidth="0" w:num="2">
            <w:col w:w="2100" w:space="720"/>
            <w:col w:w="8420"/>
          </w:cols>
          <w:pgMar w:left="320" w:top="87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98" w:lineRule="exact"/>
        <w:rPr>
          <w:sz w:val="20"/>
          <w:szCs w:val="20"/>
          <w:color w:val="auto"/>
        </w:rPr>
      </w:pPr>
    </w:p>
    <w:p>
      <w:pPr>
        <w:ind w:left="96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75" w:lineRule="exact"/>
        <w:rPr>
          <w:sz w:val="20"/>
          <w:szCs w:val="20"/>
          <w:color w:val="auto"/>
        </w:rPr>
      </w:pPr>
    </w:p>
    <w:p>
      <w:pPr>
        <w:ind w:left="1018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626110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20" w:type="dxa"/>
            <w:vAlign w:val="bottom"/>
            <w:gridSpan w:val="15"/>
          </w:tcPr>
          <w:p>
            <w:pPr>
              <w:ind w:left="2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5"/>
        </w:trPr>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193"/>
        </w:trPr>
        <w:tc>
          <w:tcPr>
            <w:tcW w:w="1020" w:type="dxa"/>
            <w:vAlign w:val="bottom"/>
            <w:gridSpan w:val="4"/>
            <w:shd w:val="clear" w:color="auto" w:fill="CCEEFF"/>
          </w:tcPr>
          <w:p>
            <w:pPr>
              <w:spacing w:after="0" w:line="140" w:lineRule="exact"/>
              <w:rPr>
                <w:sz w:val="20"/>
                <w:szCs w:val="20"/>
                <w:color w:val="auto"/>
              </w:rPr>
            </w:pPr>
            <w:r>
              <w:rPr>
                <w:rFonts w:ascii="Arial" w:cs="Arial" w:eastAsia="Arial" w:hAnsi="Arial"/>
                <w:sz w:val="16"/>
                <w:szCs w:val="16"/>
                <w:b w:val="1"/>
                <w:bCs w:val="1"/>
                <w:color w:val="0000EE"/>
              </w:rPr>
              <w:t>PART I</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40" w:lineRule="exact"/>
              <w:rPr>
                <w:sz w:val="20"/>
                <w:szCs w:val="20"/>
                <w:color w:val="auto"/>
              </w:rPr>
            </w:pPr>
            <w:r>
              <w:rPr>
                <w:rFonts w:ascii="Arial" w:cs="Arial" w:eastAsia="Arial" w:hAnsi="Arial"/>
                <w:sz w:val="16"/>
                <w:szCs w:val="16"/>
                <w:color w:val="auto"/>
              </w:rPr>
              <w:t>1</w:t>
            </w:r>
          </w:p>
        </w:tc>
      </w:tr>
      <w:tr>
        <w:trPr>
          <w:trHeight w:val="213"/>
        </w:trPr>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w:t>
            </w:r>
          </w:p>
        </w:tc>
        <w:tc>
          <w:tcPr>
            <w:tcW w:w="5540" w:type="dxa"/>
            <w:vAlign w:val="bottom"/>
            <w:tcBorders>
              <w:bottom w:val="single" w:sz="8" w:color="0000EE"/>
            </w:tcBorders>
            <w:gridSpan w:val="22"/>
            <w:shd w:val="clear" w:color="auto" w:fill="CCEEFF"/>
          </w:tcPr>
          <w:p>
            <w:pPr>
              <w:spacing w:after="0" w:line="174" w:lineRule="exact"/>
              <w:rPr>
                <w:sz w:val="20"/>
                <w:szCs w:val="20"/>
                <w:color w:val="auto"/>
              </w:rPr>
            </w:pPr>
            <w:r>
              <w:rPr>
                <w:rFonts w:ascii="Arial" w:cs="Arial" w:eastAsia="Arial" w:hAnsi="Arial"/>
                <w:sz w:val="18"/>
                <w:szCs w:val="18"/>
                <w:color w:val="0000EE"/>
                <w:w w:val="95"/>
              </w:rPr>
              <w:t>IDENTITY OF DIRECTORS, SENIOR MANAGEMENT AND ADVISERS</w:t>
            </w:r>
          </w:p>
        </w:tc>
        <w:tc>
          <w:tcPr>
            <w:tcW w:w="3780" w:type="dxa"/>
            <w:vAlign w:val="bottom"/>
            <w:tcBorders>
              <w:bottom w:val="single" w:sz="8" w:color="CCEEFF"/>
            </w:tcBorders>
            <w:gridSpan w:val="6"/>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1</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2.</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OFFER STATISTICS AND EXPECTED TIMETABLE</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99"/>
              </w:rPr>
              <w:t>1</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3.</w:t>
            </w:r>
          </w:p>
        </w:tc>
        <w:tc>
          <w:tcPr>
            <w:tcW w:w="1640" w:type="dxa"/>
            <w:vAlign w:val="bottom"/>
            <w:tcBorders>
              <w:bottom w:val="single" w:sz="8" w:color="0000EE"/>
            </w:tcBorders>
            <w:gridSpan w:val="4"/>
            <w:shd w:val="clear" w:color="auto" w:fill="CCEEFF"/>
          </w:tcPr>
          <w:p>
            <w:pPr>
              <w:spacing w:after="0" w:line="174" w:lineRule="exact"/>
              <w:rPr>
                <w:sz w:val="20"/>
                <w:szCs w:val="20"/>
                <w:color w:val="auto"/>
              </w:rPr>
            </w:pPr>
            <w:r>
              <w:rPr>
                <w:rFonts w:ascii="Arial" w:cs="Arial" w:eastAsia="Arial" w:hAnsi="Arial"/>
                <w:sz w:val="18"/>
                <w:szCs w:val="18"/>
                <w:color w:val="0000EE"/>
                <w:w w:val="96"/>
              </w:rPr>
              <w:t>KEY INFORMATION</w:t>
            </w:r>
          </w:p>
        </w:tc>
        <w:tc>
          <w:tcPr>
            <w:tcW w:w="7680" w:type="dxa"/>
            <w:vAlign w:val="bottom"/>
            <w:tcBorders>
              <w:bottom w:val="single" w:sz="8" w:color="CCEEFF"/>
            </w:tcBorders>
            <w:gridSpan w:val="24"/>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1</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4.</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INFORMATION ON THE COMPANY</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9"/>
              </w:rPr>
              <w:t>43</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4A.</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UNRESOLVED STAFF COMMENTS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9"/>
              </w:rPr>
              <w:t>74</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5.</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OPERATING AND FINANCIAL REVIEW AND PROSPECT</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9"/>
              </w:rPr>
              <w:t>74</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6.</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DIRECTORS, SENIOR MANAGEMENT AND EMPLOYEES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100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7.</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MAJOR SHAREHOLDERS AND RELATED PARTY TRANSACTIONS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113</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8.</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FINANCIAL INFORMATION</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117</w:t>
            </w:r>
          </w:p>
        </w:tc>
      </w:tr>
      <w:tr>
        <w:trPr>
          <w:trHeight w:val="173"/>
        </w:trPr>
        <w:tc>
          <w:tcPr>
            <w:tcW w:w="1020" w:type="dxa"/>
            <w:vAlign w:val="bottom"/>
            <w:tcBorders>
              <w:top w:val="single" w:sz="8" w:color="CCEEFF"/>
            </w:tcBorders>
            <w:gridSpan w:val="4"/>
          </w:tcPr>
          <w:p>
            <w:pPr>
              <w:spacing w:after="0" w:line="174" w:lineRule="exact"/>
              <w:rPr>
                <w:sz w:val="20"/>
                <w:szCs w:val="20"/>
                <w:color w:val="auto"/>
              </w:rPr>
            </w:pPr>
            <w:r>
              <w:rPr>
                <w:rFonts w:ascii="Arial" w:cs="Arial" w:eastAsia="Arial" w:hAnsi="Arial"/>
                <w:sz w:val="18"/>
                <w:szCs w:val="18"/>
                <w:color w:val="auto"/>
              </w:rPr>
              <w:t>ITEM 9.</w:t>
            </w:r>
          </w:p>
        </w:tc>
        <w:tc>
          <w:tcPr>
            <w:tcW w:w="2220" w:type="dxa"/>
            <w:vAlign w:val="bottom"/>
            <w:tcBorders>
              <w:top w:val="single" w:sz="8" w:color="0000EE"/>
            </w:tcBorders>
            <w:gridSpan w:val="7"/>
          </w:tcPr>
          <w:p>
            <w:pPr>
              <w:spacing w:after="0" w:line="174" w:lineRule="exact"/>
              <w:rPr>
                <w:sz w:val="20"/>
                <w:szCs w:val="20"/>
                <w:color w:val="auto"/>
              </w:rPr>
            </w:pPr>
            <w:r>
              <w:rPr>
                <w:rFonts w:ascii="Arial" w:cs="Arial" w:eastAsia="Arial" w:hAnsi="Arial"/>
                <w:sz w:val="18"/>
                <w:szCs w:val="18"/>
                <w:color w:val="0000EE"/>
                <w:w w:val="99"/>
              </w:rPr>
              <w:t>THE OFFER AND LISTING</w:t>
            </w:r>
          </w:p>
        </w:tc>
        <w:tc>
          <w:tcPr>
            <w:tcW w:w="7100" w:type="dxa"/>
            <w:vAlign w:val="bottom"/>
            <w:tcBorders>
              <w:top w:val="single" w:sz="8" w:color="CCEEFF"/>
            </w:tcBorders>
            <w:gridSpan w:val="21"/>
          </w:tcPr>
          <w:p>
            <w:pPr>
              <w:spacing w:after="0"/>
              <w:rPr>
                <w:sz w:val="15"/>
                <w:szCs w:val="15"/>
                <w:color w:val="auto"/>
              </w:rPr>
            </w:pPr>
          </w:p>
        </w:tc>
        <w:tc>
          <w:tcPr>
            <w:tcW w:w="9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86"/>
              </w:rPr>
              <w:t>118</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10.</w:t>
            </w:r>
          </w:p>
        </w:tc>
        <w:tc>
          <w:tcPr>
            <w:tcW w:w="2380" w:type="dxa"/>
            <w:vAlign w:val="bottom"/>
            <w:tcBorders>
              <w:bottom w:val="single" w:sz="8" w:color="0000EE"/>
            </w:tcBorders>
            <w:gridSpan w:val="9"/>
            <w:shd w:val="clear" w:color="auto" w:fill="CCEEFF"/>
          </w:tcPr>
          <w:p>
            <w:pPr>
              <w:spacing w:after="0" w:line="174" w:lineRule="exact"/>
              <w:rPr>
                <w:sz w:val="20"/>
                <w:szCs w:val="20"/>
                <w:color w:val="auto"/>
              </w:rPr>
            </w:pPr>
            <w:r>
              <w:rPr>
                <w:rFonts w:ascii="Arial" w:cs="Arial" w:eastAsia="Arial" w:hAnsi="Arial"/>
                <w:sz w:val="18"/>
                <w:szCs w:val="18"/>
                <w:color w:val="0000EE"/>
                <w:w w:val="98"/>
              </w:rPr>
              <w:t>ADDITIONAL INFORMATION</w:t>
            </w:r>
          </w:p>
        </w:tc>
        <w:tc>
          <w:tcPr>
            <w:tcW w:w="6940" w:type="dxa"/>
            <w:vAlign w:val="bottom"/>
            <w:tcBorders>
              <w:bottom w:val="single" w:sz="8" w:color="CCEEFF"/>
            </w:tcBorders>
            <w:gridSpan w:val="1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118</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11.</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QUANTITATIVE AND QUALITATIVE DISCLOSURE ABOUT MARKET RISK</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125</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12.</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DESCRIPTION OF SECURITIES OTHER THAN EQUITY SECURITIES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125</w:t>
            </w:r>
          </w:p>
        </w:tc>
      </w:tr>
      <w:tr>
        <w:trPr>
          <w:trHeight w:val="213"/>
        </w:trPr>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b w:val="1"/>
                <w:bCs w:val="1"/>
                <w:color w:val="0000EE"/>
              </w:rPr>
              <w:t>PART II</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213"/>
        </w:trPr>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13.</w:t>
            </w:r>
          </w:p>
        </w:tc>
        <w:tc>
          <w:tcPr>
            <w:tcW w:w="4960" w:type="dxa"/>
            <w:vAlign w:val="bottom"/>
            <w:tcBorders>
              <w:bottom w:val="single" w:sz="8" w:color="0000EE"/>
            </w:tcBorders>
            <w:gridSpan w:val="19"/>
            <w:shd w:val="clear" w:color="auto" w:fill="CCEEFF"/>
          </w:tcPr>
          <w:p>
            <w:pPr>
              <w:spacing w:after="0" w:line="174" w:lineRule="exact"/>
              <w:rPr>
                <w:sz w:val="20"/>
                <w:szCs w:val="20"/>
                <w:color w:val="auto"/>
              </w:rPr>
            </w:pPr>
            <w:r>
              <w:rPr>
                <w:rFonts w:ascii="Arial" w:cs="Arial" w:eastAsia="Arial" w:hAnsi="Arial"/>
                <w:sz w:val="18"/>
                <w:szCs w:val="18"/>
                <w:color w:val="0000EE"/>
                <w:w w:val="95"/>
              </w:rPr>
              <w:t>DEFAULTS, DIVIDEND ARREARAGES AND DELINQUENCIES</w:t>
            </w:r>
          </w:p>
        </w:tc>
        <w:tc>
          <w:tcPr>
            <w:tcW w:w="4360" w:type="dxa"/>
            <w:vAlign w:val="bottom"/>
            <w:tcBorders>
              <w:bottom w:val="single" w:sz="8" w:color="CCEEFF"/>
            </w:tcBorders>
            <w:gridSpan w:val="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14.</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MATERIAL MODIFICATIONS TO THE RIGHTS OF SECURITY HOLDERS AND USE OF PROCEEDS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15.</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173"/>
        </w:trPr>
        <w:tc>
          <w:tcPr>
            <w:tcW w:w="1020" w:type="dxa"/>
            <w:vAlign w:val="bottom"/>
            <w:tcBorders>
              <w:top w:val="single" w:sz="8" w:color="CCEEFF"/>
            </w:tcBorders>
            <w:gridSpan w:val="4"/>
          </w:tcPr>
          <w:p>
            <w:pPr>
              <w:spacing w:after="0" w:line="174" w:lineRule="exact"/>
              <w:rPr>
                <w:sz w:val="20"/>
                <w:szCs w:val="20"/>
                <w:color w:val="auto"/>
              </w:rPr>
            </w:pPr>
            <w:r>
              <w:rPr>
                <w:rFonts w:ascii="Arial" w:cs="Arial" w:eastAsia="Arial" w:hAnsi="Arial"/>
                <w:sz w:val="18"/>
                <w:szCs w:val="18"/>
                <w:color w:val="auto"/>
              </w:rPr>
              <w:t>ITEM 16.</w:t>
            </w:r>
          </w:p>
        </w:tc>
        <w:tc>
          <w:tcPr>
            <w:tcW w:w="2560" w:type="dxa"/>
            <w:vAlign w:val="bottom"/>
            <w:tcBorders>
              <w:top w:val="single" w:sz="8" w:color="0000EE"/>
            </w:tcBorders>
            <w:gridSpan w:val="10"/>
          </w:tcPr>
          <w:p>
            <w:pPr>
              <w:spacing w:after="0" w:line="174" w:lineRule="exact"/>
              <w:rPr>
                <w:sz w:val="20"/>
                <w:szCs w:val="20"/>
                <w:color w:val="auto"/>
              </w:rPr>
            </w:pPr>
            <w:r>
              <w:rPr>
                <w:rFonts w:ascii="Arial" w:cs="Arial" w:eastAsia="Arial" w:hAnsi="Arial"/>
                <w:sz w:val="18"/>
                <w:szCs w:val="18"/>
                <w:color w:val="0000EE"/>
              </w:rPr>
              <w:t>RESERVED</w:t>
            </w:r>
          </w:p>
        </w:tc>
        <w:tc>
          <w:tcPr>
            <w:tcW w:w="676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16A.</w:t>
            </w:r>
          </w:p>
        </w:tc>
        <w:tc>
          <w:tcPr>
            <w:tcW w:w="3400" w:type="dxa"/>
            <w:vAlign w:val="bottom"/>
            <w:tcBorders>
              <w:bottom w:val="single" w:sz="8" w:color="0000EE"/>
            </w:tcBorders>
            <w:gridSpan w:val="13"/>
            <w:shd w:val="clear" w:color="auto" w:fill="CCEEFF"/>
          </w:tcPr>
          <w:p>
            <w:pPr>
              <w:spacing w:after="0" w:line="174" w:lineRule="exact"/>
              <w:rPr>
                <w:sz w:val="20"/>
                <w:szCs w:val="20"/>
                <w:color w:val="auto"/>
              </w:rPr>
            </w:pPr>
            <w:r>
              <w:rPr>
                <w:rFonts w:ascii="Arial" w:cs="Arial" w:eastAsia="Arial" w:hAnsi="Arial"/>
                <w:sz w:val="18"/>
                <w:szCs w:val="18"/>
                <w:color w:val="0000EE"/>
                <w:w w:val="97"/>
              </w:rPr>
              <w:t>AUDIT COMMITTEE FINANCIAL EXPERT.</w:t>
            </w:r>
          </w:p>
        </w:tc>
        <w:tc>
          <w:tcPr>
            <w:tcW w:w="5920" w:type="dxa"/>
            <w:vAlign w:val="bottom"/>
            <w:tcBorders>
              <w:bottom w:val="single" w:sz="8" w:color="CCEEFF"/>
            </w:tcBorders>
            <w:gridSpan w:val="1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16B.</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CODE OF ETHICS.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16C.</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PRINCIPAL ACCOUNTANT FEES AND SERVICES.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16D.</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EXEMPTIONS FROM THE LISTING STANDARDS FOR AUDIT COMMITTEES.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16E.</w:t>
            </w:r>
          </w:p>
        </w:tc>
        <w:tc>
          <w:tcPr>
            <w:tcW w:w="7120" w:type="dxa"/>
            <w:vAlign w:val="bottom"/>
            <w:tcBorders>
              <w:bottom w:val="single" w:sz="8" w:color="0000EE"/>
            </w:tcBorders>
            <w:gridSpan w:val="26"/>
            <w:shd w:val="clear" w:color="auto" w:fill="CCEEFF"/>
          </w:tcPr>
          <w:p>
            <w:pPr>
              <w:spacing w:after="0" w:line="174" w:lineRule="exact"/>
              <w:rPr>
                <w:sz w:val="20"/>
                <w:szCs w:val="20"/>
                <w:color w:val="auto"/>
              </w:rPr>
            </w:pPr>
            <w:r>
              <w:rPr>
                <w:rFonts w:ascii="Arial" w:cs="Arial" w:eastAsia="Arial" w:hAnsi="Arial"/>
                <w:sz w:val="18"/>
                <w:szCs w:val="18"/>
                <w:color w:val="0000EE"/>
                <w:w w:val="94"/>
              </w:rPr>
              <w:t>PURCHASES OF EQUITY SECURITIES BY THE ISSUER AND AFFILIATED PURCHASERS.</w:t>
            </w:r>
          </w:p>
        </w:tc>
        <w:tc>
          <w:tcPr>
            <w:tcW w:w="220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16F.</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CHANGES IN REGISTRANT’S CERTIFYING ACCOUNTANT.</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16G.</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CORPORATE GOVERNANCE</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16I.</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b w:val="1"/>
                <w:bCs w:val="1"/>
                <w:color w:val="0000EE"/>
              </w:rPr>
              <w:t>PART III</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128</w:t>
            </w: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3"/>
        </w:trPr>
        <w:tc>
          <w:tcPr>
            <w:tcW w:w="1020" w:type="dxa"/>
            <w:vAlign w:val="bottom"/>
            <w:gridSpan w:val="4"/>
          </w:tcPr>
          <w:p>
            <w:pPr>
              <w:spacing w:after="0" w:line="174" w:lineRule="exact"/>
              <w:rPr>
                <w:sz w:val="20"/>
                <w:szCs w:val="20"/>
                <w:color w:val="auto"/>
              </w:rPr>
            </w:pPr>
            <w:r>
              <w:rPr>
                <w:rFonts w:ascii="Arial" w:cs="Arial" w:eastAsia="Arial" w:hAnsi="Arial"/>
                <w:sz w:val="18"/>
                <w:szCs w:val="18"/>
                <w:color w:val="auto"/>
              </w:rPr>
              <w:t>ITEM 17.</w:t>
            </w:r>
          </w:p>
        </w:tc>
        <w:tc>
          <w:tcPr>
            <w:tcW w:w="9320" w:type="dxa"/>
            <w:vAlign w:val="bottom"/>
            <w:gridSpan w:val="28"/>
          </w:tcPr>
          <w:p>
            <w:pPr>
              <w:spacing w:after="0" w:line="174" w:lineRule="exact"/>
              <w:rPr>
                <w:sz w:val="20"/>
                <w:szCs w:val="20"/>
                <w:color w:val="auto"/>
              </w:rPr>
            </w:pPr>
            <w:r>
              <w:rPr>
                <w:rFonts w:ascii="Arial" w:cs="Arial" w:eastAsia="Arial" w:hAnsi="Arial"/>
                <w:sz w:val="18"/>
                <w:szCs w:val="18"/>
                <w:color w:val="0000EE"/>
              </w:rPr>
              <w:t>FINANCIAL STATEMENTS</w:t>
            </w: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86"/>
              </w:rPr>
              <w:t>128</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8"/>
                <w:szCs w:val="18"/>
                <w:color w:val="auto"/>
              </w:rPr>
              <w:t>ITEM 18.</w:t>
            </w:r>
          </w:p>
        </w:tc>
        <w:tc>
          <w:tcPr>
            <w:tcW w:w="932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FINANCIAL STATEMENTS</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128</w:t>
            </w:r>
          </w:p>
        </w:tc>
      </w:tr>
      <w:tr>
        <w:trPr>
          <w:trHeight w:val="173"/>
        </w:trPr>
        <w:tc>
          <w:tcPr>
            <w:tcW w:w="1020" w:type="dxa"/>
            <w:vAlign w:val="bottom"/>
            <w:tcBorders>
              <w:top w:val="single" w:sz="8" w:color="CCEEFF"/>
            </w:tcBorders>
            <w:gridSpan w:val="4"/>
          </w:tcPr>
          <w:p>
            <w:pPr>
              <w:spacing w:after="0" w:line="174" w:lineRule="exact"/>
              <w:rPr>
                <w:sz w:val="20"/>
                <w:szCs w:val="20"/>
                <w:color w:val="auto"/>
              </w:rPr>
            </w:pPr>
            <w:r>
              <w:rPr>
                <w:rFonts w:ascii="Arial" w:cs="Arial" w:eastAsia="Arial" w:hAnsi="Arial"/>
                <w:sz w:val="18"/>
                <w:szCs w:val="18"/>
                <w:color w:val="auto"/>
              </w:rPr>
              <w:t>ITEM 19.</w:t>
            </w:r>
          </w:p>
        </w:tc>
        <w:tc>
          <w:tcPr>
            <w:tcW w:w="820" w:type="dxa"/>
            <w:vAlign w:val="bottom"/>
            <w:tcBorders>
              <w:top w:val="single" w:sz="8" w:color="0000EE"/>
              <w:bottom w:val="single" w:sz="8" w:color="0000EE"/>
            </w:tcBorders>
          </w:tcPr>
          <w:p>
            <w:pPr>
              <w:spacing w:after="0" w:line="174" w:lineRule="exact"/>
              <w:rPr>
                <w:sz w:val="20"/>
                <w:szCs w:val="20"/>
                <w:color w:val="auto"/>
              </w:rPr>
            </w:pPr>
            <w:r>
              <w:rPr>
                <w:rFonts w:ascii="Arial" w:cs="Arial" w:eastAsia="Arial" w:hAnsi="Arial"/>
                <w:sz w:val="18"/>
                <w:szCs w:val="18"/>
                <w:color w:val="0000EE"/>
                <w:w w:val="97"/>
              </w:rPr>
              <w:t>EXHIBITS</w:t>
            </w:r>
          </w:p>
        </w:tc>
        <w:tc>
          <w:tcPr>
            <w:tcW w:w="1300" w:type="dxa"/>
            <w:vAlign w:val="bottom"/>
            <w:tcBorders>
              <w:top w:val="single" w:sz="8" w:color="0000EE"/>
            </w:tcBorders>
            <w:gridSpan w:val="5"/>
          </w:tcPr>
          <w:p>
            <w:pPr>
              <w:spacing w:after="0"/>
              <w:rPr>
                <w:sz w:val="15"/>
                <w:szCs w:val="15"/>
                <w:color w:val="auto"/>
              </w:rPr>
            </w:pPr>
          </w:p>
        </w:tc>
        <w:tc>
          <w:tcPr>
            <w:tcW w:w="7200" w:type="dxa"/>
            <w:vAlign w:val="bottom"/>
            <w:tcBorders>
              <w:top w:val="single" w:sz="8" w:color="CCEEFF"/>
            </w:tcBorders>
            <w:gridSpan w:val="22"/>
          </w:tcPr>
          <w:p>
            <w:pPr>
              <w:spacing w:after="0"/>
              <w:rPr>
                <w:sz w:val="15"/>
                <w:szCs w:val="15"/>
                <w:color w:val="auto"/>
              </w:rPr>
            </w:pPr>
          </w:p>
        </w:tc>
        <w:tc>
          <w:tcPr>
            <w:tcW w:w="9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86"/>
              </w:rPr>
              <w:t>129</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CERTAIN INFORMATION</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3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where the context otherwise requires and for purposes of this Annual Report only:</w:t>
      </w:r>
    </w:p>
    <w:p>
      <w:pPr>
        <w:spacing w:after="0" w:line="220" w:lineRule="exact"/>
        <w:rPr>
          <w:sz w:val="20"/>
          <w:szCs w:val="20"/>
          <w:color w:val="auto"/>
        </w:rPr>
      </w:pPr>
    </w:p>
    <w:p>
      <w:pPr>
        <w:ind w:left="960" w:hanging="313"/>
        <w:spacing w:after="0" w:line="27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Shanghai” refers to CLPS Shanghai Co., Ltd., formerly ChinaLink Professional Services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“JAJI China” refers to JAJI (Shanghai) Co., Ltd., formerly Judge (Shanghai)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“JAJI HR” refers to JAJI (Shanghai) Human Resource Co., Ltd. formerly Judge (Shanghai) Human Resource Co., Ltd., a PRC company;</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“Ridik AU” refers to Ridik Technology (Australia) Pty. Ltd., formerly CLPS-Ridik Technology (Australia) Pty. Ltd., an Australian company;</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(Hong Kong) Co.,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US” refers to CLPS Technology (US) Ltd., a Delaware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California” refers to CLPS Technology (California) Inc., a California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p>
      <w:pPr>
        <w:ind w:left="313" w:hanging="313"/>
        <w:spacing w:after="0" w:line="270" w:lineRule="auto"/>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Lihong” refers to CLPS Lihong Financial Information Services Co., Ltd., formerly Lihong Financial Information Services Co., Ltd. before the investment, a PRC company.</w:t>
      </w:r>
    </w:p>
    <w:p>
      <w:pPr>
        <w:spacing w:after="0" w:line="174"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“Infogain” refers to Infogain Solutions Pte. Ltd., a Singaporean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“EMIT” refers to Economic Modeling Information Technology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Hangzhou” refers to CLPS Hangzhou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Guangdong Zhichuang” refers to CLPS Guangdong Zhichuang Software Technology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Shenzhen Robotics” refers to CLPS Shenzhen Robotics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Pte.” refers to Ridik Pte. Ltd., a Singaporean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Consulting” refers to Ridik Consulting Private Limited, an Indian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Sdn.” refers to Ridik Sdn. Bhd., a Malaysian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Pte.” refers to Ridik Software Solutions Pte. Ltd., a Singaporean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“Ridik Software” refers to Ridik Software Solutions Ltd., a UK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“Suzhou Ridik” refers to Suzhou Ridik Information Technology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Japan” refers to CLPS Technology Japan, a Japanese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“Qinson” refers to Qinson Credit Card Services Limited, a Hong Kong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Hainan” refers to Hainan Qincheng Software Technology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“SSIT” refers to Shanghai Shier Information Technology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“CareerWin” refers to CareerWin Executive Search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Xi’an” refers to CLPS Xi’an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Ring” refers to Growth Ring Ltd., a British Virgin Islands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“Arabian Jasmine” refers to Arabian Jasmine Ltd., a British Virgin Islands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“Shanghai Chenqin” refers to Shanghai Chenqin Information Technology Services Co., Ltd., a PRC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 Singapore” refers to Noni (Singapore) Pte. Ltd., a Singaporean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“CLPS-Beefinance” refers to CLPS-Beefinance Holding Limited, a British Virgin Islands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“Qinson Ltd.” refers to Qinson Ltd., a British Virgin Islands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“LQE” refers to LQE Ltd., a British Virgin Islands company.</w:t>
      </w:r>
    </w:p>
    <w:p>
      <w:pPr>
        <w:spacing w:after="0" w:line="219" w:lineRule="exact"/>
        <w:rPr>
          <w:rFonts w:ascii="Arial" w:cs="Arial" w:eastAsia="Arial" w:hAnsi="Arial"/>
          <w:sz w:val="18"/>
          <w:szCs w:val="18"/>
          <w:color w:val="auto"/>
        </w:rPr>
      </w:pPr>
    </w:p>
    <w:p>
      <w:pPr>
        <w:ind w:left="313" w:hanging="313"/>
        <w:spacing w:after="0"/>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“LinkCrypto” refers to LinkCrypto Finance Technology Limited, a Hong Kong company.</w:t>
      </w:r>
    </w:p>
    <w:p>
      <w:pPr>
        <w:spacing w:after="0" w:line="200" w:lineRule="exact"/>
        <w:rPr>
          <w:sz w:val="20"/>
          <w:szCs w:val="20"/>
          <w:color w:val="auto"/>
        </w:rPr>
      </w:pPr>
    </w:p>
    <w:p>
      <w:pPr>
        <w:spacing w:after="0" w:line="233" w:lineRule="exact"/>
        <w:rPr>
          <w:sz w:val="20"/>
          <w:szCs w:val="20"/>
          <w:color w:val="auto"/>
        </w:rPr>
      </w:pPr>
    </w:p>
    <w:p>
      <w:pPr>
        <w:ind w:left="4913"/>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13335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3"/>
          </w:cols>
          <w:pgMar w:left="967" w:top="872" w:right="339" w:bottom="1440" w:gutter="0" w:footer="0" w:header="0"/>
        </w:sectPr>
      </w:pPr>
    </w:p>
    <w:bookmarkStart w:id="5" w:name="page6"/>
    <w:bookmarkEnd w:id="5"/>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“MNYC” refers to MNYC HOLDINGS (HK)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“MSCT” refers to MSCT Investment Holdings Limited, a British Virgin Islands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“CLPS Philippines” refers to CLPS TECHNOLOGY (PHILIPPINES) CORP., a Philippine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“Beijing Bozhuo” refers to Beijing Bozhuo Education Technology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“Haikou Huaqin” refers to Haikou Huaqin Minshang Software Development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“UniDev” refers to Beijing UniDev Software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“Fuson” refers to Fuson Group Limited, a Hong Kong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“CLPS Chengdu” refers to CLPS Chengdu Co., Ltd., a PRC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“CLPS Investment” refers to CLPS Investment Management Ltd., a British Virgin Islands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“JAJI Global” refers to JAJI Global Incorporation, a Cayman Islands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“JAJI Singapore” refers to JAJI Singapore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“Ridik Canada” refers to Ridik Technology Canada Limited, a Canadian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“Qinson Singapore” refers to Qinson Singapore Pte. Ltd., a Singaporean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“Yingjia Technology” refers to Shanghai Yingjia Technology Limited, a PRC company.</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 margin” refers to earnings before interest and taxes margin.</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7.2513 to USD1.00, the noon buying rate on June 30, 2023,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93"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spacing w:after="0" w:line="16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8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This Annual Report should be read in conjunction with our audited financial statements and the accompanying notes thereto, which are included in Item 18 of this Annual Report.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 w:name="page8"/>
    <w:bookmarkEnd w:id="7"/>
    <w:p>
      <w:pPr>
        <w:ind w:left="5340"/>
        <w:spacing w:after="0"/>
        <w:rPr>
          <w:sz w:val="20"/>
          <w:szCs w:val="20"/>
          <w:color w:val="auto"/>
        </w:rPr>
      </w:pPr>
      <w:r>
        <w:rPr>
          <w:rFonts w:ascii="Arial" w:cs="Arial" w:eastAsia="Arial" w:hAnsi="Arial"/>
          <w:sz w:val="18"/>
          <w:szCs w:val="18"/>
          <w:b w:val="1"/>
          <w:bCs w:val="1"/>
          <w:color w:val="auto"/>
        </w:rPr>
        <w:t>PART 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27"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Selected financial data</w:t>
      </w:r>
    </w:p>
    <w:p>
      <w:pPr>
        <w:spacing w:after="0" w:line="131"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The following selected consolidated financial data as of and for the years ended June 30, 2023, 2022, and 2021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other financial information included in this Annual Report. The Company’s results of operations in any period may not necessarily be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indicative of the results that may be expected for any future period. See “Risk Factors” included elsewhere in this Annual Report.</w:t>
      </w:r>
    </w:p>
    <w:p>
      <w:pPr>
        <w:spacing w:after="0" w:line="6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The following table presents our summary consolidated statements of comprehensive income for the fiscal years ended June 30, 2023, 2022, and 2021, respectively.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10"/>
          </w:tcPr>
          <w:p>
            <w:pPr>
              <w:jc w:val="right"/>
              <w:ind w:right="842"/>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third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150,298,963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151,970,357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125,792,221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Revenue from related parties</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57,576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52,024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269,472</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from third parties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2"/>
              </w:rPr>
              <w:t>(115,827,597)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(110,989,394)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(85,664,401)</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Cost of revenue from related parties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(47,212)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(43,951)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(226,356)</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34,481,730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40,989,036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40,170,936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(3,300,555)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(4,103,066)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(3,753,236)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(R&amp;D) expenses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(8,336,999)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(7,971,145)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(13,337,913)</w:t>
            </w:r>
          </w:p>
        </w:tc>
        <w:tc>
          <w:tcPr>
            <w:tcW w:w="0" w:type="dxa"/>
            <w:vAlign w:val="bottom"/>
          </w:tcPr>
          <w:p>
            <w:pPr>
              <w:spacing w:after="0"/>
              <w:rPr>
                <w:sz w:val="1"/>
                <w:szCs w:val="1"/>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(21,641,317)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(23,045,664)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(16,784,688)</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(2,382,538)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ind w:left="320"/>
              <w:spacing w:after="0" w:line="201" w:lineRule="exact"/>
              <w:rPr>
                <w:sz w:val="20"/>
                <w:szCs w:val="20"/>
                <w:color w:val="auto"/>
              </w:rPr>
            </w:pPr>
            <w:r>
              <w:rPr>
                <w:rFonts w:ascii="Arial" w:cs="Arial" w:eastAsia="Arial" w:hAnsi="Arial"/>
                <w:sz w:val="18"/>
                <w:szCs w:val="18"/>
                <w:color w:val="auto"/>
              </w:rPr>
              <w:t>Subsidies and other operating income</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1,256,070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1,536,394</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2,080,087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(34,405,339</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(33,583,481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(31,795,750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76,391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7,405,555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8,375,186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854,250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296,319</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(430,357)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(575,605)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(351,045)</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 and share of income in equity investees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7,684,200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0"/>
                <w:szCs w:val="20"/>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674,344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3,045,992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1,257,124</w:t>
            </w:r>
          </w:p>
        </w:tc>
        <w:tc>
          <w:tcPr>
            <w:tcW w:w="0" w:type="dxa"/>
            <w:vAlign w:val="bottom"/>
          </w:tcPr>
          <w:p>
            <w:pPr>
              <w:spacing w:after="0"/>
              <w:rPr>
                <w:sz w:val="1"/>
                <w:szCs w:val="1"/>
                <w:color w:val="auto"/>
              </w:rPr>
            </w:pPr>
          </w:p>
        </w:tc>
      </w:tr>
      <w:tr>
        <w:trPr>
          <w:trHeight w:val="23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share of income in equity investees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spacing w:after="0" w:line="201" w:lineRule="exact"/>
              <w:rPr>
                <w:sz w:val="20"/>
                <w:szCs w:val="20"/>
                <w:color w:val="auto"/>
              </w:rPr>
            </w:pPr>
            <w:r>
              <w:rPr>
                <w:rFonts w:ascii="Arial" w:cs="Arial" w:eastAsia="Arial" w:hAnsi="Arial"/>
                <w:sz w:val="18"/>
                <w:szCs w:val="18"/>
                <w:color w:val="auto"/>
              </w:rPr>
              <w:t>Share of income (loss) in equity investees, net of tax</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70,263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(50,297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(44,121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4,587,911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ind w:left="16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132,483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202,643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192,529</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4,455,428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6,816,572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Foreign currency translation (loss)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(3,532,507)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(1,828,542)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2,695,223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Foreign currency translation (loss) income attributable to noncontrolling interests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(92,161)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102,475</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Other comprehensive (loss) income attributable to CLPS Incorporation’s shareholders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(3,440,346)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(1,780,331)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2,592,748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(loss) income attributable to CLPS Incorporation’s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(3,247,817)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2,675,097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9,409,320</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(119,125)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84,272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305,118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(3,366,942)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2,759,369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9,714,438</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20,924,683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17,279,443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21,057,063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17,569,440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income before income tax and share of income of equity investees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14,869,062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13,449,156</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net income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5,026,399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11,772,773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12,147,911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11,640,290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11,945,268</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basic earnings per common share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20,924,683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17,279,443</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Non-GAAP diluted earnings per common share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21,057,063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17,569,440</w:t>
            </w:r>
          </w:p>
        </w:tc>
        <w:tc>
          <w:tcPr>
            <w:tcW w:w="0" w:type="dxa"/>
            <w:vAlign w:val="bottom"/>
          </w:tcPr>
          <w:p>
            <w:pPr>
              <w:spacing w:after="0"/>
              <w:rPr>
                <w:sz w:val="1"/>
                <w:szCs w:val="1"/>
                <w:color w:val="auto"/>
              </w:rPr>
            </w:pPr>
          </w:p>
        </w:tc>
      </w:tr>
      <w:tr>
        <w:trPr>
          <w:trHeight w:val="554"/>
        </w:trPr>
        <w:tc>
          <w:tcPr>
            <w:tcW w:w="73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5" w:right="339" w:bottom="0" w:gutter="0" w:footer="0" w:header="0"/>
        </w:sectPr>
      </w:pPr>
    </w:p>
    <w:bookmarkStart w:id="8" w:name="page9"/>
    <w:bookmarkEnd w:id="8"/>
    <w:p>
      <w:pPr>
        <w:ind w:left="640"/>
        <w:spacing w:after="0"/>
        <w:rPr>
          <w:sz w:val="20"/>
          <w:szCs w:val="20"/>
          <w:color w:val="auto"/>
        </w:rPr>
      </w:pPr>
      <w:r>
        <w:rPr>
          <w:rFonts w:ascii="Arial" w:cs="Arial" w:eastAsia="Arial" w:hAnsi="Arial"/>
          <w:sz w:val="18"/>
          <w:szCs w:val="18"/>
          <w:b w:val="1"/>
          <w:bCs w:val="1"/>
          <w:color w:val="auto"/>
        </w:rPr>
        <w:t>The following table presents our consolidated balance sheet data as of June 30, 2023 and 2022,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660" w:type="dxa"/>
            <w:vAlign w:val="bottom"/>
          </w:tcPr>
          <w:p>
            <w:pPr>
              <w:spacing w:after="0" w:line="195"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22,214,029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18,396,987</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48,515,467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53,769,887</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1,665,736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4,215,414</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391,271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377,642</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72,874,107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76,759,930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20,112,305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20,601,098</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726,175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970,044</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2,363,841</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815,324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456,598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610,386</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252,656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248,456</w:t>
            </w:r>
          </w:p>
        </w:tc>
        <w:tc>
          <w:tcPr>
            <w:tcW w:w="0" w:type="dxa"/>
            <w:vAlign w:val="bottom"/>
          </w:tcPr>
          <w:p>
            <w:pPr>
              <w:spacing w:after="0"/>
              <w:rPr>
                <w:sz w:val="1"/>
                <w:szCs w:val="1"/>
                <w:color w:val="auto"/>
              </w:rPr>
            </w:pPr>
          </w:p>
        </w:tc>
      </w:tr>
      <w:tr>
        <w:trPr>
          <w:trHeight w:val="26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81,899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327,040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866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95,319,064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101,880,795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Bank loans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10,554,617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14,474,363</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690,035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343,597</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324,021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352,402</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2,355,066</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918,470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587,140</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10,586,239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12,203,933</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712,302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party</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66,884</w:t>
            </w: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26,313,948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30,383,385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150,547</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2,587,194</w:t>
            </w: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885,901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959,069</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29,810,263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34,080,195</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3"/>
              </w:rPr>
              <w:t>Common stock, $0.0001 par value, 100,000,000 shares authorized; 23,650,122 shares issued and outstanding as of</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2023; 22,444,822 shares issued and outstanding as of June 30, 2022</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58,183,383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55,705,209</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5,356,828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5,071,876</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5,029,021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6,323,792</w:t>
            </w: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(3,990,594)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(550,248)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6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64,581,003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66,552,873</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927,798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1,247,727</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65,508,801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67,800,600</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95,319,064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101,880,795</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5580"/>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86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9" w:name="page10"/>
    <w:bookmarkEnd w:id="9"/>
    <w:p>
      <w:pPr>
        <w:ind w:right="20" w:firstLine="640"/>
        <w:spacing w:after="0" w:line="270"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September 29, 2023, the buying rate announced by the Federal Reserve Statistical Release was RMB 7.2960 to $1.00.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8"/>
                <w:szCs w:val="18"/>
                <w:b w:val="1"/>
                <w:bCs w:val="1"/>
                <w:color w:val="auto"/>
              </w:rPr>
              <w:t>Spot Exchange Rate</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1"/>
              <w:spacing w:after="0" w:line="195" w:lineRule="exact"/>
              <w:rPr>
                <w:sz w:val="20"/>
                <w:szCs w:val="20"/>
                <w:color w:val="auto"/>
              </w:rPr>
            </w:pPr>
            <w:r>
              <w:rPr>
                <w:rFonts w:ascii="Arial" w:cs="Arial" w:eastAsia="Arial" w:hAnsi="Arial"/>
                <w:sz w:val="18"/>
                <w:szCs w:val="18"/>
                <w:b w:val="1"/>
                <w:bCs w:val="1"/>
                <w:color w:val="auto"/>
              </w:rPr>
              <w:t>Period</w:t>
            </w: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b w:val="1"/>
                <w:bCs w:val="1"/>
                <w:color w:val="auto"/>
              </w:rPr>
              <w:t>Ended</w:t>
            </w:r>
          </w:p>
        </w:tc>
        <w:tc>
          <w:tcPr>
            <w:tcW w:w="1480" w:type="dxa"/>
            <w:vAlign w:val="bottom"/>
          </w:tcPr>
          <w:p>
            <w:pPr>
              <w:jc w:val="right"/>
              <w:ind w:right="351"/>
              <w:spacing w:after="0"/>
              <w:rPr>
                <w:sz w:val="20"/>
                <w:szCs w:val="20"/>
                <w:color w:val="auto"/>
              </w:rPr>
            </w:pPr>
            <w:r>
              <w:rPr>
                <w:rFonts w:ascii="Arial" w:cs="Arial" w:eastAsia="Arial" w:hAnsi="Arial"/>
                <w:sz w:val="18"/>
                <w:szCs w:val="18"/>
                <w:b w:val="1"/>
                <w:bCs w:val="1"/>
                <w:color w:val="auto"/>
              </w:rPr>
              <w:t>Average (1)</w:t>
            </w: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Low</w:t>
            </w:r>
          </w:p>
        </w:tc>
        <w:tc>
          <w:tcPr>
            <w:tcW w:w="114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r>
      <w:tr>
        <w:trPr>
          <w:trHeight w:val="22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2"/>
          </w:tcPr>
          <w:p>
            <w:pPr>
              <w:jc w:val="right"/>
              <w:ind w:right="711"/>
              <w:spacing w:after="0"/>
              <w:rPr>
                <w:sz w:val="20"/>
                <w:szCs w:val="20"/>
                <w:color w:val="auto"/>
              </w:rPr>
            </w:pPr>
            <w:r>
              <w:rPr>
                <w:rFonts w:ascii="Arial" w:cs="Arial" w:eastAsia="Arial" w:hAnsi="Arial"/>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6.5250</w:t>
            </w:r>
          </w:p>
        </w:tc>
        <w:tc>
          <w:tcPr>
            <w:tcW w:w="148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6.9043</w:t>
            </w:r>
          </w:p>
        </w:tc>
        <w:tc>
          <w:tcPr>
            <w:tcW w:w="132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6.5208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6.3726</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6.4382</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6.3640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6.5518</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6.8972</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6.7290</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6.3084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7.3048</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January</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6.7540</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6.7904</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6.7010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6.9135</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February</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6.9325</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6.8380</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6.7266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6.9545</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6.8676</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6.8909</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6.8188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6.9630</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April</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6.9110</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6.8876</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6.8677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6.9320</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7.1100</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6.9854</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6.9094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7.1100</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June</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7.2513</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7.1614</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7.0827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7.2515</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7.1426</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7.1863</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7.1340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w:t>
            </w:r>
          </w:p>
        </w:tc>
      </w:tr>
      <w:tr>
        <w:trPr>
          <w:trHeight w:val="213"/>
        </w:trPr>
        <w:tc>
          <w:tcPr>
            <w:tcW w:w="5980" w:type="dxa"/>
            <w:vAlign w:val="bottom"/>
            <w:gridSpan w:val="2"/>
          </w:tcPr>
          <w:p>
            <w:pPr>
              <w:ind w:left="160"/>
              <w:spacing w:after="0"/>
              <w:rPr>
                <w:sz w:val="20"/>
                <w:szCs w:val="20"/>
                <w:color w:val="auto"/>
              </w:rPr>
            </w:pPr>
            <w:r>
              <w:rPr>
                <w:rFonts w:ascii="Arial" w:cs="Arial" w:eastAsia="Arial" w:hAnsi="Arial"/>
                <w:sz w:val="18"/>
                <w:szCs w:val="18"/>
                <w:color w:val="auto"/>
              </w:rPr>
              <w:t>August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7.2582</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7.2486</w:t>
            </w: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7.1651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7.2985</w:t>
            </w:r>
          </w:p>
        </w:tc>
      </w:tr>
      <w:tr>
        <w:trPr>
          <w:trHeight w:val="213"/>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September</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7.2960</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7.2979</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7.2606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0" w:lineRule="exact"/>
        <w:rPr>
          <w:sz w:val="20"/>
          <w:szCs w:val="20"/>
          <w:color w:val="auto"/>
        </w:rPr>
      </w:pPr>
    </w:p>
    <w:p>
      <w:pPr>
        <w:ind w:left="640" w:right="260" w:hanging="63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color w:val="auto"/>
        </w:rPr>
        <w:t>Capitalization and Indebtedness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1280" w:hanging="633"/>
        <w:spacing w:after="0"/>
        <w:tabs>
          <w:tab w:leader="none" w:pos="1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 w:name="page11"/>
    <w:bookmarkEnd w:id="10"/>
    <w:p>
      <w:pPr>
        <w:ind w:left="1280" w:hanging="633"/>
        <w:spacing w:after="0"/>
        <w:tabs>
          <w:tab w:leader="none" w:pos="1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A summary of risk factors is provided concisely below:</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Risks Related to Our Business</w:t>
      </w:r>
    </w:p>
    <w:p>
      <w:pPr>
        <w:spacing w:after="0" w:line="224" w:lineRule="exact"/>
        <w:rPr>
          <w:sz w:val="20"/>
          <w:szCs w:val="20"/>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Ability to Manage Our Business and Growth</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Adverse Economic Conditions Affecting Our Clients’ Purchase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Intense Competition from Other Service Provider</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Lack of Skilled Employees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Lack of Diverse Clients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Collection of Account Receivables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Inability to Develop New Technology and Services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Inability to Continue Mergers and Acquisitions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Inability to Post-merger Integration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Inability to Generate New Businesses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Complexity to Evaluate Our Business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Lack of Full Utilization of Resources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Underestimate of Cap on Our Service Fees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Exposure to Wage-related High Costs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Pricing Pressure due to Competition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Unauthorized Disclosure of Confidential Client Information by Us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Unauthorized Use of Our Intellectual Property by Others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Inability to Raise Additional Capital</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Business Interruptions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COVID-19 Pandemic</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Fluctuation of Renminbi to US dollar Exchange Rate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Lack of Effective Internal Control in Our Company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Risks Related to Corporate Structure</w:t>
      </w:r>
    </w:p>
    <w:p>
      <w:pPr>
        <w:spacing w:after="0" w:line="224"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Refusal to Declare Dividends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Subsidiaries’ Bankruptcy</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Our Subsidiaries’ Lack of Regulatory Approval by Chinese Authorities</w:t>
      </w:r>
    </w:p>
    <w:p>
      <w:pPr>
        <w:spacing w:after="0" w:line="242" w:lineRule="exact"/>
        <w:rPr>
          <w:rFonts w:ascii="Arial" w:cs="Arial" w:eastAsia="Arial" w:hAnsi="Arial"/>
          <w:sz w:val="16"/>
          <w:szCs w:val="16"/>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Subsidiaries’ Chops Being Lost or Stolen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Non-compliance with PRC regulations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Adverse Economic Conditions in China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Lack of Permission to Do Business in China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Uncertainty on Compliance with Cybersecurity Law of China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Government Regulations on US-listed Chinese Companies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US Regulator’s Inability to Conduct Investigation in China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Tax Reporting Obligations in China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Related to PRC Regulations Governing Offshore Special Purpose Companies</w:t>
      </w:r>
    </w:p>
    <w:p>
      <w:pPr>
        <w:spacing w:after="0" w:line="231" w:lineRule="exact"/>
        <w:rPr>
          <w:rFonts w:ascii="Arial" w:cs="Arial" w:eastAsia="Arial" w:hAnsi="Arial"/>
          <w:sz w:val="17"/>
          <w:szCs w:val="17"/>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PRC Regulations Governing Inter-company Loans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Government Control on Currency Conversion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Complex M&amp;A Rules Governing Our Acquisitions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PRC Regulations Governing Registration of Employee Stock Ownership</w:t>
      </w:r>
    </w:p>
    <w:p>
      <w:pPr>
        <w:spacing w:after="0" w:line="242"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Subsidiaries’ Ability to Pay Dividends to Us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PRC Labor Law’s Restriction on Our Employment Practice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PCAOB’s Inability to Inspect Our Independent Auditors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Uncertainty as to the Cooperation between PCAOB and CSRC of China</w:t>
      </w:r>
    </w:p>
    <w:p>
      <w:pPr>
        <w:spacing w:after="0" w:line="242"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Possible Delisting under HFCAA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Accelerated Compliance Schedule under HFCAA</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Exposure to Direct Scrutiny by US Regulators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Regulations by Cyberspace Administration of China</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499"/>
          </w:cols>
          <w:pgMar w:left="960" w:top="868"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3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Our revenues grew from $126.1 million in fiscal 2021 to $152.0 million in fiscal 2022 and decreased to $150.4 million in fiscal 2023. We maintain 20 delivery and/or R&amp;D centers, of which 10 are located in Mainland China (Shanghai, Beijing, Dalian, Tianjin, Xi’an, Chengdu, Guangzhou, Shenzhen, Hangzhou, and Hainan) and ten are located globally (Hong Kong SAR, the United States of America, Japan, Singapore, Australia, Malaysia, India, the Philippines, Vietnam, and Canada), to serve different customers in various geographic locations. The number of our total employees grew from 3,352 in fiscal 2021 to 3,824 in fiscal 2022. As of June 30, 2023 we had 3,509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82" w:lineRule="exact"/>
        <w:rPr>
          <w:sz w:val="20"/>
          <w:szCs w:val="20"/>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 and management personnel;</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adhering to and further improving our high quality and process execution standards and maintaining high levels of client satisfaction.</w:t>
      </w:r>
    </w:p>
    <w:p>
      <w:pPr>
        <w:spacing w:after="0" w:line="23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8"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52"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15% and 15.4% in fiscal 2021 and fiscal 2022, respectively; in fiscal 2023, this rate was 18%.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4" w:name="page15"/>
    <w:bookmarkEnd w:id="14"/>
    <w:p>
      <w:pPr>
        <w:jc w:val="both"/>
        <w:spacing w:after="0" w:line="270"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2023, 2022, and 2021, Citibank and its affiliates accounted for 21.4%, 20.6%, and 19.1% of the Company’s total revenues, respectively. For fiscal 2023 and 2022,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one and three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2023 and 2022, our accounts receivable balance, net of allowance, amounted to approximately $48.5 million and $53.8 million, respectively. As of the years ended June 30, 2023 and 2022, Citibank accounted for 32.3% and 30.2% and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5" w:name="page16"/>
    <w:bookmarkEnd w:id="15"/>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8"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3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6" w:lineRule="exact"/>
        <w:rPr>
          <w:sz w:val="20"/>
          <w:szCs w:val="20"/>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ind w:left="960" w:hanging="313"/>
        <w:spacing w:after="0" w:line="270"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19" w:lineRule="exact"/>
        <w:rPr>
          <w:rFonts w:ascii="Arial" w:cs="Arial" w:eastAsia="Arial" w:hAnsi="Arial"/>
          <w:sz w:val="18"/>
          <w:szCs w:val="18"/>
          <w:color w:val="auto"/>
        </w:rPr>
      </w:pPr>
    </w:p>
    <w:p>
      <w:pPr>
        <w:ind w:left="960" w:right="20" w:hanging="313"/>
        <w:spacing w:after="0" w:line="270"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5"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93" w:lineRule="exact"/>
        <w:rPr>
          <w:sz w:val="20"/>
          <w:szCs w:val="20"/>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7" w:name="page18"/>
    <w:bookmarkEnd w:id="17"/>
    <w:p>
      <w:pPr>
        <w:ind w:left="960" w:hanging="31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implementing our strategy and modifying it from time to time to respond effectively to competition and changes in client preferences;</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1"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jc w:val="both"/>
        <w:spacing w:after="0" w:line="333" w:lineRule="auto"/>
        <w:rPr>
          <w:sz w:val="20"/>
          <w:szCs w:val="20"/>
          <w:color w:val="auto"/>
        </w:rPr>
      </w:pPr>
      <w:r>
        <w:rPr>
          <w:rFonts w:ascii="Arial" w:cs="Arial" w:eastAsia="Arial" w:hAnsi="Arial"/>
          <w:sz w:val="16"/>
          <w:szCs w:val="16"/>
          <w:b w:val="1"/>
          <w:bCs w:val="1"/>
          <w:i w:val="1"/>
          <w:iCs w:val="1"/>
          <w:color w:val="auto"/>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3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A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3"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5" w:lineRule="exact"/>
        <w:rPr>
          <w:sz w:val="20"/>
          <w:szCs w:val="20"/>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19" w:lineRule="exact"/>
        <w:rPr>
          <w:rFonts w:ascii="Arial" w:cs="Arial" w:eastAsia="Arial" w:hAnsi="Arial"/>
          <w:sz w:val="18"/>
          <w:szCs w:val="18"/>
          <w:color w:val="auto"/>
        </w:rPr>
      </w:pPr>
    </w:p>
    <w:p>
      <w:pPr>
        <w:ind w:left="960" w:hanging="313"/>
        <w:spacing w:after="0" w:line="300"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51" w:lineRule="exact"/>
        <w:rPr>
          <w:rFonts w:ascii="Arial" w:cs="Arial" w:eastAsia="Arial" w:hAnsi="Arial"/>
          <w:sz w:val="17"/>
          <w:szCs w:val="17"/>
          <w:color w:val="auto"/>
        </w:rPr>
      </w:pPr>
    </w:p>
    <w:p>
      <w:pPr>
        <w:ind w:left="960" w:hanging="313"/>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potentially adverse tax consequences, such as scrutiny of transfer pricing arrangements by authorities in the countries in which we operate;</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0"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5"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5"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1" w:name="page22"/>
    <w:bookmarkEnd w:id="21"/>
    <w:p>
      <w:pPr>
        <w:jc w:val="both"/>
        <w:spacing w:after="0" w:line="300"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52"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87"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5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8"/>
          <w:szCs w:val="18"/>
          <w:b w:val="1"/>
          <w:bCs w:val="1"/>
          <w:i w:val="1"/>
          <w:iCs w:val="1"/>
          <w:color w:val="auto"/>
        </w:rPr>
        <w:t>We may incur losses resulting from business interruptions resulting from occurrence of natural disasters, health epidemics and other outbreaks or events.</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negatively impacted by the COVID-19 pandemic.</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In December 2019, the 2019 novel coronavirus (COVID-19) surfaced in Wuhan, China. The World Health Organization declared a global emergency on January 30, 2020 with respect to the outbreak then characterized it as a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operational impact are expected to last until the end of fiscal 2023 and beyond. Similarly, we cannot estimate whether or to what extent this outbreak and potential financial impact may extend to countries outside of those currently impacted. At this point, the extent to which the coronavirus has slowed down our projected revenue growth is reflected in our fiscal 2023 financial statements and may continue to slow down our growth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(SGD), Hong Kong dollar (HKD), Australian dollar (AUD), Indian rupee (INR), Malaysian ringgit (MYR), Japanese yen (JPY), and Philippine peso (PHP)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71"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1"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spacing w:after="0" w:line="186"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Although we cease to be an “emerging growth company” on June 30, 2023 as such term is defined in the Jumpstart Our Business Startups Act (the “JOBS Act”), we are a non-accelerated filer and are exempt from Section 404 requirement to have auditor attestation on our internal control over financial reporting, therefore affording investors less statutory protection.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168"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jc w:val="both"/>
        <w:ind w:firstLine="640"/>
        <w:spacing w:after="0" w:line="252" w:lineRule="auto"/>
        <w:rPr>
          <w:sz w:val="20"/>
          <w:szCs w:val="20"/>
          <w:color w:val="auto"/>
        </w:rPr>
      </w:pPr>
      <w:r>
        <w:rPr>
          <w:rFonts w:ascii="Arial" w:cs="Arial" w:eastAsia="Arial" w:hAnsi="Arial"/>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8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0"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Although we paid a special dividend of $0.05 per share of common stock on January 10, 2023, there is no assurance that our Board of Directors will continue to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75"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Pursuant to Company Law of P.R. China (2018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jc w:val="both"/>
        <w:spacing w:after="0" w:line="415" w:lineRule="auto"/>
        <w:rPr>
          <w:sz w:val="20"/>
          <w:szCs w:val="20"/>
          <w:color w:val="auto"/>
        </w:rPr>
      </w:pPr>
      <w:r>
        <w:rPr>
          <w:rFonts w:ascii="Arial" w:cs="Arial" w:eastAsia="Arial" w:hAnsi="Arial"/>
          <w:sz w:val="14"/>
          <w:szCs w:val="14"/>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84"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67"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173"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7" w:name="page28"/>
    <w:bookmarkEnd w:id="27"/>
    <w:p>
      <w:pPr>
        <w:jc w:val="both"/>
        <w:ind w:firstLine="640"/>
        <w:spacing w:after="0" w:line="283" w:lineRule="auto"/>
        <w:rPr>
          <w:sz w:val="20"/>
          <w:szCs w:val="20"/>
          <w:color w:val="auto"/>
        </w:rPr>
      </w:pPr>
      <w:r>
        <w:rPr>
          <w:rFonts w:ascii="Arial" w:cs="Arial" w:eastAsia="Arial" w:hAnsi="Arial"/>
          <w:sz w:val="16"/>
          <w:szCs w:val="16"/>
          <w:color w:val="auto"/>
        </w:rPr>
        <w:t>As the CSRC determine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86"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52"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Cyber Security Law as well as any impact it may have on our business operations.</w:t>
      </w:r>
    </w:p>
    <w:p>
      <w:pPr>
        <w:spacing w:after="0" w:line="175"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6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9" w:name="page30"/>
    <w:bookmarkEnd w:id="29"/>
    <w:p>
      <w:pPr>
        <w:jc w:val="both"/>
        <w:ind w:firstLine="640"/>
        <w:spacing w:after="0" w:line="269" w:lineRule="auto"/>
        <w:rPr>
          <w:sz w:val="20"/>
          <w:szCs w:val="20"/>
          <w:color w:val="auto"/>
        </w:rPr>
      </w:pPr>
      <w:r>
        <w:rPr>
          <w:rFonts w:ascii="Arial" w:cs="Arial" w:eastAsia="Arial" w:hAnsi="Arial"/>
          <w:sz w:val="17"/>
          <w:szCs w:val="17"/>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spacing w:after="0" w:line="18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July 30, 2021,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spacing w:after="0" w:line="172"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spacing w:after="0" w:line="19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On November 14, 2021, CAC published Regulations for the Administration of Network Data Security (Draft for public comment, hereinafter the “Draft”). Article 2 of the Draft stipulates that “these Regulations apply to data processing activities carried out through networks as well as the supervision and regulation of network data security within the territory of the People’s Republic of China. We do not believe the current business of CLPS involves any “data processing activities”. In the foreseeable future, it is our understanding that CLPS will not engage in “data process activities”. Therefore, we believe that the Draft does not apply to CLPS. The Draft has no substantial impact on the business of CLPS.</w:t>
      </w:r>
    </w:p>
    <w:p>
      <w:pPr>
        <w:spacing w:after="0" w:line="177"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On September 28, 2023, the CAC promulgated the Regulation to Standardize and Promote Cross-border Data Flow (Draft for public comment, hereinafter the “Draft”), the feedback period of which will end on October 15, 2023. The Draft mainly focus on specifying those scenarios which are not required to apply for security assessment for data to be provided abroad, to conclude a standard contract for personal information to be provided abroad or to pass the certification for personal information protection. It is remarkable that, according to Article 5 of the Draft, in the event that it is estimated to provide abroad personal information of less than 10,000 individuals within one year, it is not required to proceed the aforementioned processes. However, if such information is to be provided abroad based on the consent of such individuals, the consent from the personal information subjects shall be obtained. Also, Article 2 of the Draft stipulates that “For the data that have not been informed by relevant departments or regions or have not been publicly announced as critical data, the data processor is not required to apply for security assessment for the data to be provided abroad as critical data”, according to which, the standard for identifying important data is clarified. Therefore, we understand that, as CLPS has not received any such notification from relevant departments or regions, and the data that it processes has not been publicly announced as critical data, CLPS shall not be recognized as a “critical data processor”.</w:t>
      </w:r>
    </w:p>
    <w:p>
      <w:pPr>
        <w:spacing w:after="0" w:line="17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20-F,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20-F, the current applicable PRC laws on cybersecurity would have a material adverse impact on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some uncertainties may limit legal protections available to us. In addition, we may have to resort to administrative and court proceedings to enforce the legal protection that we enjoy either by law or contract. However, since partial statutory and contractual terms may remain reasonable blank or uncertainty due to the rapid evolvement, it may be difficult to predict the outcome of administrative and court proceedings and the level of legal protection we enjoy. We cannot predict the effect of future developments in the PRC legal system, including the promulgation of new laws, changes to existing laws or the interpretation or enforcement thereof. These uncertainties could limit the legal protections available to us and other foreign investors, including you. In addition, any litigation in China may result in substantial costs and diversion of our resources and management attention.</w:t>
      </w:r>
    </w:p>
    <w:p>
      <w:pPr>
        <w:spacing w:after="0" w:line="18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73"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According to unofficial sources, the CSRC met with PRC lawyers on July 20, 2023 and asked them not to portray China’s policies or business and legal environment over-negatively in companies’ listing prospectuses. We have not found the official report on the aforesaid news on the official website of the CSRC and therefore cannot judge its authenticity. However, according to Articles 12 and 24 of the Trial Measures, securities companies, securities service agencies and personnel engaged in the overseas offering and listing business of domestic enterprises are not allowed to express their opinions in documents produced or issued in a manner that is distorted or derogatory to the national laws and policies, the business environment, the judicial situation, etc., or else measures such as ordering rectification, supervisory conversations, issuance of warning letters, etc., may be imposed. Taking into account the aforementioned unofficial information and regulations of the Trial Measures, we believe that our PRC counsel may express limited opinions on China’s legal policies, business environment and judicial situation as compared to the opinions provided by the same previously.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1" w:name="page32"/>
    <w:bookmarkEnd w:id="31"/>
    <w:p>
      <w:pPr>
        <w:jc w:val="both"/>
        <w:ind w:firstLine="640"/>
        <w:spacing w:after="0" w:line="258" w:lineRule="auto"/>
        <w:rPr>
          <w:sz w:val="20"/>
          <w:szCs w:val="20"/>
          <w:color w:val="auto"/>
        </w:rPr>
      </w:pPr>
      <w:r>
        <w:rPr>
          <w:rFonts w:ascii="Arial" w:cs="Arial" w:eastAsia="Arial" w:hAnsi="Arial"/>
          <w:sz w:val="18"/>
          <w:szCs w:val="18"/>
          <w:color w:val="auto"/>
        </w:rPr>
        <w:t>In response to CSRC’s reported action on July 20, 2023 described in the preceding paragraph, on August 16, 2023 the U.S. SEC issued a public statement requiring “meaningful disclosure” by Chinese issuers. We may fail to meet the “meaningful disclosure” standard while complying with the CSRC’s reported guidance to PRC counsel.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of Intervention or Control by the PRC Government</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As a China-based company listed on NASDAQ in the United States, it is important to acknowledge the significant influence and regulatory oversight exercised by the PRC government over our operations. The PRC government’s involvement can have a material impact on our business and the value of our securities. We operate in accordance with the laws and regulations of China, which can change and be subject to interpretation by authorities. The PRC government may have authority over various aspects of our business, including regulatory approvals, licensing, and permits. Changes in government policies, geopolitical factors, or other external influences may result in regulatory decisions that could affect our ability to operate effectively or access capital markets. It is essential for investors to recognize the potential uncertainties associated with the PRC government’s involvement, which may lead to increased volatility in the trading of our securities and could impact their market value. We encourage investors to consider these unique challenges when evaluating our company as an investment opportunity.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uncertainty regarding the PRC tax reporting obligations and consequences for certain indirect transfers of the stock of our operating company.</w:t>
      </w:r>
    </w:p>
    <w:p>
      <w:pPr>
        <w:spacing w:after="0" w:line="266"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April 23, 2019,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6"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68"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67"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3" w:name="page34"/>
    <w:bookmarkEnd w:id="33"/>
    <w:p>
      <w:pPr>
        <w:jc w:val="both"/>
        <w:spacing w:after="0" w:line="415" w:lineRule="auto"/>
        <w:rPr>
          <w:sz w:val="20"/>
          <w:szCs w:val="20"/>
          <w:color w:val="auto"/>
        </w:rPr>
      </w:pPr>
      <w:r>
        <w:rPr>
          <w:rFonts w:ascii="Arial" w:cs="Arial" w:eastAsia="Arial" w:hAnsi="Arial"/>
          <w:sz w:val="14"/>
          <w:szCs w:val="14"/>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8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88"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77"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93"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6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7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5"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77"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18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jc w:val="both"/>
        <w:ind w:firstLine="640"/>
        <w:spacing w:after="0" w:line="289" w:lineRule="auto"/>
        <w:rPr>
          <w:sz w:val="20"/>
          <w:szCs w:val="20"/>
          <w:color w:val="auto"/>
        </w:rPr>
      </w:pPr>
      <w:r>
        <w:rPr>
          <w:rFonts w:ascii="Arial" w:cs="Arial" w:eastAsia="Arial" w:hAnsi="Arial"/>
          <w:sz w:val="16"/>
          <w:szCs w:val="16"/>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6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As a holding company, we conduct substantially all of our business through our consolidated subsidiaries incorporated in Mainland China, Hong Kong SAR, and Singapore.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1"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w:t>
      </w:r>
    </w:p>
    <w:p>
      <w:pPr>
        <w:spacing w:after="0" w:line="193"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common shares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the SEC may subsequently impose on a ban on trading of our Common Stock. A ban on trading of our Common Stock would substantially impair investors’ ability to sell or purchase our Common Stock, and the risk and uncertainty associated with the ban would have a negative impact on the price of shares of our Common Stock.</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Holding Foreign Companies Accountable Act could result in delisting of our common stock from Nasdaq Capital Market and lack of a readily available market for our common stock.</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December 18, 2020, the Holding Foreign Companies Accountable Act (“HFCAA”) became law. Among other things, the HFCAA requires the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SEC to identify public companies that have retained a registered public accounting firm to issue an audit report where that firm has a branch or office that:</w:t>
      </w:r>
    </w:p>
    <w:p>
      <w:pPr>
        <w:spacing w:after="0" w:line="29" w:lineRule="exact"/>
        <w:rPr>
          <w:sz w:val="20"/>
          <w:szCs w:val="20"/>
          <w:color w:val="auto"/>
        </w:rPr>
      </w:pPr>
    </w:p>
    <w:p>
      <w:pPr>
        <w:jc w:val="both"/>
        <w:ind w:firstLine="7"/>
        <w:spacing w:after="0" w:line="283" w:lineRule="auto"/>
        <w:tabs>
          <w:tab w:leader="none" w:pos="2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Mainland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is a Listed Auditor subject to the determinations announced by the PCAOB on December 16, 2021. Our Auditor is located in China.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8" w:name="page39"/>
    <w:bookmarkEnd w:id="38"/>
    <w:p>
      <w:pPr>
        <w:jc w:val="both"/>
        <w:ind w:firstLine="640"/>
        <w:spacing w:after="0" w:line="267" w:lineRule="auto"/>
        <w:rPr>
          <w:sz w:val="20"/>
          <w:szCs w:val="20"/>
          <w:color w:val="auto"/>
        </w:rPr>
      </w:pPr>
      <w:r>
        <w:rPr>
          <w:rFonts w:ascii="Arial" w:cs="Arial" w:eastAsia="Arial" w:hAnsi="Arial"/>
          <w:sz w:val="17"/>
          <w:szCs w:val="17"/>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18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8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6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auto"/>
        </w:rPr>
        <w:t>On December 15, 2022, the PCAOB announced that it was able to secure complete access to inspect and investigate PCAOB-registered public accounting firms headquartered in Mainland China and Hong Kong in 2022. The PCAOB vacated its previous 2021 determinations that the PCAOB was unable to inspect or investigate completely registered public accounting firms headquartered in Mainland China and Hong Kong. For this reason, we do not expect to be identified as a Commission-Identified Issuer following the filing of this annual report. However, it is uncertain whether the PCAOB will continue to be able to satisfactorily conduct inspections of PCAOB-registered public accounting firms headquartered in Mainland China and Hong Kong in the future, which ability depends on a number of factors beyond our, and our auditor’s, control, including the uncertainties surrounding the relationship between China and the United States. If in the future the PCAOB finds that it is unable to completely inspect and investigate registered public accounting firms headquartered in Mainland China or Hong Kong, the PCAOB may act immediately to consider the need to issue new determinations consistent with the HFCAA, and we may be identified as a Commission-Identified Issuer again. In accordance with the HFCAA as amended by the Consolidated Appropriations Act, 2023, if the PCAOB is unable to continue to inspect or investigate completely registered public accounting firms headquartered in Mainland China or Hong Kong, including our independent registered public accounting firm, for two consecutive years, our securities would be delisted from Nasdaq and will be prohibited from trading on other U.S. stock exchanges and “over-the-counter” in the U.S. This potential lack of full audit and inspection could deprive investors in our Common Stock of the benefits of PCAOB oversight and inspections. The potential inability of the PCAOB to conduct inspections of auditors in Mainland China and Hong Kong SAR could make it more difficult to evaluate the effectiveness of our Auditor’s audit procedures or quality control procedures as compared to auditors outside of Mainland China and Hong Kong SAR that are subject to complete audit and investigation by the PCAOB. This potential limitation on PCAOB audit and inspection could cause investors and potential investors in our Common Stock to lose confidence in our audit procedures and reported financial information and the quality of our financial statements. This potential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should determine that it cannot inspect or investigate completely our Auditor, and that as a result, Nasdaq may determine to delist our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b w:val="1"/>
          <w:bCs w:val="1"/>
          <w:i w:val="1"/>
          <w:iCs w:val="1"/>
          <w:color w:val="auto"/>
        </w:rPr>
        <w:t>Under the current version of HFCAA, an SEC ban on trading shares of Common Stock in the U.S. could take place if we have a Listed Auditor (a public auditor that cannot be completely audited and investigated by the PCAOB for three consecutive fiscal years).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9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18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HFCAA or other efforts to increase U.S. regulatory access to audit information could cause investor uncertainty for affected issuers, like our company, and the market price of the shares could be adversely affected. In addition, while the PCAOB announced in December 2022 that it secured complete access to inspect and investigate registered public accounting firms headquartered in China, we cannot assure you that the PCAOB will continue to have such access in the future. If the PCAOB is not able to inspect and investigate completely auditors in China for any reason, such as any change in the position of the governmental authorities in China in the future, the SEC may subsequently impose on a ban on trading of our Common Stock.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Efforts to increase U.S. Regulatory access to information about companies in Mainland China or Hong Kong SAR in order to enhance transparency for investors in U.S. corporations traded on U.S. stock markets but with substantial operations in Mainland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enactment of the Accelerating Holding Foreign Companies Accountable Act has decreased the number of non-inspection years from three to two years under HFCAA, thus reducing the time period before our shares of Common Stock may be banned from being traded in the U.S.</w:t>
      </w:r>
    </w:p>
    <w:p>
      <w:pPr>
        <w:spacing w:after="0" w:line="16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Accelerating Holding Foreign Companies Accountable Act was passed by the US House of Representatives as part of the Omnibus Spending Bill on December 23, 2022 and was signed into law by Pres. Biden soon thereafter, thus shortening the time for the US SEC to delist a non-compliant company from three years to two years if the PCAOB determines that it is unable to inspect or investigate a public company’s independent auditors in a foreign jurisdiction. If the PCAOB is not able to inspect and investigate completely our auditors in China for any reason, the SEC will subsequently prohibit our Common Stock to be listed on any of the U.S. securities exchanges or be traded over-the-counter two years after the PCAOB determination instead of three years under HFCAA.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0" w:name="page41"/>
    <w:bookmarkEnd w:id="40"/>
    <w:p>
      <w:pPr>
        <w:jc w:val="both"/>
        <w:spacing w:after="0" w:line="258" w:lineRule="auto"/>
        <w:rPr>
          <w:sz w:val="20"/>
          <w:szCs w:val="20"/>
          <w:color w:val="auto"/>
        </w:rPr>
      </w:pPr>
      <w:r>
        <w:rPr>
          <w:rFonts w:ascii="Arial" w:cs="Arial" w:eastAsia="Arial" w:hAnsi="Arial"/>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86"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annual report.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government regulation of business activities of U.S.-listed Chinese companies may negatively impact our operations.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annual report, there is no known regulatory involvement of the nature described in this paragraph and there is no discernible immediate impact on our company under the recent regulatory developments described in this paragraph.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1" w:name="page42"/>
    <w:bookmarkEnd w:id="41"/>
    <w:p>
      <w:pPr>
        <w:jc w:val="both"/>
        <w:ind w:firstLine="640"/>
        <w:spacing w:after="0" w:line="264" w:lineRule="auto"/>
        <w:rPr>
          <w:sz w:val="20"/>
          <w:szCs w:val="20"/>
          <w:color w:val="auto"/>
        </w:rPr>
      </w:pPr>
      <w:r>
        <w:rPr>
          <w:rFonts w:ascii="Arial" w:cs="Arial" w:eastAsia="Arial" w:hAnsi="Arial"/>
          <w:sz w:val="17"/>
          <w:szCs w:val="17"/>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75"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PRC legal system is based on written statutes and court decisions that have limited precedential value. The PRC legal system is evolving rapidly, and therefore the interpretations and enforcement of many laws, regulations and rules may contain reasonable uncertainties.</w:t>
      </w:r>
    </w:p>
    <w:p>
      <w:pPr>
        <w:spacing w:after="0" w:line="15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partial statutory and contractual terms may remain reasonable blank or uncertainty due to the rapid evolvement, it may be difficult to predict the outcome of a judicial or administrative proceeding.</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Permissions Required from the PRC Authorities for Our Operations</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We conduct our business primarily through our subsidiaries in China. Our operations in China are governed by PRC laws and regulations. As of the date of this annual report,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2" w:name="page43"/>
    <w:bookmarkEnd w:id="42"/>
    <w:p>
      <w:pPr>
        <w:jc w:val="both"/>
        <w:ind w:firstLine="640"/>
        <w:spacing w:after="0" w:line="255" w:lineRule="auto"/>
        <w:rPr>
          <w:sz w:val="20"/>
          <w:szCs w:val="20"/>
          <w:color w:val="auto"/>
        </w:rPr>
      </w:pPr>
      <w:r>
        <w:rPr>
          <w:rFonts w:ascii="Arial" w:cs="Arial" w:eastAsia="Arial" w:hAnsi="Arial"/>
          <w:sz w:val="18"/>
          <w:szCs w:val="18"/>
          <w:color w:val="auto"/>
        </w:rPr>
        <w:t>Furthermore, in connection with our issuance of securities to foreign investors, under current PRC laws, regulations and regulatory rules, as of the date of this annual report, we, our PRC subsidiaries,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However, the PRC government has recently indicated an intent to exert more oversight and control over offerings that are conducted overseas and/or foreign investment in China-based issuers.</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7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82"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3" w:name="page44"/>
    <w:bookmarkEnd w:id="43"/>
    <w:p>
      <w:pPr>
        <w:jc w:val="both"/>
        <w:ind w:firstLine="640"/>
        <w:spacing w:after="0" w:line="265" w:lineRule="auto"/>
        <w:rPr>
          <w:sz w:val="20"/>
          <w:szCs w:val="20"/>
          <w:color w:val="auto"/>
        </w:rPr>
      </w:pPr>
      <w:r>
        <w:rPr>
          <w:rFonts w:ascii="Arial" w:cs="Arial" w:eastAsia="Arial" w:hAnsi="Arial"/>
          <w:sz w:val="17"/>
          <w:szCs w:val="17"/>
          <w:color w:val="auto"/>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183"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As the CSRC determine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subsidiaries in Mainland China are subject to restrictions on paying dividends and making other payments to our holding company.</w:t>
      </w:r>
    </w:p>
    <w:p>
      <w:pPr>
        <w:spacing w:after="0" w:line="231"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4" w:name="page45"/>
    <w:bookmarkEnd w:id="44"/>
    <w:p>
      <w:pPr>
        <w:jc w:val="both"/>
        <w:ind w:firstLine="640"/>
        <w:spacing w:after="0" w:line="251"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2021, 2022, and 2023, the Company provided cash support to its subsidiaries in Mainland China, Singapore and Hong Kong SAR. The amounts were offset when the Company’s consolidated financial statements were prepared. The balances due from subsidiaries to the Company were US$7.6 million, US$22.8 million, and US$24.7 million as of June 30 for fiscal 2021, 2022, and 2023, respectively. The subsidiaries provide cash support to the Company according its business development plan. The balances due to subsidiaries from the Company were Nil, US$7.1 million, and US$7.6 million as of June 30 for fiscal 2021, 2022, and 2023, respectively. The balances were reflected in the section “PARENT COMPANY ONLY CONDENSED FINANCIAL INFORMATION” in our financial statements for fiscal 2021, 2022, and 2023, respectively.</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5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9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do not expect that, as of the date of this annual report, the current applicable PRC laws on cybersecurity would have a material adverse impact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regulatory requirements to prepare sufficiently for cybersecurity incident.</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July 26, 2023, the SEC promulgated final rules requiring public companies to have sufficient measures against cybersecurity incidents, including certain corporate governance and reporting requirements. If we are not able to implement relevant measures to comply with the SEC rules by December 31, 2023, we may be assessed a regulatory penalty due to non-compliance of the SEC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continued listing standards on the NASDAQ Global Market.</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67" w:lineRule="exact"/>
        <w:rPr>
          <w:sz w:val="20"/>
          <w:szCs w:val="20"/>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6"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75" w:lineRule="exact"/>
        <w:rPr>
          <w:sz w:val="20"/>
          <w:szCs w:val="20"/>
          <w:color w:val="auto"/>
        </w:rPr>
      </w:pPr>
    </w:p>
    <w:p>
      <w:pPr>
        <w:ind w:left="960" w:hanging="31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7" w:name="page48"/>
    <w:bookmarkEnd w:id="47"/>
    <w:p>
      <w:pPr>
        <w:jc w:val="both"/>
        <w:ind w:firstLine="640"/>
        <w:spacing w:after="0" w:line="289"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and, accordingly, the next determination will be made with respect to us on or after December 31, 2023.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reply on exemption from auditor attestation requirements as a non-accelerated filer.</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Although we cease to be an “emerging growth company” on June 30, 2023 as such term is defined in the JOBS Act, we are a non-accelerated filer and are exempt from Section 404 requirement to have auditor attestation on our internal control over financial reporting, therefore affording investors less statutory protection.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1"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6"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17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67" w:lineRule="exact"/>
        <w:rPr>
          <w:sz w:val="20"/>
          <w:szCs w:val="20"/>
          <w:color w:val="auto"/>
        </w:rPr>
      </w:pPr>
    </w:p>
    <w:p>
      <w:pPr>
        <w:jc w:val="both"/>
        <w:ind w:left="960" w:hanging="313"/>
        <w:spacing w:after="0" w:line="258"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8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74"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86"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Any of the foregoing or similar factors could result in reduced demand for our services which, in turn, could have material adverse effects on our business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0"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4"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primarily to global institutions, including banking, wealth management, ecommerce, and automotive areas both in China and globally. For more than 15 years, we have served as an IT service provider to a growing network of clients in the global financial industry, including large financial institutions in the U.S., Europe, Australia, Asia, and their PRC-based IT centers. We have created and developed a particular market niche by providing turn-key financial solutions.</w:t>
      </w:r>
    </w:p>
    <w:p>
      <w:pPr>
        <w:spacing w:after="0" w:line="16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Vietnam, and Canada).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History and Background</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6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15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RMB500,000 (approximately US$61,835) for 50% shares of CLPS Shanghai. After this share transfer, Yan Pan and Xiaochun Deng respectively held 50% shares of CLPS Shanghai.</w:t>
      </w:r>
    </w:p>
    <w:p>
      <w:pPr>
        <w:spacing w:after="0" w:line="186"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5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 xml:space="preserve">On October 30, 2013, Xiao Feng Yang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Yan Pan to purchase all of Yan Pan’s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Xiao Feng Yang paid RMB2,500,000 (approximately US$399,993) for 50% shares of CLPS Shanghai. After this share transfer, Xiao Feng Yang and Raymond Ming Hui Lin respectively held 50% shares of CLPS Shanghai.</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0" w:name="page51"/>
    <w:bookmarkEnd w:id="50"/>
    <w:p>
      <w:pPr>
        <w:jc w:val="both"/>
        <w:ind w:firstLine="640"/>
        <w:spacing w:after="0" w:line="270"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August 27, 2015, Raymond Ming Hui Lin paid RMB42,377 (approximately US$6,615) for the capital contribution that he has made.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3480" w:type="dxa"/>
            <w:vAlign w:val="bottom"/>
            <w:gridSpan w:val="2"/>
          </w:tcPr>
          <w:p>
            <w:pPr>
              <w:ind w:left="520"/>
              <w:spacing w:after="0"/>
              <w:rPr>
                <w:sz w:val="20"/>
                <w:szCs w:val="20"/>
                <w:color w:val="auto"/>
              </w:rPr>
            </w:pPr>
            <w:r>
              <w:rPr>
                <w:rFonts w:ascii="Arial" w:cs="Arial" w:eastAsia="Arial" w:hAnsi="Arial"/>
                <w:sz w:val="18"/>
                <w:szCs w:val="18"/>
                <w:b w:val="1"/>
                <w:bCs w:val="1"/>
                <w:color w:val="auto"/>
              </w:rPr>
              <w:t>PLACE OF REGISTRATION</w:t>
            </w:r>
          </w:p>
        </w:tc>
        <w:tc>
          <w:tcPr>
            <w:tcW w:w="122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3"/>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654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34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3"/>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80" w:type="dxa"/>
            <w:vAlign w:val="bottom"/>
            <w:shd w:val="clear" w:color="auto" w:fill="CCEEFF"/>
          </w:tcPr>
          <w:p>
            <w:pPr>
              <w:spacing w:after="0"/>
              <w:rPr>
                <w:sz w:val="18"/>
                <w:szCs w:val="18"/>
                <w:color w:val="auto"/>
              </w:rPr>
            </w:pPr>
          </w:p>
        </w:tc>
      </w:tr>
      <w:tr>
        <w:trPr>
          <w:trHeight w:val="213"/>
        </w:trPr>
        <w:tc>
          <w:tcPr>
            <w:tcW w:w="6540" w:type="dxa"/>
            <w:vAlign w:val="bottom"/>
            <w:gridSpan w:val="2"/>
          </w:tcPr>
          <w:p>
            <w:pPr>
              <w:spacing w:after="0"/>
              <w:rPr>
                <w:sz w:val="20"/>
                <w:szCs w:val="20"/>
                <w:color w:val="auto"/>
              </w:rPr>
            </w:pPr>
            <w:r>
              <w:rPr>
                <w:rFonts w:ascii="Arial" w:cs="Arial" w:eastAsia="Arial" w:hAnsi="Arial"/>
                <w:sz w:val="18"/>
                <w:szCs w:val="18"/>
                <w:color w:val="auto"/>
              </w:rPr>
              <w:t>Shanghai Qinzhi Investment Partnership (LLP)</w:t>
            </w:r>
          </w:p>
        </w:tc>
        <w:tc>
          <w:tcPr>
            <w:tcW w:w="3480" w:type="dxa"/>
            <w:vAlign w:val="bottom"/>
            <w:gridSpan w:val="2"/>
          </w:tcPr>
          <w:p>
            <w:pPr>
              <w:spacing w:after="0"/>
              <w:rPr>
                <w:sz w:val="20"/>
                <w:szCs w:val="20"/>
                <w:color w:val="auto"/>
              </w:rPr>
            </w:pPr>
            <w:r>
              <w:rPr>
                <w:rFonts w:ascii="Arial" w:cs="Arial" w:eastAsia="Arial" w:hAnsi="Arial"/>
                <w:sz w:val="18"/>
                <w:szCs w:val="18"/>
                <w:color w:val="auto"/>
              </w:rPr>
              <w:t>PRC</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1,270,000</w:t>
            </w:r>
          </w:p>
        </w:tc>
        <w:tc>
          <w:tcPr>
            <w:tcW w:w="80" w:type="dxa"/>
            <w:vAlign w:val="bottom"/>
          </w:tcPr>
          <w:p>
            <w:pPr>
              <w:spacing w:after="0"/>
              <w:rPr>
                <w:sz w:val="18"/>
                <w:szCs w:val="18"/>
                <w:color w:val="auto"/>
              </w:rPr>
            </w:pPr>
          </w:p>
        </w:tc>
      </w:tr>
      <w:tr>
        <w:trPr>
          <w:trHeight w:val="247"/>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6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33,870,000</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5"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5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Agreements</w:t>
      </w:r>
      <w:r>
        <w:rPr>
          <w:rFonts w:ascii="Arial" w:cs="Arial" w:eastAsia="Arial" w:hAnsi="Arial"/>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1" w:name="page52"/>
    <w:bookmarkEnd w:id="51"/>
    <w:p>
      <w:pPr>
        <w:jc w:val="both"/>
        <w:ind w:firstLine="640"/>
        <w:spacing w:after="0" w:line="258" w:lineRule="auto"/>
        <w:rPr>
          <w:sz w:val="20"/>
          <w:szCs w:val="20"/>
          <w:color w:val="auto"/>
        </w:rPr>
      </w:pPr>
      <w:r>
        <w:rPr>
          <w:rFonts w:ascii="Arial" w:cs="Arial" w:eastAsia="Arial" w:hAnsi="Arial"/>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6"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 xml:space="preserve">On October 31, 2017, CLPS Incorporation entered into a </w:t>
      </w:r>
      <w:r>
        <w:rPr>
          <w:rFonts w:ascii="Arial" w:cs="Arial" w:eastAsia="Arial" w:hAnsi="Arial"/>
          <w:sz w:val="16"/>
          <w:szCs w:val="16"/>
          <w:i w:val="1"/>
          <w:iCs w:val="1"/>
          <w:color w:val="auto"/>
        </w:rPr>
        <w:t>SOLD NOTE</w:t>
      </w:r>
      <w:r>
        <w:rPr>
          <w:rFonts w:ascii="Arial" w:cs="Arial" w:eastAsia="Arial" w:hAnsi="Arial"/>
          <w:sz w:val="16"/>
          <w:szCs w:val="16"/>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3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 Administration of Foreign Exchange on Issues concerning Foreign Exchange Administration 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Overseas Investment and Financing and Round-trip Investment by Domestic Residents via Special Purpose Vehicles </w:t>
      </w:r>
      <w:r>
        <w:rPr>
          <w:rFonts w:ascii="Arial" w:cs="Arial" w:eastAsia="Arial" w:hAnsi="Arial"/>
          <w:sz w:val="16"/>
          <w:szCs w:val="16"/>
          <w:color w:val="auto"/>
        </w:rPr>
        <w:t>(SAFE 2014 No. 37). After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registrations, CLPS QC (WOFE) entered into 46 </w:t>
      </w:r>
      <w:r>
        <w:rPr>
          <w:rFonts w:ascii="Arial" w:cs="Arial" w:eastAsia="Arial" w:hAnsi="Arial"/>
          <w:sz w:val="16"/>
          <w:szCs w:val="16"/>
          <w:i w:val="1"/>
          <w:iCs w:val="1"/>
          <w:color w:val="auto"/>
        </w:rPr>
        <w:t>Share Purchase Agreements</w:t>
      </w:r>
      <w:r>
        <w:rPr>
          <w:rFonts w:ascii="Arial" w:cs="Arial" w:eastAsia="Arial" w:hAnsi="Arial"/>
          <w:sz w:val="16"/>
          <w:szCs w:val="16"/>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6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November 2, 2017, the transfer between the 46 Chinese individual shareholders and CLPS QC (WOFE) has completed the record-filing of changes of Foreign-invested Company and got the record receipt.</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On September 15, 2020, Shanghai Qincheng Information Technology Co., Ltd. and Qiner Co., Limited subscribed new shares issued by CLPS Shanghai. After the above-mentioned subscription, the shareholding structure of CLPS Shanghai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3480" w:type="dxa"/>
            <w:vAlign w:val="bottom"/>
            <w:gridSpan w:val="2"/>
          </w:tcPr>
          <w:p>
            <w:pPr>
              <w:ind w:left="520"/>
              <w:spacing w:after="0"/>
              <w:rPr>
                <w:sz w:val="20"/>
                <w:szCs w:val="20"/>
                <w:color w:val="auto"/>
              </w:rPr>
            </w:pPr>
            <w:r>
              <w:rPr>
                <w:rFonts w:ascii="Arial" w:cs="Arial" w:eastAsia="Arial" w:hAnsi="Arial"/>
                <w:sz w:val="18"/>
                <w:szCs w:val="18"/>
                <w:b w:val="1"/>
                <w:bCs w:val="1"/>
                <w:color w:val="auto"/>
              </w:rPr>
              <w:t>PLACE OF REGISTRATION</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3"/>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Qiner Co., Limited</w:t>
            </w: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Hong Kong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22,348,301</w:t>
            </w:r>
          </w:p>
        </w:tc>
        <w:tc>
          <w:tcPr>
            <w:tcW w:w="100" w:type="dxa"/>
            <w:vAlign w:val="bottom"/>
            <w:tcBorders>
              <w:bottom w:val="single" w:sz="8" w:color="CCEEFF"/>
            </w:tcBorders>
          </w:tcPr>
          <w:p>
            <w:pPr>
              <w:spacing w:after="0"/>
              <w:rPr>
                <w:sz w:val="20"/>
                <w:szCs w:val="20"/>
                <w:color w:val="auto"/>
              </w:rPr>
            </w:pPr>
          </w:p>
        </w:tc>
      </w:tr>
      <w:tr>
        <w:trPr>
          <w:trHeight w:val="247"/>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date of this Annual Report, CLPS Shanghai has four wholly-owned subsidiaries: CLPS Chengdu, CLPS Shenzhen, CLPS Xi’an, and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CLPS Hangzhou. Besides the four  wholly-owned subsidiaries, CLPS Shanghai participated in the following investments:</w:t>
      </w:r>
    </w:p>
    <w:p>
      <w:pPr>
        <w:spacing w:after="0" w:line="203" w:lineRule="exact"/>
        <w:rPr>
          <w:sz w:val="20"/>
          <w:szCs w:val="20"/>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49% of equity interest in CLPS Beijing,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Dalian </w:t>
      </w:r>
      <w:r>
        <w:rPr>
          <w:rFonts w:ascii="Arial" w:cs="Arial" w:eastAsia="Arial" w:hAnsi="Arial"/>
          <w:sz w:val="18"/>
          <w:szCs w:val="18"/>
          <w:color w:val="auto"/>
        </w:rPr>
        <w:t>— CLPS Shanghai holds 49% of equity interest in CLPS Dalian, a PRC limited liability company.</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SSIT </w:t>
      </w:r>
      <w:r>
        <w:rPr>
          <w:rFonts w:ascii="Arial" w:cs="Arial" w:eastAsia="Arial" w:hAnsi="Arial"/>
          <w:sz w:val="18"/>
          <w:szCs w:val="18"/>
          <w:color w:val="auto"/>
        </w:rPr>
        <w:t>— CLPS Shanghai holds 35% of equity interest in SSIT, a PRC limited liability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UniDev </w:t>
      </w:r>
      <w:r>
        <w:rPr>
          <w:rFonts w:ascii="Arial" w:cs="Arial" w:eastAsia="Arial" w:hAnsi="Arial"/>
          <w:sz w:val="18"/>
          <w:szCs w:val="18"/>
          <w:color w:val="auto"/>
        </w:rPr>
        <w:t>— CLPS Shanghai holds 15% of equity interest in UniDev, a PRC limited liability company.</w:t>
      </w:r>
    </w:p>
    <w:p>
      <w:pPr>
        <w:spacing w:after="0" w:line="224"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60" w:lineRule="exact"/>
        <w:rPr>
          <w:sz w:val="20"/>
          <w:szCs w:val="20"/>
          <w:color w:val="auto"/>
        </w:rPr>
      </w:pPr>
    </w:p>
    <w:p>
      <w:pPr>
        <w:ind w:left="960" w:hanging="313"/>
        <w:spacing w:after="0"/>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31" w:lineRule="exact"/>
        <w:rPr>
          <w:rFonts w:ascii="Arial" w:cs="Arial" w:eastAsia="Arial" w:hAnsi="Arial"/>
          <w:sz w:val="17"/>
          <w:szCs w:val="17"/>
          <w:color w:val="auto"/>
        </w:rPr>
      </w:pPr>
    </w:p>
    <w:p>
      <w:pPr>
        <w:ind w:left="960" w:hanging="313"/>
        <w:spacing w:after="0" w:line="270"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Ridik AU currently only provides consulting services. Ridik AU services clients in Australia.</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19" w:lineRule="exact"/>
        <w:rPr>
          <w:rFonts w:ascii="Arial" w:cs="Arial" w:eastAsia="Arial" w:hAnsi="Arial"/>
          <w:sz w:val="18"/>
          <w:szCs w:val="18"/>
          <w:color w:val="auto"/>
        </w:rPr>
      </w:pPr>
    </w:p>
    <w:p>
      <w:pPr>
        <w:jc w:val="both"/>
        <w:ind w:left="960" w:hanging="313"/>
        <w:spacing w:after="0" w:line="25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JAJI China is a joint venture with The Judge Group in the US. JAJI China continues to service The Judge Group’s clients in China. JAJI China focuses on expanding its client bases with collaboration efforts with The Judge Group. 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2" w:name="page53"/>
    <w:bookmarkEnd w:id="52"/>
    <w:p>
      <w:pPr>
        <w:ind w:left="960" w:hanging="31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CLPS Hong Kong provides both consulting and solution services. CLPS Hong Kong services clients in East Asia region, including Hong Kong.</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Shenzhen currently only provides consulting services. CLPS Shenzhen services clients in Shenzhen.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Ridik Pte. provides both consulting and solution services. Ridik Pte. services clients in South East Asia region, including Singapore.</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Ridik Software Pte. currently only provides consulting services. Ridik Software Pte. services in South East Asia region, including Singapore.</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Ridik Sdn. currently only provides consulting services. Ridik Sdn. services in South East Asia region, including Malaysia.</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California provides both consulting and solution service. CLPS California services clients in North America, including the United States of America.</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CLPS Shanghai, CLPS Dalian, CLPS Guangzhou, CLPS Beijing, JAJI China, Ridik Pte., CLPS Hong Kong and CLPS California all contribute material amounts of the Company’s total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principal executive office is located at Unit 1000, 10th Floor, Millennium City III, 370 Kwun Tong Road, Kwun Tong, Kowloon, Hong Kong SAR. Our telephone number is (852)3707-3600. Our website is as follows www.clpsglobal.com. The information on our website is not part of this Annual Report.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96455" cy="4803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80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The Initial Public Offering</w:t>
      </w:r>
    </w:p>
    <w:p>
      <w:pPr>
        <w:spacing w:after="0" w:line="224"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71"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46" w:lineRule="exact"/>
        <w:rPr>
          <w:sz w:val="20"/>
          <w:szCs w:val="20"/>
          <w:color w:val="auto"/>
        </w:rPr>
      </w:pPr>
    </w:p>
    <w:p>
      <w:pPr>
        <w:ind w:left="960" w:hanging="313"/>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primarily to global institutions, including banking, wealth management, ecommerce, and automotive areas both in China and globally. For more than 15 years, we have served as an IT service provider to a growing network of clients in the global financial industry, including large financial institutions in the U.S., Europe, Australia, Asia, and their PRC-based IT centers. We have created and developed a particular market niche by providing turn-key financial solutions.</w:t>
      </w:r>
    </w:p>
    <w:p>
      <w:pPr>
        <w:spacing w:after="0" w:line="16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Vietnam, and Canada).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China’s Banking Industry</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According to the 2022 annual report of China Banking and Insurance Regulatory Commission (CBIRC), China’s banking financial institutions had total assets of RMB 379.4 trillion (USD 55.0 trillion) at the end of 2022, a year-on-year increase of RMB 41.7 trillion (USD 6.0 trillion), or 10.0%. Total liabilities equalled to RMB 348.0 trillion (USD 50.5 trillion), a year-on-year increase of RMB 39.6 trillion (USD 5.7 trillion), or 10.4%. The total assets of banking financial institutions were RMB 94.3 trillion (USD 13.7 trillion) in 2010. Over the past 10 years, total assets of China’s banking financial institutions grew at a compound annual growth rate of more than 10%.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2022, foreign banks had set up 41 foreign legal entities, 116 branches of foreign banks and 135 representative offices in China, with a total of 911 business institutions.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ind w:left="64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According to the 2022 Economic Performance of the Software Industry report of Ministry of Industry and Information Technology (MIIT), China’s software and information technology service industry ran steadily, with software business revenue has jumping to RMB 10 trillion (USD 1.4 trillion), profitability remaining stable, and software business exports maintaining growth.</w:t>
      </w:r>
    </w:p>
    <w:p>
      <w:pPr>
        <w:spacing w:after="0" w:line="18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China’s software and information technology services industry has developed and grown rapidly in recent years. The MIIT data showed that the industry’s revenue reached RMB 10.8 trillion (USD 1.6 trillion) in 2022, an increase of 11.2% compared to 2021, with the growth rate being 6.5 percentage points lower than that of the same period last year. Profitability remained stable. In 2022, the industry achieved a total profit of RMB 1.26 trillion (USD 182.7 billion), an increase of 5.7% over the previous year. Software exports continued to grow. In 2022, the software business exported USD 52.4 billion, an increase of 3.0% over the previous year. Among them, the export of software outsourcing services increased by 9.2% over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111760</wp:posOffset>
            </wp:positionV>
            <wp:extent cx="3923030" cy="2134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2303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Data Source: The Ministry of Industry and Information Technology, National Bureau of Statistics of China.</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0" w:lineRule="exact"/>
        <w:rPr>
          <w:sz w:val="20"/>
          <w:szCs w:val="20"/>
          <w:color w:val="auto"/>
        </w:rPr>
      </w:pPr>
    </w:p>
    <w:p>
      <w:pPr>
        <w:jc w:val="both"/>
        <w:ind w:left="960" w:hanging="313"/>
        <w:spacing w:after="0" w:line="306"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Software products </w:t>
      </w:r>
      <w:r>
        <w:rPr>
          <w:rFonts w:ascii="Arial" w:cs="Arial" w:eastAsia="Arial" w:hAnsi="Arial"/>
          <w:sz w:val="16"/>
          <w:szCs w:val="16"/>
          <w:color w:val="auto"/>
        </w:rPr>
        <w:t>—In 2022, the industry’s revenue from software products reached RMB 2.66 trillion (USD 385.7 billion),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9.9% over the previous year, accounting for 24.6% of the industry’s revenue. Among them, the revenues from industrial software products are RMB 240.7 billion (USD 34.9 billion), an increase of 14.3%, 3.1 percentage points higher than the level of the whole industry.</w:t>
      </w:r>
    </w:p>
    <w:p>
      <w:pPr>
        <w:spacing w:after="0" w:line="150" w:lineRule="exact"/>
        <w:rPr>
          <w:rFonts w:ascii="Arial" w:cs="Arial" w:eastAsia="Arial" w:hAnsi="Arial"/>
          <w:sz w:val="16"/>
          <w:szCs w:val="16"/>
          <w:color w:val="auto"/>
        </w:rPr>
      </w:pPr>
    </w:p>
    <w:p>
      <w:pPr>
        <w:jc w:val="both"/>
        <w:ind w:left="960" w:hanging="313"/>
        <w:spacing w:after="0" w:line="289" w:lineRule="auto"/>
        <w:tabs>
          <w:tab w:leader="none" w:pos="9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Information technology services </w:t>
      </w:r>
      <w:r>
        <w:rPr>
          <w:rFonts w:ascii="Arial" w:cs="Arial" w:eastAsia="Arial" w:hAnsi="Arial"/>
          <w:sz w:val="16"/>
          <w:szCs w:val="16"/>
          <w:color w:val="auto"/>
        </w:rPr>
        <w:t>—In 2022, the industry’s revenue from information technology services reached RMB 7.0 trillion (USD 1.0</w:t>
      </w:r>
      <w:r>
        <w:rPr>
          <w:rFonts w:ascii="Arial" w:cs="Arial" w:eastAsia="Arial" w:hAnsi="Arial"/>
          <w:sz w:val="16"/>
          <w:szCs w:val="16"/>
          <w:i w:val="1"/>
          <w:iCs w:val="1"/>
          <w:color w:val="auto"/>
        </w:rPr>
        <w:t xml:space="preserve"> </w:t>
      </w:r>
      <w:r>
        <w:rPr>
          <w:rFonts w:ascii="Arial" w:cs="Arial" w:eastAsia="Arial" w:hAnsi="Arial"/>
          <w:sz w:val="16"/>
          <w:szCs w:val="16"/>
          <w:color w:val="auto"/>
        </w:rPr>
        <w:t>trillion), an increase of 11.7% over the previous year, 0.5 percentage points higher than the level of the whole industry, accounting for 64.9% of the industry’s revenue. Among them, the aggregate revenues from cloud services and big data services were RMB 1.0 trillion (USD 145.0 billion), up by 8.7% year-on-year, accounting for 14.9% of the information technology services revenue. Integrated circuit design services revenues reached RMB 279.7 billion (USD 40.6 billion), an increase of 12.0% over the previous year. E-commerce platform technical services revenues reached RMB 1.1 trillion (USD 159.5 billion), an increase of 18.5% over the previous year.</w:t>
      </w:r>
    </w:p>
    <w:p>
      <w:pPr>
        <w:spacing w:after="0" w:line="165" w:lineRule="exact"/>
        <w:rPr>
          <w:rFonts w:ascii="Arial" w:cs="Arial" w:eastAsia="Arial" w:hAnsi="Arial"/>
          <w:sz w:val="16"/>
          <w:szCs w:val="16"/>
          <w:i w:val="1"/>
          <w:iCs w:val="1"/>
          <w:color w:val="auto"/>
        </w:rPr>
      </w:pPr>
    </w:p>
    <w:p>
      <w:pPr>
        <w:ind w:left="960" w:hanging="313"/>
        <w:spacing w:after="0" w:line="270"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Information security products and services – </w:t>
      </w:r>
      <w:r>
        <w:rPr>
          <w:rFonts w:ascii="Arial" w:cs="Arial" w:eastAsia="Arial" w:hAnsi="Arial"/>
          <w:sz w:val="18"/>
          <w:szCs w:val="18"/>
          <w:color w:val="auto"/>
        </w:rPr>
        <w:t>In 2022, the revenue of information security products and services reached RMB 203.8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(USD 29.6 billion), an increase of 10.4% over the previous year.</w:t>
      </w:r>
    </w:p>
    <w:p>
      <w:pPr>
        <w:spacing w:after="0" w:line="174" w:lineRule="exact"/>
        <w:rPr>
          <w:rFonts w:ascii="Arial" w:cs="Arial" w:eastAsia="Arial" w:hAnsi="Arial"/>
          <w:sz w:val="18"/>
          <w:szCs w:val="18"/>
          <w:i w:val="1"/>
          <w:iCs w:val="1"/>
          <w:color w:val="auto"/>
        </w:rPr>
      </w:pPr>
    </w:p>
    <w:p>
      <w:pPr>
        <w:ind w:left="960" w:hanging="313"/>
        <w:spacing w:after="0" w:line="270"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Embedded system software – </w:t>
      </w:r>
      <w:r>
        <w:rPr>
          <w:rFonts w:ascii="Arial" w:cs="Arial" w:eastAsia="Arial" w:hAnsi="Arial"/>
          <w:sz w:val="18"/>
          <w:szCs w:val="18"/>
          <w:color w:val="auto"/>
        </w:rPr>
        <w:t>In 2022, the revenue of embedded system software reached RMB 937.6 billion (USD 135.9 billion),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11.3% over the previous year.</w:t>
      </w:r>
    </w:p>
    <w:p>
      <w:pPr>
        <w:spacing w:after="0" w:line="174" w:lineRule="exact"/>
        <w:rPr>
          <w:rFonts w:ascii="Arial" w:cs="Arial" w:eastAsia="Arial" w:hAnsi="Arial"/>
          <w:sz w:val="18"/>
          <w:szCs w:val="18"/>
          <w:i w:val="1"/>
          <w:iCs w:val="1"/>
          <w:color w:val="auto"/>
        </w:rPr>
      </w:pPr>
    </w:p>
    <w:p>
      <w:pPr>
        <w:jc w:val="both"/>
        <w:ind w:left="960" w:hanging="313"/>
        <w:spacing w:after="0" w:line="252"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 The eastern region maintained rapid growth, and the central and western regions showed remarkable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In 2022, revenue from software business completed in eastern, central, western and northeastern regions were RMB 8.9 trillion (USD 1.3 trillion), RMB 539.0 billion (USD 78.1 billion), RMB 1.2 trillion (USD 174.0 billion) and RMB 249.9 billion (USD 36.2 billion), respectively, with growth rates of 10.6%, 16.9%, 14.3% and 8.7% year-on-year, respectively, accounting for 82.0%,5.0%, 10.7% and 2.3% of the national software industry, respectively. Among them, the central and western regions are 5.7 and 3.1 percentage points higher than the national average growth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5" w:name="page56"/>
    <w:bookmarkEnd w:id="55"/>
    <w:p>
      <w:pPr>
        <w:jc w:val="both"/>
        <w:ind w:firstLine="640"/>
        <w:spacing w:after="0" w:line="258" w:lineRule="auto"/>
        <w:rPr>
          <w:sz w:val="20"/>
          <w:szCs w:val="20"/>
          <w:color w:val="auto"/>
        </w:rPr>
      </w:pPr>
      <w:r>
        <w:rPr>
          <w:rFonts w:ascii="Arial" w:cs="Arial" w:eastAsia="Arial" w:hAnsi="Arial"/>
          <w:sz w:val="18"/>
          <w:szCs w:val="18"/>
          <w:color w:val="auto"/>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 of China’s Banking IT Solution Industry from 2010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127635</wp:posOffset>
            </wp:positionV>
            <wp:extent cx="4566920" cy="265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6692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IDC data</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According to IDC’s 2022 China Banking IT Solution Market Share report, China’s banking industry further accelerated the pace of digital transformation, intensifying its demand for IT solutions. However, macro environment factors such as the impact of the pandemic, geopolitical tensions, and economic challenges have led to sustained growth in the market demand for IT solutions in China’s banking industry, albeit at a slower rate.</w:t>
      </w:r>
    </w:p>
    <w:p>
      <w:pPr>
        <w:spacing w:after="0" w:line="150"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In 2022, the overall market size of China’s banking IT solution market reached RMB 64.88 billion (USD 9.41 billion), an increase of 10.1% over 2021. IDC predicts that by 2027, the IT solution market for China’s banking industry will reach RMB 142.91 billion (USD 20.72 billion).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IDC research found that the overall banking IT solution market presents the following characteristics:</w:t>
      </w:r>
    </w:p>
    <w:p>
      <w:pPr>
        <w:spacing w:after="0" w:line="220" w:lineRule="exact"/>
        <w:rPr>
          <w:sz w:val="20"/>
          <w:szCs w:val="20"/>
          <w:color w:val="auto"/>
        </w:rPr>
      </w:pPr>
    </w:p>
    <w:p>
      <w:pPr>
        <w:jc w:val="both"/>
        <w:ind w:left="960" w:hanging="313"/>
        <w:spacing w:after="0" w:line="292"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digital transformation deepened across multiple dimensions, significantly improving digital operations. In 2022, the digital transformation in the banking industry extended to business, management and strategic aspects. On the business front, banks met growing digital customer demands by introducing new products, services, and enhancing and reconstructing existing digital offerings. In management, banks used digital technology to automatically upgrade and optimize various processes, boosting efficiency and reducing manual errors. Strategically, banks continued to define digital goals and pathways through the development of plans aligned with digital transformation.</w:t>
      </w:r>
    </w:p>
    <w:p>
      <w:pPr>
        <w:spacing w:after="0" w:line="161" w:lineRule="exact"/>
        <w:rPr>
          <w:rFonts w:ascii="Arial" w:cs="Arial" w:eastAsia="Arial" w:hAnsi="Arial"/>
          <w:sz w:val="16"/>
          <w:szCs w:val="16"/>
          <w:color w:val="auto"/>
        </w:rPr>
      </w:pPr>
    </w:p>
    <w:p>
      <w:pPr>
        <w:jc w:val="both"/>
        <w:ind w:left="960" w:hanging="313"/>
        <w:spacing w:after="0" w:line="267"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Banks focused on utilizing fintech to reduce operational costs and enhance competitiveness. In 2022, Financial institutions and fintech service providers prioritized technologies such as big data, cloud-native, and AI, among other technologies, as well as cloud-native architectures characterized by high performance and distribution. They also embraced low-code agile development and industry-technical collaboration. Banks increasingly adopted cloud-native, microservices, distributed architecture and other technologies to meet the needs of rapid response and agile flexibility of financial business, especially upgrading the core business systems and digital credit systems. Meanwhile, advancement in AIGC and privacy computing technology drove data sharing and circulation demands, leading to increased emphasis on data asset management, data application and data security by banks. Low-code development platforms were also adopted by solution service providers for mobile application products, credit products, management software, and more.</w:t>
      </w:r>
    </w:p>
    <w:p>
      <w:pPr>
        <w:spacing w:after="0" w:line="181" w:lineRule="exact"/>
        <w:rPr>
          <w:rFonts w:ascii="Arial" w:cs="Arial" w:eastAsia="Arial" w:hAnsi="Arial"/>
          <w:sz w:val="17"/>
          <w:szCs w:val="17"/>
          <w:color w:val="auto"/>
        </w:rPr>
      </w:pPr>
    </w:p>
    <w:p>
      <w:pPr>
        <w:jc w:val="both"/>
        <w:ind w:left="960" w:hanging="313"/>
        <w:spacing w:after="0" w:line="250"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Banks intensified their focus on financial security, leading to increased emphasis on systematic development of risk management and regulatory compliance. In 2022, many banks are accelerated the construction of digital and systematic risk control systems to enhance business security, data security, and information security. There was a rising demand for a comprehensive risk management system encompassing risk assessment, monitoring, identification, and risk control, among others. Additionally, the need for digital risk tools and platforms grew. In terms of regulatory compliance, banks faced strict supervision and reporting requirements like EAST and new interest rate reporting. This prompted a substantial demand for the construction and upgrading of regulatory compliance platforms, including unified regulatory reporting, EAST reporting, and corporate credit reporting systems, among others, aimed at mitigating risks caused by high leverage, maturity mismatch, and asset pricing fluctuations.</w:t>
      </w:r>
    </w:p>
    <w:p>
      <w:pPr>
        <w:spacing w:after="0" w:line="196" w:lineRule="exact"/>
        <w:rPr>
          <w:rFonts w:ascii="Arial" w:cs="Arial" w:eastAsia="Arial" w:hAnsi="Arial"/>
          <w:sz w:val="18"/>
          <w:szCs w:val="18"/>
          <w:color w:val="auto"/>
        </w:rPr>
      </w:pPr>
    </w:p>
    <w:p>
      <w:pPr>
        <w:jc w:val="both"/>
        <w:ind w:left="960" w:hanging="313"/>
        <w:spacing w:after="0" w:line="281"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Data emerged as a crucial component of the digital economy and has become an important strategic resource for the country. In 2022, the market demand for data management and applications, including data governance, data assets, data development and application, data circulation, data element circulation, market construction, data security, and data intelligence solutions, was strong.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6" w:name="page57"/>
    <w:bookmarkEnd w:id="56"/>
    <w:p>
      <w:pPr>
        <w:ind w:left="64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fintech technology to enable institutions embrace banking.</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5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CLPS has a deep understanding of the market supply and demand buoyed by its more than a decade experience in traditional banking business. CLPS provides IT services in the banking industry, including but not limited to bank channel services such as mobile banking and online banking; business services such as marketing and risk control, among others; management services such as customer relationship management, business intelligence, and information security management, to name a few.</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By integrating its internal resources, CLPS has been able to continue to invest and develop series of R&amp;D products, including credit card system, integrated transaction acquiring platform, reward points terminal, and virtual bank training platform, among others. These products have achieved positive feedback from the market.</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Revenues from our banking area were approximately $61.5 million, $67.7 million, and $60.0 million for the years ended June 30, 2023, 2022, and 2021, respectively. Revenues from our banking area accounted for 40.9%, 44.5%, and 47.6%of our total revenues in fiscal years 2023, 2022, and 2021, respectively.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portion of our services caters the banking clients.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Area</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provides service in the credit card area from Shanghai, Dalian and Hong Kong. We offer this experience and expertise in various currencies, across different geographical regions, including, but not limited to China, Singapore, UK, the Philippines, Indonesia, and Latin America. In addition, we have developed a series of credit card solutions in order to meet the needs of our clients better.</w:t>
      </w:r>
    </w:p>
    <w:p>
      <w:pPr>
        <w:spacing w:after="0" w:line="171"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Revenues from our credit card area were approximately $4.3 million, $6.6 million, and $11.2 million for the years ended June 30, 2023, 2022, and 2021, respectively. Revenues from our credit card area accounted for 7.0%, 9.7%, and 18.7%of our banking revenues in fiscal years 2023, 2022, and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7" w:name="page58"/>
    <w:bookmarkEnd w:id="57"/>
    <w:p>
      <w:pPr>
        <w:ind w:left="640"/>
        <w:spacing w:after="0"/>
        <w:rPr>
          <w:sz w:val="20"/>
          <w:szCs w:val="20"/>
          <w:color w:val="auto"/>
        </w:rPr>
      </w:pPr>
      <w:r>
        <w:rPr>
          <w:rFonts w:ascii="Arial" w:cs="Arial" w:eastAsia="Arial" w:hAnsi="Arial"/>
          <w:sz w:val="18"/>
          <w:szCs w:val="18"/>
          <w:i w:val="1"/>
          <w:iCs w:val="1"/>
          <w:color w:val="auto"/>
        </w:rPr>
        <w:t>Core Banking Area</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Revenues from our core banking area were approximately $57.2 million, $61.1 million, and $48.8 million, for the years ended June 30, 2023, 2022, and 2021,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In this annual report, “wealth management” refers to the segments of financial industry except banking, including but not limited to investment banking, funds, insurance, securities, futures, clearing, consumer financing, online financing, and supply chain financing. CLPS has in-depth industry knowledge and solutions in the field of wealth management, and constantly develops and innovates according to the needs of clients.</w:t>
      </w:r>
    </w:p>
    <w:p>
      <w:pPr>
        <w:spacing w:after="0" w:line="167"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 and several large security institutions in China. In addition, we have developed mobile terminal for multiple comprehensive financial service providers and consumer finance platforms both in China and globally.</w:t>
      </w:r>
    </w:p>
    <w:p>
      <w:pPr>
        <w:spacing w:after="0" w:line="16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Revenues from our wealth management area were approximately $37.4 million, $32.1 million, and $25.2 million for the years ended June 30, 2023, 2022, and 2021, respectively. Revenues from our wealth management area accounted for 24.9%, 21.1%, and 20.0% of our total revenues in fiscal years 2023, 2022,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193"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Revenues from our e-Commerce area were approximately $25.5 million, $29.4 million, and $19.2 million for the years ended June 30, 2023, 2022, and 2021, respectively. Revenues from our e-Commerce area accounted for 17.0%, 19.4%, and 15.2% of our total revenues in fiscal years 2023, 2022, and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With the extensive experience of CLPS in the IT services application in the financial and e-commerce industries, and its innovative implementation of cutting-edge technology such as big data, artificial intelligence and robotic process automation (RPA), it has also extended its business to automotive industry.</w:t>
      </w:r>
    </w:p>
    <w:p>
      <w:pPr>
        <w:spacing w:after="0" w:line="186"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There is a high demand of intelligent technology application in automobile industry in the recent years. Aside from providing internal management system development for several international automobile enterprises, we also get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17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Revenues from our automotive area were approximately $14.2 million, $10.4 million, $8.5 million, and $3.6 million for the years ended June 30, 2023, 2022, and 2021, respectively. Revenues from our automotive area accounted for 9.4%, 6.8%, and 6.7%of our total revenues in fiscal 2023, 2022, and 2021, respectively.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scope in terms of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provide consulting services to our clients in the banking, wealth management, e-commerce, and automotive industries, among others.</w:t>
      </w:r>
    </w:p>
    <w:p>
      <w:pPr>
        <w:spacing w:after="0" w:line="231"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Revenues from our IT consulting services were approximately $144.3 million, $144.1 million, and $122.3 million, respectively. Revenues from our IT consulting services accounted for 96.0%, 94.8%, and 97.0% of our total revenues in fiscal years 2023, 2022, and 2021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CLPS provides customized solution services to our clients in the banking, wealth management, e-commerce, and automotive industries, among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07"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We are also an IT solution services provider in China and globally. We offer our clients over a decade of experience providing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17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9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We launched our scenario-based digital currency application solution, which aims to enable financial institutions to drive growth in the digital economy. Gaining traction in the recent years, global financial institutions have accelerated the creation of financial ecosystems that can support digital currency, which led for CLPS to launch such solution. This solution leverages CLPS’s global services delivery capability and its expertise in banking, e-commerce, payment, risk control, digital marketing, and mobile development, among other areas. In addition, by integrating bank-enterprise interaction, smart contract, aggregate payment, retail settlement, supply chain management, marketing and promotion as an end-to-end service platform, a trading platform based on digital currency payment scenarios can be developed, helping financial institutions accelerate adoption and widespread use of digital currency.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9" w:name="page60"/>
    <w:bookmarkEnd w:id="59"/>
    <w:p>
      <w:pPr>
        <w:jc w:val="both"/>
        <w:ind w:firstLine="640"/>
        <w:spacing w:after="0" w:line="252" w:lineRule="auto"/>
        <w:rPr>
          <w:sz w:val="20"/>
          <w:szCs w:val="20"/>
          <w:color w:val="auto"/>
        </w:rPr>
      </w:pPr>
      <w:r>
        <w:rPr>
          <w:rFonts w:ascii="Arial" w:cs="Arial" w:eastAsia="Arial" w:hAnsi="Arial"/>
          <w:sz w:val="18"/>
          <w:szCs w:val="18"/>
          <w:color w:val="auto"/>
        </w:rPr>
        <w:t>A key strategic target of the People’s Bank of China, digital RMB has achieved significant progress in terms of application scenarios, transaction volume, number of accounts opened, and an expanded pilot scheme to more areas. Launching the pilot version of digital RMB application in major app stores, its introduction at the Beijing 2022 Winter Olympics, and its intended use in the 19th Asian Games all indicate that digital RMB are becoming more mature. Through this solution, CLPS will be able to facilitate Chinese financial institutions create a better digital RMB application ecosystem, penetrate the market opportunity quickly, and expand customer acquisition channels. In addition, the solution can be customized based on corporate client’s demands, enabling a wide range of application scenarios.</w:t>
      </w:r>
    </w:p>
    <w:p>
      <w:pPr>
        <w:spacing w:after="0" w:line="19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will continue to develop our new IT solutions to meet the evolving needs of our Chinese and global financial institutional clientele drawing upon the forward-looking research of our R&amp;D center.</w:t>
      </w:r>
    </w:p>
    <w:p>
      <w:pPr>
        <w:spacing w:after="0" w:line="175"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Revenues from our customized IT solution services were approximately $4.6 million, $6.7 million, and $3.1 million, respectively. Revenues from our customized IT solution services accounted for 3.0%, 4.4%, and 2.5% of our total revenues in fiscal years 2023, 2022, and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CLPS Virtual Banking Platform (CLB)</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Recruitment and Headhunting</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Fee-For-Service Training</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have developed and intend to implement the following strategies to expand and grow the revenue, the number of employees, and the number of service locations of our Company:</w:t>
      </w:r>
    </w:p>
    <w:p>
      <w:pPr>
        <w:spacing w:after="0" w:line="175" w:lineRule="exact"/>
        <w:rPr>
          <w:sz w:val="20"/>
          <w:szCs w:val="20"/>
          <w:color w:val="auto"/>
        </w:rPr>
      </w:pPr>
    </w:p>
    <w:p>
      <w:pPr>
        <w:jc w:val="both"/>
        <w:ind w:left="960" w:hanging="313"/>
        <w:spacing w:after="0" w:line="289" w:lineRule="auto"/>
        <w:tabs>
          <w:tab w:leader="none" w:pos="9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revenue with existing and new clients </w:t>
      </w:r>
      <w:r>
        <w:rPr>
          <w:rFonts w:ascii="Arial" w:cs="Arial" w:eastAsia="Arial" w:hAnsi="Arial"/>
          <w:sz w:val="16"/>
          <w:szCs w:val="16"/>
          <w:color w:val="auto"/>
        </w:rPr>
        <w:t>— We intend to pursue additional revenue opportunities from existing Chinese and global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65" w:lineRule="exact"/>
        <w:rPr>
          <w:rFonts w:ascii="Arial" w:cs="Arial" w:eastAsia="Arial" w:hAnsi="Arial"/>
          <w:sz w:val="16"/>
          <w:szCs w:val="16"/>
          <w:i w:val="1"/>
          <w:iCs w:val="1"/>
          <w:color w:val="auto"/>
        </w:rPr>
      </w:pPr>
    </w:p>
    <w:p>
      <w:pPr>
        <w:ind w:left="960"/>
        <w:spacing w:after="0"/>
        <w:rPr>
          <w:rFonts w:ascii="Arial" w:cs="Arial" w:eastAsia="Arial" w:hAnsi="Arial"/>
          <w:sz w:val="16"/>
          <w:szCs w:val="16"/>
          <w:i w:val="1"/>
          <w:iCs w:val="1"/>
          <w:color w:val="auto"/>
        </w:rPr>
      </w:pPr>
      <w:r>
        <w:rPr>
          <w:rFonts w:ascii="Arial" w:cs="Arial" w:eastAsia="Arial" w:hAnsi="Arial"/>
          <w:sz w:val="17"/>
          <w:szCs w:val="17"/>
          <w:color w:val="auto"/>
        </w:rPr>
        <w:t>For the fiscal year 2023, revenues from existing and new clients accounted for 97.3% and 2.7% of the total revenue, respectively.</w:t>
      </w:r>
    </w:p>
    <w:p>
      <w:pPr>
        <w:spacing w:after="0" w:line="231" w:lineRule="exact"/>
        <w:rPr>
          <w:rFonts w:ascii="Arial" w:cs="Arial" w:eastAsia="Arial" w:hAnsi="Arial"/>
          <w:sz w:val="16"/>
          <w:szCs w:val="16"/>
          <w:i w:val="1"/>
          <w:iCs w:val="1"/>
          <w:color w:val="auto"/>
        </w:rPr>
      </w:pPr>
    </w:p>
    <w:p>
      <w:pPr>
        <w:jc w:val="both"/>
        <w:ind w:left="960" w:hanging="313"/>
        <w:spacing w:after="0" w:line="292" w:lineRule="auto"/>
        <w:tabs>
          <w:tab w:leader="none" w:pos="9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research and development, deepen domain expertise and develop specific solutions for target industry verticals </w:t>
      </w:r>
      <w:r>
        <w:rPr>
          <w:rFonts w:ascii="Arial" w:cs="Arial" w:eastAsia="Arial" w:hAnsi="Arial"/>
          <w:sz w:val="16"/>
          <w:szCs w:val="16"/>
          <w:color w:val="auto"/>
        </w:rPr>
        <w: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61" w:lineRule="exact"/>
        <w:rPr>
          <w:rFonts w:ascii="Arial" w:cs="Arial" w:eastAsia="Arial" w:hAnsi="Arial"/>
          <w:sz w:val="16"/>
          <w:szCs w:val="16"/>
          <w:i w:val="1"/>
          <w:iCs w:val="1"/>
          <w:color w:val="auto"/>
        </w:rPr>
      </w:pPr>
    </w:p>
    <w:p>
      <w:pPr>
        <w:jc w:val="both"/>
        <w:ind w:left="96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We launched our scenario-based digital currency application solution, which aims to enable financial institutions to drive growth in the digital economy. Through this solution, CLPS will be able to facilitate Chinese financial institutions create a better digital RMB application ecosystem, penetrate the market opportunity quickly, and expand customer acquisition channels. In addition, the solution can be customized based on corporate client’s demands, enabling a wide range of application scenarios.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0" w:name="page61"/>
    <w:bookmarkEnd w:id="60"/>
    <w:p>
      <w:pPr>
        <w:jc w:val="both"/>
        <w:ind w:left="313"/>
        <w:spacing w:after="0" w:line="274" w:lineRule="auto"/>
        <w:rPr>
          <w:sz w:val="20"/>
          <w:szCs w:val="20"/>
          <w:color w:val="auto"/>
        </w:rPr>
      </w:pPr>
      <w:r>
        <w:rPr>
          <w:rFonts w:ascii="Arial" w:cs="Arial" w:eastAsia="Arial" w:hAnsi="Arial"/>
          <w:sz w:val="17"/>
          <w:szCs w:val="17"/>
          <w:color w:val="auto"/>
        </w:rPr>
        <w:t>We launched CAKU 2.0, the upgraded new generation of credit card system product of CLPS. Built on an open source architecture, CAKU offers fast implementation and flexibility for replacing existing credit card system, giving global banking institutions a competitive edge in digital transformation. CAKU is a proprietary product that CLPS independently developed based on its extensive experience in the financial industry as well as its deep understanding in the current banking business demands and industry development trends.</w:t>
      </w:r>
    </w:p>
    <w:p>
      <w:pPr>
        <w:spacing w:after="0" w:line="175" w:lineRule="exact"/>
        <w:rPr>
          <w:sz w:val="20"/>
          <w:szCs w:val="20"/>
          <w:color w:val="auto"/>
        </w:rPr>
      </w:pPr>
    </w:p>
    <w:p>
      <w:pPr>
        <w:jc w:val="both"/>
        <w:ind w:left="313"/>
        <w:spacing w:after="0" w:line="289" w:lineRule="auto"/>
        <w:rPr>
          <w:sz w:val="20"/>
          <w:szCs w:val="20"/>
          <w:color w:val="auto"/>
        </w:rPr>
      </w:pPr>
      <w:r>
        <w:rPr>
          <w:rFonts w:ascii="Arial" w:cs="Arial" w:eastAsia="Arial" w:hAnsi="Arial"/>
          <w:sz w:val="16"/>
          <w:szCs w:val="16"/>
          <w:color w:val="auto"/>
        </w:rPr>
        <w:t>We developed a new generation of loan management system, a product intended for small and medium-sized banking institutions. CLPS has been optimizing its loan management system by integrating its mature products with innovative technology such as blockchain, robotic process automation (RPA), optical character recognition (OCR), and facial recognition. The goal of the optimization is to achieve a more comprehensive and streamlined loan process flow, including in mortgage application, credit checking, and drawdown, among others, ensuring the privacy and security of information transmission while effectively shortening the processing time. As a result, customers can apply for a loan conveniently anytime, anywhere, reducing banking institutions’ operating costs and gaining a wider range of new business opportunities.</w:t>
      </w:r>
    </w:p>
    <w:p>
      <w:pPr>
        <w:spacing w:after="0" w:line="165" w:lineRule="exact"/>
        <w:rPr>
          <w:sz w:val="20"/>
          <w:szCs w:val="20"/>
          <w:color w:val="auto"/>
        </w:rPr>
      </w:pPr>
    </w:p>
    <w:p>
      <w:pPr>
        <w:jc w:val="both"/>
        <w:ind w:left="313"/>
        <w:spacing w:after="0" w:line="255" w:lineRule="auto"/>
        <w:rPr>
          <w:sz w:val="20"/>
          <w:szCs w:val="20"/>
          <w:color w:val="auto"/>
        </w:rPr>
      </w:pPr>
      <w:r>
        <w:rPr>
          <w:rFonts w:ascii="Arial" w:cs="Arial" w:eastAsia="Arial" w:hAnsi="Arial"/>
          <w:sz w:val="18"/>
          <w:szCs w:val="18"/>
          <w:color w:val="auto"/>
        </w:rPr>
        <w:t>CLPS’s Innovation Lab has unveiled initial findings showcasing the synergy of Robotic Process Automation (RPA) and Artificial Intelligence (AI) for intelligent automation in talent acquisition. This research demonstrates that integrating AI into RPA workflows can streamline talent acquisition, leading to a 43% reduction in labor costs and a 700% improvement in efficiency, while also serving as a foundation for future AI-powered automation solutions in various business areas.</w:t>
      </w:r>
    </w:p>
    <w:p>
      <w:pPr>
        <w:spacing w:after="0" w:line="188" w:lineRule="exact"/>
        <w:rPr>
          <w:sz w:val="20"/>
          <w:szCs w:val="20"/>
          <w:color w:val="auto"/>
        </w:rPr>
      </w:pPr>
    </w:p>
    <w:p>
      <w:pPr>
        <w:jc w:val="both"/>
        <w:ind w:left="313" w:hanging="313"/>
        <w:spacing w:after="0" w:line="265" w:lineRule="auto"/>
        <w:tabs>
          <w:tab w:leader="none" w:pos="313"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185" w:lineRule="exact"/>
        <w:rPr>
          <w:rFonts w:ascii="Arial" w:cs="Arial" w:eastAsia="Arial" w:hAnsi="Arial"/>
          <w:sz w:val="17"/>
          <w:szCs w:val="17"/>
          <w:i w:val="1"/>
          <w:iCs w:val="1"/>
          <w:color w:val="auto"/>
        </w:rPr>
      </w:pPr>
    </w:p>
    <w:p>
      <w:pPr>
        <w:jc w:val="both"/>
        <w:ind w:left="313"/>
        <w:spacing w:after="0" w:line="251" w:lineRule="auto"/>
        <w:rPr>
          <w:rFonts w:ascii="Arial" w:cs="Arial" w:eastAsia="Arial" w:hAnsi="Arial"/>
          <w:sz w:val="17"/>
          <w:szCs w:val="17"/>
          <w:i w:val="1"/>
          <w:iCs w:val="1"/>
          <w:color w:val="auto"/>
        </w:rPr>
      </w:pPr>
      <w:r>
        <w:rPr>
          <w:rFonts w:ascii="Arial" w:cs="Arial" w:eastAsia="Arial" w:hAnsi="Arial"/>
          <w:sz w:val="18"/>
          <w:szCs w:val="18"/>
          <w:color w:val="auto"/>
        </w:rPr>
        <w:t>For the fiscal year 2023, we trained more than 180 interns. In addition, through our wholly-owned subsidiary, CLPS Technology (Singapore) Pte. Ltd., we signed a Collaboration Agreement (the “Agreement”) with Educare Global Academy Pte. Ltd. (“Educare Global Academy”), a well-known private educational institution in Singapore. Under the Agreement, CLPS and Educare Global Academy will collaborate and integrate their respective industry expertise and resources to provide an education program focused on banking and fintech, the Post Graduate Diploma in New Banking Technologies: Application, Implementation &amp; Legacy Systems Integration. This strategic partnership aligns the unique competitive advantages of both parties to produce highly skilled IT talents that can meet industry demands in Singapore and the neighboring countries in Southeast Asia.</w:t>
      </w:r>
    </w:p>
    <w:p>
      <w:pPr>
        <w:spacing w:after="0" w:line="192" w:lineRule="exact"/>
        <w:rPr>
          <w:rFonts w:ascii="Arial" w:cs="Arial" w:eastAsia="Arial" w:hAnsi="Arial"/>
          <w:sz w:val="17"/>
          <w:szCs w:val="17"/>
          <w:i w:val="1"/>
          <w:iCs w:val="1"/>
          <w:color w:val="auto"/>
        </w:rPr>
      </w:pPr>
    </w:p>
    <w:p>
      <w:pPr>
        <w:jc w:val="both"/>
        <w:ind w:left="313"/>
        <w:spacing w:after="0" w:line="252" w:lineRule="auto"/>
        <w:rPr>
          <w:rFonts w:ascii="Arial" w:cs="Arial" w:eastAsia="Arial" w:hAnsi="Arial"/>
          <w:sz w:val="17"/>
          <w:szCs w:val="17"/>
          <w:i w:val="1"/>
          <w:iCs w:val="1"/>
          <w:color w:val="auto"/>
        </w:rPr>
      </w:pPr>
      <w:r>
        <w:rPr>
          <w:rFonts w:ascii="Arial" w:cs="Arial" w:eastAsia="Arial" w:hAnsi="Arial"/>
          <w:sz w:val="18"/>
          <w:szCs w:val="18"/>
          <w:color w:val="auto"/>
        </w:rPr>
        <w:t>The Lujiazui FinTech Talents Training Center, a collaboration between Lujiazui Financial City and CLPS Incorporation, was officially announced to address the growing demand for multifaceted fintech professionals. This center aims to create skilled individuals proficient in both finance and IT by leveraging CLPS’ expertise in fintech services and Lujiazui Financial City’s resources, offering a comprehensive curriculum, training environment, and evaluation methodology. The center will also provide over 250 training courses, industry partnerships, and a Certified FinTech Analyst (CFTA) certification program to align with the fast-paced advancements in technologies like big data, cloud computing, AI, and blockchain.</w:t>
      </w:r>
    </w:p>
    <w:p>
      <w:pPr>
        <w:spacing w:after="0" w:line="123" w:lineRule="exact"/>
        <w:rPr>
          <w:rFonts w:ascii="Arial" w:cs="Arial" w:eastAsia="Arial" w:hAnsi="Arial"/>
          <w:sz w:val="17"/>
          <w:szCs w:val="17"/>
          <w:i w:val="1"/>
          <w:iCs w:val="1"/>
          <w:color w:val="auto"/>
        </w:rPr>
      </w:pPr>
    </w:p>
    <w:p>
      <w:pPr>
        <w:jc w:val="both"/>
        <w:ind w:left="313" w:hanging="313"/>
        <w:spacing w:after="0" w:line="268" w:lineRule="auto"/>
        <w:tabs>
          <w:tab w:leader="none" w:pos="313"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efficiencies through ongoing improvements in operational excellence </w:t>
      </w:r>
      <w:r>
        <w:rPr>
          <w:rFonts w:ascii="Arial" w:cs="Arial" w:eastAsia="Arial" w:hAnsi="Arial"/>
          <w:sz w:val="17"/>
          <w:szCs w:val="17"/>
          <w:color w:val="auto"/>
        </w:rPr>
        <w:t>— We strive to gain significant operating efficiencies by leveraging</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79" w:lineRule="exact"/>
        <w:rPr>
          <w:rFonts w:ascii="Arial" w:cs="Arial" w:eastAsia="Arial" w:hAnsi="Arial"/>
          <w:sz w:val="17"/>
          <w:szCs w:val="17"/>
          <w:i w:val="1"/>
          <w:iCs w:val="1"/>
          <w:color w:val="auto"/>
        </w:rPr>
      </w:pPr>
    </w:p>
    <w:p>
      <w:pPr>
        <w:jc w:val="both"/>
        <w:ind w:left="313" w:hanging="313"/>
        <w:spacing w:after="0" w:line="253" w:lineRule="auto"/>
        <w:tabs>
          <w:tab w:leader="none" w:pos="31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9" w:lineRule="exact"/>
        <w:rPr>
          <w:rFonts w:ascii="Arial" w:cs="Arial" w:eastAsia="Arial" w:hAnsi="Arial"/>
          <w:sz w:val="18"/>
          <w:szCs w:val="18"/>
          <w:color w:val="auto"/>
        </w:rPr>
      </w:pPr>
    </w:p>
    <w:p>
      <w:pPr>
        <w:jc w:val="both"/>
        <w:ind w:left="313"/>
        <w:spacing w:after="0" w:line="253" w:lineRule="auto"/>
        <w:rPr>
          <w:rFonts w:ascii="Arial" w:cs="Arial" w:eastAsia="Arial" w:hAnsi="Arial"/>
          <w:sz w:val="18"/>
          <w:szCs w:val="18"/>
          <w:color w:val="auto"/>
        </w:rPr>
      </w:pPr>
      <w:r>
        <w:rPr>
          <w:rFonts w:ascii="Arial" w:cs="Arial" w:eastAsia="Arial" w:hAnsi="Arial"/>
          <w:sz w:val="18"/>
          <w:szCs w:val="18"/>
          <w:color w:val="auto"/>
        </w:rPr>
        <w:t>CLPS has partnered with Fuson Group Ltd., a Hong Kong-based company, to establish a smart tourism platform and comprehensive IT solution for digital transformation. Fuson, currently engaged in traditional tourism services, will benefit from CLPS’ expertise to create an end-to-end digital framework using hybrid cloud and AI technology, enhancing collaboration, operation, and decision-making. This collaboration aims to drive Fuson’s business growth and global competitiveness through seamless digital transformation, supported by CLPS’ cross-industry IT capabilities and market experience.</w:t>
      </w:r>
    </w:p>
    <w:p>
      <w:pPr>
        <w:spacing w:after="0" w:line="200" w:lineRule="exact"/>
        <w:rPr>
          <w:sz w:val="20"/>
          <w:szCs w:val="20"/>
          <w:color w:val="auto"/>
        </w:rPr>
      </w:pPr>
    </w:p>
    <w:p>
      <w:pPr>
        <w:spacing w:after="0" w:line="203" w:lineRule="exact"/>
        <w:rPr>
          <w:sz w:val="20"/>
          <w:szCs w:val="20"/>
          <w:color w:val="auto"/>
        </w:rPr>
      </w:pPr>
    </w:p>
    <w:p>
      <w:pPr>
        <w:ind w:left="4893"/>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13335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3"/>
          </w:cols>
          <w:pgMar w:left="967" w:top="872" w:right="339" w:bottom="1440" w:gutter="0" w:footer="0" w:header="0"/>
        </w:sectPr>
      </w:pPr>
    </w:p>
    <w:bookmarkStart w:id="61" w:name="page62"/>
    <w:bookmarkEnd w:id="61"/>
    <w:p>
      <w:pPr>
        <w:jc w:val="both"/>
        <w:ind w:left="960"/>
        <w:spacing w:after="0" w:line="253" w:lineRule="auto"/>
        <w:rPr>
          <w:sz w:val="20"/>
          <w:szCs w:val="20"/>
          <w:color w:val="auto"/>
        </w:rPr>
      </w:pPr>
      <w:r>
        <w:rPr>
          <w:rFonts w:ascii="Arial" w:cs="Arial" w:eastAsia="Arial" w:hAnsi="Arial"/>
          <w:sz w:val="18"/>
          <w:szCs w:val="18"/>
          <w:color w:val="auto"/>
        </w:rPr>
        <w:t>CLPS has entered into a Memorandum of Understanding (MOU) with Shanghai DaoCloud Network Technology to collaboratively create cloud-native fintech solutions, enhancing digital transformation in the financial sector. The partnership seeks to leverage cloud computing and distributed technologies to upgrade legacy systems, initially focusing on enhancing CLPS’s loan system through DaoCloud’s application cloud container platform, aiming to provide comprehensive and secure fintech solutions that drive efficiency and customer acquisition in global financial institutions.</w:t>
      </w:r>
    </w:p>
    <w:p>
      <w:pPr>
        <w:spacing w:after="0" w:line="190" w:lineRule="exact"/>
        <w:rPr>
          <w:sz w:val="20"/>
          <w:szCs w:val="20"/>
          <w:color w:val="auto"/>
        </w:rPr>
      </w:pPr>
    </w:p>
    <w:p>
      <w:pPr>
        <w:jc w:val="both"/>
        <w:ind w:left="960" w:hanging="313"/>
        <w:spacing w:after="0" w:line="281" w:lineRule="auto"/>
        <w:tabs>
          <w:tab w:leader="none" w:pos="96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implement our global expansion strategy </w:t>
      </w:r>
      <w:r>
        <w:rPr>
          <w:rFonts w:ascii="Arial" w:cs="Arial" w:eastAsia="Arial" w:hAnsi="Arial"/>
          <w:sz w:val="17"/>
          <w:szCs w:val="17"/>
          <w:color w:val="auto"/>
        </w:rPr>
        <w:t>— We remain focused on investing in our long-term sustainable growth and delivering on</w:t>
      </w:r>
      <w:r>
        <w:rPr>
          <w:rFonts w:ascii="Arial" w:cs="Arial" w:eastAsia="Arial" w:hAnsi="Arial"/>
          <w:sz w:val="17"/>
          <w:szCs w:val="17"/>
          <w:i w:val="1"/>
          <w:iCs w:val="1"/>
          <w:color w:val="auto"/>
        </w:rPr>
        <w:t xml:space="preserve"> </w:t>
      </w:r>
      <w:r>
        <w:rPr>
          <w:rFonts w:ascii="Arial" w:cs="Arial" w:eastAsia="Arial" w:hAnsi="Arial"/>
          <w:sz w:val="17"/>
          <w:szCs w:val="17"/>
          <w:color w:val="auto"/>
        </w:rPr>
        <w:t>our dual-engine strategy of horizontal and vertical expansion. We will continue to pursue growth in our global footprint and market share as well as in technological and talent development. By delivering on our strategy, we expect to drive shareholder value.</w:t>
      </w:r>
    </w:p>
    <w:p>
      <w:pPr>
        <w:spacing w:after="0" w:line="167" w:lineRule="exact"/>
        <w:rPr>
          <w:rFonts w:ascii="Arial" w:cs="Arial" w:eastAsia="Arial" w:hAnsi="Arial"/>
          <w:sz w:val="17"/>
          <w:szCs w:val="17"/>
          <w:i w:val="1"/>
          <w:iCs w:val="1"/>
          <w:color w:val="auto"/>
        </w:rPr>
      </w:pPr>
    </w:p>
    <w:p>
      <w:pPr>
        <w:jc w:val="both"/>
        <w:ind w:left="960"/>
        <w:spacing w:after="0" w:line="253" w:lineRule="auto"/>
        <w:rPr>
          <w:rFonts w:ascii="Arial" w:cs="Arial" w:eastAsia="Arial" w:hAnsi="Arial"/>
          <w:sz w:val="17"/>
          <w:szCs w:val="17"/>
          <w:i w:val="1"/>
          <w:iCs w:val="1"/>
          <w:color w:val="auto"/>
        </w:rPr>
      </w:pPr>
      <w:r>
        <w:rPr>
          <w:rFonts w:ascii="Arial" w:cs="Arial" w:eastAsia="Arial" w:hAnsi="Arial"/>
          <w:sz w:val="18"/>
          <w:szCs w:val="18"/>
          <w:color w:val="auto"/>
        </w:rPr>
        <w:t>CLPS has appointed Mr. Srustijeet Mishra as CEO of its subsidiary, CLPS Technology (California) Inc. In addition to overseeing the development and management of business activities in the U.S. market, Mr. Mishra will continue to serve as CEO for CLPS’s business entities in the Southeast Asia region. With his extensive industry experience and management skills, he is expected to lead the expansion of CLPS’s overseas operations, extending its delivery network and models to the North American market while leveraging strategic locations and a variety of delivery approaches to cater to specific client needs.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 Breadth and depth of digital transformation service offerings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robotic process automation, big data and blockchain. We are also exploring applications in artificial intelligence.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 Talent Creation Program and Talent Development Program</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15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qualified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For the fiscal year 2023, we trained 180 interns. In addition, through our wholly-owned subsidiary, CLPS Technology (Singapore) Pte. Ltd., we signed a Collaboration Agreement (the “Agreement”) with Educare Global Academy Pte. Ltd. (“Educare Global Academy”), a well-known private educational institution in Singapore. Under the Agreement, CLPS and Educare Global Academy will collaborate and integrate their respective industry expertise and resources to provide an education program focused on banking and fintech, the Post Graduate Diploma in New Banking Technologies: Application, Implementation &amp; Legacy Systems Integration. This strategic partnership aligns the unique competitive advantages of both parties to produce highly skilled IT talents that can meet industry demands in Singapore and the neighboring countries in Southeast Asia.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jc w:val="both"/>
        <w:ind w:firstLine="640"/>
        <w:spacing w:after="0" w:line="281"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Since 2005, through our TCP and TDP programs, we have trained and retained a large pool of specialized personnel skilled in serving financial-related industry clients.</w:t>
      </w:r>
    </w:p>
    <w:p>
      <w:pPr>
        <w:spacing w:after="0" w:line="167"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67" w:lineRule="exact"/>
        <w:rPr>
          <w:sz w:val="20"/>
          <w:szCs w:val="20"/>
          <w:color w:val="auto"/>
        </w:rPr>
      </w:pPr>
    </w:p>
    <w:p>
      <w:pPr>
        <w:ind w:left="960" w:hanging="31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19" w:lineRule="exact"/>
        <w:rPr>
          <w:rFonts w:ascii="Arial" w:cs="Arial" w:eastAsia="Arial" w:hAnsi="Arial"/>
          <w:sz w:val="18"/>
          <w:szCs w:val="18"/>
          <w:color w:val="auto"/>
        </w:rPr>
      </w:pPr>
    </w:p>
    <w:p>
      <w:pPr>
        <w:ind w:left="180" w:hanging="173"/>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Leading provider of human capital in the financial and technology industry</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As of fiscal year 2023, CLPS maintained more than 3,509 employees, of which, more than 3,099 IT talents serve our customers. Among them, more than 98% work full-time for customers and the rest of the 2% work on project-based such as IT engineers, project managers, business analysts, among others, or are involved in research of innovative projects.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0" w:lineRule="exact"/>
        <w:rPr>
          <w:sz w:val="20"/>
          <w:szCs w:val="20"/>
          <w:color w:val="auto"/>
        </w:rPr>
      </w:pPr>
    </w:p>
    <w:p>
      <w:pPr>
        <w:ind w:left="960" w:hanging="313"/>
        <w:spacing w:after="0" w:line="270" w:lineRule="auto"/>
        <w:tabs>
          <w:tab w:leader="none" w:pos="9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Citibank, HSBC, Standard Chartered Bank (China) Ltd., The Bank of East Asia, Limited,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China (Hong Kong) Limited, ANZ Bank, and Bank of Communications.</w:t>
      </w:r>
    </w:p>
    <w:p>
      <w:pPr>
        <w:spacing w:after="0" w:line="174" w:lineRule="exact"/>
        <w:rPr>
          <w:rFonts w:ascii="Arial" w:cs="Arial" w:eastAsia="Arial" w:hAnsi="Arial"/>
          <w:sz w:val="18"/>
          <w:szCs w:val="18"/>
          <w:i w:val="1"/>
          <w:iCs w:val="1"/>
          <w:color w:val="auto"/>
        </w:rPr>
      </w:pPr>
    </w:p>
    <w:p>
      <w:pPr>
        <w:ind w:left="960" w:hanging="313"/>
        <w:spacing w:after="0"/>
        <w:tabs>
          <w:tab w:leader="none" w:pos="9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Wealth Management </w:t>
      </w:r>
      <w:r>
        <w:rPr>
          <w:rFonts w:ascii="Arial" w:cs="Arial" w:eastAsia="Arial" w:hAnsi="Arial"/>
          <w:sz w:val="18"/>
          <w:szCs w:val="18"/>
          <w:color w:val="auto"/>
        </w:rPr>
        <w:t>— AIA, CUP Data, First Data, and Orient Securities.</w:t>
      </w:r>
    </w:p>
    <w:p>
      <w:pPr>
        <w:spacing w:after="0" w:line="219" w:lineRule="exact"/>
        <w:rPr>
          <w:rFonts w:ascii="Arial" w:cs="Arial" w:eastAsia="Arial" w:hAnsi="Arial"/>
          <w:sz w:val="18"/>
          <w:szCs w:val="18"/>
          <w:i w:val="1"/>
          <w:iCs w:val="1"/>
          <w:color w:val="auto"/>
        </w:rPr>
      </w:pPr>
    </w:p>
    <w:p>
      <w:pPr>
        <w:ind w:left="960" w:hanging="313"/>
        <w:spacing w:after="0"/>
        <w:tabs>
          <w:tab w:leader="none" w:pos="9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 eBay, PayPal, Greendot Shanghai, Stubhub, and Gumtree.</w:t>
      </w:r>
    </w:p>
    <w:p>
      <w:pPr>
        <w:spacing w:after="0" w:line="219" w:lineRule="exact"/>
        <w:rPr>
          <w:rFonts w:ascii="Arial" w:cs="Arial" w:eastAsia="Arial" w:hAnsi="Arial"/>
          <w:sz w:val="18"/>
          <w:szCs w:val="18"/>
          <w:i w:val="1"/>
          <w:iCs w:val="1"/>
          <w:color w:val="auto"/>
        </w:rPr>
      </w:pPr>
    </w:p>
    <w:p>
      <w:pPr>
        <w:ind w:left="960" w:hanging="313"/>
        <w:spacing w:after="0"/>
        <w:tabs>
          <w:tab w:leader="none" w:pos="9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Automotive and Technology </w:t>
      </w:r>
      <w:r>
        <w:rPr>
          <w:rFonts w:ascii="Arial" w:cs="Arial" w:eastAsia="Arial" w:hAnsi="Arial"/>
          <w:sz w:val="18"/>
          <w:szCs w:val="18"/>
          <w:color w:val="auto"/>
        </w:rPr>
        <w:t>— SAIC Motors, Rising Auto, Sony, Cisco, AGFA Healthcare, Neusoft, and Kodak.</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have invested in building a broad sales force and marketing team. As of June 30, 2023, our business development teams consisted of 52 full-time sales and marketing personnel, including 49 sales managers, each of whom is responsible for a designated sales region or client account. We plan to enhance our sales efforts by recruiting more sales personnel both domestically and overseas.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robotic process automation (RPA), blockchain, artificial intelligence, and big data, among other technologies, with a focus on continuous scientific and technological innovation to provide clients with more comprehensive and efficient IT services.</w:t>
      </w:r>
    </w:p>
    <w:p>
      <w:pPr>
        <w:spacing w:after="0" w:line="175"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a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96"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Following the upgrade of our credit card system product, a joint effort of CLPS Innovation Lab and Credit Card Service teams, CLPS launched CAKU 2.0, the upgraded new generation of credit card system product of CLPS. Built on an open source architecture, CAKU offers fast implementation and flexibility for replacing existing credit card system, giving global banking institutions a competitive edge in digital transformation. CAKU is a proprietary product that CLPS independently developed based on its extensive experience in the financial industry as well as its deep understanding in the current banking business demands and industry development trends. CAKU has been comprehensively optimized and upgraded based on CLPS’s initial credit card product from 2015. A product developed to enable digital transformation, CAKU has made breakthroughs in the following areas:</w:t>
      </w:r>
    </w:p>
    <w:p>
      <w:pPr>
        <w:spacing w:after="0" w:line="165" w:lineRule="exact"/>
        <w:rPr>
          <w:sz w:val="20"/>
          <w:szCs w:val="20"/>
          <w:color w:val="auto"/>
        </w:rPr>
      </w:pPr>
    </w:p>
    <w:p>
      <w:pPr>
        <w:ind w:left="960" w:hanging="313"/>
        <w:spacing w:after="0" w:line="333"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Architectural design- CAKU has adopted an independent, secure and reliable distributed architecture, using a flexible unitized system to divide into microservices that creates an open source platform solution, is independent from mainframe platform, and is able to iterate faster;</w:t>
      </w:r>
    </w:p>
    <w:p>
      <w:pPr>
        <w:spacing w:after="0" w:line="129" w:lineRule="exact"/>
        <w:rPr>
          <w:rFonts w:ascii="Arial" w:cs="Arial" w:eastAsia="Arial" w:hAnsi="Arial"/>
          <w:sz w:val="16"/>
          <w:szCs w:val="16"/>
          <w:color w:val="auto"/>
        </w:rPr>
      </w:pPr>
    </w:p>
    <w:p>
      <w:pPr>
        <w:jc w:val="both"/>
        <w:ind w:left="960" w:hanging="313"/>
        <w:spacing w:after="0" w:line="258"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application- CAKU offers a new ’scenario-driven’ business model, featuring over a thousand standardized business components, more than 1,000 API interfaces, and more than 8,000 business parameters, to ensure that the credit card system is configurable and provides refined management and fast parameterization;</w:t>
      </w:r>
    </w:p>
    <w:p>
      <w:pPr>
        <w:spacing w:after="0" w:line="186" w:lineRule="exact"/>
        <w:rPr>
          <w:rFonts w:ascii="Arial" w:cs="Arial" w:eastAsia="Arial" w:hAnsi="Arial"/>
          <w:sz w:val="18"/>
          <w:szCs w:val="18"/>
          <w:color w:val="auto"/>
        </w:rPr>
      </w:pPr>
    </w:p>
    <w:p>
      <w:pPr>
        <w:jc w:val="both"/>
        <w:ind w:left="960" w:hanging="313"/>
        <w:spacing w:after="0" w:line="296"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Technological innovation- CAKU features a high performance, high availability and high expansibility system based on an advanced real-time entry design scheme, graphics engine design concept and powerful front-end transaction, which can meet the process requirement of over 200,000 transactions per second (TPS). When a failure occurs, the recovery time objective (RTO) is less than 30 seconds, and the recovery point objective (RPO) is zero. Additionally, it supports 24/7 uninterrupted operation and unlimited card issuance.</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above-mentioned advantages of CAKU will overcome the limitations of the previous credit card core system, such as fixed business, outdated technology, high cost, and poor user interface. It will also provide strong support in the demand for digital upgrade on domestic and foreign banks’ credit card core system.</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CLPS has been committed to promoting digital transformation integrated with secure, smooth, and efficient IT systems. The growing demand for customized and innovative marketing model has pushed CLPS to further enhance its digital marketing solution to achieve client’s business goals prompted by improved marketing performance metrics.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4" w:name="page65"/>
    <w:bookmarkEnd w:id="64"/>
    <w:p>
      <w:pPr>
        <w:jc w:val="both"/>
        <w:ind w:firstLine="640"/>
        <w:spacing w:after="0" w:line="269" w:lineRule="auto"/>
        <w:rPr>
          <w:sz w:val="20"/>
          <w:szCs w:val="20"/>
          <w:color w:val="auto"/>
        </w:rPr>
      </w:pPr>
      <w:r>
        <w:rPr>
          <w:rFonts w:ascii="Arial" w:cs="Arial" w:eastAsia="Arial" w:hAnsi="Arial"/>
          <w:sz w:val="17"/>
          <w:szCs w:val="17"/>
          <w:color w:val="auto"/>
        </w:rPr>
        <w:t>We developed a new generation of loan management system, a product intended for small and medium-sized banking institutions. CLPS has been optimizing its loan management system by integrating its mature products with innovative technology such as blockchain, robotic process automation (RPA), optical character recognition (OCR), and facial recognition. The goal of the optimization is to achieve a more comprehensive and streamlined loan process flow, including in mortgage application, credit checking, and drawdown, among others, ensuring the privacy and security of information transmission while effectively shortening the processing time. As a result, customers can apply for a loan conveniently anytime, anywhere, reducing banking institutions’ operating costs and gaining a wider range of new business opportunities.</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CLPS’s Innovation Lab has unveiled initial findings showcasing the synergy of Robotic Process Automation (RPA) and Artificial Intelligence (AI) for intelligent automation in talent acquisition. This research demonstrates that integrating AI into RPA workflows can streamline talent acquisition, leading to a 43% reduction in labor costs and a 700% improvement in efficiency, while also serving as a foundation for future AI-powered automation solutions in various business areas.</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We believe resource management and planning is critically important to supporting our growth, and we are committed to effectively recruiting, training, developing and retaining our human capital. Our total number of employees was 3,509 employees as of June 30, 2023 from 3,824 employees in June 30, 2022. Approximately 62%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5" w:lineRule="exact"/>
        <w:rPr>
          <w:sz w:val="20"/>
          <w:szCs w:val="20"/>
          <w:color w:val="auto"/>
        </w:rPr>
      </w:pPr>
    </w:p>
    <w:p>
      <w:pPr>
        <w:ind w:left="960" w:hanging="31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0"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spacing w:after="0" w:line="152"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ind w:left="640"/>
        <w:spacing w:after="0"/>
        <w:rPr>
          <w:sz w:val="20"/>
          <w:szCs w:val="20"/>
          <w:color w:val="auto"/>
        </w:rPr>
      </w:pPr>
      <w:r>
        <w:rPr>
          <w:rFonts w:ascii="Arial" w:cs="Arial" w:eastAsia="Arial" w:hAnsi="Arial"/>
          <w:sz w:val="18"/>
          <w:szCs w:val="18"/>
          <w:color w:val="auto"/>
        </w:rPr>
        <w:t>We have registered for the following trademarks: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w:t>
            </w:r>
          </w:p>
        </w:tc>
        <w:tc>
          <w:tcPr>
            <w:tcW w:w="1120" w:type="dxa"/>
            <w:vAlign w:val="bottom"/>
          </w:tcPr>
          <w:p>
            <w:pPr>
              <w:spacing w:after="0"/>
              <w:rPr>
                <w:sz w:val="18"/>
                <w:szCs w:val="18"/>
                <w:color w:val="auto"/>
              </w:rPr>
            </w:pPr>
          </w:p>
        </w:tc>
      </w:tr>
      <w:tr>
        <w:trPr>
          <w:trHeight w:val="239"/>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Registration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42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9"/>
        </w:trPr>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19288958</w:t>
            </w:r>
          </w:p>
        </w:tc>
        <w:tc>
          <w:tcPr>
            <w:tcW w:w="1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Class 9: Recorded computer programs (programs);</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CLPS Shanghai Co.,</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peripherals; Computer software (recorded); Connector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(data processing equipment); Monitor program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program); Electronic publications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Computer program (downloadable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Downloadable computer application software;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hardware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19289112</w:t>
            </w:r>
          </w:p>
        </w:tc>
        <w:tc>
          <w:tcPr>
            <w:tcW w:w="4380" w:type="dxa"/>
            <w:vAlign w:val="bottom"/>
            <w:gridSpan w:val="3"/>
            <w:shd w:val="clear" w:color="auto" w:fill="CCEEFF"/>
          </w:tcPr>
          <w:p>
            <w:pPr>
              <w:ind w:left="120"/>
              <w:spacing w:after="0" w:line="199" w:lineRule="exact"/>
              <w:rPr>
                <w:sz w:val="20"/>
                <w:szCs w:val="20"/>
                <w:color w:val="auto"/>
              </w:rPr>
            </w:pPr>
            <w:r>
              <w:rPr>
                <w:rFonts w:ascii="Arial" w:cs="Arial" w:eastAsia="Arial" w:hAnsi="Arial"/>
                <w:sz w:val="18"/>
                <w:szCs w:val="18"/>
                <w:color w:val="auto"/>
                <w:w w:val="97"/>
              </w:rPr>
              <w:t>Class 38: Information transmission; Computer terminal</w:t>
            </w:r>
          </w:p>
        </w:tc>
        <w:tc>
          <w:tcPr>
            <w:tcW w:w="178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87"/>
              </w:rPr>
              <w:t>CLPS Shanghai Co.,</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communication; Computer-aided information and image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transmission; Information transmission equipment rental;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Provide telecommunications link services to connect with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global computer network; Telecommunications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routing and junction services; Provide access service for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global computer network users; Provide database access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19289503</w:t>
            </w:r>
          </w:p>
        </w:tc>
        <w:tc>
          <w:tcPr>
            <w:tcW w:w="4380" w:type="dxa"/>
            <w:vAlign w:val="bottom"/>
            <w:gridSpan w:val="3"/>
            <w:shd w:val="clear" w:color="auto" w:fill="CCEEFF"/>
          </w:tcPr>
          <w:p>
            <w:pPr>
              <w:ind w:left="120"/>
              <w:spacing w:after="0" w:line="199" w:lineRule="exact"/>
              <w:rPr>
                <w:sz w:val="20"/>
                <w:szCs w:val="20"/>
                <w:color w:val="auto"/>
              </w:rPr>
            </w:pPr>
            <w:r>
              <w:rPr>
                <w:rFonts w:ascii="Arial" w:cs="Arial" w:eastAsia="Arial" w:hAnsi="Arial"/>
                <w:sz w:val="18"/>
                <w:szCs w:val="18"/>
                <w:color w:val="auto"/>
              </w:rPr>
              <w:t>Class 9: Recorded computer programs (programs);</w:t>
            </w:r>
          </w:p>
        </w:tc>
        <w:tc>
          <w:tcPr>
            <w:tcW w:w="178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87"/>
              </w:rPr>
              <w:t>CLPS Shanghai Co.,</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peripherals; Computer software (recorded); Connector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(data processing equipment); Monitor program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program); Electronic publications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Computer program (downloadable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Downloadable computer application software;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hardware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19289341</w:t>
            </w:r>
          </w:p>
        </w:tc>
        <w:tc>
          <w:tcPr>
            <w:tcW w:w="4380" w:type="dxa"/>
            <w:vAlign w:val="bottom"/>
            <w:gridSpan w:val="3"/>
            <w:shd w:val="clear" w:color="auto" w:fill="CCEEFF"/>
          </w:tcPr>
          <w:p>
            <w:pPr>
              <w:ind w:left="120"/>
              <w:spacing w:after="0" w:line="199" w:lineRule="exact"/>
              <w:rPr>
                <w:sz w:val="20"/>
                <w:szCs w:val="20"/>
                <w:color w:val="auto"/>
              </w:rPr>
            </w:pPr>
            <w:r>
              <w:rPr>
                <w:rFonts w:ascii="Arial" w:cs="Arial" w:eastAsia="Arial" w:hAnsi="Arial"/>
                <w:sz w:val="18"/>
                <w:szCs w:val="18"/>
                <w:color w:val="auto"/>
                <w:w w:val="95"/>
              </w:rPr>
              <w:t>Class 42: Technical research; Research or develop new</w:t>
            </w:r>
          </w:p>
        </w:tc>
        <w:tc>
          <w:tcPr>
            <w:tcW w:w="178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87"/>
              </w:rPr>
              <w:t>CLPS Shanghai Co.,</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products for others; Computer programming; Computer</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software design; Computer hardware design and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development consulting; Computer software rental;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Computer software maintenance; Computer system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analysis; Computer software installation;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software consulting</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413"/>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19289214</w:t>
            </w: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Class 41: Teaching; Education; Training; Practical</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CLPS Shanghai Co.,</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training (demonstration); Employment guidance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tcPr>
          <w:p>
            <w:pPr>
              <w:spacing w:after="0"/>
              <w:rPr>
                <w:sz w:val="18"/>
                <w:szCs w:val="18"/>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w w:val="93"/>
              </w:rPr>
              <w:t>(education or training consultants); Arrange and organize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color w:val="auto"/>
              </w:rPr>
              <w:t>academic seminars; Arrange and organize meetings;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-5285105</wp:posOffset>
            </wp:positionV>
            <wp:extent cx="610235" cy="245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-4065270</wp:posOffset>
            </wp:positionV>
            <wp:extent cx="610235" cy="245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626745" cy="245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674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-1624965</wp:posOffset>
            </wp:positionV>
            <wp:extent cx="626745" cy="245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74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-541020</wp:posOffset>
            </wp:positionV>
            <wp:extent cx="7134225" cy="948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9486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color w:val="auto"/>
        </w:rPr>
        <w:t>Arrange and organize general meeting; Arrange and</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organize symposium; Arrange and organize training</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w:t>
            </w:r>
          </w:p>
        </w:tc>
        <w:tc>
          <w:tcPr>
            <w:tcW w:w="1120" w:type="dxa"/>
            <w:vAlign w:val="bottom"/>
          </w:tcPr>
          <w:p>
            <w:pPr>
              <w:spacing w:after="0"/>
              <w:rPr>
                <w:sz w:val="18"/>
                <w:szCs w:val="18"/>
                <w:color w:val="auto"/>
              </w:rPr>
            </w:pPr>
          </w:p>
        </w:tc>
      </w:tr>
      <w:tr>
        <w:trPr>
          <w:trHeight w:val="239"/>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Registration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42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9"/>
        </w:trPr>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2"/>
              </w:rPr>
              <w:t>Hong Kong,</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47628610</w:t>
            </w:r>
          </w:p>
        </w:tc>
        <w:tc>
          <w:tcPr>
            <w:tcW w:w="1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4"/>
              </w:rPr>
              <w:t>Class 36: Financial management; Financial consulting;</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9"/>
              </w:rPr>
              <w:t>CLPS Technology</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Credit card payment processing; Debit card payment</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(HONG KONG) Co.,</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processing; Credit card issuing; Online banking service;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Credit card related investigations; Electronic credit card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transaction processing; Credit card issuance; Credit card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verification; Credit card transaction processing service;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Banking services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2"/>
              </w:rPr>
              <w:t>Hong Kong,</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47629542</w:t>
            </w:r>
          </w:p>
        </w:tc>
        <w:tc>
          <w:tcPr>
            <w:tcW w:w="4380" w:type="dxa"/>
            <w:vAlign w:val="bottom"/>
            <w:gridSpan w:val="3"/>
            <w:shd w:val="clear" w:color="auto" w:fill="CCEEFF"/>
          </w:tcPr>
          <w:p>
            <w:pPr>
              <w:ind w:left="120"/>
              <w:spacing w:after="0" w:line="199" w:lineRule="exact"/>
              <w:rPr>
                <w:sz w:val="20"/>
                <w:szCs w:val="20"/>
                <w:color w:val="auto"/>
              </w:rPr>
            </w:pPr>
            <w:r>
              <w:rPr>
                <w:rFonts w:ascii="Arial" w:cs="Arial" w:eastAsia="Arial" w:hAnsi="Arial"/>
                <w:sz w:val="18"/>
                <w:szCs w:val="18"/>
                <w:color w:val="auto"/>
                <w:w w:val="99"/>
              </w:rPr>
              <w:t>Class 41: Teaching; Education; Training; Arrange and</w:t>
            </w:r>
          </w:p>
        </w:tc>
        <w:tc>
          <w:tcPr>
            <w:tcW w:w="178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89"/>
              </w:rPr>
              <w:t>CLPS Technology</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organize academic seminars; Arrange and organize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(HONG KONG) Co.,</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meetings; Arrange and organize training courses; Arrange</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 organize on-site education forums; Written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publication (excluding advertising text); Book</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publication; Online publication of e-books and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magazines; Provide non-downloadable online electronic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publications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54531262</w:t>
            </w:r>
          </w:p>
        </w:tc>
        <w:tc>
          <w:tcPr>
            <w:tcW w:w="4380" w:type="dxa"/>
            <w:vAlign w:val="bottom"/>
            <w:gridSpan w:val="3"/>
            <w:shd w:val="clear" w:color="auto" w:fill="CCEEFF"/>
          </w:tcPr>
          <w:p>
            <w:pPr>
              <w:ind w:left="120"/>
              <w:spacing w:after="0" w:line="199" w:lineRule="exact"/>
              <w:rPr>
                <w:sz w:val="20"/>
                <w:szCs w:val="20"/>
                <w:color w:val="auto"/>
              </w:rPr>
            </w:pPr>
            <w:r>
              <w:rPr>
                <w:rFonts w:ascii="Arial" w:cs="Arial" w:eastAsia="Arial" w:hAnsi="Arial"/>
                <w:sz w:val="18"/>
                <w:szCs w:val="18"/>
                <w:color w:val="auto"/>
                <w:w w:val="92"/>
              </w:rPr>
              <w:t>Class 42: Technical research; Research and develop new</w:t>
            </w:r>
          </w:p>
        </w:tc>
        <w:tc>
          <w:tcPr>
            <w:tcW w:w="1780" w:type="dxa"/>
            <w:vAlign w:val="bottom"/>
            <w:gridSpan w:val="2"/>
            <w:shd w:val="clear" w:color="auto" w:fill="CCEEFF"/>
          </w:tcPr>
          <w:p>
            <w:pPr>
              <w:jc w:val="center"/>
              <w:ind w:right="120"/>
              <w:spacing w:after="0" w:line="199" w:lineRule="exact"/>
              <w:rPr>
                <w:sz w:val="20"/>
                <w:szCs w:val="20"/>
                <w:color w:val="auto"/>
              </w:rPr>
            </w:pPr>
            <w:r>
              <w:rPr>
                <w:rFonts w:ascii="Arial" w:cs="Arial" w:eastAsia="Arial" w:hAnsi="Arial"/>
                <w:sz w:val="18"/>
                <w:szCs w:val="18"/>
                <w:color w:val="auto"/>
                <w:w w:val="90"/>
              </w:rPr>
              <w:t>JAJI (Shanghai) Co.,</w:t>
            </w:r>
          </w:p>
        </w:tc>
        <w:tc>
          <w:tcPr>
            <w:tcW w:w="112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7"/>
              </w:rPr>
              <w:t>Registered</w:t>
            </w: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products for other parties; Information technology</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Ltd.</w:t>
            </w: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consulting services; Industrial product design;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software update; Computer software design and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development ; Computer software maintenance;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Computer hardware design and development consulting;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Cloud computing; computer programming</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647"/>
        </w:trPr>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-3676650</wp:posOffset>
            </wp:positionV>
            <wp:extent cx="610235" cy="245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-2592070</wp:posOffset>
            </wp:positionV>
            <wp:extent cx="610235" cy="245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023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-1372235</wp:posOffset>
            </wp:positionV>
            <wp:extent cx="618490" cy="262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8490" cy="262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7" w:name="page68"/>
    <w:bookmarkEnd w:id="67"/>
    <w:p>
      <w:pPr>
        <w:ind w:left="640"/>
        <w:spacing w:after="0"/>
        <w:rPr>
          <w:sz w:val="20"/>
          <w:szCs w:val="20"/>
          <w:color w:val="auto"/>
        </w:rPr>
      </w:pPr>
      <w:r>
        <w:rPr>
          <w:rFonts w:ascii="Arial" w:cs="Arial" w:eastAsia="Arial" w:hAnsi="Arial"/>
          <w:sz w:val="18"/>
          <w:szCs w:val="18"/>
          <w:color w:val="auto"/>
        </w:rPr>
        <w:t>The following is a list of the Company’s copyrights: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rPr>
              <w:t>CLPS HR Management Platform Software V1.0</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2009SR015975</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Food and Beverage Report Analysis and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2009SR060110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Apparel Industry POS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2"/>
              </w:rPr>
              <w:t>CLPS Express Information Interactive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Chain Store Information Interactive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2009SR060108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Project Analysis and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2009SR060169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9"/>
              </w:rPr>
              <w:t>CLPS Payroll Accounting System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Fast Moving Consumer Goods Frontline Staff</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Staff Management Platform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2010SR043562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Coal Mining Enterprise Information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Campus Expense Card Web Service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6"/>
              </w:rPr>
              <w:t>CLPS Campus Expense Card Bathroom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2010SR045444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Service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6"/>
              </w:rPr>
              <w:t>CLPS Machinery Industry ERP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2010SR045802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Assignment and Task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2011SR076863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88"/>
              </w:rPr>
              <w:t>Software (short name: Assignment and Task Management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System)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Marketing Assistant System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2012SR096727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6"/>
              </w:rPr>
              <w:t>CLPS Outsourcing Service Staff Management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2012SR096666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-6911975</wp:posOffset>
            </wp:positionV>
            <wp:extent cx="7134225" cy="406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406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406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406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406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406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34225" cy="406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-1218565</wp:posOffset>
            </wp:positionV>
            <wp:extent cx="7134225" cy="406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15875</wp:posOffset>
            </wp:positionV>
            <wp:extent cx="11353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April 2009</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2009</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2009</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2009</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2009</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2009</w:t>
      </w:r>
    </w:p>
    <w:p>
      <w:pPr>
        <w:spacing w:after="0" w:line="36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August 2010</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August 2010</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August 2010</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September 2010</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5"/>
          <w:szCs w:val="15"/>
          <w:color w:val="auto"/>
        </w:rPr>
        <w:t>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September 2010</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5"/>
          <w:szCs w:val="15"/>
          <w:color w:val="auto"/>
        </w:rPr>
        <w:t>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September 2010</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September 2010</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2011</w:t>
      </w:r>
    </w:p>
    <w:p>
      <w:pPr>
        <w:spacing w:after="0" w:line="34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80"/>
            <w:col w:w="1460" w:space="340"/>
            <w:col w:w="760"/>
          </w:cols>
          <w:pgMar w:left="320" w:top="872" w:right="3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w w:val="98"/>
              </w:rPr>
              <w:t>CLPS Outsourcing Service Staff System Background</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2012SR096731</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4"/>
              </w:rPr>
              <w:t>CLPS Logistics Terminal Distribution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2012SR096668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HR Background Support Management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2012SR098440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1"/>
              </w:rPr>
              <w:t>CLPS HR Management System Platform Software (short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2012SR098429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name: HR Management System)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4"/>
              </w:rPr>
              <w:t>CLPS Outsourcing Service Staff Resume Entry System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2012SR098687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CLPS Bank Document Business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2013SR054800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(short name: Document Management)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0"/>
              </w:rPr>
              <w:t>CLPS Bank Monetary Transaction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2013SR054796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4"/>
              </w:rPr>
              <w:t>(short name: Monetary Transaction Management)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Expense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2014SR168125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Repayment Process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4"/>
              </w:rPr>
              <w:t>CLPS Bank Point Accumulative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Interest Process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Credit Application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2014SR168138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-4878070</wp:posOffset>
            </wp:positionV>
            <wp:extent cx="7134225" cy="406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-4064635</wp:posOffset>
            </wp:positionV>
            <wp:extent cx="7134225" cy="406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-3251835</wp:posOffset>
            </wp:positionV>
            <wp:extent cx="7134225" cy="406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-2438400</wp:posOffset>
            </wp:positionV>
            <wp:extent cx="7134225" cy="406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-1624965</wp:posOffset>
            </wp:positionV>
            <wp:extent cx="7134225" cy="406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-811530</wp:posOffset>
            </wp:positionV>
            <wp:extent cx="7134225" cy="406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15875</wp:posOffset>
            </wp:positionV>
            <wp:extent cx="11353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2013</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2013</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492" w:lineRule="exact"/>
        <w:rPr>
          <w:sz w:val="20"/>
          <w:szCs w:val="20"/>
          <w:color w:val="auto"/>
        </w:rPr>
      </w:pPr>
    </w:p>
    <w:p>
      <w:pPr>
        <w:sectPr>
          <w:pgSz w:w="11900" w:h="16838" w:orient="portrait"/>
          <w:cols w:equalWidth="0" w:num="3">
            <w:col w:w="8340" w:space="320"/>
            <w:col w:w="1380" w:space="380"/>
            <w:col w:w="760"/>
          </w:cols>
          <w:pgMar w:left="320" w:top="868" w:right="399" w:bottom="1440" w:gutter="0" w:footer="0" w:header="0"/>
        </w:sectPr>
      </w:pPr>
    </w:p>
    <w:tbl>
      <w:tblPr>
        <w:tblLayout w:type="fixed"/>
        <w:tblInd w:w="0" w:type="dxa"/>
        <w:tblCellMar>
          <w:top w:w="0" w:type="dxa"/>
          <w:left w:w="0" w:type="dxa"/>
          <w:bottom w:w="0" w:type="dxa"/>
          <w:right w:w="0" w:type="dxa"/>
        </w:tblCellMar>
      </w:tblPr>
      <w:tr>
        <w:trPr>
          <w:trHeight w:val="202"/>
        </w:trPr>
        <w:tc>
          <w:tcPr>
            <w:tcW w:w="4300" w:type="dxa"/>
            <w:vAlign w:val="bottom"/>
          </w:tcPr>
          <w:p>
            <w:pPr>
              <w:spacing w:after="0" w:line="202" w:lineRule="exact"/>
              <w:rPr>
                <w:sz w:val="20"/>
                <w:szCs w:val="20"/>
                <w:color w:val="auto"/>
              </w:rPr>
            </w:pPr>
            <w:r>
              <w:rPr>
                <w:rFonts w:ascii="Arial" w:cs="Arial" w:eastAsia="Arial" w:hAnsi="Arial"/>
                <w:sz w:val="18"/>
                <w:szCs w:val="18"/>
                <w:color w:val="auto"/>
                <w:w w:val="97"/>
              </w:rPr>
              <w:t>CLPS Mortgage Loan Plan Spreadsheet Tool Software</w:t>
            </w:r>
          </w:p>
        </w:tc>
        <w:tc>
          <w:tcPr>
            <w:tcW w:w="1180" w:type="dxa"/>
            <w:vAlign w:val="bottom"/>
          </w:tcPr>
          <w:p>
            <w:pPr>
              <w:ind w:left="400"/>
              <w:spacing w:after="0" w:line="202" w:lineRule="exact"/>
              <w:rPr>
                <w:sz w:val="20"/>
                <w:szCs w:val="20"/>
                <w:color w:val="auto"/>
              </w:rPr>
            </w:pPr>
            <w:r>
              <w:rPr>
                <w:rFonts w:ascii="Arial" w:cs="Arial" w:eastAsia="Arial" w:hAnsi="Arial"/>
                <w:sz w:val="18"/>
                <w:szCs w:val="18"/>
                <w:color w:val="auto"/>
              </w:rPr>
              <w:t>China</w:t>
            </w:r>
          </w:p>
        </w:tc>
        <w:tc>
          <w:tcPr>
            <w:tcW w:w="1640" w:type="dxa"/>
            <w:vAlign w:val="bottom"/>
          </w:tcPr>
          <w:p>
            <w:pPr>
              <w:ind w:left="360"/>
              <w:spacing w:after="0" w:line="202" w:lineRule="exact"/>
              <w:rPr>
                <w:sz w:val="20"/>
                <w:szCs w:val="20"/>
                <w:color w:val="auto"/>
              </w:rPr>
            </w:pPr>
            <w:r>
              <w:rPr>
                <w:rFonts w:ascii="Arial" w:cs="Arial" w:eastAsia="Arial" w:hAnsi="Arial"/>
                <w:sz w:val="18"/>
                <w:szCs w:val="18"/>
                <w:color w:val="auto"/>
              </w:rPr>
              <w:t>2015SR198772</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CLPS</w:t>
            </w:r>
          </w:p>
        </w:tc>
        <w:tc>
          <w:tcPr>
            <w:tcW w:w="1700" w:type="dxa"/>
            <w:vAlign w:val="bottom"/>
          </w:tcPr>
          <w:p>
            <w:pPr>
              <w:ind w:left="200"/>
              <w:spacing w:after="0" w:line="202" w:lineRule="exact"/>
              <w:rPr>
                <w:sz w:val="20"/>
                <w:szCs w:val="20"/>
                <w:color w:val="auto"/>
              </w:rPr>
            </w:pPr>
            <w:r>
              <w:rPr>
                <w:rFonts w:ascii="Arial" w:cs="Arial" w:eastAsia="Arial" w:hAnsi="Arial"/>
                <w:sz w:val="15"/>
                <w:szCs w:val="15"/>
                <w:color w:val="auto"/>
              </w:rPr>
              <w:t>16</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October 2015</w:t>
            </w:r>
          </w:p>
        </w:tc>
        <w:tc>
          <w:tcPr>
            <w:tcW w:w="980" w:type="dxa"/>
            <w:vAlign w:val="bottom"/>
          </w:tcPr>
          <w:p>
            <w:pPr>
              <w:ind w:left="220"/>
              <w:spacing w:after="0" w:line="202" w:lineRule="exact"/>
              <w:rPr>
                <w:sz w:val="20"/>
                <w:szCs w:val="20"/>
                <w:color w:val="auto"/>
              </w:rPr>
            </w:pPr>
            <w:r>
              <w:rPr>
                <w:rFonts w:ascii="Arial" w:cs="Arial" w:eastAsia="Arial" w:hAnsi="Arial"/>
                <w:sz w:val="18"/>
                <w:szCs w:val="18"/>
                <w:color w:val="auto"/>
                <w:w w:val="84"/>
              </w:rPr>
              <w:t>Registered</w:t>
            </w:r>
          </w:p>
        </w:tc>
      </w:tr>
      <w:tr>
        <w:trPr>
          <w:trHeight w:val="226"/>
        </w:trPr>
        <w:tc>
          <w:tcPr>
            <w:tcW w:w="4300" w:type="dxa"/>
            <w:vAlign w:val="bottom"/>
          </w:tcPr>
          <w:p>
            <w:pPr>
              <w:spacing w:after="0"/>
              <w:rPr>
                <w:sz w:val="20"/>
                <w:szCs w:val="20"/>
                <w:color w:val="auto"/>
              </w:rPr>
            </w:pPr>
            <w:r>
              <w:rPr>
                <w:rFonts w:ascii="Arial" w:cs="Arial" w:eastAsia="Arial" w:hAnsi="Arial"/>
                <w:sz w:val="18"/>
                <w:szCs w:val="18"/>
                <w:color w:val="auto"/>
              </w:rPr>
              <w:t>(short name: Loan Spreadsheet) V1.0</w:t>
            </w: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Shanghai Co.,</w:t>
            </w: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4225" cy="406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ind w:left="7640"/>
        <w:spacing w:after="0"/>
        <w:rPr>
          <w:sz w:val="20"/>
          <w:szCs w:val="20"/>
          <w:color w:val="auto"/>
        </w:rPr>
      </w:pPr>
      <w:r>
        <w:rPr>
          <w:rFonts w:ascii="Arial" w:cs="Arial" w:eastAsia="Arial" w:hAnsi="Arial"/>
          <w:sz w:val="18"/>
          <w:szCs w:val="18"/>
          <w:color w:val="auto"/>
        </w:rPr>
        <w:t>Ltd.</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rPr>
              <w:t>CLPS Bank Product Management Software V1.0</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2015SR198610</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Deposit and Withdrawal Services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2015SR198176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9"/>
              </w:rPr>
              <w:t>CLPS Bank Loan Application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2015SR198654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Bank Repayment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2015SR198649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2"/>
              </w:rPr>
              <w:t>CLPS Bank Exchange Rate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2015SR198774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Interest Settlement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2015SR198246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89"/>
              </w:rPr>
              <w:t>CLPS Bank Foreign Exchange Transaction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2015SR198240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0"/>
              </w:rPr>
              <w:t>CLPS Bank Investment Management Securities Business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2016SR376924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Big Data Decision-making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2016SR382920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Customer Portrayal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2"/>
              </w:rPr>
              <w:t>CLPS Internet Financial Cloud Mobile Banking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2016SR398821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Wantong Calculus Mall Software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2017SR118507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CLPS Beijing</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Hengtong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RC Rules Engine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2017SR169307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Internet Financing Collection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2017SR119266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Points Management Platform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2017SR119078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Full-web Order Receiving Unified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2017SR202535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Quanxi Intelligent Marketing Platform Clients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2017SR565576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Growth Center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Enterprise Recruitment Intelligent Cooperation</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2017SR646712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Intelligent Online Training Test Instructional</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2017SR646507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-7725410</wp:posOffset>
            </wp:positionV>
            <wp:extent cx="7134225" cy="406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-6911975</wp:posOffset>
            </wp:positionV>
            <wp:extent cx="7134225" cy="406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406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406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406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406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406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34225" cy="406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-1218565</wp:posOffset>
            </wp:positionV>
            <wp:extent cx="7134225" cy="406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15875</wp:posOffset>
            </wp:positionV>
            <wp:extent cx="11353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October 2015</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2016</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20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2016</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27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December 2016</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April 2017</w:t>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2017</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April 2017</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April 2017</w:t>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2017</w:t>
      </w:r>
    </w:p>
    <w:p>
      <w:pPr>
        <w:spacing w:after="0" w:line="30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2017</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60"/>
            <w:col w:w="1480" w:space="340"/>
            <w:col w:w="760"/>
          </w:cols>
          <w:pgMar w:left="320" w:top="868" w:right="3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rPr>
              <w:t>CLPS Enterprise Internet Qinqin Loan Background</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7"/>
              </w:rPr>
              <w:t>2017SR647634</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9"/>
              </w:rPr>
              <w:t>CLPS Blockchain Based Virtual Credits Background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2017SR645676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Enterprise Talent Information Intelligent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2017SR645650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Enterprise Recruitment Intelligent Cooperation</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2017SR647190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9"/>
              </w:rPr>
              <w:t>CLPS General Points Platform and Business Center</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2019SR0004653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Financial Microloan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2019SR0004669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Customer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2019SR0004663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Financial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2019SR0140935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CLPS Talent Training One-Stop Platform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2020SR0094641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Project Management Software [PMS]V2.0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2020SR0095716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Financial Management Software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2020SR0095716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Financial Microloan Software V3.0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2020SR0094745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Bank Customer Management Software V3.0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2020SR0095318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Financial Accounting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2020SR0095725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406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406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406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406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406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34225" cy="406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-1218565</wp:posOffset>
            </wp:positionV>
            <wp:extent cx="7134225" cy="406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181"/>
        <w:spacing w:after="0" w:line="401" w:lineRule="auto"/>
        <w:rPr>
          <w:sz w:val="20"/>
          <w:szCs w:val="20"/>
          <w:color w:val="auto"/>
        </w:rPr>
      </w:pPr>
      <w:r>
        <w:rPr>
          <w:rFonts w:ascii="Arial" w:cs="Arial" w:eastAsia="Arial" w:hAnsi="Arial"/>
          <w:sz w:val="15"/>
          <w:szCs w:val="15"/>
          <w:b w:val="1"/>
          <w:bCs w:val="1"/>
          <w:color w:val="auto"/>
        </w:rPr>
        <w:t xml:space="preserve">Approval Date </w:t>
      </w: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-327660</wp:posOffset>
            </wp:positionV>
            <wp:extent cx="11353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3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2019</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2020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60"/>
            <w:col w:w="1480" w:space="340"/>
            <w:col w:w="760"/>
          </w:cols>
          <w:pgMar w:left="320" w:top="868" w:right="3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w w:val="99"/>
              </w:rPr>
              <w:t>CLPS Blockchain Based Virtual Credits Background</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8"/>
              </w:rPr>
              <w:t>2020SR0224622</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CLPS</w:t>
            </w:r>
          </w:p>
        </w:tc>
        <w:tc>
          <w:tcPr>
            <w:tcW w:w="20" w:type="dxa"/>
            <w:vAlign w:val="bottom"/>
          </w:tcPr>
          <w:p>
            <w:pPr>
              <w:spacing w:after="0"/>
              <w:rPr>
                <w:sz w:val="17"/>
                <w:szCs w:val="17"/>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V3.0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Guangzhou</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Enterprise Recruitment Intelligent Cooperation</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2020SR0224616</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 V3.0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Guangzhou</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Enterprise Talent Information Intelligent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2020SR0224243</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Management Software (“ERP System”) V3.0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Guangzhou</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7"/>
              </w:rPr>
              <w:t>CLPS Ruicheng ERP-TRMS Software (“ERP-TRMS”)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2020SR1691822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Ruicheng BPM Organizational Structure and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2020SR1691823</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Process Approval Software (“BPM”)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Ruicheng Timesheet CLPS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2020SR1691884</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Software(“Timesheet”)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1"/>
              </w:rPr>
              <w:t>CLPS Ruicheng WeChat Based Timesheet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2020SR1691802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(“Timesheet”)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Ruicheng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JAJI China EKYC Based Mobile Banking</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2020SR1692693</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Software(“Mobile Banking”)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Project Management Software(“PMS”) V3.0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2021SR0113240</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CLPS Credit Card Comprehensive Information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2021SR0113286</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Software(“ChinaLinkV”) V2.1.1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Meeting Room Reservation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2021SR0113234</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Software(“Meeting”)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BPM Organizational Structure and Process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2021SR0216840</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Approval Software(“BPM”)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6"/>
              </w:rPr>
              <w:t>CLPS EKYC Based Mobile Banking Software (“Mobile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2021SR0216890</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Banking”)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Hainan Qincheng BPM Organization Structure and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2021SR783928</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Hainan</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Process Approval Software(“BPM”)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Qincheng</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Software</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5"/>
              </w:rPr>
              <w:t>Hainan Qincheng ERP-TRMS Software(“ERP-TRMS”)</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2021SR0783904</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Hainan</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Qincheng</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Software</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Hainan Qincheng Timesheet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2021SR0783929</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Hainan</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Software(“Timesheet”) V3.0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Qincheng</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Software</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-7725410</wp:posOffset>
            </wp:positionV>
            <wp:extent cx="7134225" cy="406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-6911975</wp:posOffset>
            </wp:positionV>
            <wp:extent cx="7134225" cy="406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406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406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406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406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406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-1760855</wp:posOffset>
            </wp:positionV>
            <wp:extent cx="7134225" cy="677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677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15875</wp:posOffset>
            </wp:positionV>
            <wp:extent cx="11353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2020</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2020</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2020</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2020</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January 2021</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January 2021</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January 2021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February 2021</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February 2021</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40"/>
            <w:col w:w="1540" w:space="300"/>
            <w:col w:w="760"/>
          </w:cols>
          <w:pgMar w:left="320" w:top="868"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w w:val="89"/>
              </w:rPr>
              <w:t>Hainan Qincheng WeChat Based Timesheet Management</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8"/>
              </w:rPr>
              <w:t>2021SR0783905</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1"/>
              </w:rPr>
              <w:t>Hainan</w:t>
            </w:r>
          </w:p>
        </w:tc>
        <w:tc>
          <w:tcPr>
            <w:tcW w:w="20" w:type="dxa"/>
            <w:vAlign w:val="bottom"/>
          </w:tcPr>
          <w:p>
            <w:pPr>
              <w:spacing w:after="0"/>
              <w:rPr>
                <w:sz w:val="17"/>
                <w:szCs w:val="17"/>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Software (“Timesheet”) V2.0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Qincheng</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Software</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Co., 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JAJI Project Management Software V4.0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2021SR1775321</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CLPS Meeting Room Reservation Management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2021SR1628925</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V2.0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6"/>
              </w:rPr>
              <w:t>JAJI One-Stop Platform for Talent Cultivation Based on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2021SR1775007</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Internationalization V2.0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JAJI Project Lifeline Tracking Management System V1.0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2021SR1952575</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JAJI Salary Query Software V1.2</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2021SR1952576</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2"/>
              </w:rPr>
              <w:t>JAJI Internet Financial Accounting Management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2021SR2008521</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V2.0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JAJI Bank Clients Management Software Based on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Distributed Architecture V1.0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2021SR1969086</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8"/>
              </w:rPr>
              <w:t>JAJI Talent Recommendation and Recruitment Mobile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2021SR2085396</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JAJI BPM BPM Organizational Structure and Process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2021SR1880802</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Approval Software V4.0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JAJI Online Finance Management Software Based on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2021SR2008522</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Distributed Architecture V1.0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JAJI Enterprise Talent Information Analysis and</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2021SR1901457</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Management Software Based on Distributed Architecture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V2.0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7"/>
              </w:rPr>
              <w:t>JAJI Mobile Banking System Based on Intelligent Face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2021SR1969085</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Recognition V1.0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2"/>
              </w:rPr>
              <w:t>JAJI Talent Resume Management DB Database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2021SR1952673</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V1.5</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JAJI Business Points Mall WeChat Platform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2021SR1952574</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V1.0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w w:val="98"/>
              </w:rPr>
              <w:t>CLPS EKYC Based Mobile Banking Software (“Mobile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2021SR1617316</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280" w:type="dxa"/>
            <w:vAlign w:val="bottom"/>
            <w:gridSpan w:val="2"/>
          </w:tcPr>
          <w:p>
            <w:pPr>
              <w:spacing w:after="0"/>
              <w:rPr>
                <w:sz w:val="20"/>
                <w:szCs w:val="20"/>
                <w:color w:val="auto"/>
              </w:rPr>
            </w:pPr>
            <w:r>
              <w:rPr>
                <w:rFonts w:ascii="Arial" w:cs="Arial" w:eastAsia="Arial" w:hAnsi="Arial"/>
                <w:sz w:val="18"/>
                <w:szCs w:val="18"/>
                <w:color w:val="auto"/>
              </w:rPr>
              <w:t>Banking”) V3.0</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-7183120</wp:posOffset>
            </wp:positionV>
            <wp:extent cx="7134225" cy="677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677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406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406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406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406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406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34225" cy="406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-1218565</wp:posOffset>
            </wp:positionV>
            <wp:extent cx="7134225" cy="406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15875</wp:posOffset>
            </wp:positionV>
            <wp:extent cx="11353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2021</w:t>
      </w:r>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July 2021</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September 2021</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30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September 2021</w:t>
      </w:r>
    </w:p>
    <w:p>
      <w:pPr>
        <w:spacing w:after="0" w:line="36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2021</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November 2021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60"/>
            <w:col w:w="1500" w:space="320"/>
            <w:col w:w="760"/>
          </w:cols>
          <w:pgMar w:left="320" w:top="868" w:right="3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3"/>
              </w:rPr>
              <w:t>CLPS Credit Card Comprehensive Information Platform</w:t>
            </w:r>
          </w:p>
        </w:tc>
        <w:tc>
          <w:tcPr>
            <w:tcW w:w="120" w:type="dxa"/>
            <w:vAlign w:val="bottom"/>
          </w:tcPr>
          <w:p>
            <w:pPr>
              <w:spacing w:after="0"/>
              <w:rPr>
                <w:sz w:val="17"/>
                <w:szCs w:val="17"/>
                <w:color w:val="auto"/>
              </w:rPr>
            </w:pPr>
          </w:p>
        </w:tc>
        <w:tc>
          <w:tcPr>
            <w:tcW w:w="1260" w:type="dxa"/>
            <w:vAlign w:val="bottom"/>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18"/>
                <w:szCs w:val="18"/>
                <w:color w:val="auto"/>
                <w:w w:val="88"/>
              </w:rPr>
              <w:t>2021SR1617317</w:t>
            </w:r>
          </w:p>
        </w:tc>
        <w:tc>
          <w:tcPr>
            <w:tcW w:w="100" w:type="dxa"/>
            <w:vAlign w:val="bottom"/>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18"/>
                <w:szCs w:val="18"/>
                <w:color w:val="auto"/>
                <w:w w:val="89"/>
              </w:rPr>
              <w:t>CLPS</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Software(“ChinaLinkV”) V3.0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spacing w:after="0"/>
              <w:rPr>
                <w:sz w:val="18"/>
                <w:szCs w:val="18"/>
                <w:color w:val="auto"/>
              </w:rPr>
            </w:pPr>
          </w:p>
        </w:tc>
        <w:tc>
          <w:tcPr>
            <w:tcW w:w="120" w:type="dxa"/>
            <w:vAlign w:val="bottom"/>
            <w:vMerge w:val="restart"/>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vMerge w:val="restart"/>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8"/>
              </w:rPr>
              <w:t>2021SR1619652</w:t>
            </w:r>
          </w:p>
        </w:tc>
        <w:tc>
          <w:tcPr>
            <w:tcW w:w="100" w:type="dxa"/>
            <w:vAlign w:val="bottom"/>
            <w:vMerge w:val="restart"/>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199"/>
        </w:trPr>
        <w:tc>
          <w:tcPr>
            <w:tcW w:w="4160" w:type="dxa"/>
            <w:vAlign w:val="bottom"/>
          </w:tcPr>
          <w:p>
            <w:pPr>
              <w:spacing w:after="0" w:line="199" w:lineRule="exact"/>
              <w:rPr>
                <w:sz w:val="20"/>
                <w:szCs w:val="20"/>
                <w:color w:val="auto"/>
              </w:rPr>
            </w:pPr>
            <w:r>
              <w:rPr>
                <w:rFonts w:ascii="Arial" w:cs="Arial" w:eastAsia="Arial" w:hAnsi="Arial"/>
                <w:sz w:val="18"/>
                <w:szCs w:val="18"/>
                <w:color w:val="auto"/>
                <w:w w:val="99"/>
              </w:rPr>
              <w:t>CLPS Credit Card Big Data Integrated Management</w:t>
            </w:r>
          </w:p>
        </w:tc>
        <w:tc>
          <w:tcPr>
            <w:tcW w:w="1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Background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CLPS Credit Card Clearing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2021SR1619639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Credit Card Risk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Credit Card Account Establishment and Card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Making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4"/>
              </w:rPr>
              <w:t>CLPS Credit Card Authorization Management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2021SR1619642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Credit Card Customer Service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2021SR1619643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CLPS Credit Card Merchant Consumption Integrated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2021SR1619651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Shanghai</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Comprehensive Management 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Chenqin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Information</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Services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Internet Financing Collection Software V1.5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2021SR1666790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Online Learning Platform Software V1.5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2021SR1666804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CLPS</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Shanghai Co.,</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Ltd.</w:t>
            </w:r>
          </w:p>
        </w:tc>
        <w:tc>
          <w:tcPr>
            <w:tcW w:w="0" w:type="dxa"/>
            <w:vAlign w:val="bottom"/>
          </w:tcPr>
          <w:p>
            <w:pPr>
              <w:spacing w:after="0"/>
              <w:rPr>
                <w:sz w:val="1"/>
                <w:szCs w:val="1"/>
                <w:color w:val="auto"/>
              </w:rPr>
            </w:pP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-7454265</wp:posOffset>
            </wp:positionV>
            <wp:extent cx="7134225" cy="542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542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-6098540</wp:posOffset>
            </wp:positionV>
            <wp:extent cx="7134225" cy="813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-4472305</wp:posOffset>
            </wp:positionV>
            <wp:extent cx="7134225" cy="813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-2845435</wp:posOffset>
            </wp:positionV>
            <wp:extent cx="7134225" cy="813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-1218565</wp:posOffset>
            </wp:positionV>
            <wp:extent cx="7134225" cy="406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15875</wp:posOffset>
            </wp:positionV>
            <wp:extent cx="11353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2021</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300"/>
            <w:col w:w="1420" w:space="360"/>
            <w:col w:w="760"/>
          </w:cols>
          <w:pgMar w:left="320" w:top="868" w:right="3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JAJI Dual Recording Platform Software V1.0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7"/>
              </w:rPr>
              <w:t>2021SR2116913</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1"/>
              </w:rPr>
              <w:t>JAJI</w:t>
            </w:r>
          </w:p>
        </w:tc>
        <w:tc>
          <w:tcPr>
            <w:tcW w:w="20" w:type="dxa"/>
            <w:vAlign w:val="bottom"/>
          </w:tcPr>
          <w:p>
            <w:pPr>
              <w:spacing w:after="0"/>
              <w:rPr>
                <w:sz w:val="17"/>
                <w:szCs w:val="17"/>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FATA Authorized Testing Automation Tool</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2022SR1457563</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MC Transaction Simulation Tool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2022SR1457579</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OpenAPI Interface Resource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2022SR1457562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Platform Software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9"/>
              </w:rPr>
              <w:t>Chenqin VISA Transaction Simulation Tool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2022SR1462651</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Scene Engine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2022SR1462652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Batch Scheduling Management Platform</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2022SR1462653</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Authorization Authentication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2022SR1457578</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CUP Trading Simulation Tool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2022SR1474275</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Chenqin JCB Transaction Simulation Tool Software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2022SR1480972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6"/>
              </w:rPr>
              <w:t>Shanghai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Chenqin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Information</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Technology</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Services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64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gridSpan w:val="2"/>
          </w:tcPr>
          <w:p>
            <w:pPr>
              <w:jc w:val="right"/>
              <w:ind w:right="1311"/>
              <w:spacing w:after="0"/>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-8132445</wp:posOffset>
            </wp:positionV>
            <wp:extent cx="7134225" cy="406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-6911975</wp:posOffset>
            </wp:positionV>
            <wp:extent cx="7134225" cy="813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-5285105</wp:posOffset>
            </wp:positionV>
            <wp:extent cx="7134225" cy="813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-3658870</wp:posOffset>
            </wp:positionV>
            <wp:extent cx="7134225" cy="813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34225" cy="813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13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185"/>
        <w:spacing w:after="0" w:line="401" w:lineRule="auto"/>
        <w:rPr>
          <w:sz w:val="20"/>
          <w:szCs w:val="20"/>
          <w:color w:val="auto"/>
        </w:rPr>
      </w:pPr>
      <w:r>
        <w:rPr>
          <w:rFonts w:ascii="Arial" w:cs="Arial" w:eastAsia="Arial" w:hAnsi="Arial"/>
          <w:sz w:val="15"/>
          <w:szCs w:val="15"/>
          <w:b w:val="1"/>
          <w:bCs w:val="1"/>
          <w:color w:val="auto"/>
        </w:rPr>
        <w:t xml:space="preserve">Approval Date </w:t>
      </w:r>
      <w:r>
        <w:rPr>
          <w:rFonts w:ascii="Arial" w:cs="Arial" w:eastAsia="Arial" w:hAnsi="Arial"/>
          <w:sz w:val="15"/>
          <w:szCs w:val="15"/>
          <w:color w:val="auto"/>
        </w:rPr>
        <w:t>17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-327660</wp:posOffset>
            </wp:positionV>
            <wp:extent cx="11353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November 2022</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ectPr>
          <w:pgSz w:w="11900" w:h="16838" w:orient="portrait"/>
          <w:cols w:equalWidth="0" w:num="3">
            <w:col w:w="8340" w:space="260"/>
            <w:col w:w="1500" w:space="320"/>
            <w:col w:w="760"/>
          </w:cols>
          <w:pgMar w:left="320" w:top="868" w:right="3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Current</w:t>
            </w:r>
          </w:p>
        </w:tc>
      </w:t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Owner</w:t>
            </w:r>
          </w:p>
        </w:tc>
      </w:tr>
      <w:tr>
        <w:trPr>
          <w:trHeight w:val="199"/>
        </w:trPr>
        <w:tc>
          <w:tcPr>
            <w:tcW w:w="41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CLPS CRM Customer Management Software V1.0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8"/>
              </w:rPr>
              <w:t>2022SR1561547</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CLPS</w:t>
            </w:r>
          </w:p>
        </w:tc>
        <w:tc>
          <w:tcPr>
            <w:tcW w:w="20" w:type="dxa"/>
            <w:vAlign w:val="bottom"/>
          </w:tcPr>
          <w:p>
            <w:pPr>
              <w:spacing w:after="0"/>
              <w:rPr>
                <w:sz w:val="17"/>
                <w:szCs w:val="17"/>
                <w:color w:val="auto"/>
              </w:rPr>
            </w:pP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Talent Order Matching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2022SR1561546</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Talent Delivery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2022SR1561545</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6"/>
              </w:rPr>
              <w:t>CLPS Rules and Regulations Document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2022SR1561390</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Data Sharing SD Software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2022SR1561392</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CLPS PL Report System Software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2022SR1561391</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CLPS</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0"/>
              </w:rPr>
              <w:t>JAJI CRM Customer Management Software User Manual</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2023SR0235089</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JAJI Talent Order Matching Software User Manual V2.0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2023SR0235088</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3"/>
              </w:rPr>
              <w:t>JAJI Talent Delivery Management System User Manual</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2023SR0235112</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w w:val="98"/>
              </w:rPr>
              <w:t>JAJI Rules and Regulations Document Management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2023SR0235113</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System User Manual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JAJI Data Sharing SD Software V3.0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2023SR0235114</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r>
        <w:trPr>
          <w:trHeight w:val="213"/>
        </w:trPr>
        <w:tc>
          <w:tcPr>
            <w:tcW w:w="4160" w:type="dxa"/>
            <w:vAlign w:val="bottom"/>
          </w:tcPr>
          <w:p>
            <w:pPr>
              <w:spacing w:after="0"/>
              <w:rPr>
                <w:sz w:val="20"/>
                <w:szCs w:val="20"/>
                <w:color w:val="auto"/>
              </w:rPr>
            </w:pPr>
            <w:r>
              <w:rPr>
                <w:rFonts w:ascii="Arial" w:cs="Arial" w:eastAsia="Arial" w:hAnsi="Arial"/>
                <w:sz w:val="18"/>
                <w:szCs w:val="18"/>
                <w:color w:val="auto"/>
              </w:rPr>
              <w:t>JAJI PL Report System Software V3.0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2023SR0235115</w:t>
            </w: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JAJI</w:t>
            </w:r>
          </w:p>
        </w:tc>
      </w:t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(Shanghai) Co.,</w:t>
            </w:r>
          </w:p>
        </w:tc>
      </w:tr>
      <w:tr>
        <w:trPr>
          <w:trHeight w:val="226"/>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-4878070</wp:posOffset>
            </wp:positionV>
            <wp:extent cx="7134225" cy="406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-4064635</wp:posOffset>
            </wp:positionV>
            <wp:extent cx="7134225" cy="406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-3251835</wp:posOffset>
            </wp:positionV>
            <wp:extent cx="7134225" cy="406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-2438400</wp:posOffset>
            </wp:positionV>
            <wp:extent cx="7134225" cy="406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-1624965</wp:posOffset>
            </wp:positionV>
            <wp:extent cx="7134225" cy="406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406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-811530</wp:posOffset>
            </wp:positionV>
            <wp:extent cx="7134225" cy="406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189"/>
        <w:spacing w:after="0" w:line="401" w:lineRule="auto"/>
        <w:rPr>
          <w:sz w:val="20"/>
          <w:szCs w:val="20"/>
          <w:color w:val="auto"/>
        </w:rPr>
      </w:pPr>
      <w:r>
        <w:rPr>
          <w:rFonts w:ascii="Arial" w:cs="Arial" w:eastAsia="Arial" w:hAnsi="Arial"/>
          <w:sz w:val="15"/>
          <w:szCs w:val="15"/>
          <w:b w:val="1"/>
          <w:bCs w:val="1"/>
          <w:color w:val="auto"/>
        </w:rPr>
        <w:t xml:space="preserve">Approval Date </w:t>
      </w: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-327660</wp:posOffset>
            </wp:positionV>
            <wp:extent cx="11353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23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November 2022</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2023</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5676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7690" cy="1714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492" w:lineRule="exact"/>
        <w:rPr>
          <w:sz w:val="20"/>
          <w:szCs w:val="20"/>
          <w:color w:val="auto"/>
        </w:rPr>
      </w:pPr>
    </w:p>
    <w:p>
      <w:pPr>
        <w:sectPr>
          <w:pgSz w:w="11900" w:h="16838" w:orient="portrait"/>
          <w:cols w:equalWidth="0" w:num="3">
            <w:col w:w="8340" w:space="260"/>
            <w:col w:w="1500" w:space="320"/>
            <w:col w:w="760"/>
          </w:cols>
          <w:pgMar w:left="320" w:top="868" w:right="399" w:bottom="1440" w:gutter="0" w:footer="0" w:header="0"/>
        </w:sect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line="202" w:lineRule="exact"/>
              <w:rPr>
                <w:sz w:val="20"/>
                <w:szCs w:val="20"/>
                <w:color w:val="auto"/>
              </w:rPr>
            </w:pPr>
            <w:r>
              <w:rPr>
                <w:rFonts w:ascii="Arial" w:cs="Arial" w:eastAsia="Arial" w:hAnsi="Arial"/>
                <w:sz w:val="18"/>
                <w:szCs w:val="18"/>
                <w:color w:val="auto"/>
              </w:rPr>
              <w:t>Digital Currency Happy Shopping Platform Software</w:t>
            </w:r>
          </w:p>
        </w:tc>
        <w:tc>
          <w:tcPr>
            <w:tcW w:w="1200" w:type="dxa"/>
            <w:vAlign w:val="bottom"/>
          </w:tcPr>
          <w:p>
            <w:pPr>
              <w:ind w:left="440"/>
              <w:spacing w:after="0" w:line="202" w:lineRule="exact"/>
              <w:rPr>
                <w:sz w:val="20"/>
                <w:szCs w:val="20"/>
                <w:color w:val="auto"/>
              </w:rPr>
            </w:pPr>
            <w:r>
              <w:rPr>
                <w:rFonts w:ascii="Arial" w:cs="Arial" w:eastAsia="Arial" w:hAnsi="Arial"/>
                <w:sz w:val="18"/>
                <w:szCs w:val="18"/>
                <w:color w:val="auto"/>
              </w:rPr>
              <w:t>China</w:t>
            </w:r>
          </w:p>
        </w:tc>
        <w:tc>
          <w:tcPr>
            <w:tcW w:w="1660" w:type="dxa"/>
            <w:vAlign w:val="bottom"/>
          </w:tcPr>
          <w:p>
            <w:pPr>
              <w:ind w:left="340"/>
              <w:spacing w:after="0" w:line="202" w:lineRule="exact"/>
              <w:rPr>
                <w:sz w:val="20"/>
                <w:szCs w:val="20"/>
                <w:color w:val="auto"/>
              </w:rPr>
            </w:pPr>
            <w:r>
              <w:rPr>
                <w:rFonts w:ascii="Arial" w:cs="Arial" w:eastAsia="Arial" w:hAnsi="Arial"/>
                <w:sz w:val="18"/>
                <w:szCs w:val="18"/>
                <w:color w:val="auto"/>
                <w:w w:val="96"/>
              </w:rPr>
              <w:t>2023SR0911860</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89"/>
              </w:rPr>
              <w:t>CLPS</w:t>
            </w:r>
          </w:p>
        </w:tc>
        <w:tc>
          <w:tcPr>
            <w:tcW w:w="1600" w:type="dxa"/>
            <w:vAlign w:val="bottom"/>
          </w:tcPr>
          <w:p>
            <w:pPr>
              <w:ind w:left="220"/>
              <w:spacing w:after="0" w:line="202" w:lineRule="exact"/>
              <w:rPr>
                <w:sz w:val="20"/>
                <w:szCs w:val="20"/>
                <w:color w:val="auto"/>
              </w:rPr>
            </w:pPr>
            <w:r>
              <w:rPr>
                <w:rFonts w:ascii="Arial" w:cs="Arial" w:eastAsia="Arial" w:hAnsi="Arial"/>
                <w:sz w:val="15"/>
                <w:szCs w:val="15"/>
                <w:color w:val="auto"/>
              </w:rPr>
              <w:t>9</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August 2023</w:t>
            </w:r>
          </w:p>
        </w:tc>
        <w:tc>
          <w:tcPr>
            <w:tcW w:w="1000" w:type="dxa"/>
            <w:vAlign w:val="bottom"/>
          </w:tcPr>
          <w:p>
            <w:pPr>
              <w:ind w:left="220"/>
              <w:spacing w:after="0" w:line="202" w:lineRule="exact"/>
              <w:rPr>
                <w:sz w:val="20"/>
                <w:szCs w:val="20"/>
                <w:color w:val="auto"/>
              </w:rPr>
            </w:pPr>
            <w:r>
              <w:rPr>
                <w:rFonts w:ascii="Arial" w:cs="Arial" w:eastAsia="Arial" w:hAnsi="Arial"/>
                <w:sz w:val="18"/>
                <w:szCs w:val="18"/>
                <w:color w:val="auto"/>
                <w:w w:val="87"/>
              </w:rPr>
              <w:t>Registered</w:t>
            </w:r>
          </w:p>
        </w:tc>
      </w:tr>
      <w:tr>
        <w:trPr>
          <w:trHeight w:val="226"/>
        </w:trPr>
        <w:tc>
          <w:tcPr>
            <w:tcW w:w="4260" w:type="dxa"/>
            <w:vAlign w:val="bottom"/>
          </w:tcPr>
          <w:p>
            <w:pPr>
              <w:spacing w:after="0"/>
              <w:rPr>
                <w:sz w:val="20"/>
                <w:szCs w:val="20"/>
                <w:color w:val="auto"/>
              </w:rPr>
            </w:pPr>
            <w:r>
              <w:rPr>
                <w:rFonts w:ascii="Arial" w:cs="Arial" w:eastAsia="Arial" w:hAnsi="Arial"/>
                <w:sz w:val="18"/>
                <w:szCs w:val="18"/>
                <w:color w:val="auto"/>
              </w:rPr>
              <w:t>V2.0</w:t>
            </w:r>
          </w:p>
        </w:tc>
        <w:tc>
          <w:tcPr>
            <w:tcW w:w="1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jc w:val="center"/>
              <w:ind w:right="11"/>
              <w:spacing w:after="0"/>
              <w:rPr>
                <w:sz w:val="20"/>
                <w:szCs w:val="20"/>
                <w:color w:val="auto"/>
              </w:rPr>
            </w:pPr>
            <w:r>
              <w:rPr>
                <w:rFonts w:ascii="Arial" w:cs="Arial" w:eastAsia="Arial" w:hAnsi="Arial"/>
                <w:sz w:val="18"/>
                <w:szCs w:val="18"/>
                <w:color w:val="auto"/>
                <w:w w:val="87"/>
              </w:rPr>
              <w:t>Shenzhen Co.,</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4225" cy="406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ind w:left="7640"/>
        <w:spacing w:after="0"/>
        <w:rPr>
          <w:sz w:val="20"/>
          <w:szCs w:val="20"/>
          <w:color w:val="auto"/>
        </w:rPr>
      </w:pPr>
      <w:r>
        <w:rPr>
          <w:rFonts w:ascii="Arial" w:cs="Arial" w:eastAsia="Arial" w:hAnsi="Arial"/>
          <w:sz w:val="18"/>
          <w:szCs w:val="18"/>
          <w:color w:val="auto"/>
        </w:rPr>
        <w:t>Ltd.</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Properties</w:t>
      </w:r>
    </w:p>
    <w:p>
      <w:pPr>
        <w:spacing w:after="0" w:line="161"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6"/>
          <w:szCs w:val="16"/>
          <w:color w:val="auto"/>
        </w:rPr>
        <w:t>On July 2023, we relocated our principal executive office to Unit 1000,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Millennium City III, 370 Kwun Tong Road, Kwun Tong, Kowloon, Hong Kong SAR. On September 24, 2021, CLPS, through its wholly-owned subsidiary, Arabian Jasmine, entered into a purchase agreement to</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acquire the commercial real estate located at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Millennium City III, 370 Kwun Tong Road, Kwun Tong, Kowloon, Hong Kong SAR for a consideration of US$11,286,971, which has been and will continue to be used as the Company’s principal executive office. The consideration was fully paid on December 8, 2021.</w:t>
      </w:r>
    </w:p>
    <w:p>
      <w:pPr>
        <w:spacing w:after="0" w:line="139" w:lineRule="exact"/>
        <w:rPr>
          <w:sz w:val="20"/>
          <w:szCs w:val="20"/>
          <w:color w:val="auto"/>
        </w:rPr>
      </w:pPr>
    </w:p>
    <w:p>
      <w:pPr>
        <w:jc w:val="both"/>
        <w:ind w:firstLine="640"/>
        <w:spacing w:after="0" w:line="227" w:lineRule="auto"/>
        <w:rPr>
          <w:sz w:val="20"/>
          <w:szCs w:val="20"/>
          <w:color w:val="auto"/>
        </w:rPr>
      </w:pPr>
      <w:r>
        <w:rPr>
          <w:rFonts w:ascii="Arial" w:cs="Arial" w:eastAsia="Arial" w:hAnsi="Arial"/>
          <w:sz w:val="18"/>
          <w:szCs w:val="18"/>
          <w:color w:val="auto"/>
        </w:rPr>
        <w:t>Our previous principal executive office was located at Unit 1102,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Millennium City III, 370 Kwun Tong Road, Kwun Tong, Kowloon, Hong Kong SAR. We leased the premise, and the lease term has expired on May 5, 2021. On June 7, 2021, CLPS, through its wholly-owned subsidiary, entered into a purchase agreement to acquire the commercial real estate for a consideration of US$3,860,000. The consideration was fully paid on July 21, 2021.</w:t>
      </w:r>
    </w:p>
    <w:p>
      <w:pPr>
        <w:spacing w:after="0" w:line="134" w:lineRule="exact"/>
        <w:rPr>
          <w:sz w:val="20"/>
          <w:szCs w:val="20"/>
          <w:color w:val="auto"/>
        </w:rPr>
      </w:pPr>
    </w:p>
    <w:p>
      <w:pPr>
        <w:jc w:val="both"/>
        <w:ind w:firstLine="640"/>
        <w:spacing w:after="0" w:line="333" w:lineRule="auto"/>
        <w:rPr>
          <w:sz w:val="20"/>
          <w:szCs w:val="20"/>
          <w:color w:val="auto"/>
        </w:rPr>
      </w:pPr>
      <w:r>
        <w:rPr>
          <w:rFonts w:ascii="Arial" w:cs="Arial" w:eastAsia="Arial" w:hAnsi="Arial"/>
          <w:sz w:val="16"/>
          <w:szCs w:val="16"/>
          <w:color w:val="auto"/>
        </w:rPr>
        <w:t>On July 30, 2021, CLPS, through its wholly-owned subsidiary, Noni Singapore, entered into a purchase agreement to acquire commercial real estate located at 60 Paya Lebar Road #05-29 and #05-30, Singapore for a consideration of US$4,614,743. The consideration was fully paid on October 25, 2021.</w:t>
      </w:r>
    </w:p>
    <w:p>
      <w:pPr>
        <w:spacing w:after="0" w:line="63"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In addition, the Company manages and operates several other facilities. We rent office space in Shanghai, Hangzhou, Tianjin, Shenzhen, Guangzhou, Dalian, Xi’an, Chengdu, Beijing, Hainan, Japan, India, the U.S., Vietnam and the Philippines. Rent expenses amounted to $1,086,622, $1,085,888, and $942,606 for the years ended June 30, 2023, 2022, and 2021, respectively. We believe our facilities are adequate for our current needs.</w:t>
      </w:r>
    </w:p>
    <w:p>
      <w:pPr>
        <w:sectPr>
          <w:pgSz w:w="11900" w:h="16838" w:orient="portrait"/>
          <w:cols w:equalWidth="0" w:num="1">
            <w:col w:w="11240"/>
          </w:cols>
          <w:pgMar w:left="320" w:top="655" w:right="339" w:bottom="483"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Shanghai Office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Shanghai Office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Dalian Office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Tianjin Office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Shenzhen Office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740" w:type="dxa"/>
            <w:vAlign w:val="bottom"/>
            <w:gridSpan w:val="2"/>
          </w:tcPr>
          <w:p>
            <w:pPr>
              <w:ind w:left="3500"/>
              <w:spacing w:after="0"/>
              <w:rPr>
                <w:sz w:val="20"/>
                <w:szCs w:val="20"/>
                <w:color w:val="auto"/>
              </w:rPr>
            </w:pPr>
            <w:r>
              <w:rPr>
                <w:rFonts w:ascii="Arial" w:cs="Arial" w:eastAsia="Arial" w:hAnsi="Arial"/>
                <w:sz w:val="18"/>
                <w:szCs w:val="18"/>
                <w:b w:val="1"/>
                <w:bCs w:val="1"/>
                <w:color w:val="auto"/>
              </w:rPr>
              <w:t>Address</w:t>
            </w: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Space (m2)</w:t>
            </w:r>
          </w:p>
        </w:tc>
      </w:tr>
      <w:tr>
        <w:trPr>
          <w:trHeight w:val="239"/>
        </w:trPr>
        <w:tc>
          <w:tcPr>
            <w:tcW w:w="20" w:type="dxa"/>
            <w:vAlign w:val="bottom"/>
          </w:tcPr>
          <w:p>
            <w:pPr>
              <w:spacing w:after="0"/>
              <w:rPr>
                <w:sz w:val="20"/>
                <w:szCs w:val="20"/>
                <w:color w:val="auto"/>
              </w:rPr>
            </w:pPr>
          </w:p>
        </w:tc>
        <w:tc>
          <w:tcPr>
            <w:tcW w:w="7620" w:type="dxa"/>
            <w:vAlign w:val="bottom"/>
            <w:tcBorders>
              <w:top w:val="single" w:sz="8" w:color="auto"/>
            </w:tcBorders>
          </w:tcPr>
          <w:p>
            <w:pPr>
              <w:spacing w:after="0" w:line="239" w:lineRule="exact"/>
              <w:rPr>
                <w:sz w:val="20"/>
                <w:szCs w:val="20"/>
                <w:color w:val="auto"/>
              </w:rPr>
            </w:pPr>
            <w:r>
              <w:rPr>
                <w:rFonts w:ascii="Arial" w:cs="Arial" w:eastAsia="Arial" w:hAnsi="Arial"/>
                <w:sz w:val="17"/>
                <w:szCs w:val="17"/>
                <w:color w:val="auto"/>
              </w:rPr>
              <w:t>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 Building 18, Shanghai Pudong Software Park, 498 Guoshoujing Road, Pudong District,</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26"/>
        </w:trPr>
        <w:tc>
          <w:tcPr>
            <w:tcW w:w="7760" w:type="dxa"/>
            <w:vAlign w:val="bottom"/>
            <w:gridSpan w:val="3"/>
          </w:tcPr>
          <w:p>
            <w:pPr>
              <w:spacing w:after="0"/>
              <w:rPr>
                <w:sz w:val="20"/>
                <w:szCs w:val="20"/>
                <w:color w:val="auto"/>
              </w:rPr>
            </w:pPr>
            <w:r>
              <w:rPr>
                <w:rFonts w:ascii="Arial" w:cs="Arial" w:eastAsia="Arial" w:hAnsi="Arial"/>
                <w:sz w:val="18"/>
                <w:szCs w:val="18"/>
                <w:color w:val="auto"/>
              </w:rPr>
              <w:t>Shanghai, PRC</w:t>
            </w:r>
          </w:p>
        </w:tc>
        <w:tc>
          <w:tcPr>
            <w:tcW w:w="1120" w:type="dxa"/>
            <w:vAlign w:val="bottom"/>
          </w:tcPr>
          <w:p>
            <w:pPr>
              <w:jc w:val="right"/>
              <w:spacing w:after="0"/>
              <w:rPr>
                <w:sz w:val="20"/>
                <w:szCs w:val="20"/>
                <w:color w:val="auto"/>
              </w:rPr>
            </w:pPr>
            <w:r>
              <w:rPr>
                <w:rFonts w:ascii="Arial" w:cs="Arial" w:eastAsia="Arial" w:hAnsi="Arial"/>
                <w:sz w:val="18"/>
                <w:szCs w:val="18"/>
                <w:color w:val="auto"/>
              </w:rPr>
              <w:t>1,259.94</w:t>
            </w:r>
          </w:p>
        </w:tc>
      </w:tr>
      <w:tr>
        <w:trPr>
          <w:trHeight w:val="454"/>
        </w:trPr>
        <w:tc>
          <w:tcPr>
            <w:tcW w:w="7760" w:type="dxa"/>
            <w:vAlign w:val="bottom"/>
            <w:gridSpan w:val="3"/>
          </w:tcPr>
          <w:p>
            <w:pPr>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Building 18, Shanghai Pudong Software Park, 498 Guoshoujing Road, Pudong District,</w:t>
            </w:r>
          </w:p>
        </w:tc>
        <w:tc>
          <w:tcPr>
            <w:tcW w:w="1120" w:type="dxa"/>
            <w:vAlign w:val="bottom"/>
          </w:tcPr>
          <w:p>
            <w:pPr>
              <w:spacing w:after="0"/>
              <w:rPr>
                <w:sz w:val="24"/>
                <w:szCs w:val="24"/>
                <w:color w:val="auto"/>
              </w:rPr>
            </w:pPr>
          </w:p>
        </w:tc>
      </w:tr>
      <w:tr>
        <w:trPr>
          <w:trHeight w:val="226"/>
        </w:trPr>
        <w:tc>
          <w:tcPr>
            <w:tcW w:w="7760" w:type="dxa"/>
            <w:vAlign w:val="bottom"/>
            <w:gridSpan w:val="3"/>
          </w:tcPr>
          <w:p>
            <w:pPr>
              <w:spacing w:after="0"/>
              <w:rPr>
                <w:sz w:val="20"/>
                <w:szCs w:val="20"/>
                <w:color w:val="auto"/>
              </w:rPr>
            </w:pPr>
            <w:r>
              <w:rPr>
                <w:rFonts w:ascii="Arial" w:cs="Arial" w:eastAsia="Arial" w:hAnsi="Arial"/>
                <w:sz w:val="18"/>
                <w:szCs w:val="18"/>
                <w:color w:val="auto"/>
              </w:rPr>
              <w:t>Shanghai, PRC</w:t>
            </w:r>
          </w:p>
        </w:tc>
        <w:tc>
          <w:tcPr>
            <w:tcW w:w="1120" w:type="dxa"/>
            <w:vAlign w:val="bottom"/>
          </w:tcPr>
          <w:p>
            <w:pPr>
              <w:jc w:val="right"/>
              <w:spacing w:after="0"/>
              <w:rPr>
                <w:sz w:val="20"/>
                <w:szCs w:val="20"/>
                <w:color w:val="auto"/>
              </w:rPr>
            </w:pPr>
            <w:r>
              <w:rPr>
                <w:rFonts w:ascii="Arial" w:cs="Arial" w:eastAsia="Arial" w:hAnsi="Arial"/>
                <w:sz w:val="18"/>
                <w:szCs w:val="18"/>
                <w:color w:val="auto"/>
              </w:rPr>
              <w:t>914.62</w:t>
            </w:r>
          </w:p>
        </w:tc>
      </w:tr>
      <w:tr>
        <w:trPr>
          <w:trHeight w:val="414"/>
        </w:trPr>
        <w:tc>
          <w:tcPr>
            <w:tcW w:w="7760" w:type="dxa"/>
            <w:vAlign w:val="bottom"/>
            <w:gridSpan w:val="3"/>
          </w:tcPr>
          <w:p>
            <w:pPr>
              <w:spacing w:after="0"/>
              <w:rPr>
                <w:sz w:val="20"/>
                <w:szCs w:val="20"/>
                <w:color w:val="auto"/>
              </w:rPr>
            </w:pPr>
            <w:r>
              <w:rPr>
                <w:rFonts w:ascii="Arial" w:cs="Arial" w:eastAsia="Arial" w:hAnsi="Arial"/>
                <w:sz w:val="18"/>
                <w:szCs w:val="18"/>
                <w:color w:val="auto"/>
                <w:w w:val="98"/>
              </w:rPr>
              <w:t>Room 501-503/504-506/507, 5/F, No. 30, Cuitao Street, High Tech Park, Ganjingzi District, Dalian,</w:t>
            </w:r>
          </w:p>
        </w:tc>
        <w:tc>
          <w:tcPr>
            <w:tcW w:w="1120" w:type="dxa"/>
            <w:vAlign w:val="bottom"/>
          </w:tcPr>
          <w:p>
            <w:pPr>
              <w:spacing w:after="0"/>
              <w:rPr>
                <w:sz w:val="24"/>
                <w:szCs w:val="24"/>
                <w:color w:val="auto"/>
              </w:rPr>
            </w:pPr>
          </w:p>
        </w:tc>
      </w:tr>
      <w:tr>
        <w:trPr>
          <w:trHeight w:val="226"/>
        </w:trPr>
        <w:tc>
          <w:tcPr>
            <w:tcW w:w="7760" w:type="dxa"/>
            <w:vAlign w:val="bottom"/>
            <w:gridSpan w:val="3"/>
          </w:tcPr>
          <w:p>
            <w:pPr>
              <w:spacing w:after="0"/>
              <w:rPr>
                <w:sz w:val="20"/>
                <w:szCs w:val="20"/>
                <w:color w:val="auto"/>
              </w:rPr>
            </w:pPr>
            <w:r>
              <w:rPr>
                <w:rFonts w:ascii="Arial" w:cs="Arial" w:eastAsia="Arial" w:hAnsi="Arial"/>
                <w:sz w:val="18"/>
                <w:szCs w:val="18"/>
                <w:color w:val="auto"/>
              </w:rPr>
              <w:t>Liaoning Province, PRC</w:t>
            </w:r>
          </w:p>
        </w:tc>
        <w:tc>
          <w:tcPr>
            <w:tcW w:w="1120" w:type="dxa"/>
            <w:vAlign w:val="bottom"/>
          </w:tcPr>
          <w:p>
            <w:pPr>
              <w:jc w:val="right"/>
              <w:spacing w:after="0"/>
              <w:rPr>
                <w:sz w:val="20"/>
                <w:szCs w:val="20"/>
                <w:color w:val="auto"/>
              </w:rPr>
            </w:pPr>
            <w:r>
              <w:rPr>
                <w:rFonts w:ascii="Arial" w:cs="Arial" w:eastAsia="Arial" w:hAnsi="Arial"/>
                <w:sz w:val="18"/>
                <w:szCs w:val="18"/>
                <w:color w:val="auto"/>
              </w:rPr>
              <w:t>1,388.45</w:t>
            </w:r>
          </w:p>
        </w:tc>
      </w:tr>
      <w:tr>
        <w:trPr>
          <w:trHeight w:val="427"/>
        </w:trPr>
        <w:tc>
          <w:tcPr>
            <w:tcW w:w="7760" w:type="dxa"/>
            <w:vAlign w:val="bottom"/>
            <w:gridSpan w:val="3"/>
          </w:tcPr>
          <w:p>
            <w:pPr>
              <w:spacing w:after="0"/>
              <w:rPr>
                <w:sz w:val="20"/>
                <w:szCs w:val="20"/>
                <w:color w:val="auto"/>
              </w:rPr>
            </w:pPr>
            <w:r>
              <w:rPr>
                <w:rFonts w:ascii="Arial" w:cs="Arial" w:eastAsia="Arial" w:hAnsi="Arial"/>
                <w:sz w:val="18"/>
                <w:szCs w:val="18"/>
                <w:color w:val="auto"/>
              </w:rPr>
              <w:t>Room 4403, F4, Building No.4, Xinhuan West Road, TEDA, Tianjin, PRC</w:t>
            </w:r>
          </w:p>
        </w:tc>
        <w:tc>
          <w:tcPr>
            <w:tcW w:w="1120" w:type="dxa"/>
            <w:vAlign w:val="bottom"/>
          </w:tcPr>
          <w:p>
            <w:pPr>
              <w:jc w:val="right"/>
              <w:spacing w:after="0"/>
              <w:rPr>
                <w:sz w:val="20"/>
                <w:szCs w:val="20"/>
                <w:color w:val="auto"/>
              </w:rPr>
            </w:pPr>
            <w:r>
              <w:rPr>
                <w:rFonts w:ascii="Arial" w:cs="Arial" w:eastAsia="Arial" w:hAnsi="Arial"/>
                <w:sz w:val="18"/>
                <w:szCs w:val="18"/>
                <w:color w:val="auto"/>
              </w:rPr>
              <w:t>76.55</w:t>
            </w:r>
          </w:p>
        </w:tc>
      </w:tr>
      <w:tr>
        <w:trPr>
          <w:trHeight w:val="427"/>
        </w:trPr>
        <w:tc>
          <w:tcPr>
            <w:tcW w:w="7760" w:type="dxa"/>
            <w:vAlign w:val="bottom"/>
            <w:gridSpan w:val="3"/>
          </w:tcPr>
          <w:p>
            <w:pPr>
              <w:spacing w:after="0"/>
              <w:rPr>
                <w:sz w:val="20"/>
                <w:szCs w:val="20"/>
                <w:color w:val="auto"/>
              </w:rPr>
            </w:pPr>
            <w:r>
              <w:rPr>
                <w:rFonts w:ascii="Arial" w:cs="Arial" w:eastAsia="Arial" w:hAnsi="Arial"/>
                <w:sz w:val="18"/>
                <w:szCs w:val="18"/>
                <w:color w:val="auto"/>
              </w:rPr>
              <w:t>Room 2804, Ludan Building, Guiyuan Street, Luohu District, Shenzhen, PRC</w:t>
            </w:r>
          </w:p>
        </w:tc>
        <w:tc>
          <w:tcPr>
            <w:tcW w:w="1120" w:type="dxa"/>
            <w:vAlign w:val="bottom"/>
          </w:tcPr>
          <w:p>
            <w:pPr>
              <w:jc w:val="right"/>
              <w:spacing w:after="0"/>
              <w:rPr>
                <w:sz w:val="20"/>
                <w:szCs w:val="20"/>
                <w:color w:val="auto"/>
              </w:rPr>
            </w:pPr>
            <w:r>
              <w:rPr>
                <w:rFonts w:ascii="Arial" w:cs="Arial" w:eastAsia="Arial" w:hAnsi="Arial"/>
                <w:sz w:val="18"/>
                <w:szCs w:val="18"/>
                <w:color w:val="auto"/>
              </w:rPr>
              <w:t>299.00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-1243965</wp:posOffset>
            </wp:positionV>
            <wp:extent cx="7134225" cy="296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29654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-812165</wp:posOffset>
            </wp:positionV>
            <wp:extent cx="7134225" cy="271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-405130</wp:posOffset>
            </wp:positionV>
            <wp:extent cx="7134225" cy="135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-133985</wp:posOffset>
            </wp:positionV>
            <wp:extent cx="7134225" cy="135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-1692910</wp:posOffset>
            </wp:positionV>
            <wp:extent cx="7134225" cy="313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313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8980"/>
          </w:cols>
          <w:pgMar w:left="320" w:top="655" w:right="339" w:bottom="483"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Room 409-411, Tower B, China Shine Plaza, No. 9 Linhe Xi Road, Tianhe District, Guangzhou,</w:t>
            </w:r>
          </w:p>
        </w:tc>
        <w:tc>
          <w:tcPr>
            <w:tcW w:w="1080" w:type="dxa"/>
            <w:vAlign w:val="bottom"/>
            <w:shd w:val="clear" w:color="auto" w:fill="CCEEFF"/>
          </w:tcPr>
          <w:p>
            <w:pPr>
              <w:spacing w:after="0"/>
              <w:rPr>
                <w:sz w:val="18"/>
                <w:szCs w:val="18"/>
                <w:color w:val="auto"/>
              </w:rPr>
            </w:pPr>
          </w:p>
        </w:tc>
      </w:tr>
      <w:tr>
        <w:trPr>
          <w:trHeight w:val="228"/>
        </w:trPr>
        <w:tc>
          <w:tcPr>
            <w:tcW w:w="1800" w:type="dxa"/>
            <w:vAlign w:val="bottom"/>
            <w:shd w:val="clear" w:color="auto" w:fill="CCEEFF"/>
          </w:tcPr>
          <w:p>
            <w:pPr>
              <w:spacing w:after="0"/>
              <w:rPr>
                <w:sz w:val="19"/>
                <w:szCs w:val="19"/>
                <w:color w:val="auto"/>
              </w:rPr>
            </w:pP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Guangdong,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331.16</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Xi’an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Room 1901,Tower C2 of Yunhuigu Software Park, Yunshui 1st Road, Xi ‘an High-Tech Zone, Xian,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1,232.92</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 04,05, 12/Floor, Tower 2, 88 Jitai 5th Road, Gaoxin District, Chengdu, Sichuan District,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4"/>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Beijing Office</w:t>
            </w:r>
          </w:p>
        </w:tc>
        <w:tc>
          <w:tcPr>
            <w:tcW w:w="8360" w:type="dxa"/>
            <w:vAlign w:val="bottom"/>
            <w:shd w:val="clear" w:color="auto" w:fill="CCEEFF"/>
          </w:tcPr>
          <w:p>
            <w:pPr>
              <w:ind w:left="460"/>
              <w:spacing w:after="0" w:line="253" w:lineRule="exact"/>
              <w:rPr>
                <w:sz w:val="20"/>
                <w:szCs w:val="20"/>
                <w:color w:val="auto"/>
              </w:rPr>
            </w:pPr>
            <w:r>
              <w:rPr>
                <w:rFonts w:ascii="Arial" w:cs="Arial" w:eastAsia="Arial" w:hAnsi="Arial"/>
                <w:sz w:val="18"/>
                <w:szCs w:val="18"/>
                <w:color w:val="auto"/>
                <w:w w:val="96"/>
              </w:rPr>
              <w:t>Room 1329-1332, 13</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Floor, Building 2, Yard 26, Chengtong Road, Shijingshan District, Beijing,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222.88</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Hong Kong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 1102, Level 11, Millennium City III, 370 Kwun Tong Road, Kwun Tong, Kowloon, Hong Kong</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210.15</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Japan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4F 1-36-3 Nihonbashi-Kakigara-cho,Chuo-ku,Tokyo, Japan, 103-0014</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40.17</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9"/>
        </w:trPr>
        <w:tc>
          <w:tcPr>
            <w:tcW w:w="1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India Office</w:t>
            </w:r>
          </w:p>
        </w:tc>
        <w:tc>
          <w:tcPr>
            <w:tcW w:w="8360" w:type="dxa"/>
            <w:vAlign w:val="bottom"/>
            <w:shd w:val="clear" w:color="auto" w:fill="CCEEFF"/>
          </w:tcPr>
          <w:p>
            <w:pPr>
              <w:ind w:left="460"/>
              <w:spacing w:after="0" w:line="199" w:lineRule="exact"/>
              <w:rPr>
                <w:sz w:val="20"/>
                <w:szCs w:val="20"/>
                <w:color w:val="auto"/>
              </w:rPr>
            </w:pPr>
            <w:r>
              <w:rPr>
                <w:rFonts w:ascii="Arial" w:cs="Arial" w:eastAsia="Arial" w:hAnsi="Arial"/>
                <w:sz w:val="18"/>
                <w:szCs w:val="18"/>
                <w:color w:val="auto"/>
              </w:rPr>
              <w:t>Unit No. 222, DLF Cybercity, Idco Info Park, Technology Corridor, Chandaka Industrial Estate,</w:t>
            </w:r>
          </w:p>
        </w:tc>
        <w:tc>
          <w:tcPr>
            <w:tcW w:w="1080" w:type="dxa"/>
            <w:vAlign w:val="bottom"/>
            <w:shd w:val="clear" w:color="auto" w:fill="CCEEFF"/>
          </w:tcPr>
          <w:p>
            <w:pPr>
              <w:spacing w:after="0"/>
              <w:rPr>
                <w:sz w:val="17"/>
                <w:szCs w:val="17"/>
                <w:color w:val="auto"/>
              </w:rPr>
            </w:pPr>
          </w:p>
        </w:tc>
      </w:tr>
      <w:tr>
        <w:trPr>
          <w:trHeight w:val="228"/>
        </w:trPr>
        <w:tc>
          <w:tcPr>
            <w:tcW w:w="1800" w:type="dxa"/>
            <w:vAlign w:val="bottom"/>
            <w:shd w:val="clear" w:color="auto" w:fill="CCEEFF"/>
          </w:tcPr>
          <w:p>
            <w:pPr>
              <w:spacing w:after="0"/>
              <w:rPr>
                <w:sz w:val="19"/>
                <w:szCs w:val="19"/>
                <w:color w:val="auto"/>
              </w:rPr>
            </w:pP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Bhubaneswar, Odisha, India, 751024</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113.85</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US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Two Embarcadero Center, 8th Floor, San Francisco, CA 94111</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Hainan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Room B1013, Binhai Avenue, 109-9 Haihang Plaza, Hainan,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63.62</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Hangzhou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Room701-3,Building7, 970-1 Gaojiao Road, Yuhang District, Hangzhou , Zhejiang, PRC</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Hong Kong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10/F, Level 10 Millennium City 3, 378 Kwun Tong Road, Kwun Tong, Kowloon, Hong Kong</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756.23</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9"/>
        </w:trPr>
        <w:tc>
          <w:tcPr>
            <w:tcW w:w="1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Philippines Office</w:t>
            </w:r>
          </w:p>
        </w:tc>
        <w:tc>
          <w:tcPr>
            <w:tcW w:w="8360" w:type="dxa"/>
            <w:vAlign w:val="bottom"/>
            <w:shd w:val="clear" w:color="auto" w:fill="CCEEFF"/>
          </w:tcPr>
          <w:p>
            <w:pPr>
              <w:ind w:left="460"/>
              <w:spacing w:after="0" w:line="199" w:lineRule="exact"/>
              <w:rPr>
                <w:sz w:val="20"/>
                <w:szCs w:val="20"/>
                <w:color w:val="auto"/>
              </w:rPr>
            </w:pPr>
            <w:r>
              <w:rPr>
                <w:rFonts w:ascii="Arial" w:cs="Arial" w:eastAsia="Arial" w:hAnsi="Arial"/>
                <w:sz w:val="18"/>
                <w:szCs w:val="18"/>
                <w:color w:val="auto"/>
                <w:w w:val="95"/>
              </w:rPr>
              <w:t>20th Floor, Picadilly Star Building, 4th Avenue Corner 27th Street, Bonifacio Global City, Fort Bonifacio,</w:t>
            </w:r>
          </w:p>
        </w:tc>
        <w:tc>
          <w:tcPr>
            <w:tcW w:w="1080" w:type="dxa"/>
            <w:vAlign w:val="bottom"/>
            <w:shd w:val="clear" w:color="auto" w:fill="CCEEFF"/>
          </w:tcPr>
          <w:p>
            <w:pPr>
              <w:spacing w:after="0"/>
              <w:rPr>
                <w:sz w:val="17"/>
                <w:szCs w:val="17"/>
                <w:color w:val="auto"/>
              </w:rPr>
            </w:pPr>
          </w:p>
        </w:tc>
      </w:tr>
      <w:tr>
        <w:trPr>
          <w:trHeight w:val="228"/>
        </w:trPr>
        <w:tc>
          <w:tcPr>
            <w:tcW w:w="1800" w:type="dxa"/>
            <w:vAlign w:val="bottom"/>
            <w:shd w:val="clear" w:color="auto" w:fill="CCEEFF"/>
          </w:tcPr>
          <w:p>
            <w:pPr>
              <w:spacing w:after="0"/>
              <w:rPr>
                <w:sz w:val="19"/>
                <w:szCs w:val="19"/>
                <w:color w:val="auto"/>
              </w:rPr>
            </w:pP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Taguig City, Metro Manila, Philippines</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9"/>
        </w:trPr>
        <w:tc>
          <w:tcPr>
            <w:tcW w:w="1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Vietnam Office</w:t>
            </w:r>
          </w:p>
        </w:tc>
        <w:tc>
          <w:tcPr>
            <w:tcW w:w="8360" w:type="dxa"/>
            <w:vAlign w:val="bottom"/>
            <w:shd w:val="clear" w:color="auto" w:fill="CCEEFF"/>
          </w:tcPr>
          <w:p>
            <w:pPr>
              <w:ind w:left="460"/>
              <w:spacing w:after="0" w:line="199" w:lineRule="exact"/>
              <w:rPr>
                <w:sz w:val="20"/>
                <w:szCs w:val="20"/>
                <w:color w:val="auto"/>
              </w:rPr>
            </w:pPr>
            <w:r>
              <w:rPr>
                <w:rFonts w:ascii="Arial" w:cs="Arial" w:eastAsia="Arial" w:hAnsi="Arial"/>
                <w:sz w:val="18"/>
                <w:szCs w:val="18"/>
                <w:color w:val="auto"/>
                <w:w w:val="97"/>
              </w:rPr>
              <w:t>12th Floor, Viettel Complex Building, No. 285 Cach Mang Thang Tam Street, Ward 12, District 10, Ho</w:t>
            </w:r>
          </w:p>
        </w:tc>
        <w:tc>
          <w:tcPr>
            <w:tcW w:w="1080" w:type="dxa"/>
            <w:vAlign w:val="bottom"/>
            <w:shd w:val="clear" w:color="auto" w:fill="CCEEFF"/>
          </w:tcPr>
          <w:p>
            <w:pPr>
              <w:spacing w:after="0"/>
              <w:rPr>
                <w:sz w:val="17"/>
                <w:szCs w:val="17"/>
                <w:color w:val="auto"/>
              </w:rPr>
            </w:pPr>
          </w:p>
        </w:tc>
      </w:tr>
      <w:tr>
        <w:trPr>
          <w:trHeight w:val="228"/>
        </w:trPr>
        <w:tc>
          <w:tcPr>
            <w:tcW w:w="1800" w:type="dxa"/>
            <w:vAlign w:val="bottom"/>
            <w:shd w:val="clear" w:color="auto" w:fill="CCEEFF"/>
          </w:tcPr>
          <w:p>
            <w:pPr>
              <w:spacing w:after="0"/>
              <w:rPr>
                <w:sz w:val="19"/>
                <w:szCs w:val="19"/>
                <w:color w:val="auto"/>
              </w:rPr>
            </w:pP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 Minh City, Vietnam</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60 Paya Lebar Road #05-29&amp;#05-30, Paya Lebar Square, Singapore, 409051</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Units 01-11, 21st Floor, No. 67 Tianhe East Road, Tianhe District, Guangzhou</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2,354.13</w:t>
            </w:r>
          </w:p>
        </w:tc>
      </w:tr>
      <w:tr>
        <w:trPr>
          <w:trHeight w:val="213"/>
        </w:trPr>
        <w:tc>
          <w:tcPr>
            <w:tcW w:w="18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Units 01-11, 20th Floor, No. 67 Tianhe East Road, Tianhe District, Guangzhou</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2,354.13</w:t>
            </w:r>
          </w:p>
        </w:tc>
      </w:tr>
      <w:tr>
        <w:trPr>
          <w:trHeight w:val="434"/>
        </w:trPr>
        <w:tc>
          <w:tcPr>
            <w:tcW w:w="18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rPr>
              <w:t>70</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5" w:right="339" w:bottom="483"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Foreign Companies Accountable Act (HFCAA)</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We became a Commission-identified issuer (“CII”) under the Holding Foreign Companies Accountable Act (“HFCAA”) on November 18, 2022. There is no material impact on our Company by the intervention or control of the PRC government, as disclosed in the heading “Risk of Intervention or Control by the PRC Government” under Risk Factors. No member of the board of directors of our Company is a current member of the Chinese Communist Party (“CCP). Our Company’s Memorandum and Articles of Associations and bylaws do not contain any chapter of the CCP.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Uyghur Forced Labor Prevention Act (UFLPA)</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do not conduct any operation in or reply on any counterparty conducting operation in Xinjiang Uyghur Autonomous Region and are in full compliance with Uyghur Forced Labor Prevention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5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8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u w:val="single" w:color="auto"/>
          <w:color w:val="auto"/>
        </w:rPr>
        <w:t>Foreign Currency Exchange.</w:t>
      </w:r>
      <w:r>
        <w:rPr>
          <w:rFonts w:ascii="Arial" w:cs="Arial" w:eastAsia="Arial" w:hAnsi="Arial"/>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1"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2018, the Foreign Investment Law of the People’s Republic of China (2020), and the Implementing Regulations of the Foreign Investment Law of the People’s Republic of China (2020).</w:t>
      </w:r>
    </w:p>
    <w:p>
      <w:pPr>
        <w:spacing w:after="0" w:line="18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9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primarily to global institutions, including banking, wealth management, ecommerce, and automotive both in China and globally. For more than 15 years, we have served as an IT service provider to a growing network of clients in the global financial industry, including large financial institutions in the U.S., Europe, Australia, Asia, and their PRC-based IT centers. We have created and developed a particular market niche by providing turn-key financial solutions.</w:t>
      </w:r>
    </w:p>
    <w:p>
      <w:pPr>
        <w:spacing w:after="0" w:line="175"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delivering digital transformation services with a focus on the fintech within the areas of banking, wealth management, e-commerce, and automotive, among others, through the utilization of innovative technology to achieve our client’s goals. We maintain 20 delivery and/or R&amp;D centers, of which 10 are strategically located in Mainland China (Shanghai, Beijing, Dalian, Tianjin, Xi’an, Chengdu, Guangzhou, Shenzhen, Hangzhou, and Hainan) and 10 are located globally (Hong Kong SAR, the United States of America, Japan, Singapore, Australia, Malaysia, India, the Philippines, Vietnam, and Canada).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Basis of Presentation</w:t>
      </w:r>
    </w:p>
    <w:p>
      <w:pPr>
        <w:spacing w:after="0" w:line="224"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spacing w:after="0" w:line="180"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18"/>
          <w:szCs w:val="18"/>
          <w:color w:val="auto"/>
        </w:rPr>
        <w:t>On August 15, 2018, the shareholders of CLPS SG and Ridik AU were changed to Qiner from CLPS Shanghai pursuant to the share purchase agreements. Qiner purchased the 100% equity interest of CLPS SG and Ridik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8"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April 3, 2019, Qiner purchased a 30% equity interest in Economic Modeling Information Technology Co., Ltd. (“EMIT”). The consideration is zero amount. Qiner subsequently made a capital contribution of $0.44 million (RMB 3 million) to EMIT directly. There is remaining capital contribution of $0.23 million not paid as of June 30, 2021.</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31, 2019, the Company incorporated CLPS Hangzhou Co., Ltd. (“CLPS Hangzhou”), to develop the business in related areas.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13, 2019, the Company incorporated CLPS Technology Japan (“CLPS Japan”) to develop business in related areas.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2" w:name="page83"/>
    <w:bookmarkEnd w:id="82"/>
    <w:p>
      <w:pPr>
        <w:jc w:val="both"/>
        <w:ind w:firstLine="640"/>
        <w:spacing w:after="0" w:line="271" w:lineRule="auto"/>
        <w:rPr>
          <w:sz w:val="20"/>
          <w:szCs w:val="20"/>
          <w:color w:val="auto"/>
        </w:rPr>
      </w:pPr>
      <w:r>
        <w:rPr>
          <w:rFonts w:ascii="Arial" w:cs="Arial" w:eastAsia="Arial" w:hAnsi="Arial"/>
          <w:sz w:val="17"/>
          <w:szCs w:val="17"/>
          <w:color w:val="auto"/>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Ridik Software Solutions Ltd. (“Ridik Software”), and Suzhou Ridik Information Technology Co., Ltd. (“Suzhou Ridik”) are all subsidiaries of Ridik Pte. Suzhou Ridik was liquidated on April 16,2021. Ridik Software was dissolved on May 11,2021.</w:t>
      </w:r>
    </w:p>
    <w:p>
      <w:pPr>
        <w:spacing w:after="0" w:line="17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Prior to December 2019, CLPS Shanghai held a 70% equity interest in CLPS Shenzhen and an 80% equity interest in CLPS Hong Kong, which held the remaining 30% equity interest in CLPS Shenzhen. And the remaining 20% equity interest in CLPS Hong Kong and remaining 6% equity interest in CLPS Shenzhen were recorded as a noncontrolling interests on the Company’s consolidated balance sheet. On December 9, 2019, Qiner acquired the remaining 20% equity interest in CLPS Hong Kong from noncontrolling shareholder with the consideration of the Company’s 100,000 common shares, and became the sole shareholder of CLPS Hong Kong and CLPS Shenzhen.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31, 2019, the Company incorporated Qinson Credit Card Services Limited (“Qinson”) to develop business in related areas.</w:t>
      </w:r>
    </w:p>
    <w:p>
      <w:pPr>
        <w:spacing w:after="0" w:line="23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July 23, 2020, Qiner purchased the 80% equity interest in CLPS Hong Kong from CLPS Shanghai for consideration of $0.64 million (HKD 5,000,000). After the equity transfer, Qiner holds 100% of equity interest of CLPS Hong Kong. This transaction did not change the holding company’s ownership of the entity.</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January 20, 2021, the Company incorporated Hainan Qincheng Software Technology Co., Ltd. (“CLPS Hainan”) in Hainan to develop business in related areas.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3" w:name="page84"/>
    <w:bookmarkEnd w:id="83"/>
    <w:p>
      <w:pPr>
        <w:jc w:val="both"/>
        <w:ind w:firstLine="640"/>
        <w:spacing w:after="0" w:line="253" w:lineRule="auto"/>
        <w:rPr>
          <w:sz w:val="20"/>
          <w:szCs w:val="20"/>
          <w:color w:val="auto"/>
        </w:rPr>
      </w:pPr>
      <w:r>
        <w:rPr>
          <w:rFonts w:ascii="Arial" w:cs="Arial" w:eastAsia="Arial" w:hAnsi="Arial"/>
          <w:sz w:val="18"/>
          <w:szCs w:val="18"/>
          <w:color w:val="auto"/>
        </w:rPr>
        <w:t>Prior to January 2021, Qiner held 80% equity interest in Ridik Pte. The remaining 20% equity interest was recorded as a noncontrolling interest on the Company’s consolidated balance sheet. On January 29, 2021, CLPS SG acquired the remaining 20% equity interest from Srustijeet Mishra and Routray Sibashis with final purchase price of $0.62 million (or approximately SGD 828,135), in the form of cash of $0.44 million (or approximately SGD 579,695) and the Company’s common shares valued at $0.18 million (or approximately SGD 248,441). Ridik Pte. and its subsidiaries are now wholly-owned subsidiaries of the Company.</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Prior to January 2021, JAJI China held a 70% equity interest in JAJI HR. The remaining 30% equity interest in JAJI HR was recorded as a noncontrolling interest on the Company’s consolidated balance sheet. On January 28, 2021, JAJI China acquired the remaining 30% equity interest from CareerWin Executive Search Co., Ltd. (“CareerWin”).</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March 3, 2021, JAJI HR acquired 100% equity interest in CareerWin located in Shanghai from third-party selling shareholders with the purchase price in the form of cash of $0.29 million (RMB 1,877,044).</w:t>
      </w:r>
    </w:p>
    <w:p>
      <w:pPr>
        <w:spacing w:after="0" w:line="175"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On March 11, 2021, the equity interest in Ridik Pte. was transferred to CLPS SG from Qiner pursuant to the share purchase agreements. CLPS SG purchased the 80% equity interest in Ridik Pte. from Qiner for consideration of $2.16 million (or approximately SGD 2,906,435). After the equity transfer, CLPS SG now holds 100% equity interest in Ridik Pte. This transaction did not change the holding company’s ownership of the entity.</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 2021, as part of business strategy, the Company changed the English entity name of its majority-owned subsidiary, Judge (Shanghai)</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 Ltd. and its wholly-owned subsidiary Judge (Shanghai) Human Resource Co., Ltd., to JAJI (Shanghai) Co., Ltd. (“JAJI China”) and JAJI (Shanghai)</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Human Resource Co., Ltd. (“JAJI HR”), respectively.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April 14, 2021, the Company incorporated Growth Ring Ltd. (“Growth Ring”) in British Virgin Islands to develop business in related areas.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April 15, 2021, the Company incorporated CLPS Xi’an Co., Ltd. (“CLPS Xi’an”) in Shaanxi to develop business in related areas.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May 11, 2021, JAJI China acquired 60% of equity interest in Beijing Bozhuo Education Technology Co., Ltd. (“Beijing Bozhuo”) located in Beijing from a third-party selling shareholder with the purchase price in the form of cash of $0.02 million (RMB 120,000).</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May 25, 2021, the Company incorporated Arabian Jasmine Ltd. (“Arabian Jasmine”) in British Virgin Islands to develop business in related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areas.</w:t>
      </w:r>
    </w:p>
    <w:p>
      <w:pPr>
        <w:spacing w:after="0" w:line="20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May 31, 2021, CLPS SG sold its 80% equity interest in Infogain to the noncontrolling interest shareholder Sharma Devendra Prasad for the sale price of $0.08 million (SGD 100,000). After the interest transfer, Infogain is no longer a subsidiary of the Company.</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May 31, 2021, the Company incorporated Shanghai Chenqin Information Technology Services Co., Ltd. (“Shanghai Chenqin”) in Shanghai to develop business in related areas.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4" w:name="page85"/>
    <w:bookmarkEnd w:id="84"/>
    <w:p>
      <w:pPr>
        <w:ind w:left="640"/>
        <w:spacing w:after="0"/>
        <w:rPr>
          <w:sz w:val="20"/>
          <w:szCs w:val="20"/>
          <w:color w:val="auto"/>
        </w:rPr>
      </w:pPr>
      <w:r>
        <w:rPr>
          <w:rFonts w:ascii="Arial" w:cs="Arial" w:eastAsia="Arial" w:hAnsi="Arial"/>
          <w:sz w:val="16"/>
          <w:szCs w:val="16"/>
          <w:color w:val="auto"/>
        </w:rPr>
        <w:t>On June 22, 2021, the Company incorporated Noni (Singapore) Pte. Ltd. (“Noni Singapore”) in Singapore to develop business in related areas.</w:t>
      </w:r>
    </w:p>
    <w:p>
      <w:pPr>
        <w:spacing w:after="0" w:line="243"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June 22, 2021, the Company and a noncontrolling interest shareholder incorporated CLPS-Beefinance Holding Limited (“CLPS-Beefinance”) in British Virgin Islands to develop and upgrade blockchain-based digital asset solutions for financial institutions.</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In September, 2022, the Company sold its 60% equity interest in Beijing Bozhuo to the noncontrolling interest shareholder for the sale price of $0.01 million (RMB 96,000). After the interest transfer, Beijing Bozhuo is no longer a subsidiary of the Company.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19, 2022, the Company incorporated CLPS Chengdu Co., Ltd. (CLPS Chengdu) in Chengdu to develop business in related areas.</w:t>
      </w:r>
    </w:p>
    <w:p>
      <w:pPr>
        <w:spacing w:after="0" w:line="243"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December 20, 2022, the Company incorporated CLPS Investment Management Ltd. (CLPS Investment) in British Virgin Islands to develop business in related areas.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15, 2023, CLPS Ruicheng Co., Ltd. (CLPS RC) was liquidated.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19, 2023, the Company incorporated JAJI Global Incorporation (JAJI Global) in Cayman Islands to develop business in related areas.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June 27, 2023, the Company incorporated JAJI Singapore Pte. Ltd. in Singapore to develop business in related areas.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 9001, ISO 14001, ISO 27001, CMMI 5, and TMMi 3 certified, and have been granted certificates of recognition by the Shanghai government, including </w:t>
      </w:r>
      <w:r>
        <w:rPr>
          <w:rFonts w:ascii="Arial" w:cs="Arial" w:eastAsia="Arial" w:hAnsi="Arial"/>
          <w:sz w:val="16"/>
          <w:szCs w:val="16"/>
          <w:i w:val="1"/>
          <w:iCs w:val="1"/>
          <w:color w:val="auto"/>
        </w:rPr>
        <w:t>Enterprise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Certification</w:t>
      </w:r>
      <w:r>
        <w:rPr>
          <w:rFonts w:ascii="Arial" w:cs="Arial" w:eastAsia="Arial" w:hAnsi="Arial"/>
          <w:sz w:val="16"/>
          <w:szCs w:val="16"/>
          <w:color w:val="auto"/>
        </w:rPr>
        <w:t>,</w:t>
      </w:r>
      <w:r>
        <w:rPr>
          <w:rFonts w:ascii="Arial" w:cs="Arial" w:eastAsia="Arial" w:hAnsi="Arial"/>
          <w:sz w:val="16"/>
          <w:szCs w:val="16"/>
          <w:i w:val="1"/>
          <w:iCs w:val="1"/>
          <w:color w:val="auto"/>
        </w:rPr>
        <w:t xml:space="preserve"> High-tech 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w:t>
      </w:r>
    </w:p>
    <w:p>
      <w:pPr>
        <w:spacing w:after="0" w:line="16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operations are primarily based in Mainland China, where we derive a substantial portion of our revenues. For the years ended June 30, 2023, 2022, and 2021, our revenues were $150.4 million, $152.0 million, and $126.1 million, respectively. Revenues generated outside of Mainland China were approximately $16.2 million, $14.1 million, and $13.6 million for fiscal 2023, 2022, and 2021, respectively. We had a net income of $0.2 million in fiscal 2023, a net income of $4.6 million in fiscal 2022, and a net income of $7.0 million in fiscal 2021. We had a non-GAAP net income of $5.0 million in fiscal 2023. Our total assets as of June 30, 2023 were $95.3 million of which cash and cash equivalent amounted to $22.2 million and restricted cash amounted to $0.09 million. Our total liabilities as of June 30, 2023 were $29.8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0" w:lineRule="exact"/>
        <w:rPr>
          <w:sz w:val="20"/>
          <w:szCs w:val="20"/>
          <w:color w:val="auto"/>
        </w:rPr>
      </w:pPr>
    </w:p>
    <w:p>
      <w:pPr>
        <w:jc w:val="both"/>
        <w:ind w:left="960" w:hanging="313"/>
        <w:spacing w:after="0" w:line="284"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w:t>
      </w:r>
    </w:p>
    <w:p>
      <w:pPr>
        <w:jc w:val="both"/>
        <w:ind w:left="960"/>
        <w:spacing w:after="0" w:line="267" w:lineRule="auto"/>
        <w:rPr>
          <w:sz w:val="20"/>
          <w:szCs w:val="20"/>
          <w:color w:val="auto"/>
        </w:rPr>
      </w:pPr>
      <w:r>
        <w:rPr>
          <w:rFonts w:ascii="Arial" w:cs="Arial" w:eastAsia="Arial" w:hAnsi="Arial"/>
          <w:sz w:val="17"/>
          <w:szCs w:val="17"/>
          <w:color w:val="auto"/>
        </w:rPr>
        <w:t>has a significant effect on our results of operations and financial condition. During fiscal 2023, our revenue derived from our IT consulting services increased by 0.1% or $0.2 million from fiscal 2022, mainly attributable to revenue from our new clients. IT consulting services revenue from new clients amounted to approximately $2.7 million in fiscal 2023. During fiscal 2022, our revenue derived from our IT consulting services increased by 17.8% or $21.8 million from fiscal 2021, mainly attributable to revenue growth from our existing clients. IT consulting services revenue from new clients amounted to approximately $3.5 million in fiscal 2022.</w:t>
      </w:r>
    </w:p>
    <w:p>
      <w:pPr>
        <w:spacing w:after="0" w:line="181" w:lineRule="exact"/>
        <w:rPr>
          <w:sz w:val="20"/>
          <w:szCs w:val="20"/>
          <w:color w:val="auto"/>
        </w:rPr>
      </w:pPr>
    </w:p>
    <w:p>
      <w:pPr>
        <w:jc w:val="both"/>
        <w:ind w:left="960" w:hanging="313"/>
        <w:spacing w:after="0" w:line="25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87" w:lineRule="exact"/>
        <w:rPr>
          <w:rFonts w:ascii="Arial" w:cs="Arial" w:eastAsia="Arial" w:hAnsi="Arial"/>
          <w:sz w:val="18"/>
          <w:szCs w:val="18"/>
          <w:color w:val="auto"/>
        </w:rPr>
      </w:pPr>
    </w:p>
    <w:p>
      <w:pPr>
        <w:jc w:val="both"/>
        <w:ind w:left="960" w:hanging="313"/>
        <w:spacing w:after="0" w:line="281"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JAJI China</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November 9, 2016, CLPS Shanghai acquired 60% of JAJI China and its 70% owned subsidiary JAJI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5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47"/>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5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Arial" w:cs="Arial" w:eastAsia="Arial" w:hAnsi="Arial"/>
                <w:sz w:val="18"/>
                <w:szCs w:val="18"/>
                <w:color w:val="auto"/>
              </w:rPr>
              <w:t>Total consideration</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640" w:type="dxa"/>
            <w:vAlign w:val="bottom"/>
            <w:vMerge w:val="restart"/>
          </w:tcPr>
          <w:p>
            <w:pPr>
              <w:jc w:val="right"/>
              <w:ind w:right="4211"/>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4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86" w:name="page87"/>
    <w:bookmarkEnd w:id="86"/>
    <w:p>
      <w:pPr>
        <w:jc w:val="both"/>
        <w:ind w:firstLine="640"/>
        <w:spacing w:after="0" w:line="255" w:lineRule="auto"/>
        <w:rPr>
          <w:sz w:val="20"/>
          <w:szCs w:val="20"/>
          <w:color w:val="auto"/>
        </w:rPr>
      </w:pPr>
      <w:r>
        <w:rPr>
          <w:rFonts w:ascii="Arial" w:cs="Arial" w:eastAsia="Arial" w:hAnsi="Arial"/>
          <w:sz w:val="18"/>
          <w:szCs w:val="18"/>
          <w:color w:val="auto"/>
        </w:rPr>
        <w:t>The intangible assets include customer contracts of $339,883, which were acquired by JAJI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 January 28, 2021, JAJI China acquired the remaining 30% equity interest of JAJI HR from CareerWin Executive Search Co., Ltd. (“CareerWin”) with the purchase price of $0.02 million (RMB 122,956).</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April 2, 2021, as part of business strategy, the Company changed the English entity name of its majority-owned subsidiary, Judge (Shanghai)</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 Ltd. and its wholly-owned subsidiary Judge (Shanghai) Human Resource Co., Ltd., to JAJI (Shanghai) Co., Ltd. (“JAJI China”) and JAJI (Shanghai)</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Human Resource Co., Ltd. (“JAJI HR”),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and dissolution of Huanyu</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86"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87,674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50,045</w:t>
            </w:r>
          </w:p>
        </w:tc>
        <w:tc>
          <w:tcPr>
            <w:tcW w:w="80" w:type="dxa"/>
            <w:vAlign w:val="bottom"/>
            <w:shd w:val="clear" w:color="auto" w:fill="CCEEFF"/>
          </w:tcPr>
          <w:p>
            <w:pPr>
              <w:spacing w:after="0"/>
              <w:rPr>
                <w:sz w:val="21"/>
                <w:szCs w:val="21"/>
                <w:color w:val="auto"/>
              </w:rPr>
            </w:pPr>
          </w:p>
        </w:tc>
      </w:tr>
      <w:tr>
        <w:trPr>
          <w:trHeight w:val="200"/>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Previous held equity interests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86"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For the period from July 1, 2018 to the acquisition date of May 24, 2019 and for the year ended June 30, 2018, 30% of Huanyu’s results of operations was income of $35,049 (RMB 239,073) and loss of $8,684 (RMB56,461), respectively.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31, 2023, Huanyu was liquidated.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Acquisition in and disposal of Infogain</w:t>
      </w:r>
    </w:p>
    <w:p>
      <w:pPr>
        <w:spacing w:after="0" w:line="220" w:lineRule="exact"/>
        <w:rPr>
          <w:sz w:val="20"/>
          <w:szCs w:val="20"/>
          <w:color w:val="auto"/>
        </w:rPr>
      </w:pPr>
    </w:p>
    <w:p>
      <w:pPr>
        <w:jc w:val="both"/>
        <w:ind w:firstLine="630"/>
        <w:spacing w:after="0" w:line="270" w:lineRule="auto"/>
        <w:rPr>
          <w:sz w:val="20"/>
          <w:szCs w:val="20"/>
          <w:color w:val="auto"/>
        </w:rPr>
      </w:pPr>
      <w:r>
        <w:rPr>
          <w:rFonts w:ascii="Arial" w:cs="Arial" w:eastAsia="Arial" w:hAnsi="Arial"/>
          <w:sz w:val="18"/>
          <w:szCs w:val="18"/>
          <w:color w:val="auto"/>
        </w:rPr>
        <w:t>On August 20, 2018, CLPS SG acquired an 80% equity in Infogain located in Singapore from Sharma Devendra Prasad and Deepak Malhotra with the final purchase price of $0.4 million (or approximately 576,000 Singapore dollars).</w:t>
      </w:r>
    </w:p>
    <w:p>
      <w:pPr>
        <w:spacing w:after="0" w:line="175" w:lineRule="exact"/>
        <w:rPr>
          <w:sz w:val="20"/>
          <w:szCs w:val="20"/>
          <w:color w:val="auto"/>
        </w:rPr>
      </w:pPr>
    </w:p>
    <w:p>
      <w:pPr>
        <w:jc w:val="both"/>
        <w:ind w:firstLine="631"/>
        <w:spacing w:after="0" w:line="271"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420,101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1"/>
        <w:spacing w:after="0" w:line="300" w:lineRule="auto"/>
        <w:rPr>
          <w:sz w:val="20"/>
          <w:szCs w:val="20"/>
          <w:color w:val="auto"/>
        </w:rPr>
      </w:pPr>
      <w:r>
        <w:rPr>
          <w:rFonts w:ascii="Arial" w:cs="Arial" w:eastAsia="Arial" w:hAnsi="Arial"/>
          <w:sz w:val="17"/>
          <w:szCs w:val="17"/>
          <w:color w:val="auto"/>
        </w:rPr>
        <w:t>Identifiable intangible assets acquired include customer contracts, which were valued using an income approach and determined to carry estimated remaining useful lives of approximately three years. The goodwill recognized represents the expected synergies and is not tax deductible.</w:t>
      </w:r>
    </w:p>
    <w:p>
      <w:pPr>
        <w:spacing w:after="0" w:line="152" w:lineRule="exact"/>
        <w:rPr>
          <w:sz w:val="20"/>
          <w:szCs w:val="20"/>
          <w:color w:val="auto"/>
        </w:rPr>
      </w:pPr>
    </w:p>
    <w:p>
      <w:pPr>
        <w:jc w:val="both"/>
        <w:ind w:firstLine="631"/>
        <w:spacing w:after="0" w:line="267" w:lineRule="auto"/>
        <w:rPr>
          <w:sz w:val="20"/>
          <w:szCs w:val="20"/>
          <w:color w:val="auto"/>
        </w:rPr>
      </w:pPr>
      <w:r>
        <w:rPr>
          <w:rFonts w:ascii="Arial" w:cs="Arial" w:eastAsia="Arial" w:hAnsi="Arial"/>
          <w:sz w:val="17"/>
          <w:szCs w:val="17"/>
          <w:color w:val="auto"/>
        </w:rPr>
        <w:t xml:space="preserve">On May 31, 2021, CLPS SG entered into an agreement with Sharma Devendra Prasad to sell its 80% interests in Infogain at a cash consideration of $75,672 (SGD100,000). Sharma Devendra Prasad is the shareholder of the 20% noncontrolling interests in Infogain and was the original shareholder of the 80% interest in Infogain acquired by CLPS SG in 2019. After the disposal, the Company was no longer a shareholder of Infogain and deconsolidated Infogain’s financial results from the Company’s financial statements from June 1, 2021. The Company recognized a total gain of $9,022 (SGD 11,921) from the transaction in “Other income, net” in the consolidated statements of comprehensive income or the year ended June 30, 2021. The deconsolidation of Infogain did not meet the definition of a discontinued operation in accordance with ASC 205-20, </w:t>
      </w:r>
      <w:r>
        <w:rPr>
          <w:rFonts w:ascii="Arial" w:cs="Arial" w:eastAsia="Arial" w:hAnsi="Arial"/>
          <w:sz w:val="17"/>
          <w:szCs w:val="17"/>
          <w:i w:val="1"/>
          <w:iCs w:val="1"/>
          <w:color w:val="auto"/>
        </w:rPr>
        <w:t>Presentation of Financial Statements –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(“ASC 205-20”), as the disposal of Infogain did not represent a shift in the Company’s strategy that has (or will have) a major effect on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entity’s operations and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and disposal of CLPS Lihong</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9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April 2020, the Company sold an 18.42% equity interest in CLPS Lihong to the third party for the consideration of $995,605 (RMB 7 million) which was received as of June 30, 2020. Concurrently CLPS Lihong raised additional capital from other third party investors, and the Company’s remaining equity interest in CLPS Lihong was diluted to 7% as of June 30, 2020. The Company recognized the remaining equity interest in CLPS Lihong as equity investment without readily determined fair value since May 2020. For the period from July 1, 2019 to April 30, 2020, the Company’s share of CLPS Lihong’s results of operations was income of $250,290 (RMB 1,759,764).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8" w:name="page89"/>
    <w:bookmarkEnd w:id="88"/>
    <w:p>
      <w:pPr>
        <w:jc w:val="both"/>
        <w:ind w:firstLine="640"/>
        <w:spacing w:after="0" w:line="300" w:lineRule="auto"/>
        <w:rPr>
          <w:sz w:val="20"/>
          <w:szCs w:val="20"/>
          <w:color w:val="auto"/>
        </w:rPr>
      </w:pPr>
      <w:r>
        <w:rPr>
          <w:rFonts w:ascii="Arial" w:cs="Arial" w:eastAsia="Arial" w:hAnsi="Arial"/>
          <w:sz w:val="17"/>
          <w:szCs w:val="17"/>
          <w:color w:val="auto"/>
        </w:rPr>
        <w:t>In July 2021, the Company sold its remaining 7% equity interest of CLPS Lihong to the third party for the consideration of $645,122 (RMB 4.2 million) which was received on July 27,2021. After the equity transfer, the Company no longer holds any equity interest in CLPS Lihong.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Beijing</w:t>
      </w:r>
    </w:p>
    <w:p>
      <w:pPr>
        <w:spacing w:after="0" w:line="220"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8"/>
          <w:szCs w:val="18"/>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and became the sole shareholder of CLPS Beijing. The consideration was paid on July 5, 2018. Prior to June 2018, the remaining 30% equity interest of CLPS Beijing was recorded as a noncontrolling interests on the balance sheet. The Company engaged an independent valuation firm to assist management in assessing the enterprise value of CLPS Beijing. The enterprise value of CLPS Beijing as of June 27, 2018 was $1.94 million based on the third-party valuation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EMIT</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April 3, 2019, Qiner purchased a 30% equity interest of EMIT at nil consideration. with a committed to invest $445,454.14 (RMB 3,000,000.00) in total within 20 years. During the years ended June 30, 2020 and 2019, the Company made capital contribution to EMIT of $143,299 (RMB 1,000,000.00) and $73,593 (RMB500,000.00), respectively. The Company accounts for the investment in EMIT as an equity method investment due to its significant influence over the entity. For the years ended June 30, 2020 and 2019, the Company’s share of EMIT’s results of operations was a loss of $42,927 (RMB 301,878) and $4,230 (RMB 28,853), respectively. As the end of June 30, 2020 and 2019, the committed but not yet made investment in EMIT was $228,561 (RMB 1,500,000.00) and $371,860 (RMB 2,500,000.00),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Ridik Pte. and Ridik Consulting</w:t>
      </w:r>
    </w:p>
    <w:p>
      <w:pPr>
        <w:spacing w:after="0" w:line="22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On September 26, 2019, Qiner acquired an 80% equity interest in Ridik Pte. Ltd. (“Ridik Pte.”) located in Singapore from third-party selling shareholders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7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618,144</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103,697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904,748</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Short-term bank loans and long-term bank loans, current portion</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(48,103)</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(128,688)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(102,978)</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(431,548)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Long-term bank loans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(44,201)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(162,855)</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(411,351)</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2,462,580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9" w:name="page90"/>
    <w:bookmarkEnd w:id="89"/>
    <w:p>
      <w:pPr>
        <w:jc w:val="both"/>
        <w:ind w:firstLine="640"/>
        <w:spacing w:after="0" w:line="258" w:lineRule="auto"/>
        <w:rPr>
          <w:sz w:val="20"/>
          <w:szCs w:val="20"/>
          <w:color w:val="auto"/>
        </w:rPr>
      </w:pPr>
      <w:r>
        <w:rPr>
          <w:rFonts w:ascii="Arial" w:cs="Arial" w:eastAsia="Arial" w:hAnsi="Arial"/>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January 29, 2021, Qiner acquired the remaining 20% equity interest from Srustijeet Mishra and Routray Sibashis with final purchase price of $0.62 million (or approximately SGD 828,135), in the form of cash of $0.43 million (or approximately SGD 579,695) and the Company’s common shares valued at $0.18 million (or approximately SGD 248,441). Ridik Pte. and its subsidiaries are now wholly-owned subsidiaries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and disposal of CLPS Guangdong Zhichuang</w:t>
      </w:r>
    </w:p>
    <w:p>
      <w:pPr>
        <w:spacing w:after="0" w:line="220" w:lineRule="exact"/>
        <w:rPr>
          <w:sz w:val="20"/>
          <w:szCs w:val="20"/>
          <w:color w:val="auto"/>
        </w:rPr>
      </w:pPr>
    </w:p>
    <w:p>
      <w:pPr>
        <w:jc w:val="both"/>
        <w:ind w:firstLine="631"/>
        <w:spacing w:after="0" w:line="253" w:lineRule="auto"/>
        <w:rPr>
          <w:sz w:val="20"/>
          <w:szCs w:val="20"/>
          <w:color w:val="auto"/>
        </w:rPr>
      </w:pPr>
      <w:r>
        <w:rPr>
          <w:rFonts w:ascii="Arial" w:cs="Arial" w:eastAsia="Arial" w:hAnsi="Arial"/>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 The Company recognized the equity interest in CLPS Guangdong Zhichuang as equity investment without readily determined fair value.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2022, the Company sold its 10% equity interest in CLPS Guangdong Zhichuang to the other shareholder for $0.1 million (RMB 900,000).</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After the disposal, the Company no longer holds any equity interest in CLPS Guangdong Zhichuang.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and disposal of CLPS Shenzhen Robotics</w:t>
      </w:r>
    </w:p>
    <w:p>
      <w:pPr>
        <w:spacing w:after="0" w:line="220" w:lineRule="exact"/>
        <w:rPr>
          <w:sz w:val="20"/>
          <w:szCs w:val="20"/>
          <w:color w:val="auto"/>
        </w:rPr>
      </w:pPr>
    </w:p>
    <w:p>
      <w:pPr>
        <w:jc w:val="both"/>
        <w:ind w:firstLine="631"/>
        <w:spacing w:after="0" w:line="255" w:lineRule="auto"/>
        <w:rPr>
          <w:sz w:val="20"/>
          <w:szCs w:val="20"/>
          <w:color w:val="auto"/>
        </w:rPr>
      </w:pPr>
      <w:r>
        <w:rPr>
          <w:rFonts w:ascii="Arial" w:cs="Arial" w:eastAsia="Arial" w:hAnsi="Arial"/>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 The Company recognized the equity interest in CLPS Guangdong Zhichuang as equity investment without readily determined fair value.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May 2023, the Company divested its entire 10% equity interest in CLPS Shenzhen Robotics, receiving the investment in the same month.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 and dissolution of CareerWin</w:t>
      </w:r>
    </w:p>
    <w:p>
      <w:pPr>
        <w:spacing w:after="0" w:line="220" w:lineRule="exact"/>
        <w:rPr>
          <w:sz w:val="20"/>
          <w:szCs w:val="20"/>
          <w:color w:val="auto"/>
        </w:rPr>
      </w:pPr>
    </w:p>
    <w:p>
      <w:pPr>
        <w:jc w:val="both"/>
        <w:ind w:firstLine="631"/>
        <w:spacing w:after="0" w:line="269" w:lineRule="auto"/>
        <w:rPr>
          <w:sz w:val="20"/>
          <w:szCs w:val="20"/>
          <w:color w:val="auto"/>
        </w:rPr>
      </w:pPr>
      <w:r>
        <w:rPr>
          <w:rFonts w:ascii="Arial" w:cs="Arial" w:eastAsia="Arial" w:hAnsi="Arial"/>
          <w:sz w:val="17"/>
          <w:szCs w:val="17"/>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(RMB2 million). The total consideration was allocated to the acquisition of 100% equity interests in CareerWin and the acquisition of 30% noncontrolling interest in JAJI HR at $289,980 (RMB1.88 million) and $18,995 (RMB0.12 million),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0" w:name="page91"/>
    <w:bookmarkEnd w:id="90"/>
    <w:p>
      <w:pPr>
        <w:jc w:val="both"/>
        <w:ind w:firstLine="631"/>
        <w:spacing w:after="0" w:line="292" w:lineRule="auto"/>
        <w:rPr>
          <w:sz w:val="20"/>
          <w:szCs w:val="20"/>
          <w:color w:val="auto"/>
        </w:rPr>
      </w:pPr>
      <w:r>
        <w:rPr>
          <w:rFonts w:ascii="Arial" w:cs="Arial" w:eastAsia="Arial" w:hAnsi="Arial"/>
          <w:sz w:val="16"/>
          <w:szCs w:val="16"/>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Customer contracts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126,680</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payable and 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(71,488)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Wages payable</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(5,099)</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(2,576)</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(25,336)</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289,980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711"/>
        <w:spacing w:after="0" w:line="300" w:lineRule="auto"/>
        <w:rPr>
          <w:sz w:val="20"/>
          <w:szCs w:val="20"/>
          <w:color w:val="auto"/>
        </w:rPr>
      </w:pPr>
      <w:r>
        <w:rPr>
          <w:rFonts w:ascii="Arial" w:cs="Arial" w:eastAsia="Arial" w:hAnsi="Arial"/>
          <w:sz w:val="17"/>
          <w:szCs w:val="17"/>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52" w:lineRule="exact"/>
        <w:rPr>
          <w:sz w:val="20"/>
          <w:szCs w:val="20"/>
          <w:color w:val="auto"/>
        </w:rPr>
      </w:pPr>
    </w:p>
    <w:p>
      <w:pPr>
        <w:jc w:val="both"/>
        <w:ind w:firstLine="711"/>
        <w:spacing w:after="0" w:line="270" w:lineRule="auto"/>
        <w:rPr>
          <w:sz w:val="20"/>
          <w:szCs w:val="20"/>
          <w:color w:val="auto"/>
        </w:rPr>
      </w:pPr>
      <w:r>
        <w:rPr>
          <w:rFonts w:ascii="Arial" w:cs="Arial" w:eastAsia="Arial" w:hAnsi="Arial"/>
          <w:sz w:val="18"/>
          <w:szCs w:val="18"/>
          <w:color w:val="auto"/>
        </w:rPr>
        <w:t>Pro forma financial information of CareerWin is not presented as the effects of the acquisition on the Company’s consolidated financial statements were not material.</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January 2023, CareerWin was liquidated.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SSIT</w:t>
      </w:r>
    </w:p>
    <w:p>
      <w:pPr>
        <w:spacing w:after="0" w:line="220" w:lineRule="exact"/>
        <w:rPr>
          <w:sz w:val="20"/>
          <w:szCs w:val="20"/>
          <w:color w:val="auto"/>
        </w:rPr>
      </w:pPr>
    </w:p>
    <w:p>
      <w:pPr>
        <w:jc w:val="both"/>
        <w:ind w:firstLine="631"/>
        <w:spacing w:after="0" w:line="253" w:lineRule="auto"/>
        <w:rPr>
          <w:sz w:val="20"/>
          <w:szCs w:val="20"/>
          <w:color w:val="auto"/>
        </w:rPr>
      </w:pPr>
      <w:r>
        <w:rPr>
          <w:rFonts w:ascii="Arial" w:cs="Arial" w:eastAsia="Arial" w:hAnsi="Arial"/>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 The Company accounts for the investment in SSIT as an equity method investment due to its significant influence over the entity. For the year ended June 30, 2021, the Company’s share in SSIT’s result of operations was a loss of $9,445 (RMB 62,537).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UniDev</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8, 2021, the Company reached a capital increase agreement with two third parties of the target company Beijing UniDev Software Co., Ltd.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(“UniDev”). After the capital increase, the Company holds 15% of equity interest in UniDev for $0.26 million (RMB 1,689,000).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Investment in Fuson</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August 1, 2021, the Company reached an equity transfer and capital increase agreement with a third party of the target company Fuson Group Limited (“Fuson”). After the equity transfer and capital increase, the Company holds 35.02% of equity interest in Fuson for $0.16 million (HKD 1,225,000). The Company made the first payment of $0.08 million (HKD 612,500) on August 16,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MSCT</w:t>
      </w:r>
    </w:p>
    <w:p>
      <w:pPr>
        <w:spacing w:after="0" w:line="220" w:lineRule="exact"/>
        <w:rPr>
          <w:sz w:val="20"/>
          <w:szCs w:val="20"/>
          <w:color w:val="auto"/>
        </w:rPr>
      </w:pPr>
    </w:p>
    <w:p>
      <w:pPr>
        <w:jc w:val="both"/>
        <w:ind w:firstLine="631"/>
        <w:spacing w:after="0" w:line="258" w:lineRule="auto"/>
        <w:rPr>
          <w:sz w:val="20"/>
          <w:szCs w:val="20"/>
          <w:color w:val="auto"/>
        </w:rPr>
      </w:pPr>
      <w:r>
        <w:rPr>
          <w:rFonts w:ascii="Arial" w:cs="Arial" w:eastAsia="Arial" w:hAnsi="Arial"/>
          <w:sz w:val="18"/>
          <w:szCs w:val="18"/>
          <w:color w:val="auto"/>
        </w:rPr>
        <w:t>On August 16, 2021, Growth Ring reached a capital increase agreement with the prior shareholder of MSCT. After the capital increase, the Company holds 53.33% equity interest in MSCT and its wholly owned subsidiaries. The Company injected the capital of $0.2 million (HKD 1,600,000) on August 16, 2021.</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As MSCT does not possess all the elements that are necessary to conduct normal operations as a business and had not yet commenced operations, the transactions were accounted for asset combinations using a cost accumulation and allocation model under which the cost of the acquisition is allocated to the assets acquired and liabilities assumed. The carrying amounts of the net identifiable assets of MSCT as of the date of acquisition were as follows:</w:t>
      </w:r>
    </w:p>
    <w:p>
      <w:pPr>
        <w:sectPr>
          <w:pgSz w:w="11900" w:h="16838" w:orient="portrait"/>
          <w:cols w:equalWidth="0" w:num="1">
            <w:col w:w="11240"/>
          </w:cols>
          <w:pgMar w:left="320" w:top="872"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152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Technology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Other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35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61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06"/>
        <w:spacing w:after="0"/>
        <w:rPr>
          <w:sz w:val="20"/>
          <w:szCs w:val="20"/>
          <w:color w:val="auto"/>
        </w:rPr>
      </w:pPr>
      <w:r>
        <w:rPr>
          <w:rFonts w:ascii="Arial" w:cs="Arial" w:eastAsia="Arial" w:hAnsi="Arial"/>
          <w:sz w:val="18"/>
          <w:szCs w:val="18"/>
          <w:b w:val="1"/>
          <w:bCs w:val="1"/>
          <w:color w:val="auto"/>
        </w:rPr>
        <w:t>Amounts</w:t>
      </w:r>
    </w:p>
    <w:p>
      <w:pPr>
        <w:spacing w:after="0" w:line="37" w:lineRule="exact"/>
        <w:rPr>
          <w:sz w:val="20"/>
          <w:szCs w:val="20"/>
          <w:color w:val="auto"/>
        </w:rPr>
      </w:pPr>
    </w:p>
    <w:p>
      <w:pPr>
        <w:ind w:left="546" w:hanging="546"/>
        <w:spacing w:after="0"/>
        <w:tabs>
          <w:tab w:leader="none" w:pos="5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205,711</w:t>
      </w:r>
    </w:p>
    <w:p>
      <w:pPr>
        <w:spacing w:after="0" w:line="30" w:lineRule="exact"/>
        <w:rPr>
          <w:rFonts w:ascii="Arial" w:cs="Arial" w:eastAsia="Arial" w:hAnsi="Arial"/>
          <w:sz w:val="17"/>
          <w:szCs w:val="17"/>
          <w:color w:val="auto"/>
        </w:rPr>
      </w:pPr>
    </w:p>
    <w:p>
      <w:pPr>
        <w:ind w:left="546"/>
        <w:spacing w:after="0"/>
        <w:rPr>
          <w:rFonts w:ascii="Arial" w:cs="Arial" w:eastAsia="Arial" w:hAnsi="Arial"/>
          <w:sz w:val="17"/>
          <w:szCs w:val="17"/>
          <w:color w:val="auto"/>
        </w:rPr>
      </w:pPr>
      <w:r>
        <w:rPr>
          <w:rFonts w:ascii="Arial" w:cs="Arial" w:eastAsia="Arial" w:hAnsi="Arial"/>
          <w:sz w:val="17"/>
          <w:szCs w:val="17"/>
          <w:color w:val="auto"/>
        </w:rPr>
        <w:t>151,168</w:t>
      </w:r>
    </w:p>
    <w:p>
      <w:pPr>
        <w:spacing w:after="0" w:line="18" w:lineRule="exact"/>
        <w:rPr>
          <w:rFonts w:ascii="Arial" w:cs="Arial" w:eastAsia="Arial" w:hAnsi="Arial"/>
          <w:sz w:val="17"/>
          <w:szCs w:val="17"/>
          <w:color w:val="auto"/>
        </w:rPr>
      </w:pPr>
    </w:p>
    <w:p>
      <w:pPr>
        <w:ind w:left="666"/>
        <w:spacing w:after="0"/>
        <w:rPr>
          <w:rFonts w:ascii="Arial" w:cs="Arial" w:eastAsia="Arial" w:hAnsi="Arial"/>
          <w:sz w:val="17"/>
          <w:szCs w:val="17"/>
          <w:color w:val="auto"/>
        </w:rPr>
      </w:pPr>
      <w:r>
        <w:rPr>
          <w:rFonts w:ascii="Arial" w:cs="Arial" w:eastAsia="Arial" w:hAnsi="Arial"/>
          <w:sz w:val="16"/>
          <w:szCs w:val="16"/>
          <w:color w:val="auto"/>
        </w:rPr>
        <w:t>(5,390)</w:t>
      </w:r>
    </w:p>
    <w:p>
      <w:pPr>
        <w:spacing w:after="0" w:line="29" w:lineRule="exact"/>
        <w:rPr>
          <w:rFonts w:ascii="Arial" w:cs="Arial" w:eastAsia="Arial" w:hAnsi="Arial"/>
          <w:sz w:val="17"/>
          <w:szCs w:val="17"/>
          <w:color w:val="auto"/>
        </w:rPr>
      </w:pPr>
    </w:p>
    <w:p>
      <w:pPr>
        <w:ind w:left="566"/>
        <w:spacing w:after="0"/>
        <w:rPr>
          <w:rFonts w:ascii="Arial" w:cs="Arial" w:eastAsia="Arial" w:hAnsi="Arial"/>
          <w:sz w:val="17"/>
          <w:szCs w:val="17"/>
          <w:color w:val="auto"/>
        </w:rPr>
      </w:pPr>
      <w:r>
        <w:rPr>
          <w:rFonts w:ascii="Arial" w:cs="Arial" w:eastAsia="Arial" w:hAnsi="Arial"/>
          <w:sz w:val="16"/>
          <w:szCs w:val="16"/>
          <w:color w:val="auto"/>
        </w:rPr>
        <w:t>(23,971)</w:t>
      </w:r>
    </w:p>
    <w:p>
      <w:pPr>
        <w:spacing w:after="0" w:line="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(121,807)</w:t>
      </w:r>
    </w:p>
    <w:p>
      <w:pPr>
        <w:spacing w:after="0" w:line="60" w:lineRule="exact"/>
        <w:rPr>
          <w:sz w:val="20"/>
          <w:szCs w:val="20"/>
          <w:color w:val="auto"/>
        </w:rPr>
      </w:pPr>
    </w:p>
    <w:p>
      <w:pPr>
        <w:ind w:left="546" w:hanging="546"/>
        <w:spacing w:after="0"/>
        <w:tabs>
          <w:tab w:leader="none" w:pos="5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205,711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18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83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45720</wp:posOffset>
            </wp:positionV>
            <wp:extent cx="7118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4" w:space="720"/>
            <w:col w:w="1226"/>
          </w:cols>
          <w:pgMar w:left="320" w:top="872" w:right="339" w:bottom="1440" w:gutter="0" w:footer="0" w:header="0"/>
          <w:type w:val="continuous"/>
        </w:sectPr>
      </w:pPr>
    </w:p>
    <w:p>
      <w:pPr>
        <w:spacing w:after="0" w:line="9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Identifiable intangible assets acquired include technology, which were valued using an income approach and determined to carry estimated remaining useful lives of approximately ten years.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Continuing Operations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10"/>
          </w:tcPr>
          <w:p>
            <w:pPr>
              <w:jc w:val="right"/>
              <w:ind w:right="842"/>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third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150,298,963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97"/>
              </w:rPr>
              <w:t>151,970,357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3"/>
              </w:rPr>
              <w:t>125,792,221</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Revenue from related parties</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57,576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52,024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269,472</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Cost of revenues from third parties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2"/>
              </w:rPr>
              <w:t>(115,827,597)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(110,989,394)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(85,664,401)</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Less: Cost of revenue from related parties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(47,212)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(43,951)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(226,356)</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34,481,730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40,989,036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40,170,936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incomes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(3,300,555)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(4,103,066)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(3,753,236)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(8,336,999)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(7,971,145)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(13,337,913)</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(21,641,317)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(23,045,664)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(16,784,688)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(2,382,538)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160"/>
              <w:spacing w:after="0"/>
              <w:rPr>
                <w:sz w:val="20"/>
                <w:szCs w:val="20"/>
                <w:color w:val="auto"/>
              </w:rPr>
            </w:pPr>
            <w:r>
              <w:rPr>
                <w:rFonts w:ascii="Arial" w:cs="Arial" w:eastAsia="Arial" w:hAnsi="Arial"/>
                <w:sz w:val="18"/>
                <w:szCs w:val="18"/>
                <w:color w:val="auto"/>
              </w:rPr>
              <w:t>Subsidies and other operating income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1,256,070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1,536,394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2,080,087</w:t>
            </w:r>
          </w:p>
        </w:tc>
        <w:tc>
          <w:tcPr>
            <w:tcW w:w="0" w:type="dxa"/>
            <w:vAlign w:val="bottom"/>
          </w:tcPr>
          <w:p>
            <w:pPr>
              <w:spacing w:after="0"/>
              <w:rPr>
                <w:sz w:val="1"/>
                <w:szCs w:val="1"/>
                <w:color w:val="auto"/>
              </w:rPr>
            </w:pPr>
          </w:p>
        </w:tc>
      </w:tr>
      <w:tr>
        <w:trPr>
          <w:trHeight w:val="23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(34,405,339</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(33,583,481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(31,795,750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Income from operation</w:t>
            </w: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76,391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7,405,555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8,375,186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854,250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296,319</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20"/>
                <w:szCs w:val="20"/>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(430,357)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(575,605)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(351,045)</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Income before income tax and share of income in equity investees</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769,646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7,684,200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8,320,460</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674,344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3,045,992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1,257,124</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Income before share of income in equity investees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95,302</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4,638,208</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7,063,336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income (loss) in equity investees, net of tax</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732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165,565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4,587,911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7,019,215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(26,964)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132,483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202,643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32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192,529</w:t>
            </w:r>
          </w:p>
        </w:tc>
        <w:tc>
          <w:tcPr>
            <w:tcW w:w="140" w:type="dxa"/>
            <w:vAlign w:val="bottom"/>
          </w:tcPr>
          <w:p>
            <w:pPr>
              <w:spacing w:after="0"/>
              <w:rPr>
                <w:sz w:val="23"/>
                <w:szCs w:val="2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4,455,428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6,816,572</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20,924,683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17,279,443</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21,057,063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17,569,440</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income before income tax and share of income of equity investees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5,630,480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14,869,062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13,449,156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5,026,399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11,772,773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12,147,911</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5,053,363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11,640,290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11,945,268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basic earnings per common share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20,924,683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17,279,443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common share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4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23,153,976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8"/>
                <w:szCs w:val="18"/>
                <w:color w:val="auto"/>
              </w:rPr>
              <w:t>21,057,063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17,569,440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0"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6"/>
          <w:szCs w:val="16"/>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loss income of equity investees is income before income tax and share of loss income of equity investees excluding share-based compensation expenses and impairment of goodwill. Non-GAAP net income is net income excluding share-based compensation expenses and impairment of goodwill. Non-GAAP net income attributable to CLPS Incorporation’s shareholders is net income attributable to CLPS Incorporation’s shareholders excluding share-based compensation expenses and impairment of goodwill.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and impairment of goodwill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and impairment of goodwill,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ectPr>
          <w:pgSz w:w="11900" w:h="16838" w:orient="portrait"/>
          <w:cols w:equalWidth="0" w:num="1">
            <w:col w:w="11240"/>
          </w:cols>
          <w:pgMar w:left="320" w:top="868" w:right="339" w:bottom="154"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27940</wp:posOffset>
            </wp:positionV>
            <wp:extent cx="71342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jc w:val="both"/>
        <w:ind w:firstLine="631"/>
        <w:spacing w:after="0" w:line="274"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22"/>
              <w:spacing w:after="0"/>
              <w:rPr>
                <w:sz w:val="20"/>
                <w:szCs w:val="20"/>
                <w:color w:val="auto"/>
              </w:rPr>
            </w:pPr>
            <w:r>
              <w:rPr>
                <w:rFonts w:ascii="Arial" w:cs="Arial" w:eastAsia="Arial" w:hAnsi="Arial"/>
                <w:sz w:val="18"/>
                <w:szCs w:val="18"/>
                <w:b w:val="1"/>
                <w:bCs w:val="1"/>
                <w:color w:val="auto"/>
                <w:w w:val="91"/>
              </w:rPr>
              <w:t>For the</w:t>
            </w: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22"/>
              <w:spacing w:after="0"/>
              <w:rPr>
                <w:sz w:val="20"/>
                <w:szCs w:val="20"/>
                <w:color w:val="auto"/>
              </w:rPr>
            </w:pPr>
            <w:r>
              <w:rPr>
                <w:rFonts w:ascii="Arial" w:cs="Arial" w:eastAsia="Arial" w:hAnsi="Arial"/>
                <w:sz w:val="18"/>
                <w:szCs w:val="18"/>
                <w:b w:val="1"/>
                <w:bCs w:val="1"/>
                <w:color w:val="auto"/>
                <w:w w:val="88"/>
              </w:rPr>
              <w:t>year ended</w:t>
            </w:r>
          </w:p>
        </w:tc>
      </w:tr>
      <w:tr>
        <w:trPr>
          <w:trHeight w:val="213"/>
        </w:trPr>
        <w:tc>
          <w:tcPr>
            <w:tcW w:w="10020" w:type="dxa"/>
            <w:vAlign w:val="bottom"/>
          </w:tcPr>
          <w:p>
            <w:pPr>
              <w:spacing w:after="0"/>
              <w:rPr>
                <w:sz w:val="18"/>
                <w:szCs w:val="18"/>
                <w:color w:val="auto"/>
              </w:rPr>
            </w:pPr>
          </w:p>
        </w:tc>
        <w:tc>
          <w:tcPr>
            <w:tcW w:w="1220" w:type="dxa"/>
            <w:vAlign w:val="bottom"/>
            <w:gridSpan w:val="2"/>
          </w:tcPr>
          <w:p>
            <w:pPr>
              <w:jc w:val="center"/>
              <w:ind w:right="22"/>
              <w:spacing w:after="0"/>
              <w:rPr>
                <w:sz w:val="20"/>
                <w:szCs w:val="20"/>
                <w:color w:val="auto"/>
              </w:rPr>
            </w:pPr>
            <w:r>
              <w:rPr>
                <w:rFonts w:ascii="Arial" w:cs="Arial" w:eastAsia="Arial" w:hAnsi="Arial"/>
                <w:sz w:val="18"/>
                <w:szCs w:val="18"/>
                <w:b w:val="1"/>
                <w:bCs w:val="1"/>
                <w:color w:val="auto"/>
                <w:w w:val="88"/>
              </w:rPr>
              <w:t>June 30,</w:t>
            </w:r>
          </w:p>
        </w:tc>
      </w:tr>
      <w:tr>
        <w:trPr>
          <w:trHeight w:val="239"/>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(115,874,809)</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(16,212)</w:t>
            </w: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cost of revenues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(115,858,597)</w:t>
            </w:r>
          </w:p>
        </w:tc>
      </w:tr>
      <w:tr>
        <w:trPr>
          <w:trHeight w:val="213"/>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(3,300,555)</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(129,060)</w:t>
            </w: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(3,171,495)</w:t>
            </w: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(21,641,317)</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(2,333,024)</w:t>
            </w:r>
          </w:p>
        </w:tc>
      </w:tr>
      <w:tr>
        <w:trPr>
          <w:trHeight w:val="22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general and administrative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(19,308,293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3"/>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and share of income in equity investees</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769,646</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2,478,296</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impairment of goodwill</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income before income tax and share of loss of equity investees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5,630,480</w:t>
            </w:r>
          </w:p>
        </w:tc>
      </w:tr>
      <w:tr>
        <w:trPr>
          <w:trHeight w:val="213"/>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165,565</w:t>
            </w: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2,478,296</w:t>
            </w:r>
          </w:p>
        </w:tc>
      </w:tr>
      <w:tr>
        <w:trPr>
          <w:trHeight w:val="200"/>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Add: impairment of goodwill</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2,382,538</w:t>
            </w:r>
          </w:p>
        </w:tc>
        <w:tc>
          <w:tcPr>
            <w:tcW w:w="100" w:type="dxa"/>
            <w:vAlign w:val="bottom"/>
            <w:tcBorders>
              <w:top w:val="single" w:sz="8" w:color="CCEEFF"/>
            </w:tcBorders>
          </w:tcPr>
          <w:p>
            <w:pPr>
              <w:spacing w:after="0"/>
              <w:rPr>
                <w:sz w:val="17"/>
                <w:szCs w:val="17"/>
                <w:color w:val="auto"/>
              </w:rPr>
            </w:pPr>
          </w:p>
        </w:tc>
      </w:tr>
      <w:tr>
        <w:trPr>
          <w:trHeight w:val="234"/>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income</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5,026,399</w:t>
            </w:r>
          </w:p>
        </w:tc>
      </w:tr>
      <w:tr>
        <w:trPr>
          <w:trHeight w:val="213"/>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CLPS Incorporation’s shareholders</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192,529</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2,478,296</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impairment of goodwill</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5,053,363</w:t>
            </w:r>
          </w:p>
        </w:tc>
      </w:tr>
      <w:tr>
        <w:trPr>
          <w:trHeight w:val="213"/>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23,153,976</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GAAP basic earnings per common share</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0.01</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Add: share-based compensation expenses and impairment of goodwill</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0.21</w:t>
            </w:r>
          </w:p>
        </w:tc>
      </w:tr>
      <w:tr>
        <w:trPr>
          <w:trHeight w:val="234"/>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0.22</w:t>
            </w:r>
          </w:p>
        </w:tc>
      </w:tr>
      <w:tr>
        <w:trPr>
          <w:trHeight w:val="213"/>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23,153,976</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23,153,976</w:t>
            </w:r>
          </w:p>
        </w:tc>
      </w:tr>
      <w:tr>
        <w:trPr>
          <w:trHeight w:val="213"/>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GAAP diluted earnings per common share</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0.01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 and impairment of goodwill</w:t>
            </w: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0.21</w:t>
            </w:r>
          </w:p>
        </w:tc>
      </w:t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0.22</w:t>
            </w:r>
          </w:p>
        </w:tc>
      </w:tr>
      <w:tr>
        <w:trPr>
          <w:trHeight w:val="647"/>
        </w:trPr>
        <w:tc>
          <w:tcPr>
            <w:tcW w:w="100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87</w:t>
            </w: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For the Years Ended June 30, 2023 and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291"/>
              <w:spacing w:after="0"/>
              <w:rPr>
                <w:sz w:val="20"/>
                <w:szCs w:val="20"/>
                <w:color w:val="auto"/>
              </w:rPr>
            </w:pPr>
            <w:r>
              <w:rPr>
                <w:rFonts w:ascii="Arial" w:cs="Arial" w:eastAsia="Arial" w:hAnsi="Arial"/>
                <w:sz w:val="18"/>
                <w:szCs w:val="18"/>
                <w:b w:val="1"/>
                <w:bCs w:val="1"/>
                <w:color w:val="auto"/>
                <w:w w:val="88"/>
              </w:rPr>
              <w:t>For the Year ended June 30,</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4"/>
        </w:trPr>
        <w:tc>
          <w:tcPr>
            <w:tcW w:w="320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5"/>
        </w:trPr>
        <w:tc>
          <w:tcPr>
            <w:tcW w:w="3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1"/>
              <w:spacing w:after="0" w:line="195" w:lineRule="exact"/>
              <w:rPr>
                <w:sz w:val="20"/>
                <w:szCs w:val="20"/>
                <w:color w:val="auto"/>
              </w:rPr>
            </w:pPr>
            <w:r>
              <w:rPr>
                <w:rFonts w:ascii="Arial" w:cs="Arial" w:eastAsia="Arial" w:hAnsi="Arial"/>
                <w:sz w:val="18"/>
                <w:szCs w:val="18"/>
                <w:b w:val="1"/>
                <w:bCs w:val="1"/>
                <w:color w:val="auto"/>
                <w:w w:val="96"/>
              </w:rPr>
              <w:t>% of total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1"/>
              <w:spacing w:after="0" w:line="195" w:lineRule="exact"/>
              <w:rPr>
                <w:sz w:val="20"/>
                <w:szCs w:val="20"/>
                <w:color w:val="auto"/>
              </w:rPr>
            </w:pPr>
            <w:r>
              <w:rPr>
                <w:rFonts w:ascii="Arial" w:cs="Arial" w:eastAsia="Arial" w:hAnsi="Arial"/>
                <w:sz w:val="18"/>
                <w:szCs w:val="18"/>
                <w:b w:val="1"/>
                <w:bCs w:val="1"/>
                <w:color w:val="auto"/>
                <w:w w:val="98"/>
              </w:rPr>
              <w:t>% of total</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0"/>
              </w:rPr>
              <w:t>Variance</w:t>
            </w:r>
          </w:p>
        </w:tc>
      </w:tr>
      <w:tr>
        <w:trPr>
          <w:trHeight w:val="239"/>
        </w:trPr>
        <w:tc>
          <w:tcPr>
            <w:tcW w:w="3200" w:type="dxa"/>
            <w:vAlign w:val="bottom"/>
          </w:tcPr>
          <w:p>
            <w:pPr>
              <w:spacing w:after="0"/>
              <w:rPr>
                <w:sz w:val="20"/>
                <w:szCs w:val="20"/>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Revenue</w:t>
            </w:r>
          </w:p>
        </w:tc>
        <w:tc>
          <w:tcPr>
            <w:tcW w:w="124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6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w w:val="98"/>
              </w:rPr>
              <w:t>Revenue</w:t>
            </w:r>
          </w:p>
        </w:tc>
        <w:tc>
          <w:tcPr>
            <w:tcW w:w="132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rPr>
              <w:t>Variance</w:t>
            </w:r>
          </w:p>
        </w:tc>
        <w:tc>
          <w:tcPr>
            <w:tcW w:w="1100" w:type="dxa"/>
            <w:vAlign w:val="bottom"/>
          </w:tcPr>
          <w:p>
            <w:pPr>
              <w:jc w:val="right"/>
              <w:ind w:right="37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3"/>
        </w:trPr>
        <w:tc>
          <w:tcPr>
            <w:tcW w:w="3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144,286,502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144,092,811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193,691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3"/>
        </w:trPr>
        <w:tc>
          <w:tcPr>
            <w:tcW w:w="320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4,554,200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6,738,118</w:t>
            </w:r>
          </w:p>
        </w:tc>
        <w:tc>
          <w:tcPr>
            <w:tcW w:w="120" w:type="dxa"/>
            <w:vAlign w:val="bottom"/>
          </w:tcPr>
          <w:p>
            <w:pPr>
              <w:spacing w:after="0"/>
              <w:rPr>
                <w:sz w:val="18"/>
                <w:szCs w:val="18"/>
                <w:color w:val="auto"/>
              </w:rPr>
            </w:pPr>
          </w:p>
        </w:tc>
        <w:tc>
          <w:tcPr>
            <w:tcW w:w="1260" w:type="dxa"/>
            <w:vAlign w:val="bottom"/>
            <w:gridSpan w:val="2"/>
          </w:tcPr>
          <w:p>
            <w:pPr>
              <w:jc w:val="right"/>
              <w:ind w:right="31"/>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82"/>
              <w:spacing w:after="0"/>
              <w:rPr>
                <w:sz w:val="20"/>
                <w:szCs w:val="20"/>
                <w:color w:val="auto"/>
              </w:rPr>
            </w:pPr>
            <w:r>
              <w:rPr>
                <w:rFonts w:ascii="Arial" w:cs="Arial" w:eastAsia="Arial" w:hAnsi="Arial"/>
                <w:sz w:val="18"/>
                <w:szCs w:val="18"/>
                <w:color w:val="auto"/>
              </w:rPr>
              <w:t>(2,183,918)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(32.4)%</w:t>
            </w:r>
          </w:p>
        </w:tc>
      </w:tr>
      <w:tr>
        <w:trPr>
          <w:trHeight w:val="24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1,515,837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1,191,452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324,385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r>
        <w:trPr>
          <w:trHeight w:val="234"/>
        </w:trPr>
        <w:tc>
          <w:tcPr>
            <w:tcW w:w="3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150,356,539</w:t>
            </w: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152,022,381</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(1,665,842</w:t>
            </w:r>
          </w:p>
        </w:tc>
        <w:tc>
          <w:tcPr>
            <w:tcW w:w="220" w:type="dxa"/>
            <w:vAlign w:val="bottom"/>
            <w:tcBorders>
              <w:top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total revenues decreased by approximately $1.6 million, or 1.1%, to approximately $150.4million for the fiscal year ended June 30, 2023, from approximately $152.0 million for the fiscal year ended June 30, 2022.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6" w:name="page97"/>
    <w:bookmarkEnd w:id="96"/>
    <w:p>
      <w:pPr>
        <w:jc w:val="both"/>
        <w:ind w:firstLine="640"/>
        <w:spacing w:after="0" w:line="274" w:lineRule="auto"/>
        <w:rPr>
          <w:sz w:val="20"/>
          <w:szCs w:val="20"/>
          <w:color w:val="auto"/>
        </w:rPr>
      </w:pPr>
      <w:r>
        <w:rPr>
          <w:rFonts w:ascii="Arial" w:cs="Arial" w:eastAsia="Arial" w:hAnsi="Arial"/>
          <w:sz w:val="17"/>
          <w:szCs w:val="17"/>
          <w:color w:val="auto"/>
        </w:rPr>
        <w:t>For the year ended June 30, 2023, revenue derived from our IT consulting services increased by 0.1% to $144.3 million from $144.1 million in fiscal 2022, primarily reflecting the increasing demands for our IT consulting services from banks and other financial institutions. For fiscal 2023 and 2022, 38.2% and 41.2% of our IT consulting services revenue were from international banks, respectively. In fiscal 2023, we strengthened our expertise in the financial industry to leverage our existing industry knowledge and grew our customer base of local Chinese financial institutions.</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Revenue from customized IT solution services decreased by $2.1 million, or 32.4%, to $4.6 million for the year ended June 30, 2023, from $6.7 million in the same period of the previous year. The decrease was primarily due to decreasing demand from existing clients.</w:t>
      </w:r>
    </w:p>
    <w:p>
      <w:pPr>
        <w:spacing w:after="0" w:line="175"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Revenue from other services increased by $0.3 million, or 27.2%, to $1.5 million for the year ended June 30, 2023, from $1.2 million in the prior year period.</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number of clients remained consistent at 265 for the year ended June 30,2023 compared to the prior year period. Revenues from top five clients accounted for 49.1% and 49.0% of the Company’s total revenues for fiscal 2023 and 2022, respectively.</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 generated outside of Mainland China for the year ended June 30, 2023 accounted for 10.8% of total revenue compared to 9.3% in the prior 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cost of revenues mainly consisted of compensation benefit expenses for our IT professionals, travel expenses and material costs. Our cost of revenues increased by $4.9 million or 4.4% to approximately $115.9 million in fiscal 2023 from approximately $111.0 million in fiscal 2022 primarily due to the increase in IT professional compensation costs. as a result of optimization of our R&amp;D staff structure by allocating a number of staff to deliver IT services to meet the increased demand, as well as increased labor costs. As a percentage of revenues, our cost of revenues was 77.1% and 73.0% for fiscal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gross profit decreased by $6.5 million, or 15.9%, to approximately $34.5 million in fiscal 2023 from approximately $41.0 million in fiscal 2022.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to 22.9% in fiscal 2023 from 27.0% for the same period of last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Selling and marketing expenses decreased by $0.8 million, or 19.6%, to $3.3 million in fiscal 2023 from $4.1 million in fiscal 2022. The decrease was primarily due to improved efficiency in talent acquisition using an intelligent automation solution, which helped the Company to reduce time and cost associated with the talent acquisition process. Accordingly, as a percentage of sales, our selling expenses were 2.2% of revenues in fiscal 2023 compared to 2.7% in fiscal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were $8.3 million in fiscal 2023, which increased by $0.3 million or 4.6% compared to $8.0 million in fiscal 2022, representing 5.5% and 5.2% of our total revenues for fiscal 2023 and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6" w:lineRule="exact"/>
        <w:rPr>
          <w:sz w:val="20"/>
          <w:szCs w:val="20"/>
          <w:color w:val="auto"/>
        </w:rPr>
      </w:pPr>
    </w:p>
    <w:p>
      <w:pPr>
        <w:jc w:val="both"/>
        <w:ind w:firstLine="631"/>
        <w:spacing w:after="0" w:line="255" w:lineRule="auto"/>
        <w:rPr>
          <w:sz w:val="20"/>
          <w:szCs w:val="20"/>
          <w:color w:val="auto"/>
        </w:rPr>
      </w:pPr>
      <w:r>
        <w:rPr>
          <w:rFonts w:ascii="Arial" w:cs="Arial" w:eastAsia="Arial" w:hAnsi="Arial"/>
          <w:sz w:val="18"/>
          <w:szCs w:val="18"/>
          <w:color w:val="auto"/>
        </w:rPr>
        <w:t>General and administrative expenses increased by $1.0 million, or 4.2%, to $24.0 million in fiscal 2023 from $23.0 million in the prior year. After the deduction of $2.3 million non-cash share-based compensation expenses related to the grants under the 2021 Incentive Compensation Plan and deduction of $2.4 million goodwill impairment losses, non-GAAP general and administrative expenses increased by $3.2 million, or 20.2%, to $19.3 million in fiscal 2023 from $16.1 million in the same period of the previous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operating income</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$1.3 million and $1.5 million in fiscal 2023 and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 and share of loss in equity investees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Income before income taxes and share of loss in equity investees decreased by $6.9 million to a $0.8 million income in fiscal 2023 from an income of $7.7 million in fiscal 2022. After the deduction of non-cash share-based compensation expenses and goodwill impairment losses, non-GAAP income before income taxes and share of loss in equity investees decreased by $9.3 million, or 62.1%, to $5.6 million in fiscal 2023 from $14.9 million in the same period of the previous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provision for income taxes in fiscal 2023 decreased by $2.3 million to $0.7 million from $3.0 million provision for income taxes in fiscal 2022, mainly due to the decrease of income before income taxes and share of loss in equity investees.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 in equity investees, net of tax</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share of loss in equity investees, net of tax in fiscal 2023 was net equity investment income of SSIT, and Fuson. The share of loss in equity investees, net of tax in fiscal 2022 was net equity investment loss of SSIT, EMIT and Fuson.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0" w:lineRule="exact"/>
        <w:rPr>
          <w:sz w:val="20"/>
          <w:szCs w:val="20"/>
          <w:color w:val="auto"/>
        </w:rPr>
      </w:pPr>
    </w:p>
    <w:p>
      <w:pPr>
        <w:jc w:val="both"/>
        <w:ind w:firstLine="630"/>
        <w:spacing w:after="0" w:line="258" w:lineRule="auto"/>
        <w:rPr>
          <w:sz w:val="20"/>
          <w:szCs w:val="20"/>
          <w:color w:val="auto"/>
        </w:rPr>
      </w:pPr>
      <w:r>
        <w:rPr>
          <w:rFonts w:ascii="Arial" w:cs="Arial" w:eastAsia="Arial" w:hAnsi="Arial"/>
          <w:sz w:val="18"/>
          <w:szCs w:val="18"/>
          <w:color w:val="auto"/>
        </w:rPr>
        <w:t>Net income decreased by $4.4 million, or 96.4%, to $0.2 million in fiscal 2023 from a net income of $4.6 million in fiscal 2022. After the deduction of $2.5 million non-cash share-based compensation expenses and $2.4 million goodwill impairment losses, non-GAAP net income decreased by $6.8 million, or 57.3%, to $5.0 million in fiscal 2023 from $11.8 million in the previous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Foreign currency translation adjustments amounted to a loss of $3.5 million and a loss of $1.8 million for the years ended June 30, 2023 and 2022, respectively. The balance sheet amounts with the exception of equity as of June 30, 2023 were translated at 7.2513 RMB to 1.00 USD as compared to 6.6981 RMB to 1.00 USD as of June 30, 2022. The equity accounts were stated at their historical rate. The average translation rates applied to the income statements accounts for the years ended June 30, 2023 and 2022 were 6.9536 RMB to 1.00 USD and 6.4554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2022 and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311"/>
              <w:spacing w:after="0"/>
              <w:rPr>
                <w:sz w:val="20"/>
                <w:szCs w:val="20"/>
                <w:color w:val="auto"/>
              </w:rPr>
            </w:pPr>
            <w:r>
              <w:rPr>
                <w:rFonts w:ascii="Arial" w:cs="Arial" w:eastAsia="Arial" w:hAnsi="Arial"/>
                <w:sz w:val="18"/>
                <w:szCs w:val="18"/>
                <w:b w:val="1"/>
                <w:bCs w:val="1"/>
                <w:color w:val="auto"/>
                <w:w w:val="89"/>
              </w:rPr>
              <w:t>For the Year ended June 30,</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1"/>
              <w:spacing w:after="0" w:line="195" w:lineRule="exact"/>
              <w:rPr>
                <w:sz w:val="20"/>
                <w:szCs w:val="20"/>
                <w:color w:val="auto"/>
              </w:rPr>
            </w:pPr>
            <w:r>
              <w:rPr>
                <w:rFonts w:ascii="Arial" w:cs="Arial" w:eastAsia="Arial" w:hAnsi="Arial"/>
                <w:sz w:val="18"/>
                <w:szCs w:val="18"/>
                <w:b w:val="1"/>
                <w:bCs w:val="1"/>
                <w:color w:val="auto"/>
                <w:w w:val="98"/>
              </w:rPr>
              <w:t>% of total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71"/>
              <w:spacing w:after="0" w:line="195"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Revenue</w:t>
            </w:r>
          </w:p>
        </w:tc>
        <w:tc>
          <w:tcPr>
            <w:tcW w:w="126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w w:val="98"/>
              </w:rPr>
              <w:t>Revenue</w:t>
            </w:r>
          </w:p>
        </w:tc>
        <w:tc>
          <w:tcPr>
            <w:tcW w:w="12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Revenue</w:t>
            </w:r>
          </w:p>
        </w:tc>
        <w:tc>
          <w:tcPr>
            <w:tcW w:w="126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w w:val="98"/>
              </w:rPr>
              <w:t>Revenue</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Variance</w:t>
            </w:r>
          </w:p>
        </w:tc>
        <w:tc>
          <w:tcPr>
            <w:tcW w:w="1100" w:type="dxa"/>
            <w:vAlign w:val="bottom"/>
          </w:tcPr>
          <w:p>
            <w:pPr>
              <w:jc w:val="right"/>
              <w:ind w:right="37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144,092,811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122,273,395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21,819,416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6,738,118</w:t>
            </w:r>
          </w:p>
        </w:tc>
        <w:tc>
          <w:tcPr>
            <w:tcW w:w="120" w:type="dxa"/>
            <w:vAlign w:val="bottom"/>
          </w:tcPr>
          <w:p>
            <w:pPr>
              <w:spacing w:after="0"/>
              <w:rPr>
                <w:sz w:val="18"/>
                <w:szCs w:val="18"/>
                <w:color w:val="auto"/>
              </w:rPr>
            </w:pPr>
          </w:p>
        </w:tc>
        <w:tc>
          <w:tcPr>
            <w:tcW w:w="1260" w:type="dxa"/>
            <w:vAlign w:val="bottom"/>
            <w:gridSpan w:val="2"/>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3,130,646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1"/>
              <w:spacing w:after="0"/>
              <w:rPr>
                <w:sz w:val="20"/>
                <w:szCs w:val="20"/>
                <w:color w:val="auto"/>
              </w:rPr>
            </w:pPr>
            <w:r>
              <w:rPr>
                <w:rFonts w:ascii="Arial" w:cs="Arial" w:eastAsia="Arial" w:hAnsi="Arial"/>
                <w:sz w:val="18"/>
                <w:szCs w:val="18"/>
                <w:color w:val="auto"/>
              </w:rPr>
              <w:t>2.5%</w:t>
            </w:r>
          </w:p>
        </w:tc>
        <w:tc>
          <w:tcPr>
            <w:tcW w:w="1100" w:type="dxa"/>
            <w:vAlign w:val="bottom"/>
          </w:tcPr>
          <w:p>
            <w:pPr>
              <w:jc w:val="right"/>
              <w:spacing w:after="0"/>
              <w:rPr>
                <w:sz w:val="20"/>
                <w:szCs w:val="20"/>
                <w:color w:val="auto"/>
              </w:rPr>
            </w:pPr>
            <w:r>
              <w:rPr>
                <w:rFonts w:ascii="Arial" w:cs="Arial" w:eastAsia="Arial" w:hAnsi="Arial"/>
                <w:sz w:val="18"/>
                <w:szCs w:val="18"/>
                <w:color w:val="auto"/>
              </w:rPr>
              <w:t>3,607,472</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1,191,452</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533,800</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line="20" w:lineRule="exact"/>
              <w:rPr>
                <w:sz w:val="1"/>
                <w:szCs w:val="1"/>
                <w:color w:val="auto"/>
              </w:rPr>
            </w:pPr>
          </w:p>
        </w:tc>
      </w:tr>
      <w:tr>
        <w:trPr>
          <w:trHeight w:val="234"/>
        </w:trPr>
        <w:tc>
          <w:tcPr>
            <w:tcW w:w="326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152,022,381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126,061,693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25,960,688</w:t>
            </w: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3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2" w:right="339" w:bottom="1440" w:gutter="0" w:footer="0" w:header="0"/>
        </w:sectPr>
      </w:pPr>
    </w:p>
    <w:bookmarkStart w:id="99" w:name="page100"/>
    <w:bookmarkEnd w:id="99"/>
    <w:p>
      <w:pPr>
        <w:jc w:val="both"/>
        <w:ind w:firstLine="640"/>
        <w:spacing w:after="0" w:line="258" w:lineRule="auto"/>
        <w:rPr>
          <w:sz w:val="20"/>
          <w:szCs w:val="20"/>
          <w:color w:val="auto"/>
        </w:rPr>
      </w:pPr>
      <w:r>
        <w:rPr>
          <w:rFonts w:ascii="Arial" w:cs="Arial" w:eastAsia="Arial" w:hAnsi="Arial"/>
          <w:sz w:val="18"/>
          <w:szCs w:val="18"/>
          <w:color w:val="auto"/>
        </w:rPr>
        <w:t>Our total revenues increased by approximately $26.0 million, or 20.6%, to approximately $152.0 million for the fiscal year ended June 30, 2022 from approximately $126.1 million for the fiscal year ended June 30, 2021. The overall growth in our revenues reflects an increase in revenues from our IT consulting services and derived primarily from existing customers.</w:t>
      </w:r>
    </w:p>
    <w:p>
      <w:pPr>
        <w:spacing w:after="0" w:line="186"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For the year ended June 30, 2022, revenue derived from our IT consulting services increased by 17.8% to $144.1 million from $122.3 million in fiscal 2021, primarily reflecting the increasing demands for our IT consulting services from banks and other financial institutions. For fiscal 2022 and 2021, 41.2% and 40.1% of our IT consulting services revenue were from international banks, respectively. In fiscal 2022, we strengthened our expertise in the financial industry to leverage our existing industry knowledge and grew our customer base of local Chinese financial institutions.</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Revenue from customized IT solution services increased by $3.6 million, or 115.2%, to $6.7 million for the year ended June 30, 2021, from $3.1 million in the same period of the previous year. The increase was primarily due to increasing demand from existing clients.</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 from other services increased by $0.5 million, or 81.2%, to $1.2 million for the year ended June 30, 2022, from $0.7 million in the prior year period.</w:t>
      </w:r>
    </w:p>
    <w:p>
      <w:pPr>
        <w:spacing w:after="0" w:line="175"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number of clients increased by 14, or 5.6%, to 265 for the year ended June 30, 2022 from 251 in the prior year period. Revenues from top five clients accounted for 49.0% and 45.7% of the Company’s total revenues for fiscal 2022 and 2021, respectively.</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Revenue generated outside of Mainland China for the year ended June 30, 2022 accounted for 9.3% of total revenue compared to 10.7% in the prior 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Our cost of revenues mainly consisted of compensation benefit expenses for our IT professionals, travel expenses and material costs. Our cost of revenues increased by $25.1 million or 29.3% to approximately $111.0 million in fiscal 2022 from approximately $85.9 million in fiscal 2021 primarily as a result of optimization of our R&amp;D staff structure by allocating a number of staff to deliver IT services to meet the increased demand, as well as the lockdown in cities where our operations were impacted such as Shanghai, following the resurgence of COVID-19 cases and the increased prevention costs associated with it. As a percentage of revenues, our cost of revenues was 73.0% and 68.1% for fiscal 2022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gross profit increased by $0.8 million, or 2.0%, to approximately $41.0 million in fiscal 2022 from approximately $40.2 million in fiscal 2021.</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Gross margin decreased to 27.0% in fiscal 2022 from 31.9% for the same period of last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Selling and marketing expenses increased by $0.3 million or 9.3% to $4.1 million in fiscal 2022 from $3.8 million in fiscal 2021. Accordingly, as a percentage of sales, our selling expenses were 2.7% of revenues in fiscal 2022 compared to 3.0% in fiscal 2021. We expect our selling and marketing expenses to increase as we continue our business expansion, we expect these expenses to remain relatively steady as a percentage of our net revenues to support our business growth in the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were $8.0 million in fiscal 2022, which decreased by $5.3 million or 40.2% compared to $13.3 million in fiscal 2021, representing 5.2% and 10.6% of our total revenues for fiscal 2022 and 2021, respectively. The decrease was primarily due to the optimization of our R&amp;D staff structure by allocating a number of staff to deliver IT services to meet the increased demand.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6" w:lineRule="exact"/>
        <w:rPr>
          <w:sz w:val="20"/>
          <w:szCs w:val="20"/>
          <w:color w:val="auto"/>
        </w:rPr>
      </w:pPr>
    </w:p>
    <w:p>
      <w:pPr>
        <w:jc w:val="both"/>
        <w:ind w:firstLine="631"/>
        <w:spacing w:after="0" w:line="255" w:lineRule="auto"/>
        <w:rPr>
          <w:sz w:val="20"/>
          <w:szCs w:val="20"/>
          <w:color w:val="auto"/>
        </w:rPr>
      </w:pPr>
      <w:r>
        <w:rPr>
          <w:rFonts w:ascii="Arial" w:cs="Arial" w:eastAsia="Arial" w:hAnsi="Arial"/>
          <w:sz w:val="18"/>
          <w:szCs w:val="18"/>
          <w:color w:val="auto"/>
        </w:rPr>
        <w:t>General and administrative expenses increased by $6.2 million, or 37.3%, to $23.0 million in fiscal 2022 from $16.8 million in the prior year. After the deduction of $7.2 million non-cash share-based compensation expenses related to the grants under the 2020 Incentive Compensation Plan, non-GAAP general and administrative expenses increased by $4.3 million, or 36.3%, to $16.1 million in fiscal 2022 from $11.8 million in the same period of the previous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operating income</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$1.5 million and $2.1 million in fiscal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 and share of loss in equity investees</w:t>
      </w:r>
    </w:p>
    <w:p>
      <w:pPr>
        <w:spacing w:after="0" w:line="220"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Income before income taxes and share of loss in equity investees decreased by $0.6 million to a $7.7 million income in fiscal 2022 from an income of $8.3 million in fiscal 2021. After the deduction of non-cash share-based compensation expenses, non-GAAP income before income taxes and share of loss in equity investees increased by $1.5 million, or 10.6%, to $14.9 million in fiscal 2022 from $13.4 million in the same period of the previous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provision for income taxes in fiscal 2022 increased by $1.7 million to $3.0 million from $1.3 million provision for income taxes in fiscal 2021, mainly due to a higher effective tax rate at 25.0%, the standard statutory corporate income tax rate in mainland China. By renewing our High and New Technology Enterprise status this year, we will be entitled to a corporate income tax preferential rate of 15.0%.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 in equity investees, net of tax</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share of loss in equity investees, net of tax in fiscal 2022 was net equity investment loss of SSIT, EMIT and Fuson. The share of loss in equity investees, net of tax in fiscal 2021 was net equity investment loss of SSIT and EMIT.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0" w:lineRule="exact"/>
        <w:rPr>
          <w:sz w:val="20"/>
          <w:szCs w:val="20"/>
          <w:color w:val="auto"/>
        </w:rPr>
      </w:pPr>
    </w:p>
    <w:p>
      <w:pPr>
        <w:jc w:val="both"/>
        <w:ind w:right="20" w:firstLine="630"/>
        <w:spacing w:after="0" w:line="258" w:lineRule="auto"/>
        <w:rPr>
          <w:sz w:val="20"/>
          <w:szCs w:val="20"/>
          <w:color w:val="auto"/>
        </w:rPr>
      </w:pPr>
      <w:r>
        <w:rPr>
          <w:rFonts w:ascii="Arial" w:cs="Arial" w:eastAsia="Arial" w:hAnsi="Arial"/>
          <w:sz w:val="18"/>
          <w:szCs w:val="18"/>
          <w:color w:val="auto"/>
        </w:rPr>
        <w:t>Net income decreased by $2.4 million or 34.6% to $4.6 million in fiscal 2022 from a net income of $7.0 million in fiscal 2021. After the deduction of $7.2 million non-cash share-based compensation expenses, non-GAAP net income decreased by $0.3 million, or 3.1%, to $11.8 million in fiscal 2022 from $12.1 million in the previous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Foreign currency translation adjustments amounted to loss of $1.8 million and income of $2.6 million for the years ended June 30, 2022 and 2021, respectively. The balance sheet amounts with the exception of equity as of June 30, 2022 were translated at 6.6981 RMB to 1.00 USD as compared to 6.4566 RMB to 1.00 USD as of June 30, 2021. The equity accounts were stated at their historical rate. The average translation rates applied to the income statements accounts for the years ended June 30, 2022 and 2021 were 6.4554 RMB to 1.00 USD and 6.6212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through Our Organization</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auto"/>
        </w:rPr>
        <w:t>CLPS Incorporation is a holding company with no operations of its own. We conduct our operations in Mainland China primarily through our subsidiaries in mainland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years 2021, 2022, and 2023, the Company provided cash support to its subsidiaries in Mainland China, Singapore and Hong Kong SAR. The amounts were offset when the Company’s consolidated financial statements were prepared. The balances due from subsidiaries to the Company were US$7.6 million, US$22.8 million, and US$24.7 million as of June 30 for fiscal 2021, 2022, and 2023, respectively. The subsidiaries provide cash support to the Company according its business development plan. The balances due to subsidiaries from the Company were Nil, US$7.1 million, and US$7.6 million as of June 30 for fiscal 2021, 2022, and 2023, respectively. The balances were reflected in the section “PARENT COMPANY ONLY CONDENSED FINANCIAL INFORMATION” in our financial statements for fiscal 2021, 2022, and 2023, respectively. For the years ended June 30, 2021, 2022, and 2023, cash and cash equivalents of PRC companies were RMB 62.66 million (US$9.71 million), 99.0 million (US$14.8 million), and 129.1 million (US$17.8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82"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As of June 30, 2023, we had cash and cash equivalents of approximately $22.3 million. Our current assets were approximately $72.9 million, and our current liabilities were approximately $26.3 million. Total shareholders’ equity as of June 30, 2023 was approximately $65.5 million. We believe that we will have sufficient working capital to operate our business for the next 12 months from the issuance date of this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2" w:name="page103"/>
    <w:bookmarkEnd w:id="102"/>
    <w:p>
      <w:pPr>
        <w:jc w:val="both"/>
        <w:ind w:firstLine="640"/>
        <w:spacing w:after="0" w:line="250" w:lineRule="auto"/>
        <w:rPr>
          <w:sz w:val="20"/>
          <w:szCs w:val="20"/>
          <w:color w:val="auto"/>
        </w:rPr>
      </w:pPr>
      <w:r>
        <w:rPr>
          <w:rFonts w:ascii="Arial" w:cs="Arial" w:eastAsia="Arial" w:hAnsi="Arial"/>
          <w:sz w:val="18"/>
          <w:szCs w:val="18"/>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2023, cash and cash equivalents of approximately RMB129.1 million ($17.8 million), SGD1.7 million ($1.3 million), AUD0.02 million ($0.01 million), HKD22.2 million ($2.8 million), INR2.7 million ($0.03 million), MYR0.4 million ($09 million), JPY5.0 million ($0.03 million), USD1 million, and PHP4.4 million ($0.08 million) were held by the Company and its subsidiaries in Mainland China, Singapore, Australia, Hong Kong, India, Malaysia, Japan, the United States of America, and the Philippines,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94"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2023.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ind w:left="640"/>
              <w:spacing w:after="0"/>
              <w:rPr>
                <w:sz w:val="20"/>
                <w:szCs w:val="20"/>
                <w:color w:val="auto"/>
              </w:rPr>
            </w:pPr>
            <w:r>
              <w:rPr>
                <w:rFonts w:ascii="Arial" w:cs="Arial" w:eastAsia="Arial" w:hAnsi="Arial"/>
                <w:sz w:val="18"/>
                <w:szCs w:val="18"/>
                <w:color w:val="auto"/>
              </w:rPr>
              <w:t>The following table sets forth summary of our cash flows for the periods indicated: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For the Years Ended June 30,</w:t>
            </w: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(2,609,773)</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(306,046)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(16,290,683)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(5,619,471)</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(4,319,331)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7,474,641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19,340,588</w:t>
            </w: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(1,175,928)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(727,242)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975,918</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3,904,646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(6,342,395)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12,087,262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18,396,987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24,739,382</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12,652,120</w:t>
            </w:r>
          </w:p>
        </w:tc>
        <w:tc>
          <w:tcPr>
            <w:tcW w:w="100" w:type="dxa"/>
            <w:vAlign w:val="bottom"/>
            <w:tcBorders>
              <w:bottom w:val="single" w:sz="8" w:color="CCEEFF"/>
            </w:tcBorders>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22,301,633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18,396,987</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24,739,382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Net cash provided by operating activities was approximately $9.7 million in fiscal 2023, including net income of $0.2 million, adjusted for non-cash items of $7.2 million and positive adjustments for changes in operating assets and liabilities of $3.4 million. The adjustments for changes in operating assets and liabilities mainly included the decrease in accounts receivable of $0.5 million. The adjustments for changes in operating assets and liabilities also included a decrease in prepayment, deposits and other assets of $3.5 million, a decrease in salaries and benefits payable of $0.8 million, an increase in accounts payable and other liabilities of $0.2 million, and an increase in tax payables of $0.1 million in fiscal 2023.</w:t>
      </w:r>
    </w:p>
    <w:p>
      <w:pPr>
        <w:spacing w:after="0" w:line="177"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Net cash provided by operating activities was approximately $3.2 million in fiscal 2022, including net income of $4.6 million, adjusted for non-cash items of $8.2 million and negative adjustments for changes in operating assets and liabilities of $9.6 million. The adjustments for changes in operating assets and liabilities mainly included the increase in accounts receivable of $12.3 million due to increased sales in fiscal 2022. During fiscal 2022, our accounts receivable turnover was 116 days, an increase of 16 days from 100 days in fiscal 2021. The adjustments for changes in operating assets and liabilities also included an increase in salaries and benefits payable of $0.2 million and an increase in accounts payable and other liabilities of $1.7 million in fiscal 2022.</w:t>
      </w:r>
    </w:p>
    <w:p>
      <w:pPr>
        <w:spacing w:after="0" w:line="162"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Net cash used in operating activities was approximately $2.6 million in fiscal 2021, including net income of $7.0 million, adjusted for non-cash items of $5.7 million and negative adjustments for changes in operating assets and liabilities of $15.3 million. The adjustments for changes in operating assets and liabilities mainly included the increase in accounts receivable of $16.7 million due to increased sales in fiscal 2021. During fiscal 2021, our accounts receivable turnover was 100 days, an increase of 9 days from 91 days in fiscal 2020. The adjustments for changes in operating assets and liabilities also included an increase in salaries and benefits payable of $0.3 million and an increase in accounts payable and other payables of $0.4 million in fiscal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Net cash used in investing activities was approximately $0.3 million in fiscal 2023, primarily due to our purchase of property and equipment of $0.5 million, disposition of long term investment of $0.1 million, repayments from a related party of $0.2 million in fiscal 2023, to better manage opportunities and capitalize on the growth potential in the human resource related industry.</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Net cash used in investing activities was approximately $16.3 million in fiscal 2022, primarily due to our purchase of office building, office equipment and furniture of $20.8 million, disposition of long term investment of $0.4 million, loans provided to related party of $0.08 million, and maturities of short-term investments of $4.2 million in fiscal 2022, to better manage opportunities and capitalize on the growth potential in the human resource related industry.</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Net cash used in investing activities was approximately $5.6 million in fiscal 2021, primarily due to our purchase of office building, office equipment and furniture of $1.1 million, disposition of subsidiary of $0.2 million, addition of long term investment of $0.3 million, loans provided to Infogain and related party of $0.3 million, our business acquisition of $0.3 million and short-term investments of $3.4 million in fiscal 2021, to better manage opportunities and capitalize on the growth potential in the human resource related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Net cash used in financing activities was approximately $4.3 million in fiscal 2023. During the fiscal 2023, we had bank loans of approximately $23.4 million, repaid loans of approximately $26.3 million, and paid dividend of $1.4 million.</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Net cash provided by financing activities was approximately $7.5 million in fiscal 2022. During the fiscal 2022, we had bank loans of approximately $22.0 million and repaid loans of approximately $14.5 million.</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Net cash provided by financing activities was approximately $19.3 million in fiscal 2021. During the fiscal 2021, we had bank loans of approximately $13.3 million, repaid loans of approximately $8.3 million, received capital contribution from private placement of $14.7 million, received capital contribution from option exercise of $0.1 million and purchase of noncontrolling interest of $0.5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 made capital expenditures of $0.5 million, $20.8 million, and $1.1 million for the years ended June 30, 2023, 2022, and 2021, respectively. In these periods, our capital expenditures were mainly used for purchases of office building and office equipment. The Company will continue to make capital expenditures to meet the expected growth of its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3.7% in 2022 and 3.4% in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expenses amounted to $1,086,622, $1,413,521, and $942,606 for the years ended June 30, 2023, 2022, and 2021, respectively. The following table sets forth our contractual obligations and commercial commitments as of June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Payment Due by Period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1"/>
              <w:spacing w:after="0" w:line="19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 Years</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839,045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733,982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8"/>
                <w:szCs w:val="18"/>
                <w:color w:val="auto"/>
              </w:rPr>
              <w:t>Bank loans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10,554,617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10,554,617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11,393,662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11,288,599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171"/>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3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2"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0" w:lineRule="exact"/>
        <w:rPr>
          <w:sz w:val="20"/>
          <w:szCs w:val="20"/>
          <w:color w:val="auto"/>
        </w:rPr>
      </w:pPr>
    </w:p>
    <w:p>
      <w:pPr>
        <w:ind w:firstLine="640"/>
        <w:spacing w:after="0" w:line="300" w:lineRule="auto"/>
        <w:rPr>
          <w:sz w:val="20"/>
          <w:szCs w:val="20"/>
          <w:color w:val="auto"/>
        </w:rPr>
      </w:pPr>
      <w:r>
        <w:rPr>
          <w:rFonts w:ascii="Arial" w:cs="Arial" w:eastAsia="Arial" w:hAnsi="Arial"/>
          <w:sz w:val="17"/>
          <w:szCs w:val="17"/>
          <w:color w:val="auto"/>
        </w:rPr>
        <w:t>There were no off-balance sheet arrangements and undisclosed material cash requirement for the years ended June 30, 2023 that have or that in the opinion of management are likely to have, a current or future material effect on our financial condition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4" w:lineRule="exact"/>
        <w:rPr>
          <w:sz w:val="20"/>
          <w:szCs w:val="20"/>
          <w:color w:val="auto"/>
        </w:rPr>
      </w:pPr>
    </w:p>
    <w:p>
      <w:pPr>
        <w:ind w:right="20" w:firstLine="640"/>
        <w:spacing w:after="0" w:line="270" w:lineRule="auto"/>
        <w:rPr>
          <w:sz w:val="20"/>
          <w:szCs w:val="20"/>
          <w:color w:val="auto"/>
        </w:rPr>
      </w:pPr>
      <w:r>
        <w:rPr>
          <w:rFonts w:ascii="Arial" w:cs="Arial" w:eastAsia="Arial" w:hAnsi="Arial"/>
          <w:sz w:val="18"/>
          <w:szCs w:val="18"/>
          <w:color w:val="auto"/>
        </w:rPr>
        <w:t>We prepare our consolidated financial statements in conformity with U.S. GAAP, which requires us to make judgments, estimates and assumptions that affect our reported amount of assets, liabilities, revenue, costs and expenses, and any related disclosures.</w:t>
      </w:r>
    </w:p>
    <w:p>
      <w:pPr>
        <w:spacing w:after="0" w:line="175"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We believe that the following accounting policies are the most critical to understanding and evaluating our consolidated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Revenue recognition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We account for revenue recognition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We provide a comprehensive range of IT consulting services, customized IT solution services and other service, which primarily are on a time-and-expense basis, or fixed-price basis. Revenue is recognized when control of promised goods or services is transferred to our customers in an amount of consideration to which an entity expects to be entitled to in exchange for those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 consulting services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we satisfy our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Customized IT solution service</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Revenues from customized IT solution contracts require us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is stand-ready service on when-and-if-available basis.</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We recognize revenue for the delivery of customized IT solution service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 impairment loss of contracts assets was immaterial as of June 30, 2023 and 2022, respectively and the cumulative-effect adjustment due to the adoption of ASU 2016-13 was also immaterial.</w:t>
      </w:r>
    </w:p>
    <w:p>
      <w:pPr>
        <w:spacing w:after="0" w:line="16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Other contracts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Other contracts primarily comprise of the sales of headhunting services, consulting and administrative services. Revenue of headhunting services for other contracts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we perform.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account for uncertainties in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 All of the tax returns of our subsidiaries in China remain subject to examination by the tax authorities for five years from the date of filing through year 2026, and the examination period was extended to 10 years for entities qualified as High and New Technology Enterprises (“HNTEs”) in 2018 and thereafter.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0" w:lineRule="exact"/>
        <w:rPr>
          <w:sz w:val="20"/>
          <w:szCs w:val="20"/>
          <w:color w:val="auto"/>
        </w:rPr>
      </w:pPr>
    </w:p>
    <w:p>
      <w:pPr>
        <w:ind w:left="1280" w:hanging="633"/>
        <w:spacing w:after="0"/>
        <w:tabs>
          <w:tab w:leader="none" w:pos="1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executive officers and directors, their ages and the positions held by them, as of the date of this Annual Report: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84"/>
              </w:rPr>
              <w:t>Position</w:t>
            </w:r>
          </w:p>
        </w:tc>
      </w:tr>
      <w:tr>
        <w:trPr>
          <w:trHeight w:val="213"/>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Chairman of the Board</w:t>
            </w:r>
          </w:p>
        </w:tc>
      </w:tr>
      <w:tr>
        <w:trPr>
          <w:trHeight w:val="213"/>
        </w:trPr>
        <w:tc>
          <w:tcPr>
            <w:tcW w:w="362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1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shd w:val="clear" w:color="auto" w:fill="CCEEFF"/>
          </w:tcPr>
          <w:p>
            <w:pPr>
              <w:spacing w:after="0"/>
              <w:rPr>
                <w:sz w:val="18"/>
                <w:szCs w:val="18"/>
                <w:color w:val="auto"/>
              </w:rPr>
            </w:pPr>
          </w:p>
        </w:tc>
        <w:tc>
          <w:tcPr>
            <w:tcW w:w="6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Chief Financial Officer</w:t>
            </w:r>
          </w:p>
        </w:tc>
      </w:tr>
      <w:tr>
        <w:trPr>
          <w:trHeight w:val="213"/>
        </w:trPr>
        <w:tc>
          <w:tcPr>
            <w:tcW w:w="3620" w:type="dxa"/>
            <w:vAlign w:val="bottom"/>
            <w:gridSpan w:val="2"/>
          </w:tcPr>
          <w:p>
            <w:pPr>
              <w:spacing w:after="0"/>
              <w:rPr>
                <w:sz w:val="20"/>
                <w:szCs w:val="20"/>
                <w:color w:val="auto"/>
              </w:rPr>
            </w:pPr>
            <w:r>
              <w:rPr>
                <w:rFonts w:ascii="Arial" w:cs="Arial" w:eastAsia="Arial" w:hAnsi="Arial"/>
                <w:sz w:val="18"/>
                <w:szCs w:val="18"/>
                <w:color w:val="auto"/>
              </w:rPr>
              <w:t>Li Li</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3"/>
              </w:rPr>
              <w:t>Chief Operating Officer</w:t>
            </w:r>
          </w:p>
        </w:tc>
      </w:tr>
      <w:tr>
        <w:trPr>
          <w:trHeight w:val="254"/>
        </w:trPr>
        <w:tc>
          <w:tcPr>
            <w:tcW w:w="36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2"/>
                <w:szCs w:val="22"/>
                <w:color w:val="auto"/>
              </w:rPr>
            </w:pPr>
          </w:p>
        </w:tc>
        <w:tc>
          <w:tcPr>
            <w:tcW w:w="6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Independent Director</w:t>
            </w:r>
          </w:p>
        </w:tc>
      </w:tr>
      <w:tr>
        <w:trPr>
          <w:trHeight w:val="254"/>
        </w:trPr>
        <w:tc>
          <w:tcPr>
            <w:tcW w:w="3620" w:type="dxa"/>
            <w:vAlign w:val="bottom"/>
            <w:gridSpan w:val="2"/>
          </w:tcPr>
          <w:p>
            <w:pPr>
              <w:spacing w:after="0" w:line="253" w:lineRule="exact"/>
              <w:rPr>
                <w:sz w:val="20"/>
                <w:szCs w:val="20"/>
                <w:color w:val="auto"/>
              </w:rPr>
            </w:pPr>
            <w:r>
              <w:rPr>
                <w:rFonts w:ascii="Arial" w:cs="Arial" w:eastAsia="Arial" w:hAnsi="Arial"/>
                <w:sz w:val="18"/>
                <w:szCs w:val="18"/>
                <w:color w:val="auto"/>
              </w:rPr>
              <w:t>Zhao Hui Feng</w:t>
            </w:r>
            <w:r>
              <w:rPr>
                <w:rFonts w:ascii="Arial" w:cs="Arial" w:eastAsia="Arial" w:hAnsi="Arial"/>
                <w:sz w:val="29"/>
                <w:szCs w:val="29"/>
                <w:color w:val="auto"/>
                <w:vertAlign w:val="superscript"/>
              </w:rPr>
              <w:t>(3)</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2"/>
                <w:szCs w:val="22"/>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0"/>
              </w:rPr>
              <w:t>Independent Director</w:t>
            </w:r>
          </w:p>
        </w:tc>
      </w:tr>
      <w:tr>
        <w:trPr>
          <w:trHeight w:val="254"/>
        </w:trPr>
        <w:tc>
          <w:tcPr>
            <w:tcW w:w="36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Kee Chong Seng</w:t>
            </w:r>
            <w:r>
              <w:rPr>
                <w:rFonts w:ascii="Arial" w:cs="Arial" w:eastAsia="Arial" w:hAnsi="Arial"/>
                <w:sz w:val="29"/>
                <w:szCs w:val="29"/>
                <w:color w:val="auto"/>
                <w:vertAlign w:val="superscript"/>
              </w:rPr>
              <w:t>(2)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shd w:val="clear" w:color="auto" w:fill="CCEEFF"/>
          </w:tcPr>
          <w:p>
            <w:pPr>
              <w:spacing w:after="0"/>
              <w:rPr>
                <w:sz w:val="22"/>
                <w:szCs w:val="22"/>
                <w:color w:val="auto"/>
              </w:rPr>
            </w:pPr>
          </w:p>
        </w:tc>
        <w:tc>
          <w:tcPr>
            <w:tcW w:w="6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Independent Director</w:t>
            </w:r>
          </w:p>
        </w:tc>
      </w:tr>
    </w:tbl>
    <w:p>
      <w:pPr>
        <w:spacing w:after="0" w:line="199"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1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of the board of the Company. Mr. Yang has over 20 years of executive management and operational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73" w:lineRule="exact"/>
        <w:rPr>
          <w:sz w:val="20"/>
          <w:szCs w:val="20"/>
          <w:color w:val="auto"/>
        </w:rPr>
      </w:pPr>
    </w:p>
    <w:p>
      <w:pPr>
        <w:jc w:val="both"/>
        <w:ind w:firstLine="640"/>
        <w:spacing w:after="0" w:line="290"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60" w:lineRule="exact"/>
        <w:rPr>
          <w:sz w:val="20"/>
          <w:szCs w:val="20"/>
          <w:color w:val="auto"/>
        </w:rPr>
      </w:pPr>
    </w:p>
    <w:p>
      <w:pPr>
        <w:jc w:val="both"/>
        <w:ind w:firstLine="640"/>
        <w:spacing w:after="0" w:line="290" w:lineRule="auto"/>
        <w:rPr>
          <w:sz w:val="20"/>
          <w:szCs w:val="20"/>
          <w:color w:val="auto"/>
        </w:rPr>
      </w:pPr>
      <w:r>
        <w:rPr>
          <w:rFonts w:ascii="Arial" w:cs="Arial" w:eastAsia="Arial" w:hAnsi="Arial"/>
          <w:sz w:val="16"/>
          <w:szCs w:val="16"/>
          <w:b w:val="1"/>
          <w:bCs w:val="1"/>
          <w:color w:val="auto"/>
        </w:rPr>
        <w:t xml:space="preserve">Rui Yang </w:t>
      </w:r>
      <w:r>
        <w:rPr>
          <w:rFonts w:ascii="Arial" w:cs="Arial" w:eastAsia="Arial" w:hAnsi="Arial"/>
          <w:sz w:val="16"/>
          <w:szCs w:val="16"/>
          <w:color w:val="auto"/>
        </w:rPr>
        <w:t>is the chief financial officer of the Company effective as of December 17, 2020. From November 1, 2019 to December 16, 2020, Ms.</w:t>
      </w:r>
      <w:r>
        <w:rPr>
          <w:rFonts w:ascii="Arial" w:cs="Arial" w:eastAsia="Arial" w:hAnsi="Arial"/>
          <w:sz w:val="16"/>
          <w:szCs w:val="16"/>
          <w:b w:val="1"/>
          <w:bCs w:val="1"/>
          <w:color w:val="auto"/>
        </w:rPr>
        <w:t xml:space="preserve"> </w:t>
      </w:r>
      <w:r>
        <w:rPr>
          <w:rFonts w:ascii="Arial" w:cs="Arial" w:eastAsia="Arial" w:hAnsi="Arial"/>
          <w:sz w:val="16"/>
          <w:szCs w:val="16"/>
          <w:color w:val="auto"/>
        </w:rPr>
        <w:t>Yang served as the 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60"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Li Li </w:t>
      </w:r>
      <w:r>
        <w:rPr>
          <w:rFonts w:ascii="Arial" w:cs="Arial" w:eastAsia="Arial" w:hAnsi="Arial"/>
          <w:sz w:val="17"/>
          <w:szCs w:val="17"/>
          <w:color w:val="auto"/>
        </w:rPr>
        <w:t>is the chief operating officer of the Company. Mr. Li was appointed as the COO in June 2019. Mr. Li has 20 years of professional and IT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financial and IT industry. From June 2017 to June 2019, Mr. Li served as Director, Head of Business Analysis&amp;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7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b w:val="1"/>
          <w:bCs w:val="1"/>
          <w:color w:val="auto"/>
        </w:rPr>
        <w:t xml:space="preserve">Jin He Shao </w:t>
      </w:r>
      <w:r>
        <w:rPr>
          <w:rFonts w:ascii="Arial" w:cs="Arial" w:eastAsia="Arial" w:hAnsi="Arial"/>
          <w:sz w:val="18"/>
          <w:szCs w:val="18"/>
          <w:color w:val="auto"/>
        </w:rPr>
        <w:t>has served as our independent director since January 2018. From January 2002 to present, Mr. Shao has been a partner at Shanghai</w:t>
      </w:r>
      <w:r>
        <w:rPr>
          <w:rFonts w:ascii="Arial" w:cs="Arial" w:eastAsia="Arial" w:hAnsi="Arial"/>
          <w:sz w:val="18"/>
          <w:szCs w:val="18"/>
          <w:b w:val="1"/>
          <w:bCs w:val="1"/>
          <w:color w:val="auto"/>
        </w:rPr>
        <w:t xml:space="preserve"> </w:t>
      </w:r>
      <w:r>
        <w:rPr>
          <w:rFonts w:ascii="Arial" w:cs="Arial" w:eastAsia="Arial" w:hAnsi="Arial"/>
          <w:sz w:val="18"/>
          <w:szCs w:val="18"/>
          <w:color w:val="auto"/>
        </w:rPr>
        <w:t>Huajin Accounting&amp;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7"/>
          <w:szCs w:val="17"/>
          <w:b w:val="1"/>
          <w:bCs w:val="1"/>
          <w:color w:val="auto"/>
        </w:rPr>
        <w:t xml:space="preserve">Zhao Hui Feng </w:t>
      </w:r>
      <w:r>
        <w:rPr>
          <w:rFonts w:ascii="Arial" w:cs="Arial" w:eastAsia="Arial" w:hAnsi="Arial"/>
          <w:sz w:val="17"/>
          <w:szCs w:val="17"/>
          <w:color w:val="auto"/>
        </w:rPr>
        <w:t>has served as our independent director since July 2020. From March 2017 to August 2022, Mr. Feng was the general manager at</w:t>
      </w:r>
      <w:r>
        <w:rPr>
          <w:rFonts w:ascii="Arial" w:cs="Arial" w:eastAsia="Arial" w:hAnsi="Arial"/>
          <w:sz w:val="17"/>
          <w:szCs w:val="17"/>
          <w:b w:val="1"/>
          <w:bCs w:val="1"/>
          <w:color w:val="auto"/>
        </w:rPr>
        <w:t xml:space="preserve"> </w:t>
      </w:r>
      <w:r>
        <w:rPr>
          <w:rFonts w:ascii="Arial" w:cs="Arial" w:eastAsia="Arial" w:hAnsi="Arial"/>
          <w:sz w:val="17"/>
          <w:szCs w:val="17"/>
          <w:color w:val="auto"/>
        </w:rPr>
        <w:t>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w:t>
      </w:r>
    </w:p>
    <w:p>
      <w:pPr>
        <w:spacing w:after="0" w:line="173"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b w:val="1"/>
          <w:bCs w:val="1"/>
          <w:color w:val="auto"/>
        </w:rPr>
        <w:t xml:space="preserve">Kee Chong Seng </w:t>
      </w:r>
      <w:r>
        <w:rPr>
          <w:rFonts w:ascii="Arial" w:cs="Arial" w:eastAsia="Arial" w:hAnsi="Arial"/>
          <w:sz w:val="18"/>
          <w:szCs w:val="18"/>
          <w:color w:val="auto"/>
        </w:rPr>
        <w:t>has served as our independent director since September 2019. Mr. Kee spent a career in the information technology industry,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as an operation manager at Citibank from 2003 until his full retirement in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8" w:name="page109"/>
    <w:bookmarkEnd w:id="108"/>
    <w:p>
      <w:pPr>
        <w:jc w:val="both"/>
        <w:ind w:firstLine="640"/>
        <w:spacing w:after="0" w:line="270"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Liability and Other Indemnification Matters</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640"/>
              <w:spacing w:after="0"/>
              <w:rPr>
                <w:sz w:val="20"/>
                <w:szCs w:val="20"/>
                <w:color w:val="auto"/>
              </w:rPr>
            </w:pPr>
            <w:r>
              <w:rPr>
                <w:rFonts w:ascii="Arial" w:cs="Arial" w:eastAsia="Arial" w:hAnsi="Arial"/>
                <w:sz w:val="18"/>
                <w:szCs w:val="18"/>
                <w:b w:val="1"/>
                <w:bCs w:val="1"/>
                <w:color w:val="auto"/>
              </w:rPr>
              <w:t>B.</w:t>
            </w:r>
          </w:p>
        </w:tc>
        <w:tc>
          <w:tcPr>
            <w:tcW w:w="322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60"/>
              <w:spacing w:after="0"/>
              <w:rPr>
                <w:sz w:val="20"/>
                <w:szCs w:val="20"/>
                <w:color w:val="auto"/>
              </w:rPr>
            </w:pPr>
            <w:r>
              <w:rPr>
                <w:rFonts w:ascii="Arial" w:cs="Arial" w:eastAsia="Arial" w:hAnsi="Arial"/>
                <w:sz w:val="18"/>
                <w:szCs w:val="18"/>
                <w:b w:val="1"/>
                <w:bCs w:val="1"/>
                <w:color w:val="auto"/>
              </w:rPr>
              <w:t>Executive Compensation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840" w:type="dxa"/>
            <w:vAlign w:val="bottom"/>
            <w:gridSpan w:val="12"/>
          </w:tcPr>
          <w:p>
            <w:pPr>
              <w:jc w:val="right"/>
              <w:spacing w:after="0"/>
              <w:rPr>
                <w:sz w:val="20"/>
                <w:szCs w:val="20"/>
                <w:color w:val="auto"/>
              </w:rPr>
            </w:pPr>
            <w:r>
              <w:rPr>
                <w:rFonts w:ascii="Arial" w:cs="Arial" w:eastAsia="Arial" w:hAnsi="Arial"/>
                <w:sz w:val="18"/>
                <w:szCs w:val="18"/>
                <w:color w:val="auto"/>
                <w:w w:val="95"/>
              </w:rPr>
              <w:t>The following table shows the annual compensation paid by us for the years ended June 30, 2023, 2022, and 2021.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Salary</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2"/>
              </w:rPr>
              <w:t>Total Paid</w:t>
            </w:r>
          </w:p>
        </w:tc>
        <w:tc>
          <w:tcPr>
            <w:tcW w:w="100" w:type="dxa"/>
            <w:vAlign w:val="bottom"/>
            <w:tcBorders>
              <w:bottom w:val="single" w:sz="8" w:color="CCEEFF"/>
            </w:tcBorders>
          </w:tcPr>
          <w:p>
            <w:pPr>
              <w:spacing w:after="0"/>
              <w:rPr>
                <w:sz w:val="20"/>
                <w:szCs w:val="20"/>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Xiao Feng Yang, Chairman of the Board</w:t>
            </w:r>
            <w:r>
              <w:rPr>
                <w:rFonts w:ascii="Arial" w:cs="Arial" w:eastAsia="Arial" w:hAnsi="Arial"/>
                <w:sz w:val="29"/>
                <w:szCs w:val="29"/>
                <w:color w:val="auto"/>
                <w:vertAlign w:val="superscript"/>
              </w:rPr>
              <w:t>(1)</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104,651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104,651</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106,104</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99,445</w:t>
            </w:r>
          </w:p>
        </w:tc>
      </w:tr>
      <w:tr>
        <w:trPr>
          <w:trHeight w:val="213"/>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Raymond Ming Hui Lin, CEO and Director</w:t>
            </w:r>
            <w:r>
              <w:rPr>
                <w:rFonts w:ascii="Arial" w:cs="Arial" w:eastAsia="Arial" w:hAnsi="Arial"/>
                <w:sz w:val="29"/>
                <w:szCs w:val="29"/>
                <w:color w:val="auto"/>
                <w:vertAlign w:val="superscript"/>
              </w:rPr>
              <w:t>(2)</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258,614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258,614</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257,531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257,531</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192,747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192,747</w:t>
            </w:r>
          </w:p>
        </w:tc>
      </w:tr>
      <w:tr>
        <w:trPr>
          <w:trHeight w:val="213"/>
        </w:trPr>
        <w:tc>
          <w:tcPr>
            <w:tcW w:w="1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12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86"/>
              </w:rPr>
              <w:t>Rui Yang, CFO</w:t>
            </w:r>
            <w:r>
              <w:rPr>
                <w:rFonts w:ascii="Arial" w:cs="Arial" w:eastAsia="Arial" w:hAnsi="Arial"/>
                <w:sz w:val="29"/>
                <w:szCs w:val="29"/>
                <w:color w:val="auto"/>
                <w:w w:val="86"/>
                <w:vertAlign w:val="superscript"/>
              </w:rPr>
              <w:t>(3)</w:t>
            </w:r>
          </w:p>
        </w:tc>
        <w:tc>
          <w:tcPr>
            <w:tcW w:w="3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152,031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152,031</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133,841</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75,742</w:t>
            </w:r>
          </w:p>
        </w:tc>
      </w:tr>
      <w:tr>
        <w:trPr>
          <w:trHeight w:val="213"/>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Li Li, Chief Operating Officer</w:t>
            </w:r>
            <w:r>
              <w:rPr>
                <w:rFonts w:ascii="Arial" w:cs="Arial" w:eastAsia="Arial" w:hAnsi="Arial"/>
                <w:sz w:val="29"/>
                <w:szCs w:val="29"/>
                <w:color w:val="auto"/>
                <w:vertAlign w:val="superscript"/>
              </w:rPr>
              <w:t>(4)</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205,359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205,359</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216,175</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183,202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183,202</w:t>
            </w:r>
          </w:p>
        </w:tc>
      </w:tr>
      <w:tr>
        <w:trPr>
          <w:trHeight w:val="213"/>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Jin He Shao, Independent Director</w:t>
            </w:r>
            <w:r>
              <w:rPr>
                <w:rFonts w:ascii="Arial" w:cs="Arial" w:eastAsia="Arial" w:hAnsi="Arial"/>
                <w:sz w:val="29"/>
                <w:szCs w:val="29"/>
                <w:color w:val="auto"/>
                <w:vertAlign w:val="superscript"/>
              </w:rPr>
              <w:t>(5)</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Kee Chong Seng, Independent Director</w:t>
            </w:r>
            <w:r>
              <w:rPr>
                <w:rFonts w:ascii="Arial" w:cs="Arial" w:eastAsia="Arial" w:hAnsi="Arial"/>
                <w:sz w:val="29"/>
                <w:szCs w:val="29"/>
                <w:color w:val="auto"/>
                <w:vertAlign w:val="superscript"/>
              </w:rPr>
              <w:t>(6)</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45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Zhao Hui Feng, Independent Director</w:t>
            </w:r>
            <w:r>
              <w:rPr>
                <w:rFonts w:ascii="Arial" w:cs="Arial" w:eastAsia="Arial" w:hAnsi="Arial"/>
                <w:sz w:val="29"/>
                <w:szCs w:val="29"/>
                <w:color w:val="auto"/>
                <w:vertAlign w:val="superscript"/>
              </w:rPr>
              <w:t>(7)</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3"/>
        </w:trPr>
        <w:tc>
          <w:tcPr>
            <w:tcW w:w="12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bl>
    <w:p>
      <w:pPr>
        <w:spacing w:after="0" w:line="199"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Chairman effective as of December 9, 2017 and President effective from December 9, 2017 to August 19, 2020.</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17, 2020 and Acting Chief Financial Officer effective from November 1, 2019 to December 16, 2020.</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Operating Officer effective as of June 2019.</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Independent Director effective as of January 2018.</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Independent Director effective as of September 2019.</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Independent Director effective as of July 2020.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370" w:gutter="0" w:footer="0" w:header="0"/>
        </w:sectPr>
      </w:pPr>
    </w:p>
    <w:bookmarkStart w:id="109" w:name="page110"/>
    <w:bookmarkEnd w:id="109"/>
    <w:p>
      <w:pPr>
        <w:jc w:val="both"/>
        <w:ind w:firstLine="640"/>
        <w:spacing w:after="0" w:line="253"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Incentive Awards at Fiscal Year-End</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We have adopted a 2017 Equity Incentive Plan (the “2017 Plan”). The 2017 Plan is a stock-based compensation plan that provides for discretionary grants of, among others, stock options, stock awards and stock unit awards to key employees and directors of the Company. The purpose of the 2017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2017 Plan on July 12, 2018. No grants were made in fiscal 2018. The following is a summary of the 2017 Plan and is qualified by the full text of the 2017 Plan.</w:t>
      </w:r>
    </w:p>
    <w:p>
      <w:pPr>
        <w:spacing w:after="0" w:line="16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2017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2017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2017 Plan is 2,210,000.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2017 Plan may be authorized but unissued shares or treasury shares. If there is a lapse, forfeiture, expiration, termination or cancellation of any award made under the 2017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2017 Plan. The number of common shares issuable under the 2017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2017 Plan may be transferred, except by will, the laws of descent and distribution.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2017 Plan.</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2017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2017 Plan.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8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2017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0" w:name="page111"/>
    <w:bookmarkEnd w:id="110"/>
    <w:p>
      <w:pPr>
        <w:jc w:val="both"/>
        <w:ind w:firstLine="640"/>
        <w:spacing w:after="0" w:line="268"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2017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2017 Plan on or after the tenth anniversary of the effective date of the 2017 Plan.</w:t>
      </w:r>
    </w:p>
    <w:p>
      <w:pPr>
        <w:spacing w:after="0" w:line="182"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Our 2017 Plan was automatically terminated upon the 2020 Plan’s taking effect.</w:t>
      </w:r>
    </w:p>
    <w:p>
      <w:pPr>
        <w:spacing w:after="0" w:line="16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We have adopted a 2019 Equity Incentive Plan (the “2019 Plan”). The 2019 Plan is a stock-based compensation plan that provides for discretionary grants of, among others, stock options, stock awards and stock unit awards to key employees and directors of the Company. The purpose of the 2019 Plan is to recognize contributions made to our company and its subsidiaries by such individuals and to provide them with additional incentive to achieve the objectives of our Company. The Company has granted no shares under the 2019 Plan yet. The following is a summary of the 2019 Plan and is qualified by the full text of the 2019 Plan.</w:t>
      </w:r>
    </w:p>
    <w:p>
      <w:pPr>
        <w:spacing w:after="0" w:line="19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2019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2019 Plan is 2,200,000.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2019 Plan may be authorized but unissued shares or treasury shares. If there is a lapse, forfeiture, expiration, termination or cancellation of any award made under the 2019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2019 Plan. No award granted under the 2019 Plan may be transferred, except by will, the laws of descent and distribution.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Selected employees, directors, and consultants of the Company are eligible to receive awards under the 2019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1" w:name="page112"/>
    <w:bookmarkEnd w:id="111"/>
    <w:p>
      <w:pPr>
        <w:jc w:val="both"/>
        <w:ind w:firstLine="640"/>
        <w:spacing w:after="0" w:line="258"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2019 Plan provides for discretionary awards of, among others, stock options, stock awards, stock unit awards, or SAR</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Each award made under the 2019 Plan will be evidenced by a written award agreement specifying the terms and conditions of the award as determined by the Committee in its sole discretion, consistent with the terms of the 2019 Plan.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 options to participants and to set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200,000, except that the aggregate maximum number of shares as to which a Key Employee may receive Stock Options and Stock Appreciation Rights in the calendar year in which such Key Employee begins employment with the Company or its Subsidiaries is 350,000.</w:t>
      </w:r>
    </w:p>
    <w:p>
      <w:pPr>
        <w:spacing w:after="0" w:line="180"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2019 Plan will be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w:t>
      </w:r>
    </w:p>
    <w:p>
      <w:pPr>
        <w:spacing w:after="0" w:line="167"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Stock Unit Awards</w:t>
      </w:r>
      <w:r>
        <w:rPr>
          <w:rFonts w:ascii="Arial" w:cs="Arial" w:eastAsia="Arial" w:hAnsi="Arial"/>
          <w:sz w:val="17"/>
          <w:szCs w:val="17"/>
          <w:color w:val="auto"/>
        </w:rPr>
        <w:t>. The Committee has the discretion to grant stock unit awards to participants. Each stock unit award shall entitle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on the date or the occurrence of an event (including the attainment of performance goals), a share or cash equal to the fair market value of a share on the date of such event as provided in the stock unit award agreement. The number of share unit awards awarded to each participant, and the restrictions, terms and conditions of the award, will be at the discretion of the Committee.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w:t>
      </w:r>
    </w:p>
    <w:p>
      <w:pPr>
        <w:spacing w:after="0" w:line="18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Committee may grant SARs to participants. Upon exercise, an SAR entitles the participant to receive from the Company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w:t>
      </w:r>
    </w:p>
    <w:p>
      <w:pPr>
        <w:spacing w:after="0" w:line="16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Amendment of Award Agreements; Amendment and Termination of the Plan; Term of the Plan</w:t>
      </w:r>
      <w:r>
        <w:rPr>
          <w:rFonts w:ascii="Arial" w:cs="Arial" w:eastAsia="Arial" w:hAnsi="Arial"/>
          <w:sz w:val="16"/>
          <w:szCs w:val="16"/>
          <w:color w:val="auto"/>
        </w:rPr>
        <w:t>. The Committee may amend any award agreement at</w:t>
      </w:r>
      <w:r>
        <w:rPr>
          <w:rFonts w:ascii="Arial" w:cs="Arial" w:eastAsia="Arial" w:hAnsi="Arial"/>
          <w:sz w:val="16"/>
          <w:szCs w:val="16"/>
          <w:i w:val="1"/>
          <w:iCs w:val="1"/>
          <w:color w:val="auto"/>
        </w:rPr>
        <w:t xml:space="preserve"> </w:t>
      </w:r>
      <w:r>
        <w:rPr>
          <w:rFonts w:ascii="Arial" w:cs="Arial" w:eastAsia="Arial" w:hAnsi="Arial"/>
          <w:sz w:val="16"/>
          <w:szCs w:val="16"/>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2019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2019 Plan on or after the tenth anniversary of the effective date of the 2019 Plan. Our 2019 Plan was automatically terminated upon the 2020 Plan’s taking effect.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2" w:name="page113"/>
    <w:bookmarkEnd w:id="112"/>
    <w:p>
      <w:pPr>
        <w:jc w:val="both"/>
        <w:ind w:firstLine="640"/>
        <w:spacing w:after="0" w:line="269" w:lineRule="auto"/>
        <w:rPr>
          <w:sz w:val="20"/>
          <w:szCs w:val="20"/>
          <w:color w:val="auto"/>
        </w:rPr>
      </w:pPr>
      <w:r>
        <w:rPr>
          <w:rFonts w:ascii="Arial" w:cs="Arial" w:eastAsia="Arial" w:hAnsi="Arial"/>
          <w:sz w:val="17"/>
          <w:szCs w:val="17"/>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6,109,320 restricted shares have been granted under the 2020 Plan as of today.</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2020 Plan is a stock-based compensation plan that provides for discretionary grants of, among others, stock options, stock awards and stock unit awards to employees, directors and consultants of the Company. The purpose of the 2020 Plan is to recognize contributions made to our company and its subsidiaries by such individuals and to provide them with additional incentive to achieve the objectives of our Company. The following is a summary of the 2020 Plan and is qualified by the full text of the 2020 Plan.</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2020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2020 Plan as the “Committee”).</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i w:val="1"/>
          <w:iCs w:val="1"/>
          <w:color w:val="auto"/>
        </w:rPr>
        <w:t xml:space="preserve">Number of Shares of Common Shares. </w:t>
      </w:r>
      <w:r>
        <w:rPr>
          <w:rFonts w:ascii="Arial" w:cs="Arial" w:eastAsia="Arial" w:hAnsi="Arial"/>
          <w:sz w:val="16"/>
          <w:szCs w:val="16"/>
          <w:color w:val="auto"/>
        </w:rPr>
        <w:t>The number of common shares that may be issued under the 2020 Plan is 11,011,663. Shares issuable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2020 Plan may be authorized but unissued shares or treasury shares. If there is a lapse, forfeiture, expiration, termination or cancellation of any award made under the 2020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2020 Plan. The number of common shares issuable under the 2020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2020 Plan. No award granted under the 2020 Plan may be transferred, except by will, the laws of descent and distribution.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employees, directors, and consultants of the Company are eligible to receive awards under the 2020 Plan.</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i w:val="1"/>
          <w:iCs w:val="1"/>
          <w:color w:val="auto"/>
        </w:rPr>
        <w:t xml:space="preserve">Awards to Participants. </w:t>
      </w:r>
      <w:r>
        <w:rPr>
          <w:rFonts w:ascii="Arial" w:cs="Arial" w:eastAsia="Arial" w:hAnsi="Arial"/>
          <w:sz w:val="17"/>
          <w:szCs w:val="17"/>
          <w:color w:val="auto"/>
        </w:rPr>
        <w:t>The Plan provides for discretionary awards of, among others, stock options, stock awards, stock unit awards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to participants. Each award made under the 2020 Plan will be evidenced by a written award agreement specifying the terms and conditions of the award as determined by the Committee in its sole discretion, consistent with the terms of the 2020 Plan.</w:t>
      </w:r>
    </w:p>
    <w:p>
      <w:pPr>
        <w:spacing w:after="0" w:line="167"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an Employee may receive Stock Options and Stock Appreciation Rights in any calendar year is 800,000, except that the aggregate maximum number of shares as to which an Employee may receive Stock Options and Stock Appreciation Rights in the calendar year in which such Employee begins employment with the Company or its Subsidiaries is 1,000,000.</w:t>
      </w:r>
    </w:p>
    <w:p>
      <w:pPr>
        <w:spacing w:after="0" w:line="190"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Committee has the discretion to grant stock awards to participants. Shares granted under the 2020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3" w:name="page114"/>
    <w:bookmarkEnd w:id="113"/>
    <w:p>
      <w:pPr>
        <w:jc w:val="both"/>
        <w:ind w:firstLine="640"/>
        <w:spacing w:after="0" w:line="306"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The Committee may, in its discretion, grant stock unit awards to any participant. Each stock unit subject to the Award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5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i w:val="1"/>
          <w:iCs w:val="1"/>
          <w:color w:val="auto"/>
        </w:rPr>
        <w:t xml:space="preserve">Stock Appreciation Rights or SAR. </w:t>
      </w:r>
      <w:r>
        <w:rPr>
          <w:rFonts w:ascii="Arial" w:cs="Arial" w:eastAsia="Arial" w:hAnsi="Arial"/>
          <w:sz w:val="16"/>
          <w:szCs w:val="16"/>
          <w:color w:val="auto"/>
        </w:rPr>
        <w:t>The Committee may grant SARs to participants. Upon exercise, an SAR entitles the participant to receive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65"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i w:val="1"/>
          <w:iCs w:val="1"/>
          <w:color w:val="auto"/>
        </w:rPr>
        <w:t xml:space="preserve">Payment for Stock Options and Withholding Taxes. </w:t>
      </w:r>
      <w:r>
        <w:rPr>
          <w:rFonts w:ascii="Arial" w:cs="Arial" w:eastAsia="Arial" w:hAnsi="Arial"/>
          <w:sz w:val="17"/>
          <w:szCs w:val="17"/>
          <w:color w:val="auto"/>
        </w:rPr>
        <w:t>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i w:val="1"/>
          <w:iCs w:val="1"/>
          <w:color w:val="auto"/>
        </w:rPr>
        <w:t xml:space="preserve">Amendment of Award Agreements; Amendment and Termination of the 2020 Plan; Term of the 2020 Plan. </w:t>
      </w:r>
      <w:r>
        <w:rPr>
          <w:rFonts w:ascii="Arial" w:cs="Arial" w:eastAsia="Arial" w:hAnsi="Arial"/>
          <w:sz w:val="17"/>
          <w:szCs w:val="17"/>
          <w:color w:val="auto"/>
        </w:rPr>
        <w:t>The Committee may amend any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2020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2020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2020 Plan on or after the tenth anniversary of the effective date of the 2020 Plan.</w:t>
      </w:r>
    </w:p>
    <w:p>
      <w:pPr>
        <w:spacing w:after="0" w:line="18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April 24, 2023, our annual meeting of shareholders approved the 2023 Equity Incentive Plan (the “2023 Plan”). All of our employees, officers, and directors, and consultants are eligible to be granted options, restricted stock awards, stock unit awards, or stock appreciate rights (each, an “Award”) under the 2023 Plan. The 2023 Plan is currently administered by the Board, which has all the power to administer the 2023 Plan according to its terms, including the power to grant Awards, determine who may be granted Awards and the types and amounts of Awards to be granted, prescribe Award agreements, and establish programs for granting Awards. Awards may be made under the 2023 Plan for up to 20,000,000 of our common shares. 1,934,000 restricted shares have been granted under the 2023 Plan as of today.</w:t>
      </w:r>
    </w:p>
    <w:p>
      <w:pPr>
        <w:spacing w:after="0" w:line="18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2023 Plan is a stock-based compensation plan that provides for discretionary grants of, among others, stock options, stock awards and stock unit awards to employees, directors and consultants of the Company and its subsidiaries. The purpose of the 2023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 The following is a summary of the 2023 Plan and is qualified by the full text of the 2023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4" w:name="page115"/>
    <w:bookmarkEnd w:id="114"/>
    <w:p>
      <w:pPr>
        <w:jc w:val="both"/>
        <w:ind w:firstLine="640"/>
        <w:spacing w:after="0" w:line="27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2023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2023 Plan as the “Committee”).</w:t>
      </w:r>
    </w:p>
    <w:p>
      <w:pPr>
        <w:spacing w:after="0" w:line="17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i w:val="1"/>
          <w:iCs w:val="1"/>
          <w:color w:val="auto"/>
        </w:rPr>
        <w:t xml:space="preserve">Number of Shares of Common Shares. </w:t>
      </w:r>
      <w:r>
        <w:rPr>
          <w:rFonts w:ascii="Arial" w:cs="Arial" w:eastAsia="Arial" w:hAnsi="Arial"/>
          <w:sz w:val="17"/>
          <w:szCs w:val="17"/>
          <w:color w:val="auto"/>
        </w:rPr>
        <w:t>The number of common shares that may be issued under the 2023 Plan is 20,000,000. Shares issuable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2023 Plan may be authorized but unissued shares or treasury shares. 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2023 Plan. Any shares purchased by the Company with proceeds from a stock option exercise shall not again be available for issuance pursuant to subsequent awards, shall count against the aggregate number of shares that may be issued under the 2023 Plan and shall not increase the number of shares available under the 2023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2023 Plan.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employees, directors, and consultants of the Company are eligible to receive awards under the 2023 Plan.</w:t>
      </w:r>
    </w:p>
    <w:p>
      <w:pPr>
        <w:spacing w:after="0" w:line="22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i w:val="1"/>
          <w:iCs w:val="1"/>
          <w:color w:val="auto"/>
        </w:rPr>
        <w:t xml:space="preserve">Awards to Participants. </w:t>
      </w:r>
      <w:r>
        <w:rPr>
          <w:rFonts w:ascii="Arial" w:cs="Arial" w:eastAsia="Arial" w:hAnsi="Arial"/>
          <w:sz w:val="17"/>
          <w:szCs w:val="17"/>
          <w:color w:val="auto"/>
        </w:rPr>
        <w:t>The Plan provides for discretionary awards of, among others, stock options, stock awards, stock unit awards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to participants. Each award made under the 2023 Plan will be evidenced by a written award agreement specifying the terms and conditions of the award as determined by the Committee in its sole discretion, consistent with the terms of the 2023 Plan.</w:t>
      </w:r>
    </w:p>
    <w:p>
      <w:pPr>
        <w:spacing w:after="0" w:line="167"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Subject to the terms of the 2023 Plan, the Committee may from time to time grant stock options to participants.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under the 2023 Plan to employees shall be non-qualified stock options (NSOs) unless the award agreement expressly provides that the stock option is an incentive stock options (ISO). Stock options granted under the 2023 Plan to consultants and directors who are not employees shall be NSOs 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2023 Plan.</w:t>
      </w:r>
    </w:p>
    <w:p>
      <w:pPr>
        <w:spacing w:after="0" w:line="18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The Committee may, in its discretion, (a) grant shares under the 2023 Plan to any participant without consideration from such</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or (b) sell shares under the 2023 Plan to any participant for such amount of cash, shares or other consideration as the Committee deems appropriate. Each shares granted or sold hereunder shall be subject to such restrictions, conditions and other terms as the Committee may determine at the time of grant or sale, the general provisions of the Plan, the restrictions, terms and conditions of the related Stock Award Agreement</w:t>
      </w:r>
    </w:p>
    <w:p>
      <w:pPr>
        <w:spacing w:after="0" w:line="175"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The Committee may, in its discretion, grant stock unit awards to any participant. Each stock unit subject to the award shall</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5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i w:val="1"/>
          <w:iCs w:val="1"/>
          <w:color w:val="auto"/>
        </w:rPr>
        <w:t xml:space="preserve">Stock Appreciation Rights or SAR. </w:t>
      </w:r>
      <w:r>
        <w:rPr>
          <w:rFonts w:ascii="Arial" w:cs="Arial" w:eastAsia="Arial" w:hAnsi="Arial"/>
          <w:sz w:val="16"/>
          <w:szCs w:val="16"/>
          <w:color w:val="auto"/>
        </w:rPr>
        <w:t>The Committee may grant SARs to participants. Upon exercise, a SAR entitles the participant to receive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5" w:name="page116"/>
    <w:bookmarkEnd w:id="115"/>
    <w:p>
      <w:pPr>
        <w:jc w:val="both"/>
        <w:ind w:firstLine="640"/>
        <w:spacing w:after="0" w:line="281" w:lineRule="auto"/>
        <w:rPr>
          <w:sz w:val="20"/>
          <w:szCs w:val="20"/>
          <w:color w:val="auto"/>
        </w:rPr>
      </w:pPr>
      <w:r>
        <w:rPr>
          <w:rFonts w:ascii="Arial" w:cs="Arial" w:eastAsia="Arial" w:hAnsi="Arial"/>
          <w:sz w:val="16"/>
          <w:szCs w:val="16"/>
          <w:i w:val="1"/>
          <w:iCs w:val="1"/>
          <w:color w:val="auto"/>
        </w:rPr>
        <w:t xml:space="preserve">Payment for Stock Options and Withholding Taxes. </w:t>
      </w:r>
      <w:r>
        <w:rPr>
          <w:rFonts w:ascii="Arial" w:cs="Arial" w:eastAsia="Arial" w:hAnsi="Arial"/>
          <w:sz w:val="16"/>
          <w:szCs w:val="16"/>
          <w:color w:val="auto"/>
        </w:rPr>
        <w:t>In connection with any award, and as a condition to the issuance or delivery of any Shares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w:t>
      </w:r>
    </w:p>
    <w:p>
      <w:pPr>
        <w:spacing w:after="0" w:line="1" w:lineRule="exact"/>
        <w:rPr>
          <w:sz w:val="20"/>
          <w:szCs w:val="20"/>
          <w:color w:val="auto"/>
        </w:rPr>
      </w:pPr>
    </w:p>
    <w:p>
      <w:pPr>
        <w:jc w:val="both"/>
        <w:ind w:firstLine="7"/>
        <w:spacing w:after="0" w:line="249" w:lineRule="auto"/>
        <w:tabs>
          <w:tab w:leader="none" w:pos="3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 The Committee shall have the sole discretion to establish the terms and conditions applicable to any alternative made available for payment of the required withholding taxes.</w:t>
      </w:r>
    </w:p>
    <w:p>
      <w:pPr>
        <w:spacing w:after="0" w:line="194"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i w:val="1"/>
          <w:iCs w:val="1"/>
          <w:color w:val="auto"/>
        </w:rPr>
        <w:t xml:space="preserve">Amendment of Award Agreements; Amendment and Termination of the 2023 Plan; Term of the 2023 Plan. </w:t>
      </w:r>
      <w:r>
        <w:rPr>
          <w:rFonts w:ascii="Arial" w:cs="Arial" w:eastAsia="Arial" w:hAnsi="Arial"/>
          <w:sz w:val="16"/>
          <w:szCs w:val="16"/>
          <w:color w:val="auto"/>
        </w:rPr>
        <w:t>The Committee shall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 The Board may terminate, suspend, or amend the 2023 Plan, in whole or in part, from time to time, without the approval of the shareholders of the Company, unless such approval is required by applicable law, regulation or rule of any stock exchange on which the shares are listed. No amendment or termination of the 2023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2023 Plan or in any award granted hereunder in the manner and to the extent it shall deem desirable, in its sole discretion, to effectuate the 2023 Plan. The Board shall have the authority to amend the 2023 Plan to the extent necessary or appropriate to comply with applicable law, regulation or accounting rules in order to permit participants who are located outside of the United States to participate in the 2023 Plan. Notwithstanding anything to the contrary contained herein, no awards shall be granted on or after the tenth anniversary of the adoption of this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0"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6" w:name="page117"/>
    <w:bookmarkEnd w:id="116"/>
    <w:p>
      <w:pPr>
        <w:ind w:left="64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Rui Yang Employment Agreement</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 Li Employment Agreement</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On June 2019, we entered into an employment agreement with Li Li pursuant to which he agreed to serve as our Chief Operating Officer.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68" w:lineRule="exact"/>
        <w:rPr>
          <w:sz w:val="20"/>
          <w:szCs w:val="20"/>
          <w:color w:val="auto"/>
        </w:rPr>
      </w:pPr>
    </w:p>
    <w:p>
      <w:pPr>
        <w:ind w:left="1280" w:hanging="633"/>
        <w:spacing w:after="0"/>
        <w:tabs>
          <w:tab w:leader="none" w:pos="1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7" w:name="page118"/>
    <w:bookmarkEnd w:id="117"/>
    <w:p>
      <w:pPr>
        <w:jc w:val="both"/>
        <w:ind w:firstLine="640"/>
        <w:spacing w:after="0" w:line="296" w:lineRule="auto"/>
        <w:rPr>
          <w:sz w:val="20"/>
          <w:szCs w:val="20"/>
          <w:color w:val="auto"/>
        </w:rPr>
      </w:pPr>
      <w:r>
        <w:rPr>
          <w:rFonts w:ascii="Arial" w:cs="Arial" w:eastAsia="Arial" w:hAnsi="Arial"/>
          <w:sz w:val="16"/>
          <w:szCs w:val="16"/>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6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 However, notwithstanding the foregoing, we intend to hold such annual meetings to, among other things, elect our directors. We plan to hold our next annual shareholders meeting on the first quarter of 2023.</w:t>
      </w:r>
    </w:p>
    <w:p>
      <w:pPr>
        <w:spacing w:after="0" w:line="186"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5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Director Independence</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Zhao Hui Feng, Jin He Shao, and Kee Chong Seng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Board Committees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Audit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0" w:lineRule="exact"/>
        <w:rPr>
          <w:sz w:val="20"/>
          <w:szCs w:val="20"/>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Audit Committee consists of Zhao Hui Feng, Jin He Shao, and Kee Chong Seng,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0" w:lineRule="exact"/>
        <w:rPr>
          <w:sz w:val="20"/>
          <w:szCs w:val="20"/>
          <w:color w:val="auto"/>
        </w:rPr>
      </w:pPr>
    </w:p>
    <w:p>
      <w:pPr>
        <w:ind w:left="960" w:hanging="313"/>
        <w:spacing w:after="0" w:line="270"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Compensation Committee consists of Zhao Hui Feng, Jin He Shao, and Kee Chong Seng,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Nominating Committee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0" w:lineRule="exact"/>
        <w:rPr>
          <w:sz w:val="20"/>
          <w:szCs w:val="20"/>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Nominating Committee consists of consists of Zhao Hui Feng, Jin He Shao, and Kee Chong Seng, with Mr. Feng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Duties of Directors</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8" w:lineRule="exact"/>
        <w:rPr>
          <w:sz w:val="20"/>
          <w:szCs w:val="20"/>
          <w:color w:val="auto"/>
        </w:rPr>
      </w:pPr>
    </w:p>
    <w:p>
      <w:pPr>
        <w:ind w:left="960" w:hanging="313"/>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1" w:lineRule="exact"/>
        <w:rPr>
          <w:rFonts w:ascii="Arial" w:cs="Arial" w:eastAsia="Arial" w:hAnsi="Arial"/>
          <w:sz w:val="17"/>
          <w:szCs w:val="17"/>
          <w:color w:val="auto"/>
        </w:rPr>
      </w:pPr>
    </w:p>
    <w:p>
      <w:pPr>
        <w:ind w:left="960" w:hanging="313"/>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16" w:lineRule="exact"/>
        <w:rPr>
          <w:sz w:val="20"/>
          <w:szCs w:val="20"/>
          <w:color w:val="auto"/>
        </w:rPr>
      </w:pPr>
    </w:p>
    <w:p>
      <w:pPr>
        <w:ind w:left="1280" w:hanging="633"/>
        <w:spacing w:after="0"/>
        <w:tabs>
          <w:tab w:leader="none" w:pos="1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1280" w:hanging="633"/>
        <w:spacing w:after="0"/>
        <w:tabs>
          <w:tab w:leader="none" w:pos="1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7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851"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0" w:lineRule="exact"/>
        <w:rPr>
          <w:sz w:val="20"/>
          <w:szCs w:val="20"/>
          <w:color w:val="auto"/>
        </w:rPr>
      </w:pPr>
    </w:p>
    <w:p>
      <w:pPr>
        <w:ind w:left="1280" w:hanging="633"/>
        <w:spacing w:after="0"/>
        <w:tabs>
          <w:tab w:leader="none" w:pos="1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25,586,122 common shares outstanding as of September 24, 2023. Unless otherwise indicated, the address of each beneficial owner listed in the table below is c/o CLPS Incorporation, c/o Unit 1102, 11th Floor, Millennium City III, 370 Kwun Tong Road, Kwun Tong, Kowloon, Hong Kong SAR.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Ownership%</w:t>
            </w:r>
          </w:p>
        </w:tc>
      </w:tr>
      <w:tr>
        <w:trPr>
          <w:trHeight w:val="239"/>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tcPr>
          <w:p>
            <w:pPr>
              <w:jc w:val="right"/>
              <w:ind w:right="37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r>
      <w:tr>
        <w:trPr>
          <w:trHeight w:val="213"/>
        </w:trPr>
        <w:tc>
          <w:tcPr>
            <w:tcW w:w="8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(2)(7)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5,667,950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Raymond Ming Hui Lin (3)(6)(7)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7,605,873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29.73%</w:t>
            </w: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Rui Yang (4)(6)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690,710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Li Li(6)(8)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819,863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(5)(7)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Kee Chong Seng(7)(10)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30,500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Zhao Hui Feng(7)(9)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(7 persons)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14,845,896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58.02%</w:t>
            </w:r>
          </w:p>
        </w:tc>
      </w:tr>
      <w:tr>
        <w:trPr>
          <w:trHeight w:val="213"/>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Qinrui Ltd. (2)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4,976,000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19.45%</w:t>
            </w: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color w:val="auto"/>
              </w:rPr>
              <w:t>Qinhui Ltd. (3)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4,999,996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19.54%</w:t>
            </w:r>
          </w:p>
        </w:tc>
      </w:tr>
      <w:tr>
        <w:trPr>
          <w:trHeight w:val="213"/>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9,975,996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38.99%</w:t>
            </w:r>
          </w:p>
        </w:tc>
      </w:tr>
      <w:tr>
        <w:trPr>
          <w:trHeight w:val="409"/>
        </w:trPr>
        <w:tc>
          <w:tcPr>
            <w:tcW w:w="86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ind w:left="320" w:hanging="313"/>
        <w:spacing w:after="0" w:line="270"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1" w:name="page122"/>
    <w:bookmarkEnd w:id="121"/>
    <w:p>
      <w:pPr>
        <w:jc w:val="both"/>
        <w:ind w:left="320" w:hanging="313"/>
        <w:spacing w:after="0" w:line="282"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From September 24, 2021 to September 24, 2022, a total of 220,823 shares were disposed of in various occasions, resulting in the net increased holding of 49,177 shares. Represents vested portion of the restricted stock granted dated as of November 14, 2022. The total grant of 50,000 common shares vests in whole immediately on the grant date of award. Represents vested portion of the restricted stock granted dated as of August 16, 2023. The total grant of 75,000 common shares vests in whole immediately on the grant date of award.</w:t>
      </w:r>
    </w:p>
    <w:p>
      <w:pPr>
        <w:spacing w:after="0" w:line="175" w:lineRule="exact"/>
        <w:rPr>
          <w:rFonts w:ascii="Arial" w:cs="Arial" w:eastAsia="Arial" w:hAnsi="Arial"/>
          <w:sz w:val="16"/>
          <w:szCs w:val="16"/>
          <w:color w:val="auto"/>
        </w:rPr>
      </w:pPr>
    </w:p>
    <w:p>
      <w:pPr>
        <w:jc w:val="both"/>
        <w:ind w:left="320" w:hanging="313"/>
        <w:spacing w:after="0" w:line="264"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From September 24, 2021 to September 24, 2022, a total of 100,211 shares were disposed of in various occasions, resulting in the net increased holding of 716,789 shares. Represents vested portion of the restricted stock granted dated as of November 14, 2022. The total grant of 325,000 common shares vests in whole immediately on the grant date of award. Represents vested portion of the restricted stock granted dated as of August 16, 2023. The total grant of 530,000 common shares vests in whole immediately on the grant date of award.</w:t>
      </w:r>
    </w:p>
    <w:p>
      <w:pPr>
        <w:spacing w:after="0" w:line="190" w:lineRule="exact"/>
        <w:rPr>
          <w:rFonts w:ascii="Arial" w:cs="Arial" w:eastAsia="Arial" w:hAnsi="Arial"/>
          <w:sz w:val="17"/>
          <w:szCs w:val="17"/>
          <w:color w:val="auto"/>
        </w:rPr>
      </w:pPr>
    </w:p>
    <w:p>
      <w:pPr>
        <w:jc w:val="both"/>
        <w:ind w:left="320" w:hanging="313"/>
        <w:spacing w:after="0" w:line="264"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20,000 common shares vests in whole immediately on the grant date of award. The total grant of 12,000 common shares vested in whole on November 1, 2021. Represents vested portion of the restricted stock granted dated as of August 23, 2021. The total grant of 100,000 common shares and vest on May 23, 2022. Represents vested portion of the restricted stock granted dated as of January 31, 2022. The total grant of 100,000 common shares and vest immediately on the grant date of award. From September 24, 2021 to September 24, 2022, a total of 31,120 shares were disposed of in various occasions, resulting in the net increased holding of 180,880 shares. Represents vested portion of the restricted stock granted dated as of August 23, 2021. The total grant of 48,000 common shares and 12,000 vest on November 1, 2022. Represents vested portion of the restricted stock granted dated as of November 14, 2022. The total grant of 150,000 common shares vests in whole immediately on the grant date of award. Represents vested portion of the restricted stock granted dated as of August 16, 2023. The total grant of 250,000 common shares vests in whole immediately on the grant date of award. From September 24, 2022 to September 24, 2023, a total of 28,738 shares were disposed of in various occasions, resulting in the net increased holding of 383,262 shares.</w:t>
      </w:r>
    </w:p>
    <w:p>
      <w:pPr>
        <w:spacing w:after="0" w:line="190" w:lineRule="exact"/>
        <w:rPr>
          <w:rFonts w:ascii="Arial" w:cs="Arial" w:eastAsia="Arial" w:hAnsi="Arial"/>
          <w:sz w:val="17"/>
          <w:szCs w:val="17"/>
          <w:color w:val="auto"/>
        </w:rPr>
      </w:pPr>
    </w:p>
    <w:p>
      <w:pPr>
        <w:jc w:val="both"/>
        <w:ind w:left="320" w:hanging="313"/>
        <w:spacing w:after="0" w:line="284"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 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2" w:name="page123"/>
    <w:bookmarkEnd w:id="122"/>
    <w:p>
      <w:pPr>
        <w:ind w:left="320" w:hanging="313"/>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Director.</w:t>
      </w:r>
    </w:p>
    <w:p>
      <w:pPr>
        <w:spacing w:after="0" w:line="219" w:lineRule="exact"/>
        <w:rPr>
          <w:rFonts w:ascii="Arial" w:cs="Arial" w:eastAsia="Arial" w:hAnsi="Arial"/>
          <w:sz w:val="18"/>
          <w:szCs w:val="18"/>
          <w:color w:val="auto"/>
        </w:rPr>
      </w:pPr>
    </w:p>
    <w:p>
      <w:pPr>
        <w:jc w:val="both"/>
        <w:ind w:left="320" w:hanging="313"/>
        <w:spacing w:after="0" w:line="281"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12,000 common shares vested in whole on June 11, 2022.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150,000 common shares and vest on May 23, 2022. Represents vested portion of the restricted stock granted dated as of August 23, 2021. The total grant of 76,000 common shares and 10,000 vest on June 11, 2022. Represents vested portion of the restricted stock granted dated as of January 31, 2022. The total grant of 150,000 common shares vests in whole immediately on the grant date of award. From September 24, 2021 to September 24, 2022, a total of 22,671 shares were disposed of in various occasions, resulting in the net increased holding of 299,329 shares. Represents vested portion of the restricted stock granted dated as of August 23, 2021. The total grant of 76,000 common shares and 22,000 vest on June 11, 2022. Represents vested portion of the restricted stock granted dated as of November 14, 2022. The total grant of 100,000 common shares vests in whole immediately on the grant date of award. Represents vested portion of the restricted stock granted dated as of August 16, 2023. The total grant of 150,000 common shares vests in whole immediately on the grant date of award. From September 24, 2022 to September 24, 2023, a total of 12,725 shares were acquired from the market.</w:t>
      </w:r>
    </w:p>
    <w:p>
      <w:pPr>
        <w:spacing w:after="0" w:line="180" w:lineRule="exact"/>
        <w:rPr>
          <w:rFonts w:ascii="Arial" w:cs="Arial" w:eastAsia="Arial" w:hAnsi="Arial"/>
          <w:sz w:val="16"/>
          <w:szCs w:val="16"/>
          <w:color w:val="auto"/>
        </w:rPr>
      </w:pPr>
    </w:p>
    <w:p>
      <w:pPr>
        <w:jc w:val="both"/>
        <w:ind w:left="320" w:hanging="313"/>
        <w:spacing w:after="0" w:line="286"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w:t>
      </w:r>
    </w:p>
    <w:p>
      <w:pPr>
        <w:spacing w:after="0" w:line="167" w:lineRule="exact"/>
        <w:rPr>
          <w:rFonts w:ascii="Arial" w:cs="Arial" w:eastAsia="Arial" w:hAnsi="Arial"/>
          <w:sz w:val="16"/>
          <w:szCs w:val="16"/>
          <w:color w:val="auto"/>
        </w:rPr>
      </w:pPr>
    </w:p>
    <w:p>
      <w:pPr>
        <w:jc w:val="both"/>
        <w:ind w:left="320" w:hanging="313"/>
        <w:spacing w:after="0" w:line="285"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From March 10, 2021 to April 1, 2022 a total of 16,500 shares were acquired from the market. 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3" w:name="page124"/>
    <w:bookmarkEnd w:id="123"/>
    <w:p>
      <w:pPr>
        <w:jc w:val="both"/>
        <w:ind w:firstLine="640"/>
        <w:spacing w:after="0" w:line="292" w:lineRule="auto"/>
        <w:rPr>
          <w:sz w:val="20"/>
          <w:szCs w:val="20"/>
          <w:color w:val="auto"/>
        </w:rPr>
      </w:pPr>
      <w:r>
        <w:rPr>
          <w:rFonts w:ascii="Arial" w:cs="Arial" w:eastAsia="Arial" w:hAnsi="Arial"/>
          <w:sz w:val="16"/>
          <w:szCs w:val="16"/>
          <w:color w:val="auto"/>
        </w:rPr>
        <w:t>As of September 24, 2023, there were nine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158" w:lineRule="exact"/>
        <w:rPr>
          <w:sz w:val="20"/>
          <w:szCs w:val="20"/>
          <w:color w:val="auto"/>
        </w:rPr>
      </w:pPr>
    </w:p>
    <w:p>
      <w:pPr>
        <w:ind w:left="1280" w:hanging="633"/>
        <w:spacing w:after="0"/>
        <w:tabs>
          <w:tab w:leader="none" w:pos="1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2023 and 2022 consisted of: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Related Party</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Relationship with the Company</w:t>
            </w:r>
          </w:p>
        </w:tc>
      </w:tr>
      <w:tr>
        <w:trPr>
          <w:trHeight w:val="213"/>
        </w:trPr>
        <w:tc>
          <w:tcPr>
            <w:tcW w:w="5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Chairman of the Board</w:t>
            </w:r>
          </w:p>
        </w:tc>
      </w:tr>
      <w:tr>
        <w:trPr>
          <w:trHeight w:val="213"/>
        </w:trPr>
        <w:tc>
          <w:tcPr>
            <w:tcW w:w="5740" w:type="dxa"/>
            <w:vAlign w:val="bottom"/>
            <w:gridSpan w:val="3"/>
          </w:tcPr>
          <w:p>
            <w:pPr>
              <w:spacing w:after="0"/>
              <w:rPr>
                <w:sz w:val="20"/>
                <w:szCs w:val="20"/>
                <w:color w:val="auto"/>
              </w:rPr>
            </w:pPr>
            <w:r>
              <w:rPr>
                <w:rFonts w:ascii="Arial" w:cs="Arial" w:eastAsia="Arial" w:hAnsi="Arial"/>
                <w:sz w:val="18"/>
                <w:szCs w:val="18"/>
                <w:color w:val="auto"/>
              </w:rPr>
              <w:t>Raymond Ming Hui Lin</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CEO of the Company</w:t>
            </w: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EMIT</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Equity investee of the Company</w:t>
            </w:r>
          </w:p>
        </w:tc>
      </w:tr>
      <w:tr>
        <w:trPr>
          <w:trHeight w:val="213"/>
        </w:trPr>
        <w:tc>
          <w:tcPr>
            <w:tcW w:w="5740" w:type="dxa"/>
            <w:vAlign w:val="bottom"/>
            <w:gridSpan w:val="3"/>
          </w:tcPr>
          <w:p>
            <w:pPr>
              <w:spacing w:after="0"/>
              <w:rPr>
                <w:sz w:val="20"/>
                <w:szCs w:val="20"/>
                <w:color w:val="auto"/>
              </w:rPr>
            </w:pPr>
            <w:r>
              <w:rPr>
                <w:rFonts w:ascii="Arial" w:cs="Arial" w:eastAsia="Arial" w:hAnsi="Arial"/>
                <w:sz w:val="18"/>
                <w:szCs w:val="18"/>
                <w:color w:val="auto"/>
              </w:rPr>
              <w:t>Beijing Bright Technology Co., Ltd (“Beijing Bright”)</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Noncontrolling interest shareholder of JAJI China</w:t>
            </w: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8"/>
              </w:rPr>
              <w:t>UniDev</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Equity investee of the Company</w:t>
            </w:r>
          </w:p>
        </w:tc>
      </w:tr>
      <w:tr>
        <w:trPr>
          <w:trHeight w:val="213"/>
        </w:trPr>
        <w:tc>
          <w:tcPr>
            <w:tcW w:w="5740" w:type="dxa"/>
            <w:vAlign w:val="bottom"/>
            <w:gridSpan w:val="3"/>
          </w:tcPr>
          <w:p>
            <w:pPr>
              <w:spacing w:after="0"/>
              <w:rPr>
                <w:sz w:val="20"/>
                <w:szCs w:val="20"/>
                <w:color w:val="auto"/>
              </w:rPr>
            </w:pPr>
            <w:r>
              <w:rPr>
                <w:rFonts w:ascii="Arial" w:cs="Arial" w:eastAsia="Arial" w:hAnsi="Arial"/>
                <w:sz w:val="18"/>
                <w:szCs w:val="18"/>
                <w:color w:val="auto"/>
              </w:rPr>
              <w:t>Fuson Group Limited (“Fuson”)</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Equity investee of the Company</w:t>
            </w:r>
          </w:p>
        </w:tc>
      </w:tr>
      <w:tr>
        <w:trPr>
          <w:trHeight w:val="213"/>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MCT</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Noncontrolling interest shareholder of MSCT</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(a)</w:t>
            </w:r>
          </w:p>
        </w:tc>
        <w:tc>
          <w:tcPr>
            <w:tcW w:w="5140" w:type="dxa"/>
            <w:vAlign w:val="bottom"/>
            <w:gridSpan w:val="2"/>
          </w:tcPr>
          <w:p>
            <w:pPr>
              <w:ind w:left="40"/>
              <w:spacing w:after="0"/>
              <w:rPr>
                <w:sz w:val="20"/>
                <w:szCs w:val="20"/>
                <w:color w:val="auto"/>
              </w:rPr>
            </w:pPr>
            <w:r>
              <w:rPr>
                <w:rFonts w:ascii="Arial" w:cs="Arial" w:eastAsia="Arial" w:hAnsi="Arial"/>
                <w:sz w:val="18"/>
                <w:szCs w:val="18"/>
                <w:color w:val="auto"/>
              </w:rPr>
              <w:t>Related party balances</w:t>
            </w:r>
          </w:p>
        </w:tc>
        <w:tc>
          <w:tcPr>
            <w:tcW w:w="550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Fuson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189,363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r>
      <w:tr>
        <w:trPr>
          <w:trHeight w:val="21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226,421</w:t>
            </w:r>
          </w:p>
        </w:tc>
      </w:tr>
      <w:tr>
        <w:trPr>
          <w:trHeight w:val="234"/>
        </w:trPr>
        <w:tc>
          <w:tcPr>
            <w:tcW w:w="8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Beijing Bright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102,993</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391,271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377,642</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Due from related parties mainly represents loan provided to UniDey and Fuson and unreceived IT service fee from Fuson.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19,445</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MCT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r>
      <w:tr>
        <w:trPr>
          <w:trHeight w:val="24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EMIT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24,889</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66,884</w:t>
            </w:r>
          </w:p>
        </w:tc>
        <w:tc>
          <w:tcPr>
            <w:tcW w:w="100" w:type="dxa"/>
            <w:vAlign w:val="bottom"/>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Due to related parties mainly represents the unpaid consulting service fee to UniDev and unpaid administrative fee to MCT.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4" w:name="page125"/>
    <w:bookmarkEnd w:id="124"/>
    <w:p>
      <w:pPr>
        <w:ind w:left="640" w:hanging="633"/>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9"/>
              </w:rPr>
              <w:t>For the year ended,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2"/>
        </w:trPr>
        <w:tc>
          <w:tcPr>
            <w:tcW w:w="480" w:type="dxa"/>
            <w:vAlign w:val="bottom"/>
          </w:tcPr>
          <w:p>
            <w:pPr>
              <w:spacing w:after="0"/>
              <w:rPr>
                <w:sz w:val="20"/>
                <w:szCs w:val="20"/>
                <w:color w:val="auto"/>
              </w:rPr>
            </w:pPr>
            <w:r>
              <w:rPr>
                <w:rFonts w:ascii="Arial" w:cs="Arial" w:eastAsia="Arial" w:hAnsi="Arial"/>
                <w:sz w:val="18"/>
                <w:szCs w:val="18"/>
                <w:b w:val="1"/>
                <w:bCs w:val="1"/>
                <w:color w:val="auto"/>
              </w:rPr>
              <w:t>a)</w:t>
            </w:r>
          </w:p>
        </w:tc>
        <w:tc>
          <w:tcPr>
            <w:tcW w:w="5500" w:type="dxa"/>
            <w:vAlign w:val="bottom"/>
          </w:tcPr>
          <w:p>
            <w:pPr>
              <w:ind w:left="320"/>
              <w:spacing w:after="0"/>
              <w:rPr>
                <w:sz w:val="20"/>
                <w:szCs w:val="20"/>
                <w:color w:val="auto"/>
              </w:rPr>
            </w:pPr>
            <w:r>
              <w:rPr>
                <w:rFonts w:ascii="Arial" w:cs="Arial" w:eastAsia="Arial" w:hAnsi="Arial"/>
                <w:sz w:val="18"/>
                <w:szCs w:val="18"/>
                <w:b w:val="1"/>
                <w:bCs w:val="1"/>
                <w:color w:val="auto"/>
              </w:rPr>
              <w:t>Consulting services provided to the related parties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shd w:val="clear" w:color="auto" w:fill="CCEEFF"/>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UniDev</w:t>
            </w:r>
          </w:p>
        </w:tc>
        <w:tc>
          <w:tcPr>
            <w:tcW w:w="1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46,008</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8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EMIT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80" w:type="dxa"/>
            <w:vAlign w:val="bottom"/>
            <w:shd w:val="clear" w:color="auto" w:fill="CCEEFF"/>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Fuson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8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CLPS Lihong</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269,472</w:t>
            </w:r>
          </w:p>
        </w:tc>
      </w:tr>
      <w:tr>
        <w:trPr>
          <w:trHeight w:val="245"/>
        </w:trPr>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52,024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7"/>
        </w:trPr>
        <w:tc>
          <w:tcPr>
            <w:tcW w:w="4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w:t>
            </w: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Services provided by the related parties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EMIT</w:t>
            </w:r>
          </w:p>
        </w:tc>
        <w:tc>
          <w:tcPr>
            <w:tcW w:w="1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221,584</w:t>
            </w:r>
          </w:p>
        </w:tc>
        <w:tc>
          <w:tcPr>
            <w:tcW w:w="4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157,762</w:t>
            </w:r>
          </w:p>
        </w:tc>
        <w:tc>
          <w:tcPr>
            <w:tcW w:w="260" w:type="dxa"/>
            <w:vAlign w:val="bottom"/>
            <w:gridSpan w:val="2"/>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758,976</w:t>
            </w:r>
          </w:p>
        </w:tc>
      </w:tr>
      <w:tr>
        <w:trPr>
          <w:trHeight w:val="213"/>
        </w:trPr>
        <w:tc>
          <w:tcPr>
            <w:tcW w:w="480" w:type="dxa"/>
            <w:vAlign w:val="bottom"/>
            <w:shd w:val="clear" w:color="auto" w:fill="CCEEFF"/>
          </w:tcPr>
          <w:p>
            <w:pPr>
              <w:spacing w:after="0"/>
              <w:rPr>
                <w:sz w:val="18"/>
                <w:szCs w:val="18"/>
                <w:color w:val="auto"/>
              </w:rPr>
            </w:pPr>
          </w:p>
        </w:tc>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UniDev</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8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Beijing Bright</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99,208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142,487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604,033</w:t>
            </w:r>
          </w:p>
        </w:tc>
      </w:tr>
      <w:tr>
        <w:trPr>
          <w:trHeight w:val="245"/>
        </w:trPr>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590,758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335,244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ind w:left="800" w:hanging="793"/>
        <w:spacing w:after="0"/>
        <w:tabs>
          <w:tab w:leader="none" w:pos="8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Loans provided to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35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ind w:left="800"/>
              <w:spacing w:after="0"/>
              <w:rPr>
                <w:sz w:val="20"/>
                <w:szCs w:val="20"/>
                <w:color w:val="auto"/>
              </w:rPr>
            </w:pPr>
            <w:r>
              <w:rPr>
                <w:rFonts w:ascii="Arial" w:cs="Arial" w:eastAsia="Arial" w:hAnsi="Arial"/>
                <w:sz w:val="18"/>
                <w:szCs w:val="18"/>
                <w:color w:val="auto"/>
              </w:rPr>
              <w:t>UniDev</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143,810</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Fuson</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360" w:type="dxa"/>
            <w:vAlign w:val="bottom"/>
          </w:tcPr>
          <w:p>
            <w:pPr>
              <w:ind w:left="800"/>
              <w:spacing w:after="0"/>
              <w:rPr>
                <w:sz w:val="20"/>
                <w:szCs w:val="20"/>
                <w:color w:val="auto"/>
              </w:rPr>
            </w:pPr>
            <w:r>
              <w:rPr>
                <w:rFonts w:ascii="Arial" w:cs="Arial" w:eastAsia="Arial" w:hAnsi="Arial"/>
                <w:sz w:val="18"/>
                <w:szCs w:val="18"/>
                <w:color w:val="auto"/>
              </w:rPr>
              <w:t>EMIT</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151,783</w:t>
            </w:r>
          </w:p>
        </w:tc>
      </w:tr>
      <w:tr>
        <w:trPr>
          <w:trHeight w:val="245"/>
        </w:trPr>
        <w:tc>
          <w:tcPr>
            <w:tcW w:w="436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w:t>
            </w:r>
          </w:p>
        </w:tc>
        <w:tc>
          <w:tcPr>
            <w:tcW w:w="29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274,212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ind w:left="800" w:hanging="793"/>
        <w:spacing w:after="0"/>
        <w:tabs>
          <w:tab w:leader="none" w:pos="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loans from the related parties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EMIT</w:t>
            </w:r>
          </w:p>
        </w:tc>
        <w:tc>
          <w:tcPr>
            <w:tcW w:w="3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204,211</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15,491</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7"/>
        </w:trPr>
        <w:tc>
          <w:tcPr>
            <w:tcW w:w="4280" w:type="dxa"/>
            <w:vAlign w:val="bottom"/>
            <w:tcBorders>
              <w:top w:val="single" w:sz="8" w:color="CCEEFF"/>
            </w:tcBorders>
          </w:tcPr>
          <w:p>
            <w:pPr>
              <w:ind w:left="800"/>
              <w:spacing w:after="0" w:line="201" w:lineRule="exact"/>
              <w:rPr>
                <w:sz w:val="20"/>
                <w:szCs w:val="20"/>
                <w:color w:val="auto"/>
              </w:rPr>
            </w:pPr>
            <w:r>
              <w:rPr>
                <w:rFonts w:ascii="Arial" w:cs="Arial" w:eastAsia="Arial" w:hAnsi="Arial"/>
                <w:sz w:val="18"/>
                <w:szCs w:val="18"/>
                <w:b w:val="1"/>
                <w:bCs w:val="1"/>
                <w:color w:val="auto"/>
              </w:rPr>
              <w:t>Total</w:t>
            </w:r>
          </w:p>
        </w:tc>
        <w:tc>
          <w:tcPr>
            <w:tcW w:w="306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204,211</w:t>
            </w: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1"/>
              <w:spacing w:after="0" w:line="201"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15,491</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33"/>
        </w:trPr>
        <w:tc>
          <w:tcPr>
            <w:tcW w:w="4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4225" cy="161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ind w:left="800" w:hanging="793"/>
        <w:spacing w:after="0"/>
        <w:tabs>
          <w:tab w:leader="none" w:pos="8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 received from the related parties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UniDev</w:t>
            </w:r>
          </w:p>
        </w:tc>
        <w:tc>
          <w:tcPr>
            <w:tcW w:w="22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6,342</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0" w:type="dxa"/>
            <w:vAlign w:val="bottom"/>
            <w:shd w:val="clear" w:color="auto" w:fill="CCEEFF"/>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Fuson</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EMIT</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3,704</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5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11,564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w:t>
            </w:r>
          </w:p>
        </w:tc>
        <w:tc>
          <w:tcPr>
            <w:tcW w:w="5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color w:val="auto"/>
              </w:rPr>
              <w:t>Rental income from the related party</w:t>
            </w:r>
          </w:p>
        </w:tc>
        <w:tc>
          <w:tcPr>
            <w:tcW w:w="1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0" w:type="dxa"/>
            <w:vAlign w:val="bottom"/>
            <w:vMerge w:val="continue"/>
          </w:tcPr>
          <w:p>
            <w:pPr>
              <w:spacing w:after="0"/>
              <w:rPr>
                <w:sz w:val="17"/>
                <w:szCs w:val="17"/>
                <w:color w:val="auto"/>
              </w:rPr>
            </w:pPr>
          </w:p>
        </w:tc>
        <w:tc>
          <w:tcPr>
            <w:tcW w:w="50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 w:type="dxa"/>
            <w:vAlign w:val="bottom"/>
            <w:shd w:val="clear" w:color="auto" w:fill="CCEEFF"/>
          </w:tcPr>
          <w:p>
            <w:pPr>
              <w:spacing w:after="0"/>
              <w:rPr>
                <w:sz w:val="20"/>
                <w:szCs w:val="20"/>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Fuson</w:t>
            </w:r>
          </w:p>
        </w:tc>
        <w:tc>
          <w:tcPr>
            <w:tcW w:w="2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10,718</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3,587</w:t>
            </w:r>
          </w:p>
        </w:tc>
        <w:tc>
          <w:tcPr>
            <w:tcW w:w="680" w:type="dxa"/>
            <w:vAlign w:val="bottom"/>
            <w:gridSpan w:val="2"/>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280" w:hanging="633"/>
        <w:spacing w:after="0"/>
        <w:tabs>
          <w:tab w:leader="none" w:pos="1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0" w:lineRule="exact"/>
        <w:rPr>
          <w:sz w:val="20"/>
          <w:szCs w:val="20"/>
          <w:color w:val="auto"/>
        </w:rPr>
      </w:pPr>
    </w:p>
    <w:p>
      <w:pPr>
        <w:ind w:left="1280" w:hanging="633"/>
        <w:spacing w:after="0"/>
        <w:tabs>
          <w:tab w:leader="none" w:pos="12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18 for our audited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6" w:lineRule="exact"/>
        <w:rPr>
          <w:sz w:val="20"/>
          <w:szCs w:val="20"/>
          <w:color w:val="auto"/>
        </w:rPr>
      </w:pPr>
    </w:p>
    <w:p>
      <w:pPr>
        <w:ind w:left="1280" w:hanging="633"/>
        <w:spacing w:after="0"/>
        <w:tabs>
          <w:tab w:leader="none" w:pos="1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651"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0" w:lineRule="exact"/>
        <w:rPr>
          <w:sz w:val="20"/>
          <w:szCs w:val="20"/>
          <w:color w:val="auto"/>
        </w:rPr>
      </w:pPr>
    </w:p>
    <w:p>
      <w:pPr>
        <w:ind w:left="1280" w:hanging="633"/>
        <w:spacing w:after="0"/>
        <w:tabs>
          <w:tab w:leader="none" w:pos="1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4" w:lineRule="exact"/>
        <w:rPr>
          <w:sz w:val="20"/>
          <w:szCs w:val="20"/>
          <w:color w:val="auto"/>
        </w:rPr>
      </w:pPr>
    </w:p>
    <w:p>
      <w:pPr>
        <w:ind w:right="20" w:firstLine="640"/>
        <w:spacing w:after="0" w:line="300" w:lineRule="auto"/>
        <w:rPr>
          <w:sz w:val="20"/>
          <w:szCs w:val="20"/>
          <w:color w:val="auto"/>
        </w:rPr>
      </w:pPr>
      <w:r>
        <w:rPr>
          <w:rFonts w:ascii="Arial" w:cs="Arial" w:eastAsia="Arial" w:hAnsi="Arial"/>
          <w:sz w:val="17"/>
          <w:szCs w:val="17"/>
          <w:color w:val="auto"/>
        </w:rPr>
        <w:t>The following table sets forth, for the calendar months indicated and through June 30, 2023, the monthly high and low sale prices for our shares, as reported on NASDAQ Stock Market. The closing price for the Company’s securities on October 13, 2023 was $0.96 per share.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426"/>
        </w:trPr>
        <w:tc>
          <w:tcPr>
            <w:tcW w:w="866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July 2023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August 2023</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r>
      <w:tr>
        <w:trPr>
          <w:trHeight w:val="226"/>
        </w:trPr>
        <w:tc>
          <w:tcPr>
            <w:tcW w:w="8660" w:type="dxa"/>
            <w:vAlign w:val="bottom"/>
          </w:tcPr>
          <w:p>
            <w:pPr>
              <w:spacing w:after="0"/>
              <w:rPr>
                <w:sz w:val="20"/>
                <w:szCs w:val="20"/>
                <w:color w:val="auto"/>
              </w:rPr>
            </w:pPr>
            <w:r>
              <w:rPr>
                <w:rFonts w:ascii="Arial" w:cs="Arial" w:eastAsia="Arial" w:hAnsi="Arial"/>
                <w:sz w:val="18"/>
                <w:szCs w:val="18"/>
                <w:color w:val="auto"/>
              </w:rPr>
              <w:t>September 2023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bl>
    <w:p>
      <w:pPr>
        <w:spacing w:after="0" w:line="182" w:lineRule="exact"/>
        <w:rPr>
          <w:sz w:val="20"/>
          <w:szCs w:val="20"/>
          <w:color w:val="auto"/>
        </w:rPr>
      </w:pPr>
    </w:p>
    <w:p>
      <w:pPr>
        <w:ind w:left="1280" w:hanging="633"/>
        <w:spacing w:after="0"/>
        <w:tabs>
          <w:tab w:leader="none" w:pos="1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Our shares have been listed on the NASDAQ Stock Market under the symbol CLPS since May 24, 2018 following the completion of our initial public offering.</w:t>
      </w:r>
    </w:p>
    <w:p>
      <w:pPr>
        <w:spacing w:after="0" w:line="171" w:lineRule="exact"/>
        <w:rPr>
          <w:sz w:val="20"/>
          <w:szCs w:val="20"/>
          <w:color w:val="auto"/>
        </w:rPr>
      </w:pPr>
    </w:p>
    <w:p>
      <w:pPr>
        <w:ind w:left="1280" w:hanging="633"/>
        <w:spacing w:after="0"/>
        <w:tabs>
          <w:tab w:leader="none" w:pos="1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0" w:lineRule="exact"/>
        <w:rPr>
          <w:sz w:val="20"/>
          <w:szCs w:val="20"/>
          <w:color w:val="auto"/>
        </w:rPr>
      </w:pPr>
    </w:p>
    <w:p>
      <w:pPr>
        <w:ind w:left="1280" w:hanging="633"/>
        <w:spacing w:after="0"/>
        <w:tabs>
          <w:tab w:leader="none" w:pos="12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ind w:left="1280" w:hanging="633"/>
        <w:spacing w:after="0"/>
        <w:tabs>
          <w:tab w:leader="none" w:pos="1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82" w:lineRule="exact"/>
        <w:rPr>
          <w:sz w:val="20"/>
          <w:szCs w:val="20"/>
          <w:color w:val="auto"/>
        </w:rPr>
      </w:pPr>
    </w:p>
    <w:p>
      <w:pPr>
        <w:ind w:left="1280" w:hanging="633"/>
        <w:spacing w:after="0"/>
        <w:tabs>
          <w:tab w:leader="none" w:pos="12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information required by Item 10.B of Form 20-F is included in the sections titled “Our Business,” “Directors and Executive Officers,” “Related Party Transactions,” and “Underwriting” in our Registration Statement on Form F-1 initially filed with the SEC on March 27, 2018, and subsequently updated (File No.: 333-223956), which section is incorporated herein by reference.</w:t>
      </w:r>
    </w:p>
    <w:p>
      <w:pPr>
        <w:spacing w:after="0" w:line="182" w:lineRule="exact"/>
        <w:rPr>
          <w:sz w:val="20"/>
          <w:szCs w:val="20"/>
          <w:color w:val="auto"/>
        </w:rPr>
      </w:pPr>
    </w:p>
    <w:p>
      <w:pPr>
        <w:ind w:left="1280" w:hanging="633"/>
        <w:spacing w:after="0"/>
        <w:tabs>
          <w:tab w:leader="none" w:pos="12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6" w:name="page127"/>
    <w:bookmarkEnd w:id="126"/>
    <w:p>
      <w:pPr>
        <w:ind w:left="1280" w:hanging="633"/>
        <w:spacing w:after="0"/>
        <w:tabs>
          <w:tab w:leader="none" w:pos="12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4"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3"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60"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6" w:lineRule="exact"/>
        <w:rPr>
          <w:sz w:val="20"/>
          <w:szCs w:val="20"/>
          <w:color w:val="auto"/>
        </w:rPr>
      </w:pPr>
    </w:p>
    <w:p>
      <w:pPr>
        <w:ind w:left="960" w:hanging="313"/>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19" w:lineRule="exact"/>
        <w:rPr>
          <w:rFonts w:ascii="Arial" w:cs="Arial" w:eastAsia="Arial" w:hAnsi="Arial"/>
          <w:sz w:val="18"/>
          <w:szCs w:val="18"/>
          <w:color w:val="auto"/>
        </w:rPr>
      </w:pPr>
    </w:p>
    <w:p>
      <w:pPr>
        <w:jc w:val="both"/>
        <w:ind w:left="960" w:hanging="313"/>
        <w:spacing w:after="0" w:line="258"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8" w:lineRule="exact"/>
        <w:rPr>
          <w:sz w:val="20"/>
          <w:szCs w:val="20"/>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8" w:name="page129"/>
    <w:bookmarkEnd w:id="128"/>
    <w:p>
      <w:pPr>
        <w:ind w:left="960" w:hanging="313"/>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0"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62"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9" w:name="page130"/>
    <w:bookmarkEnd w:id="129"/>
    <w:p>
      <w:pPr>
        <w:jc w:val="both"/>
        <w:ind w:firstLine="640"/>
        <w:spacing w:after="0" w:line="255"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8" w:lineRule="exact"/>
        <w:rPr>
          <w:sz w:val="20"/>
          <w:szCs w:val="20"/>
          <w:color w:val="auto"/>
        </w:rPr>
      </w:pPr>
    </w:p>
    <w:p>
      <w:pPr>
        <w:ind w:left="960" w:hanging="313"/>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19" w:lineRule="exact"/>
        <w:rPr>
          <w:rFonts w:ascii="Arial" w:cs="Arial" w:eastAsia="Arial" w:hAnsi="Arial"/>
          <w:sz w:val="18"/>
          <w:szCs w:val="18"/>
          <w:color w:val="auto"/>
        </w:rPr>
      </w:pPr>
    </w:p>
    <w:p>
      <w:pPr>
        <w:jc w:val="both"/>
        <w:ind w:left="960" w:hanging="313"/>
        <w:spacing w:after="0" w:line="281"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these rules,</w:t>
      </w:r>
    </w:p>
    <w:p>
      <w:pPr>
        <w:spacing w:after="0" w:line="220" w:lineRule="exact"/>
        <w:rPr>
          <w:sz w:val="20"/>
          <w:szCs w:val="20"/>
          <w:color w:val="auto"/>
        </w:rPr>
      </w:pPr>
    </w:p>
    <w:p>
      <w:pPr>
        <w:ind w:left="960" w:hanging="313"/>
        <w:spacing w:after="0"/>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U.S. Holder’s gain or excess distribution will be allocated ratably over the U.S. Holder’s holding period for the common shares;</w:t>
      </w: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0" w:name="page131"/>
    <w:bookmarkEnd w:id="130"/>
    <w:p>
      <w:pPr>
        <w:jc w:val="both"/>
        <w:ind w:left="960" w:hanging="313"/>
        <w:spacing w:after="0" w:line="258"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86" w:lineRule="exact"/>
        <w:rPr>
          <w:rFonts w:ascii="Arial" w:cs="Arial" w:eastAsia="Arial" w:hAnsi="Arial"/>
          <w:sz w:val="18"/>
          <w:szCs w:val="18"/>
          <w:color w:val="auto"/>
        </w:rPr>
      </w:pPr>
    </w:p>
    <w:p>
      <w:pPr>
        <w:ind w:left="960" w:right="2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93"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82"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1" w:name="page132"/>
    <w:bookmarkEnd w:id="131"/>
    <w:p>
      <w:pPr>
        <w:jc w:val="both"/>
        <w:ind w:firstLine="640"/>
        <w:spacing w:after="0" w:line="285" w:lineRule="auto"/>
        <w:rPr>
          <w:sz w:val="20"/>
          <w:szCs w:val="20"/>
          <w:color w:val="auto"/>
        </w:rPr>
      </w:pPr>
      <w:r>
        <w:rPr>
          <w:rFonts w:ascii="Arial" w:cs="Arial" w:eastAsia="Arial" w:hAnsi="Arial"/>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6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62"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2" w:name="page133"/>
    <w:bookmarkEnd w:id="132"/>
    <w:p>
      <w:pPr>
        <w:jc w:val="both"/>
        <w:ind w:firstLine="640"/>
        <w:spacing w:after="0" w:line="255"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 Dividends and paying agents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 Statement by experts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H. Documents on display</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Documents concerning us that are referred to in this document may be inspected at c/o Unit 1000, 10th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 Subsidiary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required.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9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appreciated by 8.6% in fiscal 2021, and depreciated by 3.7% in fiscal 2022, and depreciated by 8.3% in fiscal 2023,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90"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4"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warrants are currently outstanding and will automatically expire on March 2, 2026 if not being exercised already. The terms of the warrant agreement are provided as exhibit 10.17 hereto in Item 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72" w:right="339" w:bottom="677" w:gutter="0" w:footer="0" w:header="0"/>
        </w:sectPr>
      </w:pPr>
    </w:p>
    <w:bookmarkStart w:id="133" w:name="page134"/>
    <w:bookmarkEnd w:id="133"/>
    <w:p>
      <w:pPr>
        <w:ind w:left="530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has been no default of any indebtedness nor is there any arrearage in the payment of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2022 as required by paragraph (b) of Exchange Act Rules 13a-15 or 15d-15.</w:t>
      </w:r>
    </w:p>
    <w:p>
      <w:pPr>
        <w:spacing w:after="0" w:line="18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Based on that evaluation, management, including our Chief Executive Officer and Chief Financial Officer, has concluded as of June 30, 2023,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88"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Management assessed the effectiveness of our internal control over financial reporting as of June 30, 2023.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2023.</w:t>
      </w:r>
    </w:p>
    <w:p>
      <w:pPr>
        <w:spacing w:after="0" w:line="17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There were no changes in our internal control over financial reporting during the year ended June 30, 2023,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represents the approximate aggregate fees for services billed by Ernst &amp; Young Hua Ming LLP for the period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39"/>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0"/>
        </w:trPr>
        <w:tc>
          <w:tcPr>
            <w:tcW w:w="8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3"/>
              </w:rPr>
              <w:t>USD’000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purchase of our securities was made by us or our affiliates in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There are no significant differences between our corporate governance practices and those followed by the U.S. domestic companies under Nasdaq Stock Market Rules.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5" w:name="page136"/>
    <w:bookmarkEnd w:id="135"/>
    <w:p>
      <w:pPr>
        <w:ind w:left="5260"/>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financial statements are filed as part of this Annual Report beginning on page F-1.</w:t>
      </w:r>
    </w:p>
    <w:p>
      <w:pPr>
        <w:spacing w:after="0" w:line="200" w:lineRule="exact"/>
        <w:rPr>
          <w:sz w:val="20"/>
          <w:szCs w:val="20"/>
          <w:color w:val="auto"/>
        </w:rPr>
      </w:pPr>
    </w:p>
    <w:p>
      <w:pPr>
        <w:spacing w:after="0" w:line="25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YEARS ENDED JUNE 30,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429895</wp:posOffset>
            </wp:positionV>
            <wp:extent cx="713422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6140" w:type="dxa"/>
            <w:vAlign w:val="bottom"/>
            <w:gridSpan w:val="6"/>
          </w:tcPr>
          <w:p>
            <w:pPr>
              <w:jc w:val="center"/>
              <w:ind w:right="3300"/>
              <w:spacing w:after="0"/>
              <w:rPr>
                <w:sz w:val="20"/>
                <w:szCs w:val="20"/>
                <w:color w:val="auto"/>
              </w:rPr>
            </w:pPr>
            <w:r>
              <w:rPr>
                <w:rFonts w:ascii="Arial" w:cs="Arial" w:eastAsia="Arial" w:hAnsi="Arial"/>
                <w:sz w:val="18"/>
                <w:szCs w:val="18"/>
                <w:b w:val="1"/>
                <w:bCs w:val="1"/>
                <w:color w:val="auto"/>
                <w:w w:val="99"/>
              </w:rPr>
              <w:t>CLPS INCORPORATION</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340" w:type="dxa"/>
            <w:vAlign w:val="bottom"/>
            <w:gridSpan w:val="7"/>
          </w:tcPr>
          <w:p>
            <w:pPr>
              <w:jc w:val="center"/>
              <w:ind w:left="811"/>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03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9"/>
        </w:trPr>
        <w:tc>
          <w:tcPr>
            <w:tcW w:w="10340" w:type="dxa"/>
            <w:vAlign w:val="bottom"/>
            <w:gridSpan w:val="7"/>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340" w:type="dxa"/>
            <w:vAlign w:val="bottom"/>
            <w:gridSpan w:val="7"/>
            <w:shd w:val="clear" w:color="auto" w:fill="CCEEFF"/>
          </w:tcPr>
          <w:p>
            <w:pPr>
              <w:spacing w:after="0" w:line="174" w:lineRule="exact"/>
              <w:rPr>
                <w:sz w:val="20"/>
                <w:szCs w:val="20"/>
                <w:color w:val="auto"/>
              </w:rPr>
            </w:pPr>
            <w:r>
              <w:rPr>
                <w:rFonts w:ascii="Arial" w:cs="Arial" w:eastAsia="Arial" w:hAnsi="Arial"/>
                <w:sz w:val="18"/>
                <w:szCs w:val="18"/>
                <w:color w:val="0000EE"/>
              </w:rPr>
              <w:t>Report of Independent Registered Public Accounting Firm (PCAOB ID: 1408)</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3"/>
        </w:trPr>
        <w:tc>
          <w:tcPr>
            <w:tcW w:w="42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340" w:type="dxa"/>
            <w:vAlign w:val="bottom"/>
            <w:gridSpan w:val="7"/>
            <w:shd w:val="clear" w:color="auto" w:fill="CCEEFF"/>
          </w:tcPr>
          <w:p>
            <w:pPr>
              <w:spacing w:after="0" w:line="174" w:lineRule="exact"/>
              <w:rPr>
                <w:sz w:val="20"/>
                <w:szCs w:val="20"/>
                <w:color w:val="auto"/>
              </w:rPr>
            </w:pPr>
            <w:r>
              <w:rPr>
                <w:rFonts w:ascii="Arial" w:cs="Arial" w:eastAsia="Arial" w:hAnsi="Arial"/>
                <w:sz w:val="18"/>
                <w:szCs w:val="18"/>
                <w:color w:val="0000EE"/>
              </w:rPr>
              <w:t>Consolidated Balance Sheets as of June 30, 2022 and 2023</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1"/>
              </w:rPr>
              <w:t>F-3 - F-4</w:t>
            </w:r>
          </w:p>
        </w:tc>
        <w:tc>
          <w:tcPr>
            <w:tcW w:w="0" w:type="dxa"/>
            <w:vAlign w:val="bottom"/>
          </w:tcPr>
          <w:p>
            <w:pPr>
              <w:spacing w:after="0"/>
              <w:rPr>
                <w:sz w:val="1"/>
                <w:szCs w:val="1"/>
                <w:color w:val="auto"/>
              </w:rPr>
            </w:pPr>
          </w:p>
        </w:tc>
      </w:tr>
      <w:tr>
        <w:trPr>
          <w:trHeight w:val="213"/>
        </w:trPr>
        <w:tc>
          <w:tcPr>
            <w:tcW w:w="420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340" w:type="dxa"/>
            <w:vAlign w:val="bottom"/>
            <w:gridSpan w:val="7"/>
            <w:shd w:val="clear" w:color="auto" w:fill="CCEEFF"/>
          </w:tcPr>
          <w:p>
            <w:pPr>
              <w:spacing w:after="0" w:line="174" w:lineRule="exact"/>
              <w:rPr>
                <w:sz w:val="20"/>
                <w:szCs w:val="20"/>
                <w:color w:val="auto"/>
              </w:rPr>
            </w:pPr>
            <w:r>
              <w:rPr>
                <w:rFonts w:ascii="Arial" w:cs="Arial" w:eastAsia="Arial" w:hAnsi="Arial"/>
                <w:sz w:val="18"/>
                <w:szCs w:val="18"/>
                <w:color w:val="0000EE"/>
              </w:rPr>
              <w:t>Consolidated Statements of Comprehensive (loss) / Income for the Years Ended June 30, 2021, 2022 and 2023</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3"/>
        </w:trPr>
        <w:tc>
          <w:tcPr>
            <w:tcW w:w="42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340" w:type="dxa"/>
            <w:vAlign w:val="bottom"/>
            <w:gridSpan w:val="7"/>
            <w:shd w:val="clear" w:color="auto" w:fill="CCEEFF"/>
          </w:tcPr>
          <w:p>
            <w:pPr>
              <w:spacing w:after="0" w:line="174" w:lineRule="exact"/>
              <w:rPr>
                <w:sz w:val="20"/>
                <w:szCs w:val="20"/>
                <w:color w:val="auto"/>
              </w:rPr>
            </w:pPr>
            <w:r>
              <w:rPr>
                <w:rFonts w:ascii="Arial" w:cs="Arial" w:eastAsia="Arial" w:hAnsi="Arial"/>
                <w:sz w:val="18"/>
                <w:szCs w:val="18"/>
                <w:color w:val="0000EE"/>
              </w:rPr>
              <w:t>Consolidated Statements of Shareholders’ Equity for the Years Ended June 30, 2021, 2022 and 2023</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3"/>
        </w:trPr>
        <w:tc>
          <w:tcPr>
            <w:tcW w:w="42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340" w:type="dxa"/>
            <w:vAlign w:val="bottom"/>
            <w:gridSpan w:val="7"/>
            <w:shd w:val="clear" w:color="auto" w:fill="CCEEFF"/>
          </w:tcPr>
          <w:p>
            <w:pPr>
              <w:spacing w:after="0" w:line="174" w:lineRule="exact"/>
              <w:rPr>
                <w:sz w:val="20"/>
                <w:szCs w:val="20"/>
                <w:color w:val="auto"/>
              </w:rPr>
            </w:pPr>
            <w:r>
              <w:rPr>
                <w:rFonts w:ascii="Arial" w:cs="Arial" w:eastAsia="Arial" w:hAnsi="Arial"/>
                <w:sz w:val="18"/>
                <w:szCs w:val="18"/>
                <w:color w:val="0000EE"/>
              </w:rPr>
              <w:t>Consolidated Statements of Cash Flows for the Years Ended June 30, 2021, 2022 and 2023</w:t>
            </w:r>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2"/>
              </w:rPr>
              <w:t>F-7- F-8</w:t>
            </w:r>
          </w:p>
        </w:tc>
        <w:tc>
          <w:tcPr>
            <w:tcW w:w="0" w:type="dxa"/>
            <w:vAlign w:val="bottom"/>
          </w:tcPr>
          <w:p>
            <w:pPr>
              <w:spacing w:after="0"/>
              <w:rPr>
                <w:sz w:val="1"/>
                <w:szCs w:val="1"/>
                <w:color w:val="auto"/>
              </w:rPr>
            </w:pPr>
          </w:p>
        </w:tc>
      </w:tr>
      <w:tr>
        <w:trPr>
          <w:trHeight w:val="213"/>
        </w:trPr>
        <w:tc>
          <w:tcPr>
            <w:tcW w:w="42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0000EE"/>
            </w:tcBorders>
            <w:gridSpan w:val="4"/>
            <w:shd w:val="clear" w:color="auto" w:fill="CCEEFF"/>
          </w:tcPr>
          <w:p>
            <w:pPr>
              <w:spacing w:after="0" w:line="174" w:lineRule="exact"/>
              <w:rPr>
                <w:sz w:val="20"/>
                <w:szCs w:val="20"/>
                <w:color w:val="auto"/>
              </w:rPr>
            </w:pPr>
            <w:r>
              <w:rPr>
                <w:rFonts w:ascii="Arial" w:cs="Arial" w:eastAsia="Arial" w:hAnsi="Arial"/>
                <w:sz w:val="18"/>
                <w:szCs w:val="18"/>
                <w:color w:val="0000EE"/>
                <w:w w:val="88"/>
              </w:rPr>
              <w:t>Notes to the Consolidated Financial Statements for the Years Ended June 30, 2021, 2022 and 2023</w:t>
            </w:r>
          </w:p>
        </w:tc>
        <w:tc>
          <w:tcPr>
            <w:tcW w:w="3320" w:type="dxa"/>
            <w:vAlign w:val="bottom"/>
            <w:tcBorders>
              <w:bottom w:val="single" w:sz="8" w:color="CCEEFF"/>
            </w:tcBorders>
            <w:gridSpan w:val="3"/>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4" w:lineRule="exact"/>
              <w:rPr>
                <w:sz w:val="20"/>
                <w:szCs w:val="20"/>
                <w:color w:val="auto"/>
              </w:rPr>
            </w:pPr>
            <w:r>
              <w:rPr>
                <w:rFonts w:ascii="Arial" w:cs="Arial" w:eastAsia="Arial" w:hAnsi="Arial"/>
                <w:sz w:val="18"/>
                <w:szCs w:val="18"/>
                <w:color w:val="auto"/>
                <w:w w:val="90"/>
              </w:rPr>
              <w:t>F-9- F-57</w:t>
            </w:r>
          </w:p>
        </w:tc>
        <w:tc>
          <w:tcPr>
            <w:tcW w:w="0" w:type="dxa"/>
            <w:vAlign w:val="bottom"/>
          </w:tcPr>
          <w:p>
            <w:pPr>
              <w:spacing w:after="0"/>
              <w:rPr>
                <w:sz w:val="1"/>
                <w:szCs w:val="1"/>
                <w:color w:val="auto"/>
              </w:rPr>
            </w:pPr>
          </w:p>
        </w:tc>
      </w:tr>
      <w:tr>
        <w:trPr>
          <w:trHeight w:val="647"/>
        </w:trPr>
        <w:tc>
          <w:tcPr>
            <w:tcW w:w="42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6"/>
          </w:tcPr>
          <w:p>
            <w:pPr>
              <w:jc w:val="center"/>
              <w:ind w:right="3300"/>
              <w:spacing w:after="0"/>
              <w:rPr>
                <w:sz w:val="20"/>
                <w:szCs w:val="20"/>
                <w:color w:val="auto"/>
              </w:rPr>
            </w:pPr>
            <w:r>
              <w:rPr>
                <w:rFonts w:ascii="Arial" w:cs="Arial" w:eastAsia="Arial" w:hAnsi="Arial"/>
                <w:sz w:val="18"/>
                <w:szCs w:val="18"/>
                <w:color w:val="auto"/>
                <w:w w:val="88"/>
              </w:rPr>
              <w:t>F-1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38" w:name="page139"/>
    <w:bookmarkEnd w:id="138"/>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CLPS Incorporation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CLPS Incorporation (the “Company”) as of June 30, 2023 and 2022, the related consolidated statements of comprehensive (loss)/income, changes in shareholders’ equity and cash flows for each of the three years in the period ended June 30, 2023, and the related notes (collectively referred to as the “consolidated financial statements”). In our opinion, the consolidated financial statements present fairly, in all material respects, the financial position of the Company at June 30, 2023 and 2022, and the results of its operations and its cash flows for each of the three years in the period ended June 30, 2023,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leases using a modified retrospective approach in the year ended June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October 18, 2023</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22,214,029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18,396,987</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Restricted cash</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48,515,467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53,769,887</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1,665,736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4,215,414</w:t>
            </w:r>
          </w:p>
        </w:tc>
        <w:tc>
          <w:tcPr>
            <w:tcW w:w="0" w:type="dxa"/>
            <w:vAlign w:val="bottom"/>
          </w:tcPr>
          <w:p>
            <w:pPr>
              <w:spacing w:after="0"/>
              <w:rPr>
                <w:sz w:val="1"/>
                <w:szCs w:val="1"/>
                <w:color w:val="auto"/>
              </w:rPr>
            </w:pPr>
          </w:p>
        </w:tc>
      </w:tr>
      <w:tr>
        <w:trPr>
          <w:trHeight w:val="24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377,642</w:t>
            </w:r>
          </w:p>
        </w:tc>
        <w:tc>
          <w:tcPr>
            <w:tcW w:w="0" w:type="dxa"/>
            <w:vAlign w:val="bottom"/>
          </w:tcPr>
          <w:p>
            <w:pPr>
              <w:spacing w:after="0"/>
              <w:rPr>
                <w:sz w:val="1"/>
                <w:szCs w:val="1"/>
                <w:color w:val="auto"/>
              </w:rPr>
            </w:pPr>
          </w:p>
        </w:tc>
      </w:tr>
      <w:tr>
        <w:trPr>
          <w:trHeight w:val="200"/>
        </w:trPr>
        <w:tc>
          <w:tcPr>
            <w:tcW w:w="4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Assets</w:t>
            </w:r>
          </w:p>
        </w:tc>
        <w:tc>
          <w:tcPr>
            <w:tcW w:w="26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72,874,107</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76,759,930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31"/>
              <w:spacing w:after="0" w:line="219" w:lineRule="exact"/>
              <w:rPr>
                <w:sz w:val="20"/>
                <w:szCs w:val="20"/>
                <w:color w:val="auto"/>
              </w:rPr>
            </w:pPr>
            <w:r>
              <w:rPr>
                <w:rFonts w:ascii="Arial" w:cs="Arial" w:eastAsia="Arial" w:hAnsi="Arial"/>
                <w:sz w:val="18"/>
                <w:szCs w:val="18"/>
                <w:color w:val="auto"/>
                <w:w w:val="70"/>
              </w:rPr>
              <w:t>6</w:t>
            </w:r>
            <w:r>
              <w:rPr>
                <w:rFonts w:ascii="SimSun" w:cs="SimSun" w:eastAsia="SimSun" w:hAnsi="SimSun"/>
                <w:sz w:val="18"/>
                <w:szCs w:val="18"/>
                <w:b w:val="1"/>
                <w:bCs w:val="1"/>
                <w:color w:val="auto"/>
                <w:w w:val="70"/>
              </w:rPr>
              <w:t>、</w:t>
            </w:r>
            <w:r>
              <w:rPr>
                <w:rFonts w:ascii="Arial" w:cs="Arial" w:eastAsia="Arial" w:hAnsi="Arial"/>
                <w:sz w:val="18"/>
                <w:szCs w:val="18"/>
                <w:color w:val="auto"/>
                <w:w w:val="70"/>
              </w:rPr>
              <w:t>21</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20,112,305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20,601,098</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726,175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970,044</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2,363,841</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815,324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610,386</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252,656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248,456</w:t>
            </w:r>
          </w:p>
        </w:tc>
        <w:tc>
          <w:tcPr>
            <w:tcW w:w="0" w:type="dxa"/>
            <w:vAlign w:val="bottom"/>
          </w:tcPr>
          <w:p>
            <w:pPr>
              <w:spacing w:after="0"/>
              <w:rPr>
                <w:sz w:val="1"/>
                <w:szCs w:val="1"/>
                <w:color w:val="auto"/>
              </w:rPr>
            </w:pPr>
          </w:p>
        </w:tc>
      </w:tr>
      <w:tr>
        <w:trPr>
          <w:trHeight w:val="24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3780" w:type="dxa"/>
            <w:vAlign w:val="bottom"/>
            <w:tcBorders>
              <w:bottom w:val="single" w:sz="8" w:color="CCEEFF"/>
            </w:tcBorders>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95,319,064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101,880,795</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Bank loans</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89"/>
              </w:rPr>
              <w:t>11</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10,554,617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14,474,363</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343,597</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324,021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352,402</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2,355,066</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Contract liabilities</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587,140</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10,586,239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12,203,933</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712,302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66,884</w:t>
            </w:r>
          </w:p>
        </w:tc>
        <w:tc>
          <w:tcPr>
            <w:tcW w:w="0" w:type="dxa"/>
            <w:vAlign w:val="bottom"/>
          </w:tcPr>
          <w:p>
            <w:pPr>
              <w:spacing w:after="0"/>
              <w:rPr>
                <w:sz w:val="1"/>
                <w:szCs w:val="1"/>
                <w:color w:val="auto"/>
              </w:rPr>
            </w:pPr>
          </w:p>
        </w:tc>
      </w:tr>
      <w:tr>
        <w:trPr>
          <w:trHeight w:val="200"/>
        </w:trPr>
        <w:tc>
          <w:tcPr>
            <w:tcW w:w="4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liabilities</w:t>
            </w:r>
          </w:p>
        </w:tc>
        <w:tc>
          <w:tcPr>
            <w:tcW w:w="26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26,313,948</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30,383,385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99"/>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780" w:type="dxa"/>
            <w:vAlign w:val="bottom"/>
            <w:gridSpan w:val="2"/>
          </w:tcPr>
          <w:p>
            <w:pPr>
              <w:jc w:val="center"/>
              <w:ind w:left="2671"/>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150,547</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3780" w:type="dxa"/>
            <w:vAlign w:val="bottom"/>
            <w:gridSpan w:val="2"/>
            <w:shd w:val="clear" w:color="auto" w:fill="CCEEFF"/>
          </w:tcPr>
          <w:p>
            <w:pPr>
              <w:jc w:val="center"/>
              <w:ind w:left="2671"/>
              <w:spacing w:after="0"/>
              <w:rPr>
                <w:sz w:val="20"/>
                <w:szCs w:val="20"/>
                <w:color w:val="auto"/>
              </w:rPr>
            </w:pPr>
            <w:r>
              <w:rPr>
                <w:rFonts w:ascii="Arial" w:cs="Arial" w:eastAsia="Arial" w:hAnsi="Arial"/>
                <w:sz w:val="18"/>
                <w:szCs w:val="18"/>
                <w:color w:val="auto"/>
                <w:w w:val="89"/>
              </w:rPr>
              <w:t>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2,587,194</w:t>
            </w:r>
          </w:p>
        </w:tc>
        <w:tc>
          <w:tcPr>
            <w:tcW w:w="0" w:type="dxa"/>
            <w:vAlign w:val="bottom"/>
          </w:tcPr>
          <w:p>
            <w:pPr>
              <w:spacing w:after="0"/>
              <w:rPr>
                <w:sz w:val="1"/>
                <w:szCs w:val="1"/>
                <w:color w:val="auto"/>
              </w:rPr>
            </w:pPr>
          </w:p>
        </w:tc>
      </w:tr>
      <w:tr>
        <w:trPr>
          <w:trHeight w:val="234"/>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6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885,901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959,069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29,810,263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34,080,195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Arial" w:cs="Arial" w:eastAsia="Arial" w:hAnsi="Arial"/>
                <w:sz w:val="18"/>
                <w:szCs w:val="18"/>
                <w:color w:val="auto"/>
              </w:rPr>
              <w:t>F-3</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4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40" w:name="page141"/>
    <w:bookmarkEnd w:id="140"/>
    <w:p>
      <w:pPr>
        <w:spacing w:after="0" w:line="206" w:lineRule="auto"/>
        <w:framePr w:w="3280" w:h="158" w:wrap="auto" w:vAnchor="page" w:hAnchor="page" w:x="280" w:y="5666"/>
        <w:rPr>
          <w:rFonts w:ascii="Arial" w:cs="Arial" w:eastAsia="Arial" w:hAnsi="Arial"/>
          <w:sz w:val="16"/>
          <w:szCs w:val="16"/>
          <w:b w:val="1"/>
          <w:bCs w:val="1"/>
          <w:color w:val="auto"/>
        </w:rPr>
      </w:pPr>
      <w:r>
        <w:rPr>
          <w:rFonts w:ascii="Arial" w:cs="Arial" w:eastAsia="Arial" w:hAnsi="Arial"/>
          <w:sz w:val="16"/>
          <w:szCs w:val="16"/>
          <w:b w:val="1"/>
          <w:bCs w:val="1"/>
          <w:color w:val="auto"/>
        </w:rPr>
        <w:t>Total Liabilities and Shareholders’ Equity</w:t>
      </w: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rFonts w:ascii="Arial" w:cs="Arial" w:eastAsia="Arial" w:hAnsi="Arial"/>
          <w:sz w:val="16"/>
          <w:szCs w:val="16"/>
          <w:b w:val="1"/>
          <w:bCs w:val="1"/>
          <w:color w:val="auto"/>
        </w:rPr>
      </w:pPr>
    </w:p>
    <w:p>
      <w:pPr>
        <w:ind w:left="3460"/>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6" w:lineRule="exact"/>
        <w:rPr>
          <w:rFonts w:ascii="Arial" w:cs="Arial" w:eastAsia="Arial" w:hAnsi="Arial"/>
          <w:sz w:val="16"/>
          <w:szCs w:val="16"/>
          <w:b w:val="1"/>
          <w:bCs w:val="1"/>
          <w:color w:val="auto"/>
        </w:rPr>
      </w:pPr>
    </w:p>
    <w:p>
      <w:pPr>
        <w:ind w:left="3460"/>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73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Notes</w:t>
            </w:r>
          </w:p>
        </w:tc>
        <w:tc>
          <w:tcPr>
            <w:tcW w:w="11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w w:val="93"/>
              </w:rPr>
              <w:t>Common stock, $0.0001 par value, 100,000,000 shares authorized; 23,650,122 shares issued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7320" w:type="dxa"/>
            <w:vAlign w:val="bottom"/>
          </w:tcPr>
          <w:p>
            <w:pPr>
              <w:ind w:left="160"/>
              <w:spacing w:after="0"/>
              <w:rPr>
                <w:sz w:val="20"/>
                <w:szCs w:val="20"/>
                <w:color w:val="auto"/>
              </w:rPr>
            </w:pPr>
            <w:r>
              <w:rPr>
                <w:rFonts w:ascii="Arial" w:cs="Arial" w:eastAsia="Arial" w:hAnsi="Arial"/>
                <w:sz w:val="18"/>
                <w:szCs w:val="18"/>
                <w:color w:val="auto"/>
                <w:w w:val="92"/>
              </w:rPr>
              <w:t>outstanding as of June 30, 2023; 22,444,822 shares issued and outstanding as of June 30, 2022</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58,183,383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55,705,209</w:t>
            </w: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Statutory reserves</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5,356,828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5,071,876</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5,029,021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6,323,792</w:t>
            </w: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(3,990,594)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(550,248)</w:t>
            </w:r>
          </w:p>
        </w:tc>
      </w:tr>
      <w:tr>
        <w:trPr>
          <w:trHeight w:val="247"/>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64,581,003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927,798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1,247,727</w:t>
            </w:r>
          </w:p>
        </w:tc>
      </w:tr>
      <w:tr>
        <w:trPr>
          <w:trHeight w:val="213"/>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4"/>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65,508,801</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67,800,600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4225" cy="177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225" cy="177800"/>
                    </a:xfrm>
                    <a:prstGeom prst="rect">
                      <a:avLst/>
                    </a:prstGeom>
                    <a:noFill/>
                  </pic:spPr>
                </pic:pic>
              </a:graphicData>
            </a:graphic>
          </wp:anchor>
        </w:drawing>
      </w:r>
    </w:p>
    <w:p>
      <w:pPr>
        <w:spacing w:after="0" w:line="219" w:lineRule="exact"/>
        <w:rPr>
          <w:rFonts w:ascii="Arial" w:cs="Arial" w:eastAsia="Arial" w:hAnsi="Arial"/>
          <w:sz w:val="16"/>
          <w:szCs w:val="16"/>
          <w:b w:val="1"/>
          <w:bCs w:val="1"/>
          <w:color w:val="auto"/>
        </w:rPr>
      </w:pPr>
    </w:p>
    <w:p>
      <w:pPr>
        <w:ind w:left="8700"/>
        <w:spacing w:after="0"/>
        <w:tabs>
          <w:tab w:leader="none" w:pos="9000" w:val="left"/>
          <w:tab w:leader="none" w:pos="10000" w:val="left"/>
        </w:tabs>
        <w:rPr>
          <w:sz w:val="20"/>
          <w:szCs w:val="20"/>
          <w:color w:val="auto"/>
        </w:rPr>
      </w:pPr>
      <w:r>
        <w:rPr>
          <w:rFonts w:ascii="Arial" w:cs="Arial" w:eastAsia="Arial" w:hAnsi="Arial"/>
          <w:sz w:val="18"/>
          <w:szCs w:val="18"/>
          <w:u w:val="single" w:color="auto"/>
          <w:color w:val="auto"/>
        </w:rPr>
        <w:t>$</w:t>
        <w:tab/>
        <w:t>95,319,064</w:t>
      </w:r>
      <w:r>
        <w:rPr>
          <w:sz w:val="20"/>
          <w:szCs w:val="20"/>
          <w:color w:val="auto"/>
        </w:rPr>
        <w:tab/>
      </w:r>
      <w:r>
        <w:rPr>
          <w:rFonts w:ascii="Arial" w:cs="Arial" w:eastAsia="Arial" w:hAnsi="Arial"/>
          <w:sz w:val="16"/>
          <w:szCs w:val="16"/>
          <w:u w:val="single" w:color="auto"/>
          <w:color w:val="auto"/>
        </w:rPr>
        <w:t>$  101,880,795</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5520055</wp:posOffset>
            </wp:positionH>
            <wp:positionV relativeFrom="paragraph">
              <wp:posOffset>38735</wp:posOffset>
            </wp:positionV>
            <wp:extent cx="155067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50670" cy="17145"/>
                    </a:xfrm>
                    <a:prstGeom prst="rect">
                      <a:avLst/>
                    </a:prstGeom>
                    <a:noFill/>
                  </pic:spPr>
                </pic:pic>
              </a:graphicData>
            </a:graphic>
          </wp:anchor>
        </w:drawing>
      </w:r>
    </w:p>
    <w:p>
      <w:pPr>
        <w:spacing w:after="0" w:line="267"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rFonts w:ascii="Arial" w:cs="Arial" w:eastAsia="Arial" w:hAnsi="Arial"/>
          <w:sz w:val="16"/>
          <w:szCs w:val="16"/>
          <w:b w:val="1"/>
          <w:bCs w:val="1"/>
          <w:color w:val="auto"/>
        </w:rPr>
      </w:pPr>
    </w:p>
    <w:p>
      <w:pPr>
        <w:spacing w:after="0" w:line="233"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9"/>
          </w:tcPr>
          <w:p>
            <w:pPr>
              <w:jc w:val="right"/>
              <w:ind w:right="822"/>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third parties</w:t>
            </w: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w w:val="97"/>
              </w:rPr>
              <w:t>150,298,963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95"/>
              </w:rPr>
              <w:t>151,970,357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3"/>
              </w:rPr>
              <w:t>125,792,221</w:t>
            </w:r>
          </w:p>
        </w:tc>
        <w:tc>
          <w:tcPr>
            <w:tcW w:w="0" w:type="dxa"/>
            <w:vAlign w:val="bottom"/>
          </w:tcPr>
          <w:p>
            <w:pPr>
              <w:spacing w:after="0"/>
              <w:rPr>
                <w:sz w:val="1"/>
                <w:szCs w:val="1"/>
                <w:color w:val="auto"/>
              </w:rPr>
            </w:pPr>
          </w:p>
        </w:tc>
      </w:tr>
      <w:tr>
        <w:trPr>
          <w:trHeight w:val="24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 from related parties</w:t>
            </w:r>
          </w:p>
        </w:tc>
        <w:tc>
          <w:tcPr>
            <w:tcW w:w="1120" w:type="dxa"/>
            <w:vAlign w:val="bottom"/>
            <w:tcBorders>
              <w:bottom w:val="single" w:sz="8" w:color="CCEEFF"/>
            </w:tcBorders>
          </w:tcPr>
          <w:p>
            <w:pPr>
              <w:jc w:val="right"/>
              <w:ind w:right="331"/>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269,472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w w:val="97"/>
              </w:rPr>
              <w:t>150,356,539</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w w:val="95"/>
              </w:rPr>
              <w:t>152,022,381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126,061,693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from third parties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2"/>
              </w:rPr>
              <w:t>(115,827,597)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(110,989,394)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(85,664,401)</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Cost of revenue from related parties</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(47,212)</w:t>
            </w: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(43,951)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(226,356)</w:t>
            </w:r>
          </w:p>
        </w:tc>
        <w:tc>
          <w:tcPr>
            <w:tcW w:w="0" w:type="dxa"/>
            <w:vAlign w:val="bottom"/>
          </w:tcPr>
          <w:p>
            <w:pPr>
              <w:spacing w:after="0"/>
              <w:rPr>
                <w:sz w:val="1"/>
                <w:szCs w:val="1"/>
                <w:color w:val="auto"/>
              </w:rPr>
            </w:pPr>
          </w:p>
        </w:tc>
      </w:tr>
      <w:tr>
        <w:trPr>
          <w:trHeight w:val="24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revenue</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(115,874,809</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(111,033,345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(85,890,757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34,481,730</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40,989,036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40,170,936</w:t>
            </w: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(3,300,555)</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(4,103,066)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(3,753,236)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(8,336,999)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(7,971,145)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(13,337,913)</w:t>
            </w: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(21,641,317)</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9"/>
              </w:rPr>
              <w:t>(23,045,664)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(16,784,688)</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(2,382,538)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tcPr>
          <w:p>
            <w:pPr>
              <w:ind w:left="160"/>
              <w:spacing w:after="0"/>
              <w:rPr>
                <w:sz w:val="20"/>
                <w:szCs w:val="20"/>
                <w:color w:val="auto"/>
              </w:rPr>
            </w:pPr>
            <w:r>
              <w:rPr>
                <w:rFonts w:ascii="Arial" w:cs="Arial" w:eastAsia="Arial" w:hAnsi="Arial"/>
                <w:sz w:val="18"/>
                <w:szCs w:val="18"/>
                <w:color w:val="auto"/>
              </w:rPr>
              <w:t>Subsidies and other operating income</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1,256,070</w:t>
            </w:r>
          </w:p>
        </w:tc>
        <w:tc>
          <w:tcPr>
            <w:tcW w:w="14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1,536,394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2,080,087</w:t>
            </w:r>
          </w:p>
        </w:tc>
        <w:tc>
          <w:tcPr>
            <w:tcW w:w="0" w:type="dxa"/>
            <w:vAlign w:val="bottom"/>
          </w:tcPr>
          <w:p>
            <w:pPr>
              <w:spacing w:after="0"/>
              <w:rPr>
                <w:sz w:val="1"/>
                <w:szCs w:val="1"/>
                <w:color w:val="auto"/>
              </w:rPr>
            </w:pPr>
          </w:p>
        </w:tc>
      </w:tr>
      <w:tr>
        <w:trPr>
          <w:trHeight w:val="23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(34,405,339</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(33,583,481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(31,795,750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5980" w:type="dxa"/>
            <w:vAlign w:val="bottom"/>
          </w:tcPr>
          <w:p>
            <w:pPr>
              <w:spacing w:after="0" w:line="201" w:lineRule="exact"/>
              <w:rPr>
                <w:sz w:val="20"/>
                <w:szCs w:val="20"/>
                <w:color w:val="auto"/>
              </w:rPr>
            </w:pPr>
            <w:r>
              <w:rPr>
                <w:rFonts w:ascii="Arial" w:cs="Arial" w:eastAsia="Arial" w:hAnsi="Arial"/>
                <w:sz w:val="18"/>
                <w:szCs w:val="18"/>
                <w:b w:val="1"/>
                <w:bCs w:val="1"/>
                <w:color w:val="auto"/>
              </w:rPr>
              <w:t>Income from operations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76,391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7,405,555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8,375,186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1,123,612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854,250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296,319</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color w:val="auto"/>
              </w:rPr>
              <w:t>Other expenses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(430,357)</w:t>
            </w: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(575,605)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(351,045)</w:t>
            </w: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Income before income tax and share of income in equity investees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769,646</w:t>
            </w:r>
          </w:p>
        </w:tc>
        <w:tc>
          <w:tcPr>
            <w:tcW w:w="140" w:type="dxa"/>
            <w:vAlign w:val="bottom"/>
          </w:tcPr>
          <w:p>
            <w:pPr>
              <w:spacing w:after="0"/>
              <w:rPr>
                <w:sz w:val="18"/>
                <w:szCs w:val="18"/>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7,684,200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8,320,460</w:t>
            </w:r>
          </w:p>
        </w:tc>
        <w:tc>
          <w:tcPr>
            <w:tcW w:w="0" w:type="dxa"/>
            <w:vAlign w:val="bottom"/>
          </w:tcPr>
          <w:p>
            <w:pPr>
              <w:spacing w:after="0"/>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674,344</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3,045,992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1,257,124</w:t>
            </w:r>
          </w:p>
        </w:tc>
        <w:tc>
          <w:tcPr>
            <w:tcW w:w="0" w:type="dxa"/>
            <w:vAlign w:val="bottom"/>
          </w:tcPr>
          <w:p>
            <w:pPr>
              <w:spacing w:after="0"/>
              <w:rPr>
                <w:sz w:val="1"/>
                <w:szCs w:val="1"/>
                <w:color w:val="auto"/>
              </w:rPr>
            </w:pPr>
          </w:p>
        </w:tc>
      </w:tr>
      <w:tr>
        <w:trPr>
          <w:trHeight w:val="200"/>
        </w:trPr>
        <w:tc>
          <w:tcPr>
            <w:tcW w:w="59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before share of income in equity investees</w:t>
            </w: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95,302</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4,638,208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7,063,336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of income (loss) in equity investees, net of tax</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70,263</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(44,121)</w:t>
            </w:r>
          </w:p>
        </w:tc>
        <w:tc>
          <w:tcPr>
            <w:tcW w:w="0" w:type="dxa"/>
            <w:vAlign w:val="bottom"/>
          </w:tcPr>
          <w:p>
            <w:pPr>
              <w:spacing w:after="0"/>
              <w:rPr>
                <w:sz w:val="1"/>
                <w:szCs w:val="1"/>
                <w:color w:val="auto"/>
              </w:rPr>
            </w:pPr>
          </w:p>
        </w:tc>
      </w:tr>
      <w:tr>
        <w:trPr>
          <w:trHeight w:val="200"/>
        </w:trPr>
        <w:tc>
          <w:tcPr>
            <w:tcW w:w="59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165,565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4,587,911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7,019,215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(26,964)</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132,483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202,643</w:t>
            </w:r>
          </w:p>
        </w:tc>
        <w:tc>
          <w:tcPr>
            <w:tcW w:w="0" w:type="dxa"/>
            <w:vAlign w:val="bottom"/>
          </w:tcPr>
          <w:p>
            <w:pPr>
              <w:spacing w:after="0"/>
              <w:rPr>
                <w:sz w:val="1"/>
                <w:szCs w:val="1"/>
                <w:color w:val="auto"/>
              </w:rPr>
            </w:pPr>
          </w:p>
        </w:tc>
      </w:tr>
      <w:tr>
        <w:trPr>
          <w:trHeight w:val="274"/>
        </w:trPr>
        <w:tc>
          <w:tcPr>
            <w:tcW w:w="5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120" w:type="dxa"/>
            <w:vAlign w:val="bottom"/>
            <w:tcBorders>
              <w:top w:val="single" w:sz="8" w:color="CCEEFF"/>
              <w:bottom w:val="single" w:sz="8" w:color="CCEEFF"/>
            </w:tcBorders>
          </w:tcPr>
          <w:p>
            <w:pPr>
              <w:spacing w:after="0"/>
              <w:rPr>
                <w:sz w:val="23"/>
                <w:szCs w:val="23"/>
                <w:color w:val="auto"/>
              </w:rPr>
            </w:pPr>
          </w:p>
        </w:tc>
        <w:tc>
          <w:tcPr>
            <w:tcW w:w="24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192,529</w:t>
            </w:r>
          </w:p>
        </w:tc>
        <w:tc>
          <w:tcPr>
            <w:tcW w:w="22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4,455,428</w:t>
            </w:r>
          </w:p>
        </w:tc>
        <w:tc>
          <w:tcPr>
            <w:tcW w:w="120" w:type="dxa"/>
            <w:vAlign w:val="bottom"/>
            <w:tcBorders>
              <w:top w:val="single" w:sz="8" w:color="CCEEFF"/>
              <w:bottom w:val="single" w:sz="8" w:color="CCEEFF"/>
            </w:tcBorders>
          </w:tcPr>
          <w:p>
            <w:pPr>
              <w:spacing w:after="0"/>
              <w:rPr>
                <w:sz w:val="23"/>
                <w:szCs w:val="23"/>
                <w:color w:val="auto"/>
              </w:rPr>
            </w:pPr>
          </w:p>
        </w:tc>
        <w:tc>
          <w:tcPr>
            <w:tcW w:w="80" w:type="dxa"/>
            <w:vAlign w:val="bottom"/>
            <w:tcBorders>
              <w:top w:val="single" w:sz="8" w:color="CCEEFF"/>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6,816,572</w:t>
            </w:r>
          </w:p>
        </w:tc>
        <w:tc>
          <w:tcPr>
            <w:tcW w:w="100" w:type="dxa"/>
            <w:vAlign w:val="bottom"/>
            <w:tcBorders>
              <w:top w:val="single" w:sz="8" w:color="CCEEFF"/>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(loss) income</w:t>
            </w: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(3,532,507)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(1,828,542)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2,695,223</w:t>
            </w:r>
          </w:p>
        </w:tc>
        <w:tc>
          <w:tcPr>
            <w:tcW w:w="0" w:type="dxa"/>
            <w:vAlign w:val="bottom"/>
          </w:tcPr>
          <w:p>
            <w:pPr>
              <w:spacing w:after="0"/>
              <w:rPr>
                <w:sz w:val="1"/>
                <w:szCs w:val="1"/>
                <w:color w:val="auto"/>
              </w:rPr>
            </w:pPr>
          </w:p>
        </w:tc>
      </w:tr>
      <w:tr>
        <w:trPr>
          <w:trHeight w:val="199"/>
        </w:trPr>
        <w:tc>
          <w:tcPr>
            <w:tcW w:w="5980" w:type="dxa"/>
            <w:vAlign w:val="bottom"/>
          </w:tcPr>
          <w:p>
            <w:pPr>
              <w:ind w:left="160"/>
              <w:spacing w:after="0" w:line="199" w:lineRule="exact"/>
              <w:rPr>
                <w:sz w:val="20"/>
                <w:szCs w:val="20"/>
                <w:color w:val="auto"/>
              </w:rPr>
            </w:pPr>
            <w:r>
              <w:rPr>
                <w:rFonts w:ascii="Arial" w:cs="Arial" w:eastAsia="Arial" w:hAnsi="Arial"/>
                <w:sz w:val="18"/>
                <w:szCs w:val="18"/>
                <w:color w:val="auto"/>
                <w:w w:val="95"/>
              </w:rPr>
              <w:t>Less: foreign currency translation (loss) income attributable to noncontrolling</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980" w:type="dxa"/>
            <w:vAlign w:val="bottom"/>
          </w:tcPr>
          <w:p>
            <w:pPr>
              <w:ind w:left="320"/>
              <w:spacing w:after="0"/>
              <w:rPr>
                <w:sz w:val="20"/>
                <w:szCs w:val="20"/>
                <w:color w:val="auto"/>
              </w:rPr>
            </w:pPr>
            <w:r>
              <w:rPr>
                <w:rFonts w:ascii="Arial" w:cs="Arial" w:eastAsia="Arial" w:hAnsi="Arial"/>
                <w:sz w:val="18"/>
                <w:szCs w:val="18"/>
                <w:color w:val="auto"/>
              </w:rPr>
              <w:t>interests</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(92,161)</w:t>
            </w: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(48,211)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102,475</w:t>
            </w:r>
          </w:p>
        </w:tc>
        <w:tc>
          <w:tcPr>
            <w:tcW w:w="0" w:type="dxa"/>
            <w:vAlign w:val="bottom"/>
          </w:tcPr>
          <w:p>
            <w:pPr>
              <w:spacing w:after="0"/>
              <w:rPr>
                <w:sz w:val="1"/>
                <w:szCs w:val="1"/>
                <w:color w:val="auto"/>
              </w:rPr>
            </w:pPr>
          </w:p>
        </w:tc>
      </w:tr>
      <w:tr>
        <w:trPr>
          <w:trHeight w:val="186"/>
        </w:trPr>
        <w:tc>
          <w:tcPr>
            <w:tcW w:w="5980" w:type="dxa"/>
            <w:vAlign w:val="bottom"/>
            <w:tcBorders>
              <w:top w:val="single" w:sz="8" w:color="CCEEFF"/>
            </w:tcBorders>
            <w:shd w:val="clear" w:color="auto" w:fill="CCEEFF"/>
          </w:tcPr>
          <w:p>
            <w:pPr>
              <w:ind w:left="160"/>
              <w:spacing w:after="0" w:line="186" w:lineRule="exact"/>
              <w:rPr>
                <w:sz w:val="20"/>
                <w:szCs w:val="20"/>
                <w:color w:val="auto"/>
              </w:rPr>
            </w:pPr>
            <w:r>
              <w:rPr>
                <w:rFonts w:ascii="Arial" w:cs="Arial" w:eastAsia="Arial" w:hAnsi="Arial"/>
                <w:sz w:val="18"/>
                <w:szCs w:val="18"/>
                <w:color w:val="auto"/>
              </w:rPr>
              <w:t>Other comprehensive (loss) income attributable to CLPS</w:t>
            </w: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Incorporation’s shareholders</w:t>
            </w:r>
          </w:p>
        </w:tc>
        <w:tc>
          <w:tcPr>
            <w:tcW w:w="11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2"/>
              <w:spacing w:after="0" w:line="268" w:lineRule="exact"/>
              <w:rPr>
                <w:sz w:val="20"/>
                <w:szCs w:val="20"/>
                <w:color w:val="auto"/>
              </w:rPr>
            </w:pPr>
            <w:r>
              <w:rPr>
                <w:rFonts w:ascii="Arial" w:cs="Arial" w:eastAsia="Arial" w:hAnsi="Arial"/>
                <w:sz w:val="16"/>
                <w:szCs w:val="16"/>
                <w:color w:val="auto"/>
              </w:rPr>
              <w:t>(3,440,346</w:t>
            </w:r>
            <w:r>
              <w:rPr>
                <w:rFonts w:ascii="Arial" w:cs="Arial" w:eastAsia="Arial" w:hAnsi="Arial"/>
                <w:sz w:val="31"/>
                <w:szCs w:val="3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line="268" w:lineRule="exact"/>
              <w:rPr>
                <w:sz w:val="20"/>
                <w:szCs w:val="20"/>
                <w:color w:val="auto"/>
              </w:rPr>
            </w:pPr>
            <w:r>
              <w:rPr>
                <w:rFonts w:ascii="Arial" w:cs="Arial" w:eastAsia="Arial" w:hAnsi="Arial"/>
                <w:sz w:val="16"/>
                <w:szCs w:val="16"/>
                <w:color w:val="auto"/>
              </w:rPr>
              <w:t>(1,780,331</w:t>
            </w:r>
            <w:r>
              <w:rPr>
                <w:rFonts w:ascii="Arial" w:cs="Arial" w:eastAsia="Arial" w:hAnsi="Arial"/>
                <w:sz w:val="31"/>
                <w:szCs w:val="31"/>
                <w:color w:val="auto"/>
                <w:vertAlign w:val="superscript"/>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2,592,748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Comprehensive (loss) income attributable to CLPS Incorporation's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(3,247,817)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2,675,097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9,409,320</w:t>
            </w:r>
          </w:p>
        </w:tc>
        <w:tc>
          <w:tcPr>
            <w:tcW w:w="0" w:type="dxa"/>
            <w:vAlign w:val="bottom"/>
          </w:tcPr>
          <w:p>
            <w:pPr>
              <w:spacing w:after="0"/>
              <w:rPr>
                <w:sz w:val="1"/>
                <w:szCs w:val="1"/>
                <w:color w:val="auto"/>
              </w:rPr>
            </w:pPr>
          </w:p>
        </w:tc>
      </w:tr>
      <w:tr>
        <w:trPr>
          <w:trHeight w:val="234"/>
        </w:trPr>
        <w:tc>
          <w:tcPr>
            <w:tcW w:w="5980" w:type="dxa"/>
            <w:vAlign w:val="bottom"/>
          </w:tcPr>
          <w:p>
            <w:pPr>
              <w:ind w:left="16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(119,125)</w:t>
            </w:r>
          </w:p>
        </w:tc>
        <w:tc>
          <w:tcPr>
            <w:tcW w:w="14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84,272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305,118</w:t>
            </w:r>
          </w:p>
        </w:tc>
        <w:tc>
          <w:tcPr>
            <w:tcW w:w="0" w:type="dxa"/>
            <w:vAlign w:val="bottom"/>
          </w:tcPr>
          <w:p>
            <w:pPr>
              <w:spacing w:after="0"/>
              <w:rPr>
                <w:sz w:val="1"/>
                <w:szCs w:val="1"/>
                <w:color w:val="auto"/>
              </w:rPr>
            </w:pPr>
          </w:p>
        </w:tc>
      </w:tr>
      <w:tr>
        <w:trPr>
          <w:trHeight w:val="24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(3,366,942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2,759,369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9,714,438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120" w:type="dxa"/>
            <w:vAlign w:val="bottom"/>
            <w:vMerge w:val="restart"/>
          </w:tcPr>
          <w:p>
            <w:pPr>
              <w:jc w:val="right"/>
              <w:ind w:right="331"/>
              <w:spacing w:after="0"/>
              <w:rPr>
                <w:sz w:val="20"/>
                <w:szCs w:val="20"/>
                <w:color w:val="auto"/>
              </w:rPr>
            </w:pPr>
            <w:r>
              <w:rPr>
                <w:rFonts w:ascii="Arial" w:cs="Arial" w:eastAsia="Arial" w:hAnsi="Arial"/>
                <w:sz w:val="18"/>
                <w:szCs w:val="18"/>
                <w:color w:val="auto"/>
              </w:rPr>
              <w:t>16</w:t>
            </w:r>
          </w:p>
        </w:tc>
        <w:tc>
          <w:tcPr>
            <w:tcW w:w="3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Weighted average number of share outstanding – basic</w:t>
            </w: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23,153,976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20,924,683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17,279,443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120" w:type="dxa"/>
            <w:vAlign w:val="bottom"/>
            <w:vMerge w:val="restart"/>
          </w:tcPr>
          <w:p>
            <w:pPr>
              <w:jc w:val="right"/>
              <w:ind w:right="331"/>
              <w:spacing w:after="0"/>
              <w:rPr>
                <w:sz w:val="20"/>
                <w:szCs w:val="20"/>
                <w:color w:val="auto"/>
              </w:rPr>
            </w:pPr>
            <w:r>
              <w:rPr>
                <w:rFonts w:ascii="Arial" w:cs="Arial" w:eastAsia="Arial" w:hAnsi="Arial"/>
                <w:sz w:val="18"/>
                <w:szCs w:val="18"/>
                <w:color w:val="auto"/>
              </w:rPr>
              <w:t>16</w:t>
            </w:r>
          </w:p>
        </w:tc>
        <w:tc>
          <w:tcPr>
            <w:tcW w:w="3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Weighted average number of share outstanding – diluted</w:t>
            </w: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23,153,976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21,057,063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17,569,440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2" w:name="page143"/>
    <w:bookmarkEnd w:id="14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Retained</w:t>
            </w:r>
          </w:p>
        </w:tc>
        <w:tc>
          <w:tcPr>
            <w:tcW w:w="13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8"/>
              </w:rPr>
              <w:t>Additional</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Earnings</w:t>
            </w:r>
          </w:p>
        </w:tc>
        <w:tc>
          <w:tcPr>
            <w:tcW w:w="1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7"/>
                <w:szCs w:val="17"/>
                <w:b w:val="1"/>
                <w:bCs w:val="1"/>
                <w:color w:val="auto"/>
              </w:rPr>
              <w:t>Common Share</w:t>
            </w:r>
          </w:p>
        </w:tc>
        <w:tc>
          <w:tcPr>
            <w:tcW w:w="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Paid-in</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6"/>
              </w:rPr>
              <w:t>Statutory</w:t>
            </w:r>
          </w:p>
        </w:tc>
        <w:tc>
          <w:tcPr>
            <w:tcW w:w="126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0"/>
              </w:rPr>
              <w:t>(Accumulated</w:t>
            </w:r>
          </w:p>
        </w:tc>
        <w:tc>
          <w:tcPr>
            <w:tcW w:w="13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7"/>
              </w:rPr>
              <w:t>Comprehensive</w:t>
            </w:r>
          </w:p>
        </w:tc>
        <w:tc>
          <w:tcPr>
            <w:tcW w:w="136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w w:val="90"/>
              </w:rPr>
              <w:t>Noncontrolling</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184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7"/>
                <w:szCs w:val="17"/>
                <w:b w:val="1"/>
                <w:bCs w:val="1"/>
                <w:color w:val="auto"/>
              </w:rPr>
              <w:t>Notes</w:t>
            </w: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Shares</w:t>
            </w:r>
          </w:p>
        </w:tc>
        <w:tc>
          <w:tcPr>
            <w:tcW w:w="6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96"/>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1"/>
              </w:rPr>
              <w:t>Surplus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Deficits)</w:t>
            </w:r>
          </w:p>
        </w:tc>
        <w:tc>
          <w:tcPr>
            <w:tcW w:w="13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6"/>
              </w:rPr>
              <w:t>Income (Loss)</w:t>
            </w:r>
          </w:p>
        </w:tc>
        <w:tc>
          <w:tcPr>
            <w:tcW w:w="160" w:type="dxa"/>
            <w:vAlign w:val="bottom"/>
          </w:tcPr>
          <w:p>
            <w:pPr>
              <w:spacing w:after="0"/>
              <w:rPr>
                <w:sz w:val="19"/>
                <w:szCs w:val="19"/>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87"/>
              </w:rPr>
              <w:t>Interests</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186"/>
        </w:trPr>
        <w:tc>
          <w:tcPr>
            <w:tcW w:w="18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Balance at June 30,</w:t>
            </w: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15,930,330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28,586,048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2,803,811</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(2,680,143)</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(1,362,665)</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1,268,716</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28,617,360</w:t>
            </w:r>
          </w:p>
        </w:tc>
      </w:tr>
      <w:tr>
        <w:trPr>
          <w:trHeight w:val="213"/>
        </w:trPr>
        <w:tc>
          <w:tcPr>
            <w:tcW w:w="1840" w:type="dxa"/>
            <w:vAlign w:val="bottom"/>
          </w:tcPr>
          <w:p>
            <w:pPr>
              <w:spacing w:after="0"/>
              <w:rPr>
                <w:sz w:val="20"/>
                <w:szCs w:val="20"/>
                <w:color w:val="auto"/>
              </w:rPr>
            </w:pPr>
            <w:r>
              <w:rPr>
                <w:rFonts w:ascii="Arial" w:cs="Arial" w:eastAsia="Arial" w:hAnsi="Arial"/>
                <w:sz w:val="18"/>
                <w:szCs w:val="18"/>
                <w:color w:val="auto"/>
                <w:w w:val="96"/>
              </w:rPr>
              <w:t>Net Income for the year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6,816,572</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202,643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7,019,215</w:t>
            </w:r>
          </w:p>
        </w:tc>
        <w:tc>
          <w:tcPr>
            <w:tcW w:w="100" w:type="dxa"/>
            <w:vAlign w:val="bottom"/>
          </w:tcPr>
          <w:p>
            <w:pPr>
              <w:spacing w:after="0"/>
              <w:rPr>
                <w:sz w:val="18"/>
                <w:szCs w:val="18"/>
                <w:color w:val="auto"/>
              </w:rPr>
            </w:pPr>
          </w:p>
        </w:tc>
      </w:tr>
      <w:tr>
        <w:trPr>
          <w:trHeight w:val="199"/>
        </w:trPr>
        <w:tc>
          <w:tcPr>
            <w:tcW w:w="1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Appropriation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statutory reserve</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1,410,264</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(1,410,264)</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Foreign currency</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translation loss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2,592,748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102,475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2,695,223</w:t>
            </w:r>
          </w:p>
        </w:tc>
        <w:tc>
          <w:tcPr>
            <w:tcW w:w="100" w:type="dxa"/>
            <w:vAlign w:val="bottom"/>
          </w:tcPr>
          <w:p>
            <w:pPr>
              <w:spacing w:after="0"/>
              <w:rPr>
                <w:sz w:val="19"/>
                <w:szCs w:val="19"/>
                <w:color w:val="auto"/>
              </w:rPr>
            </w:pP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Purchase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noncontrolling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62,622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3,274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(458,826)</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(455,546)</w:t>
            </w:r>
          </w:p>
        </w:tc>
      </w:tr>
      <w:tr>
        <w:trPr>
          <w:trHeight w:val="213"/>
        </w:trPr>
        <w:tc>
          <w:tcPr>
            <w:tcW w:w="1840" w:type="dxa"/>
            <w:vAlign w:val="bottom"/>
          </w:tcPr>
          <w:p>
            <w:pPr>
              <w:spacing w:after="0"/>
              <w:rPr>
                <w:sz w:val="20"/>
                <w:szCs w:val="20"/>
                <w:color w:val="auto"/>
              </w:rPr>
            </w:pPr>
            <w:r>
              <w:rPr>
                <w:rFonts w:ascii="Arial" w:cs="Arial" w:eastAsia="Arial" w:hAnsi="Arial"/>
                <w:sz w:val="18"/>
                <w:szCs w:val="18"/>
                <w:color w:val="auto"/>
                <w:w w:val="96"/>
              </w:rPr>
              <w:t>Disposal of subsidiaries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(34,116)</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(34,116)</w:t>
            </w:r>
          </w:p>
        </w:tc>
      </w:tr>
      <w:tr>
        <w:trPr>
          <w:trHeight w:val="199"/>
        </w:trPr>
        <w:tc>
          <w:tcPr>
            <w:tcW w:w="1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Stock-based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5,128,696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5,128,696</w:t>
            </w:r>
          </w:p>
        </w:tc>
        <w:tc>
          <w:tcPr>
            <w:tcW w:w="100" w:type="dxa"/>
            <w:vAlign w:val="bottom"/>
            <w:shd w:val="clear" w:color="auto" w:fill="CCEEFF"/>
          </w:tcPr>
          <w:p>
            <w:pPr>
              <w:spacing w:after="0"/>
              <w:rPr>
                <w:sz w:val="19"/>
                <w:szCs w:val="19"/>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Exercise of share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840" w:type="dxa"/>
            <w:vAlign w:val="bottom"/>
          </w:tcPr>
          <w:p>
            <w:pPr>
              <w:ind w:left="160"/>
              <w:spacing w:after="0"/>
              <w:rPr>
                <w:sz w:val="20"/>
                <w:szCs w:val="20"/>
                <w:color w:val="auto"/>
              </w:rPr>
            </w:pPr>
            <w:r>
              <w:rPr>
                <w:rFonts w:ascii="Arial" w:cs="Arial" w:eastAsia="Arial" w:hAnsi="Arial"/>
                <w:sz w:val="18"/>
                <w:szCs w:val="18"/>
                <w:color w:val="auto"/>
                <w:w w:val="94"/>
              </w:rPr>
              <w:t>options and vesting of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restricted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1,568,392</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116,073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116,230</w:t>
            </w: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65,542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Issuance of common</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840" w:type="dxa"/>
            <w:vAlign w:val="bottom"/>
          </w:tcPr>
          <w:p>
            <w:pPr>
              <w:ind w:left="160"/>
              <w:spacing w:after="0"/>
              <w:rPr>
                <w:sz w:val="20"/>
                <w:szCs w:val="20"/>
                <w:color w:val="auto"/>
              </w:rPr>
            </w:pPr>
            <w:r>
              <w:rPr>
                <w:rFonts w:ascii="Arial" w:cs="Arial" w:eastAsia="Arial" w:hAnsi="Arial"/>
                <w:sz w:val="18"/>
                <w:szCs w:val="18"/>
                <w:color w:val="auto"/>
              </w:rPr>
              <w:t>shares from private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placement</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2,666,666</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267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11,131,562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11,131,829</w:t>
            </w: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Warrants issued in</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placement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3,551,048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3,551,048</w:t>
            </w:r>
          </w:p>
        </w:tc>
        <w:tc>
          <w:tcPr>
            <w:tcW w:w="100" w:type="dxa"/>
            <w:vAlign w:val="bottom"/>
            <w:shd w:val="clear" w:color="auto" w:fill="CCEEFF"/>
          </w:tcPr>
          <w:p>
            <w:pPr>
              <w:spacing w:after="0"/>
              <w:rPr>
                <w:sz w:val="19"/>
                <w:szCs w:val="19"/>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w w:val="96"/>
              </w:rPr>
              <w:t>Noncontrolling interests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840" w:type="dxa"/>
            <w:vAlign w:val="bottom"/>
          </w:tcPr>
          <w:p>
            <w:pPr>
              <w:ind w:left="160"/>
              <w:spacing w:after="0"/>
              <w:rPr>
                <w:sz w:val="20"/>
                <w:szCs w:val="20"/>
                <w:color w:val="auto"/>
              </w:rPr>
            </w:pPr>
            <w:r>
              <w:rPr>
                <w:rFonts w:ascii="Arial" w:cs="Arial" w:eastAsia="Arial" w:hAnsi="Arial"/>
                <w:sz w:val="18"/>
                <w:szCs w:val="18"/>
                <w:color w:val="auto"/>
              </w:rPr>
              <w:t>through an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(5,107)</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(5,107)</w:t>
            </w: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Dividends paid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0"/>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(34,137)</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(34,137)</w:t>
            </w:r>
          </w:p>
        </w:tc>
      </w:tr>
      <w:tr>
        <w:trPr>
          <w:trHeight w:val="173"/>
        </w:trPr>
        <w:tc>
          <w:tcPr>
            <w:tcW w:w="1840" w:type="dxa"/>
            <w:vAlign w:val="bottom"/>
            <w:tcBorders>
              <w:top w:val="single" w:sz="8" w:color="CCEEFF"/>
            </w:tcBorders>
          </w:tcPr>
          <w:p>
            <w:pPr>
              <w:spacing w:after="0" w:line="173" w:lineRule="exact"/>
              <w:rPr>
                <w:sz w:val="20"/>
                <w:szCs w:val="20"/>
                <w:color w:val="auto"/>
              </w:rPr>
            </w:pPr>
            <w:r>
              <w:rPr>
                <w:rFonts w:ascii="Arial" w:cs="Arial" w:eastAsia="Arial" w:hAnsi="Arial"/>
                <w:sz w:val="18"/>
                <w:szCs w:val="18"/>
                <w:color w:val="auto"/>
              </w:rPr>
              <w:t>Balance at June 30,</w:t>
            </w:r>
          </w:p>
        </w:tc>
        <w:tc>
          <w:tcPr>
            <w:tcW w:w="5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20,293,552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48,516,695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4,214,075</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2,726,165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1,230,083</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1,041,648</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57,730,695</w:t>
            </w: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for the year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4,455,428</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132,483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4,587,911</w:t>
            </w: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Appropriation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statutory reserve</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857,801</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(857,801)</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loss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(1,780,331)</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(48,211)</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(1,828,542)</w:t>
            </w: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Stock-based</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7,184,862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7,184,862</w:t>
            </w:r>
          </w:p>
        </w:tc>
        <w:tc>
          <w:tcPr>
            <w:tcW w:w="100" w:type="dxa"/>
            <w:vAlign w:val="bottom"/>
          </w:tcPr>
          <w:p>
            <w:pPr>
              <w:spacing w:after="0"/>
              <w:rPr>
                <w:sz w:val="19"/>
                <w:szCs w:val="19"/>
                <w:color w:val="auto"/>
              </w:rPr>
            </w:pP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Surrender of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(220,823)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Exercise of share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840" w:type="dxa"/>
            <w:vAlign w:val="bottom"/>
          </w:tcPr>
          <w:p>
            <w:pPr>
              <w:ind w:left="160"/>
              <w:spacing w:after="0"/>
              <w:rPr>
                <w:sz w:val="20"/>
                <w:szCs w:val="20"/>
                <w:color w:val="auto"/>
              </w:rPr>
            </w:pPr>
            <w:r>
              <w:rPr>
                <w:rFonts w:ascii="Arial" w:cs="Arial" w:eastAsia="Arial" w:hAnsi="Arial"/>
                <w:sz w:val="18"/>
                <w:szCs w:val="18"/>
                <w:color w:val="auto"/>
                <w:w w:val="94"/>
              </w:rPr>
              <w:t>options and vesting of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restricted shares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2,372,093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237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3,630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6"/>
              </w:rPr>
              <w:t>Noncontrolling interests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an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0"/>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121,807</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121,807</w:t>
            </w:r>
          </w:p>
        </w:tc>
      </w:tr>
      <w:tr>
        <w:trPr>
          <w:trHeight w:val="173"/>
        </w:trPr>
        <w:tc>
          <w:tcPr>
            <w:tcW w:w="1840" w:type="dxa"/>
            <w:vAlign w:val="bottom"/>
            <w:tcBorders>
              <w:top w:val="single" w:sz="8" w:color="CCEEFF"/>
            </w:tcBorders>
          </w:tcPr>
          <w:p>
            <w:pPr>
              <w:spacing w:after="0" w:line="173" w:lineRule="exact"/>
              <w:rPr>
                <w:sz w:val="20"/>
                <w:szCs w:val="20"/>
                <w:color w:val="auto"/>
              </w:rPr>
            </w:pPr>
            <w:r>
              <w:rPr>
                <w:rFonts w:ascii="Arial" w:cs="Arial" w:eastAsia="Arial" w:hAnsi="Arial"/>
                <w:sz w:val="18"/>
                <w:szCs w:val="18"/>
                <w:color w:val="auto"/>
              </w:rPr>
              <w:t>Balance at June 30,</w:t>
            </w:r>
          </w:p>
        </w:tc>
        <w:tc>
          <w:tcPr>
            <w:tcW w:w="5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22,444,822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2,244</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55,705,209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5,071,876</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6,323,792</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(550,248)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1,247,727</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67,800,600</w:t>
            </w: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Cumulative effect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 of ASU</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2016-13</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(26,664)</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(26,664)</w:t>
            </w:r>
          </w:p>
        </w:tc>
      </w:tr>
      <w:tr>
        <w:trPr>
          <w:trHeight w:val="213"/>
        </w:trPr>
        <w:tc>
          <w:tcPr>
            <w:tcW w:w="1840" w:type="dxa"/>
            <w:vAlign w:val="bottom"/>
          </w:tcPr>
          <w:p>
            <w:pPr>
              <w:spacing w:after="0"/>
              <w:rPr>
                <w:sz w:val="20"/>
                <w:szCs w:val="20"/>
                <w:color w:val="auto"/>
              </w:rPr>
            </w:pPr>
            <w:r>
              <w:rPr>
                <w:rFonts w:ascii="Arial" w:cs="Arial" w:eastAsia="Arial" w:hAnsi="Arial"/>
                <w:sz w:val="18"/>
                <w:szCs w:val="18"/>
                <w:color w:val="auto"/>
                <w:w w:val="96"/>
              </w:rPr>
              <w:t>Net Income for the year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192,529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(26,964)</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165,565</w:t>
            </w:r>
          </w:p>
        </w:tc>
      </w:tr>
      <w:tr>
        <w:trPr>
          <w:trHeight w:val="199"/>
        </w:trPr>
        <w:tc>
          <w:tcPr>
            <w:tcW w:w="1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Appropriation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statutory reserve</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284,952</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(284,952)</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Foreign currency</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translation loss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(3,440,346)</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(92,161)</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(3,532,507)</w:t>
            </w: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5"/>
              </w:rPr>
              <w:t>Disposal of a subsidiary</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6,283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w:t>
            </w: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rPr>
              <w:t>Stock-based</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2,478,295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2,478,295</w:t>
            </w:r>
          </w:p>
        </w:tc>
        <w:tc>
          <w:tcPr>
            <w:tcW w:w="100" w:type="dxa"/>
            <w:vAlign w:val="bottom"/>
          </w:tcPr>
          <w:p>
            <w:pPr>
              <w:spacing w:after="0"/>
              <w:rPr>
                <w:sz w:val="19"/>
                <w:szCs w:val="19"/>
                <w:color w:val="auto"/>
              </w:rPr>
            </w:pPr>
          </w:p>
        </w:tc>
      </w:tr>
      <w:tr>
        <w:trPr>
          <w:trHeight w:val="200"/>
        </w:trPr>
        <w:tc>
          <w:tcPr>
            <w:tcW w:w="18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Exercise of share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options and vesting of</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1,205,300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199"/>
        </w:trPr>
        <w:tc>
          <w:tcPr>
            <w:tcW w:w="1840" w:type="dxa"/>
            <w:vAlign w:val="bottom"/>
          </w:tcPr>
          <w:p>
            <w:pPr>
              <w:spacing w:after="0" w:line="199" w:lineRule="exact"/>
              <w:rPr>
                <w:sz w:val="20"/>
                <w:szCs w:val="20"/>
                <w:color w:val="auto"/>
              </w:rPr>
            </w:pPr>
            <w:r>
              <w:rPr>
                <w:rFonts w:ascii="Arial" w:cs="Arial" w:eastAsia="Arial" w:hAnsi="Arial"/>
                <w:sz w:val="18"/>
                <w:szCs w:val="18"/>
                <w:color w:val="auto"/>
                <w:w w:val="96"/>
              </w:rPr>
              <w:t>Noncontrolling interests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840" w:type="dxa"/>
            <w:vAlign w:val="bottom"/>
          </w:tcPr>
          <w:p>
            <w:pPr>
              <w:ind w:left="160"/>
              <w:spacing w:after="0"/>
              <w:rPr>
                <w:sz w:val="20"/>
                <w:szCs w:val="20"/>
                <w:color w:val="auto"/>
              </w:rPr>
            </w:pPr>
            <w:r>
              <w:rPr>
                <w:rFonts w:ascii="Arial" w:cs="Arial" w:eastAsia="Arial" w:hAnsi="Arial"/>
                <w:sz w:val="18"/>
                <w:szCs w:val="18"/>
                <w:color w:val="auto"/>
              </w:rPr>
              <w:t>through an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84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43"/>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(207,087)</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(207,087)</w:t>
            </w:r>
          </w:p>
        </w:tc>
      </w:tr>
    </w:tbl>
    <w:p>
      <w:pPr>
        <w:sectPr>
          <w:pgSz w:w="11900" w:h="16900" w:orient="portrait"/>
          <w:cols w:equalWidth="0" w:num="1">
            <w:col w:w="11240"/>
          </w:cols>
          <w:pgMar w:left="320" w:top="868" w:right="3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9"/>
        </w:trPr>
        <w:tc>
          <w:tcPr>
            <w:tcW w:w="2660" w:type="dxa"/>
            <w:vAlign w:val="bottom"/>
          </w:tcPr>
          <w:p>
            <w:pPr>
              <w:spacing w:after="0" w:line="199" w:lineRule="exact"/>
              <w:rPr>
                <w:sz w:val="20"/>
                <w:szCs w:val="20"/>
                <w:color w:val="auto"/>
              </w:rPr>
            </w:pPr>
            <w:r>
              <w:rPr>
                <w:rFonts w:ascii="Arial" w:cs="Arial" w:eastAsia="Arial" w:hAnsi="Arial"/>
                <w:sz w:val="18"/>
                <w:szCs w:val="18"/>
                <w:color w:val="auto"/>
              </w:rPr>
              <w:t>Dividends paid to</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66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(1,175,684)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(1,175,684)</w:t>
            </w:r>
          </w:p>
        </w:tc>
      </w:tr>
      <w:tr>
        <w:trPr>
          <w:trHeight w:val="186"/>
        </w:trPr>
        <w:tc>
          <w:tcPr>
            <w:tcW w:w="26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Balance at June 30,</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8"/>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23,650,122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58,183,383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5,356,828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5,029,021</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(3,990,594)</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65,508,801</w:t>
            </w:r>
          </w:p>
        </w:tc>
      </w:tr>
    </w:tbl>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10"/>
          </w:tcPr>
          <w:p>
            <w:pPr>
              <w:jc w:val="right"/>
              <w:ind w:right="842"/>
              <w:spacing w:after="0"/>
              <w:rPr>
                <w:sz w:val="20"/>
                <w:szCs w:val="20"/>
                <w:color w:val="auto"/>
              </w:rPr>
            </w:pPr>
            <w:r>
              <w:rPr>
                <w:rFonts w:ascii="Arial" w:cs="Arial" w:eastAsia="Arial" w:hAnsi="Arial"/>
                <w:sz w:val="18"/>
                <w:szCs w:val="18"/>
                <w:b w:val="1"/>
                <w:bCs w:val="1"/>
                <w:color w:val="auto"/>
              </w:rPr>
              <w:t>For the years ended June 30,</w:t>
            </w:r>
          </w:p>
        </w:tc>
      </w:tr>
      <w:tr>
        <w:trPr>
          <w:trHeight w:val="234"/>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165,565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4,587,911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7,019,215</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w w:val="99"/>
              </w:rPr>
              <w:t>Adjustments to reconcile net income to net cash provided by (used in)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7,184,862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5,128,696</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1,219,812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912,248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677,241</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expenses (benefits)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264,027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245,830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(413,609)</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Lease expense to reduce operating lease right-of -use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Loss/(gain) on disposal of a long-term investment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Share of (income) loss in equity investees, net of tax</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(70,263)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50,297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44,121</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Loss/(gain) on disposal of subsidiaries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38,674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(9,022)</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(Reversal of) provision for doubtful accounts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(178,010)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197,740</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disposal of property and equipment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19,188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26,399</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Impairment of long-term investments</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85,326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102,155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(258,262)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25,615</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454,071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(12,317,416)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(16,712,597)</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 deposits and other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(728,562)</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Prepaid income tax</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15,780</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Amounts due from related parties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27,836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222,553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(224,429)</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346,438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363,697</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106,994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(18,349)</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331,330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260,228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(378,628)</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payables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148,309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640,057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279,413</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Amounts due to related parties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(291,087)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(115,260)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183,148</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Salaries and benefits payable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(769,939)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174,100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309,914</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(1,101,526)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47"/>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Unrecognized tax benefit</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(266,276)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1,782,752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1,604,444</w:t>
            </w: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9,705,951</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3,200,889</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(2,609,773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3"/>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(519,282)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(20,750,110)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(1,072,389)</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158,365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intangible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Payments for business acquisitions, net of cash acquired from acquisitions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(304,476)</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long-term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(331,036)</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Disposition of long-term investments</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111,066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786,427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of subsidiaries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(191,839)</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18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14,130,000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7"/>
              </w:rPr>
              <w:t>(14,130,000)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Maturities (purchases) of short-term investments,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4,159,309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(3,375,521)</w:t>
            </w: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from a related party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204,211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15,491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Loans provided to a third party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(185,906)</w:t>
            </w:r>
          </w:p>
        </w:tc>
      </w:tr>
      <w:tr>
        <w:trPr>
          <w:trHeight w:val="247"/>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provided to a related party</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(274,212)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(151,783)</w:t>
            </w:r>
          </w:p>
        </w:tc>
      </w:tr>
      <w:tr>
        <w:trPr>
          <w:trHeight w:val="207"/>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(306,046</w:t>
            </w:r>
          </w:p>
        </w:tc>
        <w:tc>
          <w:tcPr>
            <w:tcW w:w="140" w:type="dxa"/>
            <w:vAlign w:val="bottom"/>
            <w:tcBorders>
              <w:top w:val="single" w:sz="8" w:color="CCEEFF"/>
            </w:tcBorders>
          </w:tcPr>
          <w:p>
            <w:pPr>
              <w:jc w:val="right"/>
              <w:ind w:right="2"/>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97"/>
              </w:rPr>
              <w:t>(16,290,683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(5,619,471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647"/>
        </w:trPr>
        <w:tc>
          <w:tcPr>
            <w:tcW w:w="732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bank loans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23,388,911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21,955,625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13,301,775</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Repayments of short-term bank loans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w w:val="97"/>
              </w:rPr>
              <w:t>(26,325,471)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(14,484,851)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(8,270,611)</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contributions from private placement and warrants, net of issuance costs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14,682,877</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exercise of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(455,546)</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Arial" w:cs="Arial" w:eastAsia="Arial" w:hAnsi="Arial"/>
                <w:sz w:val="18"/>
                <w:szCs w:val="18"/>
                <w:color w:val="auto"/>
              </w:rPr>
              <w:t>Dividends paid to shareholders</w:t>
            </w:r>
          </w:p>
        </w:tc>
        <w:tc>
          <w:tcPr>
            <w:tcW w:w="1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(1,175,684)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(207,087)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(34,137)</w:t>
            </w: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(4,319,331</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7,474,641</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88"/>
              </w:rPr>
              <w:t>19,340,588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0"/>
                <w:szCs w:val="20"/>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(1,175,928)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(727,242)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975,918</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3,904,646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(6,342,395)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12,087,262</w:t>
            </w: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the beginning of the year</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18,396,987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24,739,382</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12,652,120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the year</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22,301,633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18,396,987</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24,739,382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7320" w:type="dxa"/>
            <w:vAlign w:val="bottom"/>
          </w:tcPr>
          <w:p>
            <w:pPr>
              <w:spacing w:after="0"/>
              <w:rPr>
                <w:sz w:val="20"/>
                <w:szCs w:val="20"/>
                <w:color w:val="auto"/>
              </w:rPr>
            </w:pPr>
            <w:r>
              <w:rPr>
                <w:rFonts w:ascii="Arial" w:cs="Arial" w:eastAsia="Arial" w:hAnsi="Arial"/>
                <w:sz w:val="18"/>
                <w:szCs w:val="18"/>
                <w:color w:val="auto"/>
              </w:rPr>
              <w:t>Income tax paid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1,619,792</w:t>
            </w:r>
          </w:p>
        </w:tc>
        <w:tc>
          <w:tcPr>
            <w:tcW w:w="140" w:type="dxa"/>
            <w:vAlign w:val="bottom"/>
          </w:tcPr>
          <w:p>
            <w:pPr>
              <w:spacing w:after="0"/>
              <w:rPr>
                <w:sz w:val="24"/>
                <w:szCs w:val="24"/>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676,179</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1,746,327</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Interest paid</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22,214,029</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18,396,987</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24,739,382</w:t>
            </w: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Total cash, cash equivalents and restricted cash shown in the statements of cash flows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22,301,633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18,396,987</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24,739,382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significant subsidiaries of the Company are set out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Percentage of</w:t>
            </w:r>
          </w:p>
        </w:tc>
        <w:tc>
          <w:tcPr>
            <w:tcW w:w="2020" w:type="dxa"/>
            <w:vAlign w:val="bottom"/>
          </w:tcPr>
          <w:p>
            <w:pPr>
              <w:spacing w:after="0"/>
              <w:rPr>
                <w:sz w:val="18"/>
                <w:szCs w:val="18"/>
                <w:color w:val="auto"/>
              </w:rPr>
            </w:pPr>
          </w:p>
        </w:tc>
      </w:t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Date of Incorporation/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Place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39"/>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Acquisition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Incorporation</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Ownership</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Activities</w:t>
            </w:r>
          </w:p>
        </w:tc>
      </w:tr>
      <w:tr>
        <w:trPr>
          <w:trHeight w:val="199"/>
        </w:trPr>
        <w:tc>
          <w:tcPr>
            <w:tcW w:w="38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Qiner Co., Limited (“Qiner”)</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0"/>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1"/>
              </w:rPr>
              <w:t>Hong Kong, China</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8"/>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21, 2017</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Qinheng Co., Limited (“Qinheng”)</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Hong Kong,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9, 2017</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Shanghai Qincheng Information Technology Co.,</w:t>
            </w:r>
          </w:p>
        </w:tc>
        <w:tc>
          <w:tcPr>
            <w:tcW w:w="212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Holding Company</w:t>
            </w:r>
          </w:p>
        </w:tc>
      </w:tr>
      <w:tr>
        <w:trPr>
          <w:trHeight w:val="228"/>
        </w:trPr>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Ltd. (“CLPS QC” or “WOFE”)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4, 2017</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w w:val="94"/>
              </w:rPr>
              <w:t>Shanghai Chenqin Information Technology Services</w:t>
            </w:r>
          </w:p>
        </w:tc>
        <w:tc>
          <w:tcPr>
            <w:tcW w:w="212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8"/>
              </w:rPr>
              <w:t>Shanghai,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92"/>
              </w:rPr>
              <w:t>Holding Company</w:t>
            </w:r>
          </w:p>
        </w:tc>
      </w:tr>
      <w:tr>
        <w:trPr>
          <w:trHeight w:val="227"/>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Co., Ltd.</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31, 2021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ChinaLink Professional Service Co., Ltd. (“CLPS</w:t>
            </w:r>
          </w:p>
        </w:tc>
        <w:tc>
          <w:tcPr>
            <w:tcW w:w="212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30, 2005</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CLPS Dalian Co., Ltd. (“CLPS Dalian”)</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Dalian,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May 25, 2011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CFF"/>
          </w:tcPr>
          <w:p>
            <w:pPr>
              <w:spacing w:after="0" w:line="200" w:lineRule="exact"/>
              <w:rPr>
                <w:sz w:val="20"/>
                <w:szCs w:val="20"/>
                <w:color w:val="auto"/>
              </w:rPr>
            </w:pPr>
            <w:r>
              <w:rPr>
                <w:rFonts w:ascii="Arial" w:cs="Arial" w:eastAsia="Arial" w:hAnsi="Arial"/>
                <w:sz w:val="18"/>
                <w:szCs w:val="18"/>
                <w:color w:val="auto"/>
                <w:w w:val="98"/>
              </w:rPr>
              <w:t>CLPS Beijing Hengtong Co., Ltd. (“CLPS Beijing”)</w:t>
            </w:r>
          </w:p>
        </w:tc>
        <w:tc>
          <w:tcPr>
            <w:tcW w:w="2120" w:type="dxa"/>
            <w:vAlign w:val="bottom"/>
            <w:gridSpan w:val="2"/>
            <w:shd w:val="clear" w:color="auto" w:fill="CCEC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CFF"/>
          </w:tcPr>
          <w:p>
            <w:pPr>
              <w:jc w:val="center"/>
              <w:ind w:right="120"/>
              <w:spacing w:after="0" w:line="200" w:lineRule="exact"/>
              <w:rPr>
                <w:sz w:val="20"/>
                <w:szCs w:val="20"/>
                <w:color w:val="auto"/>
              </w:rPr>
            </w:pPr>
            <w:r>
              <w:rPr>
                <w:rFonts w:ascii="Arial" w:cs="Arial" w:eastAsia="Arial" w:hAnsi="Arial"/>
                <w:sz w:val="18"/>
                <w:szCs w:val="18"/>
                <w:color w:val="auto"/>
                <w:w w:val="93"/>
              </w:rPr>
              <w:t>Beijing, China</w:t>
            </w:r>
          </w:p>
        </w:tc>
        <w:tc>
          <w:tcPr>
            <w:tcW w:w="1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20" w:type="dxa"/>
            <w:vAlign w:val="bottom"/>
            <w:shd w:val="clear" w:color="auto" w:fill="CCEC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8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12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16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C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CLPS Technology (Singapore) Pte. Ltd. (“CLPS</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20"/>
              <w:spacing w:after="0" w:line="199" w:lineRule="exact"/>
              <w:rPr>
                <w:sz w:val="20"/>
                <w:szCs w:val="20"/>
                <w:color w:val="auto"/>
              </w:rPr>
            </w:pPr>
            <w:r>
              <w:rPr>
                <w:rFonts w:ascii="Arial" w:cs="Arial" w:eastAsia="Arial" w:hAnsi="Arial"/>
                <w:sz w:val="18"/>
                <w:szCs w:val="18"/>
                <w:color w:val="auto"/>
                <w:w w:val="87"/>
              </w:rPr>
              <w:t>Singapore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SG”)</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18, 2015</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CFF"/>
          </w:tcPr>
          <w:p>
            <w:pPr>
              <w:spacing w:after="0" w:line="200" w:lineRule="exact"/>
              <w:rPr>
                <w:sz w:val="20"/>
                <w:szCs w:val="20"/>
                <w:color w:val="auto"/>
              </w:rPr>
            </w:pPr>
            <w:r>
              <w:rPr>
                <w:rFonts w:ascii="Arial" w:cs="Arial" w:eastAsia="Arial" w:hAnsi="Arial"/>
                <w:sz w:val="18"/>
                <w:szCs w:val="18"/>
                <w:color w:val="auto"/>
              </w:rPr>
              <w:t>Ridik Technology (Australia) Pty Ltd. (“Ridik AU”)</w:t>
            </w:r>
          </w:p>
        </w:tc>
        <w:tc>
          <w:tcPr>
            <w:tcW w:w="2120" w:type="dxa"/>
            <w:vAlign w:val="bottom"/>
            <w:gridSpan w:val="2"/>
            <w:shd w:val="clear" w:color="auto" w:fill="CCEC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CFF"/>
          </w:tcPr>
          <w:p>
            <w:pPr>
              <w:jc w:val="center"/>
              <w:ind w:right="100"/>
              <w:spacing w:after="0" w:line="200" w:lineRule="exact"/>
              <w:rPr>
                <w:sz w:val="20"/>
                <w:szCs w:val="20"/>
                <w:color w:val="auto"/>
              </w:rPr>
            </w:pPr>
            <w:r>
              <w:rPr>
                <w:rFonts w:ascii="Arial" w:cs="Arial" w:eastAsia="Arial" w:hAnsi="Arial"/>
                <w:sz w:val="18"/>
                <w:szCs w:val="18"/>
                <w:color w:val="auto"/>
                <w:w w:val="94"/>
              </w:rPr>
              <w:t>Australia</w:t>
            </w:r>
          </w:p>
        </w:tc>
        <w:tc>
          <w:tcPr>
            <w:tcW w:w="1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20" w:type="dxa"/>
            <w:vAlign w:val="bottom"/>
            <w:shd w:val="clear" w:color="auto" w:fill="CCEC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8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12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89"/>
              </w:rPr>
              <w:t>November 10, 2015</w:t>
            </w:r>
          </w:p>
        </w:tc>
        <w:tc>
          <w:tcPr>
            <w:tcW w:w="16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C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CLPS Technology (Hong Kong) Co., Limited</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Hong Kong,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(“CLPS Hong Kong”)</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7, 2016</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CFF"/>
          </w:tcPr>
          <w:p>
            <w:pPr>
              <w:spacing w:after="0" w:line="200" w:lineRule="exact"/>
              <w:rPr>
                <w:sz w:val="20"/>
                <w:szCs w:val="20"/>
                <w:color w:val="auto"/>
              </w:rPr>
            </w:pPr>
            <w:r>
              <w:rPr>
                <w:rFonts w:ascii="Arial" w:cs="Arial" w:eastAsia="Arial" w:hAnsi="Arial"/>
                <w:sz w:val="18"/>
                <w:szCs w:val="18"/>
                <w:color w:val="auto"/>
              </w:rPr>
              <w:t>JAJI (Shanghai) Co., Ltd (“JAJI China”, formerly,</w:t>
            </w:r>
          </w:p>
        </w:tc>
        <w:tc>
          <w:tcPr>
            <w:tcW w:w="2120" w:type="dxa"/>
            <w:vAlign w:val="bottom"/>
            <w:gridSpan w:val="2"/>
            <w:shd w:val="clear" w:color="auto" w:fill="CCECFF"/>
          </w:tcPr>
          <w:p>
            <w:pPr>
              <w:jc w:val="center"/>
              <w:ind w:right="160"/>
              <w:spacing w:after="0" w:line="200" w:lineRule="exact"/>
              <w:rPr>
                <w:sz w:val="20"/>
                <w:szCs w:val="20"/>
                <w:color w:val="auto"/>
              </w:rPr>
            </w:pPr>
            <w:r>
              <w:rPr>
                <w:rFonts w:ascii="Arial" w:cs="Arial" w:eastAsia="Arial" w:hAnsi="Arial"/>
                <w:sz w:val="18"/>
                <w:szCs w:val="18"/>
                <w:color w:val="auto"/>
                <w:w w:val="91"/>
              </w:rPr>
              <w:t>Acquired on</w:t>
            </w:r>
          </w:p>
        </w:tc>
        <w:tc>
          <w:tcPr>
            <w:tcW w:w="1800" w:type="dxa"/>
            <w:vAlign w:val="bottom"/>
            <w:gridSpan w:val="2"/>
            <w:shd w:val="clear" w:color="auto" w:fill="CCECFF"/>
          </w:tcPr>
          <w:p>
            <w:pPr>
              <w:jc w:val="center"/>
              <w:ind w:right="100"/>
              <w:spacing w:after="0" w:line="200" w:lineRule="exact"/>
              <w:rPr>
                <w:sz w:val="20"/>
                <w:szCs w:val="20"/>
                <w:color w:val="auto"/>
              </w:rPr>
            </w:pPr>
            <w:r>
              <w:rPr>
                <w:rFonts w:ascii="Arial" w:cs="Arial" w:eastAsia="Arial" w:hAnsi="Arial"/>
                <w:sz w:val="18"/>
                <w:szCs w:val="18"/>
                <w:color w:val="auto"/>
                <w:w w:val="88"/>
              </w:rPr>
              <w:t>Shanghai, China</w:t>
            </w:r>
          </w:p>
        </w:tc>
        <w:tc>
          <w:tcPr>
            <w:tcW w:w="1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20" w:type="dxa"/>
            <w:vAlign w:val="bottom"/>
            <w:shd w:val="clear" w:color="auto" w:fill="CCEC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940" w:type="dxa"/>
            <w:vAlign w:val="bottom"/>
            <w:gridSpan w:val="2"/>
            <w:shd w:val="clear" w:color="auto" w:fill="CCECFF"/>
          </w:tcPr>
          <w:p>
            <w:pPr>
              <w:ind w:left="160"/>
              <w:spacing w:after="0"/>
              <w:rPr>
                <w:sz w:val="20"/>
                <w:szCs w:val="20"/>
                <w:color w:val="auto"/>
              </w:rPr>
            </w:pPr>
            <w:r>
              <w:rPr>
                <w:rFonts w:ascii="Arial" w:cs="Arial" w:eastAsia="Arial" w:hAnsi="Arial"/>
                <w:sz w:val="18"/>
                <w:szCs w:val="18"/>
                <w:color w:val="auto"/>
              </w:rPr>
              <w:t>Judge (Shanghai) Co., Ltd.)</w:t>
            </w:r>
          </w:p>
        </w:tc>
        <w:tc>
          <w:tcPr>
            <w:tcW w:w="2120" w:type="dxa"/>
            <w:vAlign w:val="bottom"/>
            <w:gridSpan w:val="2"/>
            <w:shd w:val="clear" w:color="auto" w:fill="CCECFF"/>
          </w:tcPr>
          <w:p>
            <w:pPr>
              <w:jc w:val="center"/>
              <w:ind w:right="100"/>
              <w:spacing w:after="0"/>
              <w:rPr>
                <w:sz w:val="20"/>
                <w:szCs w:val="20"/>
                <w:color w:val="auto"/>
              </w:rPr>
            </w:pPr>
            <w:r>
              <w:rPr>
                <w:rFonts w:ascii="Arial" w:cs="Arial" w:eastAsia="Arial" w:hAnsi="Arial"/>
                <w:sz w:val="18"/>
                <w:szCs w:val="18"/>
                <w:color w:val="auto"/>
                <w:w w:val="90"/>
              </w:rPr>
              <w:t>November 9, 2016</w:t>
            </w:r>
          </w:p>
        </w:tc>
        <w:tc>
          <w:tcPr>
            <w:tcW w:w="16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60%</w:t>
            </w:r>
          </w:p>
        </w:tc>
        <w:tc>
          <w:tcPr>
            <w:tcW w:w="2020" w:type="dxa"/>
            <w:vAlign w:val="bottom"/>
            <w:shd w:val="clear" w:color="auto" w:fill="CCEC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CLPS Shenzhen Co., Ltd. (“CLPS Shenzhen”)</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tcPr>
          <w:p>
            <w:pPr>
              <w:jc w:val="center"/>
              <w:ind w:right="120"/>
              <w:spacing w:after="0" w:line="199" w:lineRule="exact"/>
              <w:rPr>
                <w:sz w:val="20"/>
                <w:szCs w:val="20"/>
                <w:color w:val="auto"/>
              </w:rPr>
            </w:pPr>
            <w:r>
              <w:rPr>
                <w:rFonts w:ascii="Arial" w:cs="Arial" w:eastAsia="Arial" w:hAnsi="Arial"/>
                <w:sz w:val="18"/>
                <w:szCs w:val="18"/>
                <w:color w:val="auto"/>
                <w:w w:val="86"/>
              </w:rPr>
              <w:t>Shenzhen,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April 7, 2017</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9"/>
              </w:rPr>
              <w:t>CLPS Guangzhou Co., Ltd. (“CLPS Guangzhou”)</w:t>
            </w:r>
          </w:p>
        </w:tc>
        <w:tc>
          <w:tcPr>
            <w:tcW w:w="212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89"/>
              </w:rPr>
              <w:t>Guangzhou, China</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September 27, 2017</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647"/>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F-9</w:t>
            </w: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w w:val="96"/>
              </w:rPr>
              <w:t>NOTE 1 – ORGANIZATION AND DESCRIPTION OF BUSINESS - continued</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0"/>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Percentage of</w:t>
            </w:r>
          </w:p>
        </w:tc>
        <w:tc>
          <w:tcPr>
            <w:tcW w:w="2020" w:type="dxa"/>
            <w:vAlign w:val="bottom"/>
          </w:tcPr>
          <w:p>
            <w:pPr>
              <w:spacing w:after="0"/>
              <w:rPr>
                <w:sz w:val="24"/>
                <w:szCs w:val="24"/>
                <w:color w:val="auto"/>
              </w:rPr>
            </w:pPr>
          </w:p>
        </w:tc>
      </w:t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Date of Incorporation/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Place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r>
      <w:tr>
        <w:trPr>
          <w:trHeight w:val="239"/>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Acquisition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Incorporation</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Ownership</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Activities</w:t>
            </w:r>
          </w:p>
        </w:tc>
      </w:tr>
      <w:tr>
        <w:trPr>
          <w:trHeight w:val="199"/>
        </w:trPr>
        <w:tc>
          <w:tcPr>
            <w:tcW w:w="38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CLPS Hangzhou Co. Ltd.</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0"/>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9"/>
              </w:rPr>
              <w:t>Hangzhou, China</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(“CLPS Hangzhou”)</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31, 2019</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Ridik Pte. Ltd.</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3"/>
              </w:rPr>
              <w:t>Acquired on</w:t>
            </w:r>
          </w:p>
        </w:tc>
        <w:tc>
          <w:tcPr>
            <w:tcW w:w="1800" w:type="dxa"/>
            <w:vAlign w:val="bottom"/>
            <w:gridSpan w:val="2"/>
          </w:tcPr>
          <w:p>
            <w:pPr>
              <w:jc w:val="center"/>
              <w:ind w:right="120"/>
              <w:spacing w:after="0" w:line="199" w:lineRule="exact"/>
              <w:rPr>
                <w:sz w:val="20"/>
                <w:szCs w:val="20"/>
                <w:color w:val="auto"/>
              </w:rPr>
            </w:pPr>
            <w:r>
              <w:rPr>
                <w:rFonts w:ascii="Arial" w:cs="Arial" w:eastAsia="Arial" w:hAnsi="Arial"/>
                <w:sz w:val="18"/>
                <w:szCs w:val="18"/>
                <w:color w:val="auto"/>
                <w:w w:val="87"/>
              </w:rPr>
              <w:t>Singapore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(“Ridik Pte.”)</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7"/>
              </w:rPr>
              <w:t>Ridik Software Solutions Pte. Ltd. (“Ridik Software</w:t>
            </w:r>
          </w:p>
        </w:tc>
        <w:tc>
          <w:tcPr>
            <w:tcW w:w="212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3"/>
              </w:rPr>
              <w:t>Acquired on</w:t>
            </w:r>
          </w:p>
        </w:tc>
        <w:tc>
          <w:tcPr>
            <w:tcW w:w="1800" w:type="dxa"/>
            <w:vAlign w:val="bottom"/>
            <w:gridSpan w:val="2"/>
            <w:shd w:val="clear" w:color="auto" w:fill="CCEEFF"/>
          </w:tcPr>
          <w:p>
            <w:pPr>
              <w:jc w:val="center"/>
              <w:ind w:right="120"/>
              <w:spacing w:after="0" w:line="200" w:lineRule="exact"/>
              <w:rPr>
                <w:sz w:val="20"/>
                <w:szCs w:val="20"/>
                <w:color w:val="auto"/>
              </w:rPr>
            </w:pPr>
            <w:r>
              <w:rPr>
                <w:rFonts w:ascii="Arial" w:cs="Arial" w:eastAsia="Arial" w:hAnsi="Arial"/>
                <w:sz w:val="18"/>
                <w:szCs w:val="18"/>
                <w:color w:val="auto"/>
                <w:w w:val="87"/>
              </w:rPr>
              <w:t>Singapore</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September 26, 2019</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Qinson Credit Card Services Limited (“Qinson”)</w:t>
            </w:r>
          </w:p>
        </w:tc>
        <w:tc>
          <w:tcPr>
            <w:tcW w:w="212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8"/>
              </w:rPr>
              <w:t>Incorporated on December</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91"/>
              </w:rPr>
              <w:t>Hong Kong,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31, 2019</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Technology (California) Inc. (“CLPS</w:t>
            </w:r>
          </w:p>
        </w:tc>
        <w:tc>
          <w:tcPr>
            <w:tcW w:w="2120" w:type="dxa"/>
            <w:vAlign w:val="bottom"/>
            <w:gridSpan w:val="2"/>
            <w:shd w:val="clear" w:color="auto" w:fill="CCEEFF"/>
          </w:tcPr>
          <w:p>
            <w:pPr>
              <w:jc w:val="center"/>
              <w:ind w:right="100"/>
              <w:spacing w:after="0" w:line="200" w:lineRule="exact"/>
              <w:rPr>
                <w:sz w:val="20"/>
                <w:szCs w:val="20"/>
                <w:color w:val="auto"/>
              </w:rPr>
            </w:pPr>
            <w:r>
              <w:rPr>
                <w:rFonts w:ascii="Arial" w:cs="Arial" w:eastAsia="Arial" w:hAnsi="Arial"/>
                <w:sz w:val="18"/>
                <w:szCs w:val="18"/>
                <w:color w:val="auto"/>
                <w:w w:val="90"/>
              </w:rPr>
              <w:t>Incorporated on</w:t>
            </w:r>
          </w:p>
        </w:tc>
        <w:tc>
          <w:tcPr>
            <w:tcW w:w="1800" w:type="dxa"/>
            <w:vAlign w:val="bottom"/>
            <w:gridSpan w:val="2"/>
            <w:shd w:val="clear" w:color="auto" w:fill="CCEEFF"/>
          </w:tcPr>
          <w:p>
            <w:pPr>
              <w:jc w:val="center"/>
              <w:ind w:right="120"/>
              <w:spacing w:after="0" w:line="200" w:lineRule="exact"/>
              <w:rPr>
                <w:sz w:val="20"/>
                <w:szCs w:val="20"/>
                <w:color w:val="auto"/>
              </w:rPr>
            </w:pPr>
            <w:r>
              <w:rPr>
                <w:rFonts w:ascii="Arial" w:cs="Arial" w:eastAsia="Arial" w:hAnsi="Arial"/>
                <w:sz w:val="18"/>
                <w:szCs w:val="18"/>
                <w:color w:val="auto"/>
                <w:w w:val="92"/>
              </w:rPr>
              <w:t>California, the United</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2, 2020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States of America</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r>
        <w:trPr>
          <w:trHeight w:val="199"/>
        </w:trPr>
        <w:tc>
          <w:tcPr>
            <w:tcW w:w="3940" w:type="dxa"/>
            <w:vAlign w:val="bottom"/>
            <w:gridSpan w:val="2"/>
          </w:tcPr>
          <w:p>
            <w:pPr>
              <w:spacing w:after="0" w:line="199" w:lineRule="exact"/>
              <w:rPr>
                <w:sz w:val="20"/>
                <w:szCs w:val="20"/>
                <w:color w:val="auto"/>
              </w:rPr>
            </w:pPr>
            <w:r>
              <w:rPr>
                <w:rFonts w:ascii="Arial" w:cs="Arial" w:eastAsia="Arial" w:hAnsi="Arial"/>
                <w:sz w:val="18"/>
                <w:szCs w:val="18"/>
                <w:color w:val="auto"/>
              </w:rPr>
              <w:t>Hainan Qincheng Software Technology Co., Ltd.</w:t>
            </w:r>
          </w:p>
        </w:tc>
        <w:tc>
          <w:tcPr>
            <w:tcW w:w="2120" w:type="dxa"/>
            <w:vAlign w:val="bottom"/>
            <w:gridSpan w:val="2"/>
          </w:tcPr>
          <w:p>
            <w:pPr>
              <w:jc w:val="center"/>
              <w:ind w:right="140"/>
              <w:spacing w:after="0" w:line="199" w:lineRule="exact"/>
              <w:rPr>
                <w:sz w:val="20"/>
                <w:szCs w:val="20"/>
                <w:color w:val="auto"/>
              </w:rPr>
            </w:pPr>
            <w:r>
              <w:rPr>
                <w:rFonts w:ascii="Arial" w:cs="Arial" w:eastAsia="Arial" w:hAnsi="Arial"/>
                <w:sz w:val="18"/>
                <w:szCs w:val="18"/>
                <w:color w:val="auto"/>
                <w:w w:val="89"/>
              </w:rPr>
              <w:t>Incorporated</w:t>
            </w:r>
          </w:p>
        </w:tc>
        <w:tc>
          <w:tcPr>
            <w:tcW w:w="1800" w:type="dxa"/>
            <w:vAlign w:val="bottom"/>
            <w:gridSpan w:val="2"/>
          </w:tcPr>
          <w:p>
            <w:pPr>
              <w:jc w:val="center"/>
              <w:ind w:right="100"/>
              <w:spacing w:after="0" w:line="199" w:lineRule="exact"/>
              <w:rPr>
                <w:sz w:val="20"/>
                <w:szCs w:val="20"/>
                <w:color w:val="auto"/>
              </w:rPr>
            </w:pPr>
            <w:r>
              <w:rPr>
                <w:rFonts w:ascii="Arial" w:cs="Arial" w:eastAsia="Arial" w:hAnsi="Arial"/>
                <w:sz w:val="18"/>
                <w:szCs w:val="18"/>
                <w:color w:val="auto"/>
                <w:w w:val="89"/>
              </w:rPr>
              <w:t>Hainan, China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jc w:val="center"/>
              <w:spacing w:after="0" w:line="199" w:lineRule="exact"/>
              <w:rPr>
                <w:sz w:val="20"/>
                <w:szCs w:val="20"/>
                <w:color w:val="auto"/>
              </w:rPr>
            </w:pPr>
            <w:r>
              <w:rPr>
                <w:rFonts w:ascii="Arial" w:cs="Arial" w:eastAsia="Arial" w:hAnsi="Arial"/>
                <w:sz w:val="18"/>
                <w:szCs w:val="18"/>
                <w:color w:val="auto"/>
                <w:w w:val="89"/>
              </w:rPr>
              <w:t>Software development</w:t>
            </w:r>
          </w:p>
        </w:tc>
      </w:tr>
      <w:tr>
        <w:trPr>
          <w:trHeight w:val="227"/>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 January 20, 2021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tcPr>
          <w:p>
            <w:pPr>
              <w:spacing w:after="0"/>
              <w:rPr>
                <w:sz w:val="19"/>
                <w:szCs w:val="19"/>
                <w:color w:val="auto"/>
              </w:rPr>
            </w:pPr>
          </w:p>
        </w:tc>
      </w:tr>
      <w:tr>
        <w:trPr>
          <w:trHeight w:val="200"/>
        </w:trPr>
        <w:tc>
          <w:tcPr>
            <w:tcW w:w="39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CLPS Xi’an Co., Ltd.</w:t>
            </w:r>
          </w:p>
        </w:tc>
        <w:tc>
          <w:tcPr>
            <w:tcW w:w="212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89"/>
              </w:rPr>
              <w:t>Incorporated</w:t>
            </w:r>
          </w:p>
        </w:tc>
        <w:tc>
          <w:tcPr>
            <w:tcW w:w="1800" w:type="dxa"/>
            <w:vAlign w:val="bottom"/>
            <w:gridSpan w:val="2"/>
            <w:shd w:val="clear" w:color="auto" w:fill="CCEEFF"/>
          </w:tcPr>
          <w:p>
            <w:pPr>
              <w:jc w:val="center"/>
              <w:ind w:right="120"/>
              <w:spacing w:after="0" w:line="200" w:lineRule="exact"/>
              <w:rPr>
                <w:sz w:val="20"/>
                <w:szCs w:val="20"/>
                <w:color w:val="auto"/>
              </w:rPr>
            </w:pPr>
            <w:r>
              <w:rPr>
                <w:rFonts w:ascii="Arial" w:cs="Arial" w:eastAsia="Arial" w:hAnsi="Arial"/>
                <w:sz w:val="18"/>
                <w:szCs w:val="18"/>
                <w:color w:val="auto"/>
                <w:w w:val="94"/>
              </w:rPr>
              <w:t>Xi’an, China</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89"/>
              </w:rPr>
              <w:t>Software development</w:t>
            </w:r>
          </w:p>
        </w:tc>
      </w:tr>
      <w:tr>
        <w:trPr>
          <w:trHeight w:val="228"/>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On April 15, 2021</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20" w:type="dxa"/>
            <w:vAlign w:val="bottom"/>
            <w:shd w:val="clear" w:color="auto" w:fill="CCEEFF"/>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generally accepted accounting principles (“U.S. GAAP”).</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Comparatives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allowance for doubtful accounts arising from expected credit losses, useful lives of property and equipment and intangible assets, goodwill impairment, the impairment of long-lived assets and long-term investments, purchase price allocation and fair value of noncontrolling interests for business combinations and asset acquisition, provision for accrued expenses and other current liabilities, valuation allowance of deferred tax assets, provision for uncertain tax positions, incremental borrowing rates for operating lease liabilities, fair value measurements of equity investments without readily determinable fair values, fair value of warrants and fair value of and estimated forfeitures for share-based compensation.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represent highly liquid investments in wealth management products placed with certain financial institutions. The principal amounts of these products are not guaranteed. The Company classifies these wealth management products as “trading” as they are bought and held principally for the purpose of selling them in the near term. Dividend and interest income are included in earnings. Any realized gains or losses on the sale of the short-term investments, are determined on a specific identification method, and realized and unrealized gains and losses and interest income from the investments are recorded in “Other income” in the Consolidated Statements of Comprehensive (loss) /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the People’s Republic of China (“PRC”). Cash balances in bank accounts in PRC are not insured by the Federal Deposit Insurance Corporation or other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2016-13</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 2022, the Group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Group changed the impairment model to utilize a forward-looking current expected credit losses (CECL) model in place of the incurred loss methodology for financial instruments measured at amortized cost and receivables resulting from the application of ASC 606, including contract assets. The adoption of the guidance resulted in a cumulative-effect adjustment to decrease the opening balance of retained earnings on July 1, 2022 by US$26,664 including the allowance for credit losses for accounts receivables, contract assets and other financial assets carried at amortized cost which are insignificant.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Prior to the Company’s adoption of ASU 2016-13, 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 The Company regularly reviews the adequacy and appropriateness of the allowance for doubtful accounts.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After the adoption of ASU 2016-13, The Company maintains an allowance for credit losses and records the allowance for credit losses as an offset to accounts receivable and contract assets and the estimated credit losses charged to the allowance is classified as “General and administrative expenses” in the consolidated statements of comprehensive (loss) /income. The Company assesses collectability by reviewing accounts receivable and contract assets on a collective basis where similar characteristics exist, primarily based on similar business line, service or product offerings and on an individual basis when the Company identifies specific customers with known disputes or collectability issues. In determining the amount of the allowance for credit losses, the Company considers historical collectability based on past due status, the age of the balances, credit quality of the Company’s customers based on ongoing credit evaluations, current economic conditions, reasonable and supportable forecasts of future economic conditions, and other factors that may affect the Company’s ability to collect from customers. Delinquent account balances are written-off against the allowance for doubtful accounts after management has determined that the likelihood of collection is not probable.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investments consist of equity-method investments and equity investments without readily determinable fair values.</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Investments in entities in which the Company can exercise significant influence but does not own a majority equity interest or control are accounted for using the equity method of accounting in accordance with ASC Topic 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 The share of earnings or losses of the investee are recognized in the consolidated statements of comprehensive(loss)/ income. Equity method adjustments include the Company’s proportionate share of investee income or loss, adjustments to recognize certain differences between the Company’s carrying value and its equity in net assets of the investee at the date of investment, impairments, and other adjustments required by the equity method. The Company assesses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comprehensive(loss)/ income equal to difference between the proceeds the Company receives and the carrying amounts of the investment disposed.</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equity investments without readily determinable fair values, the Company elects to use the measurement alternative in accordance with ASC Topic 321, Investments-Equity securities (“ASC 321”) to measure such investments at cost minus impairment adjusted by observable price changes in orderly 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comprehensive(loss)/ income equal to the amount by which the carrying value exceeds the fair value of the investment. For the years ended June 30, 2023, 2022 and 2021, no such investment was remeasured and accordingly no unrealized gains (losses) was recognized.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Company accounts for all business combinations under the purchase method of accounting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comprehensive(loss)/ income. The Company adopted Accounting Standards Update (“ASU”) No. 2017-01, </w:t>
      </w:r>
      <w:r>
        <w:rPr>
          <w:rFonts w:ascii="Arial" w:cs="Arial" w:eastAsia="Arial" w:hAnsi="Arial"/>
          <w:sz w:val="17"/>
          <w:szCs w:val="17"/>
          <w:i w:val="1"/>
          <w:iCs w:val="1"/>
          <w:color w:val="auto"/>
        </w:rPr>
        <w:t>Business Combinations (Topic 802): Clarifying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Definition of a Business</w:t>
      </w:r>
      <w:r>
        <w:rPr>
          <w:rFonts w:ascii="Arial" w:cs="Arial" w:eastAsia="Arial" w:hAnsi="Arial"/>
          <w:sz w:val="17"/>
          <w:szCs w:val="17"/>
          <w:color w:val="auto"/>
        </w:rPr>
        <w:t>, in determining whether it has acquired a business from July 1, 2019 on a prospective basis and there was no material impact 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consolidated financial statements.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Terminal values are based on the expected life of assets and forecasted cash flows over that period. Acquisition-related costs are recognized as general and administrative expenses in the consolidated statements of comprehensive(loss)/ income as incurred.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182"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Acquisitions that do not meet the accounting definition of a business combination are accounted for as asset acquisitions. For transactions determined to be asset acquisitions, the Company allocates the total cost of the acquisition, including transaction costs, to the assets acquired based on their relative fair values.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statements of comprehensive (loss)/ income as an allocation of the total income or loss for the year between noncontrolling interest holders and the shareholders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Property and equipment, net, are stated at cost less accumulated depreciation and impairment, if any. The straight-line method is used to compute depreciation over the estimated useful lives of the assets,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4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Useful life</w:t>
            </w:r>
          </w:p>
        </w:tc>
      </w:tr>
      <w:tr>
        <w:trPr>
          <w:trHeight w:val="199"/>
        </w:trPr>
        <w:tc>
          <w:tcPr>
            <w:tcW w:w="844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8"/>
              </w:rPr>
              <w:t>The shorter of remaining lease terms</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 the estimated useful lives</w:t>
            </w:r>
          </w:p>
        </w:tc>
      </w:tr>
      <w:tr>
        <w:trPr>
          <w:trHeight w:val="213"/>
        </w:trPr>
        <w:tc>
          <w:tcPr>
            <w:tcW w:w="8440" w:type="dxa"/>
            <w:vAlign w:val="bottom"/>
          </w:tcPr>
          <w:p>
            <w:pPr>
              <w:spacing w:after="0"/>
              <w:rPr>
                <w:sz w:val="20"/>
                <w:szCs w:val="20"/>
                <w:color w:val="auto"/>
              </w:rPr>
            </w:pPr>
            <w:r>
              <w:rPr>
                <w:rFonts w:ascii="Arial" w:cs="Arial" w:eastAsia="Arial" w:hAnsi="Arial"/>
                <w:sz w:val="18"/>
                <w:szCs w:val="18"/>
                <w:color w:val="auto"/>
              </w:rPr>
              <w:t>Automobiles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office furniture</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 years</w:t>
            </w:r>
          </w:p>
        </w:tc>
      </w:tr>
      <w:tr>
        <w:trPr>
          <w:trHeight w:val="213"/>
        </w:trPr>
        <w:tc>
          <w:tcPr>
            <w:tcW w:w="8440" w:type="dxa"/>
            <w:vAlign w:val="bottom"/>
          </w:tcPr>
          <w:p>
            <w:pPr>
              <w:spacing w:after="0"/>
              <w:rPr>
                <w:sz w:val="20"/>
                <w:szCs w:val="20"/>
                <w:color w:val="auto"/>
              </w:rPr>
            </w:pPr>
            <w:r>
              <w:rPr>
                <w:rFonts w:ascii="Arial" w:cs="Arial" w:eastAsia="Arial" w:hAnsi="Arial"/>
                <w:sz w:val="18"/>
                <w:szCs w:val="18"/>
                <w:color w:val="auto"/>
              </w:rPr>
              <w:t>Building</w:t>
            </w:r>
          </w:p>
        </w:tc>
        <w:tc>
          <w:tcPr>
            <w:tcW w:w="2800" w:type="dxa"/>
            <w:vAlign w:val="bottom"/>
          </w:tcPr>
          <w:p>
            <w:pPr>
              <w:jc w:val="center"/>
              <w:spacing w:after="0"/>
              <w:rPr>
                <w:sz w:val="20"/>
                <w:szCs w:val="20"/>
                <w:color w:val="auto"/>
              </w:rPr>
            </w:pPr>
            <w:r>
              <w:rPr>
                <w:rFonts w:ascii="Arial" w:cs="Arial" w:eastAsia="Arial" w:hAnsi="Arial"/>
                <w:sz w:val="18"/>
                <w:szCs w:val="18"/>
                <w:color w:val="auto"/>
                <w:w w:val="86"/>
              </w:rPr>
              <w:t>31 or 50 years</w:t>
            </w:r>
          </w:p>
        </w:tc>
      </w:tr>
      <w:tr>
        <w:trPr>
          <w:trHeight w:val="21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Office building related facility, machinery and equipment</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 years</w:t>
            </w:r>
          </w:p>
        </w:tc>
      </w:tr>
    </w:tbl>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statements of comprehensive (loss)/ income.</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20" w:type="dxa"/>
            <w:vAlign w:val="bottom"/>
          </w:tcPr>
          <w:p>
            <w:pPr>
              <w:spacing w:after="0"/>
              <w:rPr>
                <w:sz w:val="20"/>
                <w:szCs w:val="20"/>
                <w:color w:val="auto"/>
              </w:rPr>
            </w:pPr>
            <w:r>
              <w:rPr>
                <w:rFonts w:ascii="Arial" w:cs="Arial" w:eastAsia="Arial" w:hAnsi="Arial"/>
                <w:sz w:val="18"/>
                <w:szCs w:val="18"/>
                <w:color w:val="auto"/>
              </w:rPr>
              <w:t>Amortization is computed using the straight-line method over the following estimated useful lives: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48"/>
        </w:trPr>
        <w:tc>
          <w:tcPr>
            <w:tcW w:w="100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Useful life</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Customer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years</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indefinite-lived intangibles other than goodwill.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had only one reporting unit (that also represented the Company’s single operating segment) as of June 30, 2023 and 2022. Goodwill was allocated 100% to the single reporting unit as of June 30, 2023 and 2022. The Company has the option to assess qualitative factors first to determine whether it is necessary to perform the two-step test in accordance with ASC 350-20,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the Company believes, as a result of the qualitative assessment, that it is more-likely-than-not that the fair value of the reporting unit is less than its carrying amount, the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quantitative impairment test, the Company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of US$ 2,382,538, nil, nil was provided for the years ended June 30, 2023, 2022 and 2021,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 these events occur, the Company assesses recoverability by comparing the carrying values of the long-lived assets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2023, 2022 and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revenue recognition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provides a comprehensive range of IT consulting services, customized IT solution services and other service, which primarily are on a time-and-expense basis, or fixed-price basis. Revenue is recognized when control of promised goods or services is transferred to the Company’s customers in an amount of consideration to which an entity expects to be entitled to in exchange for those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 consulting services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Customized IT solution service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from 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is stand-ready service on when-and-if-available basis.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contracts primarily comprise of the sales of headhunting services, consulting and administrative services. Revenue of headhunting services for other contracts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as the Company performs.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balances of contract assets arising from contracts with customers as of June 30, 2022 and 2023 were $1,461,411 and $691,025, respectively. The decrease in contract assets is mainly due to the decrease in revenue recognized from a customer. The balances of contract liabilities arising from contracts with customers as of June 30, 2022 and 2023 were $587,140 and $918,470, respectively. The increase in contractual liabilities is mainly due to the change of prepayment term of a customer. Revenue recognized in the year ended June 30, 2023 that was included in the contract liability balance at the beginning of the period was $560,256. This revenue was driven primarily by IT solution service performance obligations being satisfied.</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disaggregated revenue disclosures are presented in Note 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mainly consisted of compensation expenses for the Company’s IT professionals, travel expenses and material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also receives government subsidies related to government sponsored projects, and records such government subsidies as a liability when it is received. The Company recognizes the government subsidies in the consolidated statements of comprehensive (loss)/ income when there is reasonable assurance that the Company will receive the government grant and comply with the conditions attached to the grant to be received.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Before adopted ASU 2016-02, 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July 1, 2022, the Group adopted ASU 2016-02, Leases (Topic 842), using the modified retrospective transition method and used an effective date of July 1, 2022 as the date of initial application. As a result, the comparative periods were not restated.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Group has elected the package of practical expedients permitted which allows the Group not to reassess the following at adoption date: (i) whether any expired or existing contracts are or contains a lease, (ii) the lease classification for any expired or existing leases, and (iii) initial direct costs for any expired or existing leases (i.e. whether those costs qualify for capitalization under ASU 2016-02).</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Group determines whether an arrangement is or contains a lease at inception. The Group’s accounting policy effective on the adoption date of ASU 2016-02 is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as Lessee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Group classifies a lease as a financing lease when the lease meets any one of the following criteria at lease commencement:</w:t>
      </w:r>
    </w:p>
    <w:p>
      <w:pPr>
        <w:spacing w:after="0" w:line="220" w:lineRule="exact"/>
        <w:rPr>
          <w:sz w:val="20"/>
          <w:szCs w:val="20"/>
          <w:color w:val="auto"/>
        </w:rPr>
      </w:pPr>
    </w:p>
    <w:p>
      <w:pPr>
        <w:ind w:left="320" w:hanging="313"/>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lease grants the lessee an option to purchase the underlying asset that the lessee is reasonably certain to exercise.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lease term is for a major part of the remaining economic life of the underlying asset.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Group classifies a lease as a financing lease when the lease meets any one of the following criteria at lease commencement (continued):</w:t>
      </w:r>
    </w:p>
    <w:p>
      <w:pPr>
        <w:spacing w:after="0" w:line="231" w:lineRule="exact"/>
        <w:rPr>
          <w:sz w:val="20"/>
          <w:szCs w:val="20"/>
          <w:color w:val="auto"/>
        </w:rPr>
      </w:pPr>
    </w:p>
    <w:p>
      <w:pPr>
        <w:ind w:left="320" w:hanging="313"/>
        <w:spacing w:after="0" w:line="270" w:lineRule="auto"/>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present value of the sum of the lease payments and any residual value guaranteed by the lessee that is not already reflected in the lease payments equals or exceeds substantially all of the fair value of the underlying asset.</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underlying asset is of such a specialized nature that it is expected to have no alternative use to the Company at the end of the lease term.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When none of the criteria are met, the Group classifies a lease as an operating lease.</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operating leases, the Group records a lease liability and corresponding right-of-use (ROU) asset at lease commencement. Lease terms are based on the non-cancellable term of the lease and may contain options to extend the lease when it is reasonably certain that the Group will exercise the option. Lease liabilities represent the present value of the lease payments not yet paid, discounted using the discount rate for the lease at lease commencement.</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Group estimates its incremental borrowing rate for its leases at the commencement date to determine the present value of future lease payments when the implicit rate is not readily determinable in the lease. In estimating its incremental borrowing rate, the Group considers its credit rating and publicly available data of borrowing rates for loans of similar amount, currency and term as the lease.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leases are presented as “Operating lease ROU assets” and “Operating lease liabilities”. Lease liabilities that become due within one year of the balance sheet date are classified as current liabilities. At lease commencement, operating lease ROU assets represent the right to use underlying assets for their respective lease terms and are recognized at amounts equal to the lease liabilities adjusted for any lease payments made prior to the lease commencement date, less any lease incentives received and any initial direct costs incurred by the Group.</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lease commencement, operating lease liabilities are measured at the present value of the remaining lease payments using the discount rate determined at lease commencement. Operating lease ROU assets are measured at the amount of the lease liabilities and further adjusted for prepaid or accrued lease payments, the remaining balance of any lease incentives received, unamortized initial direct costs and impairment of the ROU assets, if any. Operating lease expense is recognized as a single cost on a straight-line basis over the lease term.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of the changes made to the Group’s consolidated balance sheet as of July 1, 2022 for the adoption of ASU 2016-02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Balance as of</w:t>
            </w:r>
          </w:p>
        </w:tc>
        <w:tc>
          <w:tcPr>
            <w:tcW w:w="1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Adjustments due to</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Balance as of</w:t>
            </w:r>
          </w:p>
        </w:tc>
      </w:tr>
      <w:tr>
        <w:trPr>
          <w:trHeight w:val="227"/>
        </w:trPr>
        <w:tc>
          <w:tcPr>
            <w:tcW w:w="6980" w:type="dxa"/>
            <w:vAlign w:val="bottom"/>
          </w:tcPr>
          <w:p>
            <w:pPr>
              <w:spacing w:after="0"/>
              <w:rPr>
                <w:sz w:val="19"/>
                <w:szCs w:val="19"/>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the adoption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July 1,</w:t>
            </w:r>
          </w:p>
        </w:tc>
      </w:tr>
      <w:tr>
        <w:trPr>
          <w:trHeight w:val="239"/>
        </w:trPr>
        <w:tc>
          <w:tcPr>
            <w:tcW w:w="698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ASU 2016-02</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30"/>
        </w:trPr>
        <w:tc>
          <w:tcPr>
            <w:tcW w:w="6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center"/>
              <w:ind w:right="271"/>
              <w:spacing w:after="0"/>
              <w:rPr>
                <w:sz w:val="20"/>
                <w:szCs w:val="20"/>
                <w:color w:val="auto"/>
              </w:rPr>
            </w:pPr>
            <w:r>
              <w:rPr>
                <w:rFonts w:ascii="Arial" w:cs="Arial" w:eastAsia="Arial" w:hAnsi="Arial"/>
                <w:sz w:val="18"/>
                <w:szCs w:val="18"/>
                <w:b w:val="1"/>
                <w:bCs w:val="1"/>
                <w:color w:val="auto"/>
                <w:w w:val="91"/>
              </w:rPr>
              <w:t>US$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US$</w:t>
            </w:r>
          </w:p>
        </w:tc>
        <w:tc>
          <w:tcPr>
            <w:tcW w:w="2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20"/>
                <w:szCs w:val="20"/>
                <w:color w:val="auto"/>
              </w:rPr>
            </w:pPr>
          </w:p>
        </w:tc>
      </w:tr>
      <w:tr>
        <w:trPr>
          <w:trHeight w:val="409"/>
        </w:trPr>
        <w:tc>
          <w:tcPr>
            <w:tcW w:w="698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Prepayments and other current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4,214,414</w:t>
            </w:r>
          </w:p>
        </w:tc>
      </w:tr>
      <w:tr>
        <w:trPr>
          <w:trHeight w:val="213"/>
        </w:trPr>
        <w:tc>
          <w:tcPr>
            <w:tcW w:w="6980" w:type="dxa"/>
            <w:vAlign w:val="bottom"/>
          </w:tcPr>
          <w:p>
            <w:pPr>
              <w:ind w:left="160"/>
              <w:spacing w:after="0"/>
              <w:rPr>
                <w:sz w:val="20"/>
                <w:szCs w:val="20"/>
                <w:color w:val="auto"/>
              </w:rPr>
            </w:pPr>
            <w:r>
              <w:rPr>
                <w:rFonts w:ascii="Arial" w:cs="Arial" w:eastAsia="Arial" w:hAnsi="Arial"/>
                <w:sz w:val="18"/>
                <w:szCs w:val="18"/>
                <w:color w:val="auto"/>
              </w:rPr>
              <w:t>Operating lease ROU assets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1,607,044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1,607,044</w:t>
            </w:r>
          </w:p>
        </w:tc>
      </w:tr>
      <w:tr>
        <w:trPr>
          <w:trHeight w:val="21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ind w:left="160"/>
              <w:spacing w:after="0"/>
              <w:rPr>
                <w:sz w:val="20"/>
                <w:szCs w:val="20"/>
                <w:color w:val="auto"/>
              </w:rPr>
            </w:pPr>
            <w:r>
              <w:rPr>
                <w:rFonts w:ascii="Arial" w:cs="Arial" w:eastAsia="Arial" w:hAnsi="Arial"/>
                <w:sz w:val="18"/>
                <w:szCs w:val="18"/>
                <w:color w:val="auto"/>
              </w:rPr>
              <w:t>Operating lease liabilities (current)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928,675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928,675</w:t>
            </w:r>
          </w:p>
        </w:tc>
      </w:tr>
      <w:tr>
        <w:trPr>
          <w:trHeight w:val="213"/>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 (non-current)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710,602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710,602</w:t>
            </w:r>
          </w:p>
        </w:tc>
      </w:tr>
      <w:tr>
        <w:trPr>
          <w:trHeight w:val="226"/>
        </w:trPr>
        <w:tc>
          <w:tcPr>
            <w:tcW w:w="698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352,402</w:t>
            </w:r>
          </w:p>
        </w:tc>
        <w:tc>
          <w:tcPr>
            <w:tcW w:w="160" w:type="dxa"/>
            <w:vAlign w:val="bottom"/>
          </w:tcPr>
          <w:p>
            <w:pPr>
              <w:spacing w:after="0"/>
              <w:rPr>
                <w:sz w:val="19"/>
                <w:szCs w:val="19"/>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(33,233)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319,169</w:t>
            </w:r>
          </w:p>
        </w:tc>
      </w:tr>
      <w:tr>
        <w:trPr>
          <w:trHeight w:val="413"/>
        </w:trPr>
        <w:tc>
          <w:tcPr>
            <w:tcW w:w="8300" w:type="dxa"/>
            <w:vAlign w:val="bottom"/>
            <w:gridSpan w:val="4"/>
          </w:tcPr>
          <w:p>
            <w:pPr>
              <w:spacing w:after="0"/>
              <w:rPr>
                <w:sz w:val="20"/>
                <w:szCs w:val="20"/>
                <w:color w:val="auto"/>
              </w:rPr>
            </w:pPr>
            <w:r>
              <w:rPr>
                <w:rFonts w:ascii="Arial" w:cs="Arial" w:eastAsia="Arial" w:hAnsi="Arial"/>
                <w:sz w:val="18"/>
                <w:szCs w:val="18"/>
                <w:color w:val="auto"/>
                <w:w w:val="89"/>
              </w:rPr>
              <w:t>The impact of adopting ASU 2016-02 on the Group’s consolidated balance sheet as of June 30, 2023 are as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Effect of the</w:t>
            </w:r>
          </w:p>
        </w:tc>
      </w:tr>
      <w:tr>
        <w:trPr>
          <w:trHeight w:val="213"/>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adoption of</w:t>
            </w:r>
          </w:p>
        </w:tc>
      </w:tr>
      <w:tr>
        <w:trPr>
          <w:trHeight w:val="227"/>
        </w:trPr>
        <w:tc>
          <w:tcPr>
            <w:tcW w:w="6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ASU 2016-02</w:t>
            </w:r>
          </w:p>
        </w:tc>
      </w:tr>
      <w:tr>
        <w:trPr>
          <w:trHeight w:val="239"/>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As reported</w:t>
            </w:r>
          </w:p>
        </w:tc>
        <w:tc>
          <w:tcPr>
            <w:tcW w:w="24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Legacy GAAP</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Higher/(lower)</w:t>
            </w:r>
          </w:p>
        </w:tc>
      </w:tr>
      <w:tr>
        <w:trPr>
          <w:trHeight w:val="230"/>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Borders>
              <w:top w:val="single" w:sz="8" w:color="auto"/>
            </w:tcBorders>
            <w:gridSpan w:val="2"/>
          </w:tcPr>
          <w:p>
            <w:pPr>
              <w:jc w:val="center"/>
              <w:ind w:left="51"/>
              <w:spacing w:after="0"/>
              <w:rPr>
                <w:sz w:val="20"/>
                <w:szCs w:val="20"/>
                <w:color w:val="auto"/>
              </w:rPr>
            </w:pPr>
            <w:r>
              <w:rPr>
                <w:rFonts w:ascii="Arial" w:cs="Arial" w:eastAsia="Arial" w:hAnsi="Arial"/>
                <w:sz w:val="18"/>
                <w:szCs w:val="18"/>
                <w:b w:val="1"/>
                <w:bCs w:val="1"/>
                <w:color w:val="auto"/>
                <w:w w:val="91"/>
              </w:rPr>
              <w:t>US$</w:t>
            </w:r>
          </w:p>
        </w:tc>
        <w:tc>
          <w:tcPr>
            <w:tcW w:w="1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US$</w:t>
            </w:r>
          </w:p>
        </w:tc>
        <w:tc>
          <w:tcPr>
            <w:tcW w:w="220" w:type="dxa"/>
            <w:vAlign w:val="bottom"/>
            <w:gridSpan w:val="2"/>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20"/>
                <w:szCs w:val="20"/>
                <w:color w:val="auto"/>
              </w:rPr>
            </w:pPr>
          </w:p>
        </w:tc>
      </w:tr>
      <w:tr>
        <w:trPr>
          <w:trHeight w:val="409"/>
        </w:trPr>
        <w:tc>
          <w:tcPr>
            <w:tcW w:w="698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815,324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815,324</w:t>
            </w:r>
          </w:p>
        </w:tc>
      </w:tr>
      <w:tr>
        <w:trPr>
          <w:trHeight w:val="213"/>
        </w:trPr>
        <w:tc>
          <w:tcPr>
            <w:tcW w:w="6980" w:type="dxa"/>
            <w:vAlign w:val="bottom"/>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712,302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712,302</w:t>
            </w:r>
          </w:p>
        </w:tc>
      </w:tr>
      <w:tr>
        <w:trPr>
          <w:trHeight w:val="213"/>
        </w:trPr>
        <w:tc>
          <w:tcPr>
            <w:tcW w:w="698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104,114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104,114</w:t>
            </w:r>
          </w:p>
        </w:tc>
      </w:tr>
      <w:tr>
        <w:trPr>
          <w:trHeight w:val="21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324,021</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325,113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w:t>
            </w: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adoption of the standard did not have significant impact to the Group’s consolidated statements of comprehensive loss or cash flows for the year ended June 30, 2023.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 The expenses related to these plans were $6,180,287, $16,771,118 and $18,025,748 for the years ended June 30, 2021, 2022 and 2023,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Company accounts for uncertainties in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 All of the tax returns of the Company’s subsidiaries in China remain subject to examination by the tax authorities for five years from the date of filing through year 2026, and the examination period was extended to 10 years for entities qualified as High and New Technology Enterprises (“HNTEs”) in 2018 and thereafter.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Company accounts for share-based payment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62"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3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 change in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cancellation of an award that is not accompanied by the concurrent grant of (or offer to grant) a replacement award or other valuable consideration shall be accounted for as a repurchase for no consideration. Accordingly, the Company recognized previously unrecognized compensation cost at the cancellation date and reversed previously recognized share capital to additional paid-in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Basic earnings per share is computed using the weighted average number of common shares outstanding during the period. Diluted earnings per share is computed using the weighted average number of common shares and potential common shares outstanding during the period, which may include RSUs, options and warrants. The computation of diluted earnings per share does not assume conversion, exercise, or contingent issuance of securities that would have an anti-dilutive effect (i.e. an increase in earnings per share amounts) on earnings per share.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The functional currency of the Company is US$. The functional currencies of the Company’s subsidiaries are the local currency of the country in which the subsidiary operates, which is determined based on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(“ASC 830”).</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comprehensive(loss)/ income.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comprehensive(loss)/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 xml:space="preserve">The Company applies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and expands disclosures about fair value measurements. ASC 820 requires disclosures to be provided for fair value measurements.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of the Company primarily consist of cash and cash equivalents, short-term investments, accounts receivable, other assets, note receivables, amounts due from related parties, equity investments without readily determinable fair values, accounts payable and other current liabilities, amounts due to related party, short-term bank loans and long-term bank loans. The carrying amounts of these financial instruments, except for short-term investments, equity investments without readily determinable fair values and long-term bank loans, approximate their fair values because of their generally short maturities.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fair value of the Company’s trading securities is measured using the income approach, based on quoted market interest rates of similar instruments and other significant inputs derived from or corroborated by observable market data.</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carrying amount of long-term bank loans approximates its fair value due to the fact that the related interest rates approximate market rates for similar debt instruments of comparable maturities.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equity investments without readily determinable fair values, the Company elected to use the measurement alternative to measure those investments in the cases of an impairment charge is recognized, fair value of an investment is remeasured in an acquisition/a disposal, and an orderly transaction for identical or similar investments of the same issuer is identified.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is no assets and liabilities measured on a recurring basis or disclosed at fair value as of June 30, 2023 and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For the years ended June 30, 2023 and 2022, there was no gain or loss recognized for the equity investments using the measurement alternative. As of June 30, 2023 and 2022, the Company had no financial assets and liabilities measured and recorded at fair value on a non-recurring basis.</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Disclosure Framework-Changes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(“ASU 2018-13”), which modifies the disclosure requirements on fair value measurements in ASC 820. The Company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ASU 2018-13 on July 1, 2020, which has no material impact to the Company’s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Comprehensive income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accordance with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 majority of the transactions of the Company’s PRC subsidiaries are denominated in Renminbi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as set forth in the H.10 statistical release of the U.S. Federal Reserve Board. Remittances in currencies other than RMB by the Company in China must be processed through the People’s Bank of China (“PBOC”) or other China foreign exchange regulatory bodies which require certain supporting documentation in order to affect the remittance.</w:t>
      </w:r>
    </w:p>
    <w:p>
      <w:pPr>
        <w:spacing w:after="0" w:line="162" w:lineRule="exact"/>
        <w:rPr>
          <w:sz w:val="20"/>
          <w:szCs w:val="20"/>
          <w:color w:val="auto"/>
        </w:rPr>
      </w:pPr>
    </w:p>
    <w:p>
      <w:pPr>
        <w:jc w:val="both"/>
        <w:ind w:left="20"/>
        <w:spacing w:after="0" w:line="292" w:lineRule="auto"/>
        <w:rPr>
          <w:sz w:val="20"/>
          <w:szCs w:val="20"/>
          <w:color w:val="auto"/>
        </w:rPr>
      </w:pPr>
      <w:r>
        <w:rPr>
          <w:rFonts w:ascii="Arial" w:cs="Arial" w:eastAsia="Arial" w:hAnsi="Arial"/>
          <w:sz w:val="16"/>
          <w:szCs w:val="16"/>
          <w:color w:val="auto"/>
        </w:rPr>
        <w:t>The functional currency for the Company’s PRC subsidiaries is the RMB, and the financial statements are presented in U.S. dollars. The RMB appreciated by 8.6% in fiscal 2021, depreciated by 3.7% in fiscal 2022, and depreciated by 8.3% in fiscal 2023, respectively. 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its business or results of operations. Currently, the majority of the Company’s assets, liabilities, revenues and costs are denominated in RMB.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 (continued)</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Concentration of credit risk</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Financial instruments that potentially subject the Company to significant concentration of credit risk consist primarily of cash and cash equivalents, account receivables, other assets, note receivables, and amounts due from related parties. As of June 30, 2023 and 2022, US$17,809,090 and US$14,787,554 of the Company’s cash and cash equivalents was on deposit at financial institutions in the PRC where there currently is no rule or regulation requiring such financial institutions to maintain insurance to cover bank deposits in the event of bank failure. As of June 30, 2023, the Company and its subsidiaries had US$17,809,090, US$1,289,130, US$13,543, US$2,832,122, US$ 90,180, US$32,368, US$34,921, US$120,953 and US$79,326 of cash and cash equivalents on deposit at financial institutions in mainland China, Singapore, Australia, Hong Kong, Malaysia, India, Japan, America and Philippines, respectively. As of June 30, 2022, the Company and its subsidiaries had US$14,787,554, US$2,034,692, US$6,800, US$1,195,402, US$6,799, US$4,007, US$75,322, US$24,583 and US$91,828 of cash and cash equivalents on deposit at financial institutions in mainland China, Singapore, Australia, Hong Kong, Malaysia, India, Japan, America and Philippines, respectively. The Company continues to monitor the financial strength of the financial institutions. There has been no recent history of default in relation to these financial institutions.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conducts credit evaluations on its customers and generally does not require collateral or other security from such customers. The Company periodically evaluates the creditworthiness of the existing customers in determining an allowance for doubtful accounts primarily based upon the age of the receivables and factors surrounding the credit risk of specific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Significant customers</w:t>
      </w:r>
    </w:p>
    <w:p>
      <w:pPr>
        <w:spacing w:after="0" w:line="220" w:lineRule="exact"/>
        <w:rPr>
          <w:sz w:val="20"/>
          <w:szCs w:val="20"/>
          <w:color w:val="auto"/>
        </w:rPr>
      </w:pPr>
    </w:p>
    <w:p>
      <w:pPr>
        <w:jc w:val="both"/>
        <w:spacing w:after="0" w:line="350" w:lineRule="auto"/>
        <w:rPr>
          <w:sz w:val="20"/>
          <w:szCs w:val="20"/>
          <w:color w:val="auto"/>
        </w:rPr>
      </w:pPr>
      <w:r>
        <w:rPr>
          <w:rFonts w:ascii="Arial" w:cs="Arial" w:eastAsia="Arial" w:hAnsi="Arial"/>
          <w:sz w:val="14"/>
          <w:szCs w:val="14"/>
          <w:color w:val="auto"/>
        </w:rPr>
        <w:t>The top two customers and their affiliates accounted for 21.4%, and 9.4%, respectively, of total revenues during the year ended June 30, 2023, 20.6%, and 12.2%, respectively, of total revenues during the year ended June 30, 2022. The top two customers and their affiliates accounted for 19.1%, and 11.9%, respectively, of total revenues during the year ended June 30, 2021. The top two customers accounted for 32.3%, and 4.1%, respectively, of the Company’s total accounts receivable balance as of June 30, 2023, 30.2%, and 9.3%, respectively, of the Company’s total accounts receivable balance as of June 30,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AND DECONSOLIDATIONS OF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CareerWin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 2 million). The total consideration was allocated to the acquisition of 100% equity interests in CareerWin and the acquisition of 30% noncontrolling interest in JAJI HR (Note 19) at $289,980 (RMB 1.88 million) and $18,995 (RMB 0.12 million), respectively.</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126,680</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(71,488)</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Tax payables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(2,576)</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(5,099)</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(25,336)</w:t>
            </w:r>
          </w:p>
        </w:tc>
      </w:tr>
      <w:tr>
        <w:trPr>
          <w:trHeight w:val="24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289,980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Pro forma financial information of CareerWin is not presented as the effects of the acquisition on the Company’s consolidated financial statements were not material.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AND DECONSOLIDATIONS OF SUBSIDIARIES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MSCT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18, 2021, Growth Ring Ltd. (“Growth Ring”) entered into a capital increase agreement with Minshang Creative Technology Holdings Limited (“MCT”) to purchase MCT’s 53.33% equity interest in MSCT, at a total cash consideration of $205,711 (HK$1,600,000). After the transaction, Growth Ring owned 53.33% of MSCT and MCT owned the remaining 46.67% equity interests.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of the 53.33% equity interest in MSCT was completed on August 16, 2021. As MSCT does not possess all the elements that are necessary to conduct normal operations as a business and had not yet commenced operations, such acquisition is accounted for as an acquisition of using a cost accumulation and allocation model under which the cost of the acquisition is allocated to the assets acquired and liabilities assumed. The carrying amounts of the net identifiable assets of MSCT as of the date of acquisition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205,711</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(Note 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151,168</w:t>
            </w: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(5,390)</w:t>
            </w: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(23,971)</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(121,807)</w:t>
            </w:r>
          </w:p>
        </w:tc>
      </w:tr>
      <w:tr>
        <w:trPr>
          <w:trHeight w:val="260"/>
        </w:trPr>
        <w:tc>
          <w:tcPr>
            <w:tcW w:w="1002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205,711</w:t>
            </w:r>
          </w:p>
        </w:tc>
        <w:tc>
          <w:tcPr>
            <w:tcW w:w="10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valuation used in the purchase price allocation described above was determined by the Company with the assistance of independent third-party valuation firm. The valuation report applied generally accepted valuation methodology, the income approach. As the acquiree is a private company, the fair value estimates of noncontrolling interest is based on significant inputs considered by market participants which mainly include (a) discount rate, (b) projected terminal value based on future cash flows, (c) equity multiples or enterprise value multiples of companies in the same industries and (d) adjustment for lack of control or lack of marketability.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48,582,555</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53,896,259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(67,088)</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(126,372)</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48,515,467</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53,769,887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movement of the allowance for doubtful accounts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8"/>
                <w:szCs w:val="18"/>
                <w:b w:val="1"/>
                <w:bCs w:val="1"/>
                <w:color w:val="auto"/>
                <w:w w:val="88"/>
              </w:rPr>
              <w:t>Fiscal Year</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126,372</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Adoption of ASU 2016-13</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13,372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Recovery of doubtful accounts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(15,788)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(180,518)</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Write off for doubtful account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(67,599)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6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67,088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Prepayments, deposits and other assets, net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510,462</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928,025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691,025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1,461,411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Advances and deposits to suppliers*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155,179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114,400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280,223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Advances to employees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100,090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437,288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Prepaid VAT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74,329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credit loss</w:t>
            </w: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(7,316)</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6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1,918,392</w:t>
            </w: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4,463,870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(252,656)</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(248,456)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1,665,736</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4,215,414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hanging="313"/>
        <w:spacing w:after="0" w:line="270"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Prepaid expenses, advances and deposits to suppliers primarily consists of advances and deposits to suppliers for purchasing goods or services that have not been received or provided.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5 – PREPAYMENTS, DEPOSITS AND OTHER ASSETS, NET - continued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The movement of the allowance for doubtful accounts is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Fiscal Year</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Adoption of ASU 2016-13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13,292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Recovery of doubtful accounts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2023</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60" w:type="dxa"/>
            <w:vAlign w:val="bottom"/>
            <w:vMerge w:val="continue"/>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7,316</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Office building</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20,354,809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20,198,454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1,224,250</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Office building related facility, machinery and equipment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182,503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225,773</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Automobiles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37,421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118,472</w:t>
            </w: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69,448</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772,210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667,785</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22,550,672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22,504,182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(2,438,367)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(1,903,084)</w:t>
            </w:r>
          </w:p>
        </w:tc>
        <w:tc>
          <w:tcPr>
            <w:tcW w:w="0" w:type="dxa"/>
            <w:vAlign w:val="bottom"/>
          </w:tcPr>
          <w:p>
            <w:pPr>
              <w:spacing w:after="0"/>
              <w:rPr>
                <w:sz w:val="1"/>
                <w:szCs w:val="1"/>
                <w:color w:val="auto"/>
              </w:rPr>
            </w:pPr>
          </w:p>
        </w:tc>
      </w:tr>
      <w:tr>
        <w:trPr>
          <w:trHeight w:val="26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20,112,305</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20,601,098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Depreciation expense was $1,040,734, $709,836, and $404,063, for the years ended June 30, 2023, 2022 and 2021, respectively. No impairment loss was recognized for the years ended June 30, 2023, 2022 and 2021.</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2023, the office building with carrying amount of US$15,292,336 is mortgaged to secure financing credit facility of HKD 58,000,00 from Taipei Fubon Bank.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(Amounts in U.S. dollars (“$”), except for number of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 NET</w:t>
      </w:r>
    </w:p>
    <w:p>
      <w:pPr>
        <w:sectPr>
          <w:pgSz w:w="11900" w:h="16838" w:orient="portrait"/>
          <w:cols w:equalWidth="0" w:num="1">
            <w:col w:w="11240"/>
          </w:cols>
          <w:pgMar w:left="320" w:top="868" w:right="3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2022, intangible assets,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468630</wp:posOffset>
            </wp:positionV>
            <wp:extent cx="7134225" cy="152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Customer contracts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86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5671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37" w:lineRule="exact"/>
        <w:rPr>
          <w:sz w:val="20"/>
          <w:szCs w:val="20"/>
          <w:color w:val="auto"/>
        </w:rPr>
      </w:pPr>
    </w:p>
    <w:p>
      <w:pPr>
        <w:spacing w:after="0"/>
        <w:tabs>
          <w:tab w:leader="none" w:pos="540" w:val="left"/>
          <w:tab w:leader="none" w:pos="1340" w:val="left"/>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924,351</w:t>
        <w:tab/>
        <w:t>$</w:t>
      </w:r>
      <w:r>
        <w:rPr>
          <w:sz w:val="20"/>
          <w:szCs w:val="20"/>
          <w:color w:val="auto"/>
        </w:rPr>
        <w:tab/>
      </w:r>
      <w:r>
        <w:rPr>
          <w:rFonts w:ascii="Arial" w:cs="Arial" w:eastAsia="Arial" w:hAnsi="Arial"/>
          <w:sz w:val="16"/>
          <w:szCs w:val="16"/>
          <w:color w:val="auto"/>
        </w:rPr>
        <w:t>1,021,509</w:t>
      </w:r>
    </w:p>
    <w:p>
      <w:pPr>
        <w:spacing w:after="0" w:line="19" w:lineRule="exact"/>
        <w:rPr>
          <w:sz w:val="20"/>
          <w:szCs w:val="20"/>
          <w:color w:val="auto"/>
        </w:rPr>
      </w:pPr>
    </w:p>
    <w:p>
      <w:pPr>
        <w:ind w:left="1900" w:hanging="819"/>
        <w:spacing w:after="0"/>
        <w:tabs>
          <w:tab w:leader="none" w:pos="1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344,003</w:t>
      </w:r>
    </w:p>
    <w:p>
      <w:pPr>
        <w:spacing w:after="0" w:line="18"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222,982</w:t>
      </w:r>
      <w:r>
        <w:rPr>
          <w:rFonts w:ascii="Arial" w:cs="Arial" w:eastAsia="Arial" w:hAnsi="Arial"/>
          <w:sz w:val="16"/>
          <w:szCs w:val="16"/>
          <w:color w:val="auto"/>
        </w:rPr>
        <w:t>228,853</w:t>
      </w:r>
    </w:p>
    <w:p>
      <w:pPr>
        <w:spacing w:after="0" w:line="6" w:lineRule="exact"/>
        <w:rPr>
          <w:sz w:val="20"/>
          <w:szCs w:val="20"/>
          <w:color w:val="auto"/>
        </w:rPr>
      </w:pPr>
    </w:p>
    <w:p>
      <w:pPr>
        <w:jc w:val="right"/>
        <w:ind w:right="40"/>
        <w:spacing w:after="0"/>
        <w:tabs>
          <w:tab w:leader="none" w:pos="680" w:val="left"/>
        </w:tabs>
        <w:rPr>
          <w:sz w:val="20"/>
          <w:szCs w:val="20"/>
          <w:color w:val="auto"/>
        </w:rPr>
      </w:pPr>
      <w:r>
        <w:rPr>
          <w:rFonts w:ascii="Arial" w:cs="Arial" w:eastAsia="Arial" w:hAnsi="Arial"/>
          <w:sz w:val="18"/>
          <w:szCs w:val="18"/>
          <w:color w:val="auto"/>
        </w:rPr>
        <w:t>(421,158)</w:t>
      </w:r>
      <w:r>
        <w:rPr>
          <w:sz w:val="20"/>
          <w:szCs w:val="20"/>
          <w:color w:val="auto"/>
        </w:rPr>
        <w:tab/>
      </w:r>
      <w:r>
        <w:rPr>
          <w:rFonts w:ascii="Arial" w:cs="Arial" w:eastAsia="Arial" w:hAnsi="Arial"/>
          <w:sz w:val="16"/>
          <w:szCs w:val="16"/>
          <w:color w:val="auto"/>
        </w:rPr>
        <w:t>(624,321)</w:t>
      </w:r>
    </w:p>
    <w:p>
      <w:pPr>
        <w:spacing w:after="0" w:line="60" w:lineRule="exact"/>
        <w:rPr>
          <w:sz w:val="20"/>
          <w:szCs w:val="20"/>
          <w:color w:val="auto"/>
        </w:rPr>
      </w:pPr>
    </w:p>
    <w:p>
      <w:pPr>
        <w:spacing w:after="0"/>
        <w:tabs>
          <w:tab w:leader="none" w:pos="540" w:val="left"/>
          <w:tab w:leader="none" w:pos="134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726,175</w:t>
        <w:tab/>
        <w:t>$</w:t>
      </w:r>
      <w:r>
        <w:rPr>
          <w:sz w:val="20"/>
          <w:szCs w:val="20"/>
          <w:color w:val="auto"/>
        </w:rPr>
        <w:tab/>
      </w:r>
      <w:r>
        <w:rPr>
          <w:rFonts w:ascii="Arial" w:cs="Arial" w:eastAsia="Arial" w:hAnsi="Arial"/>
          <w:sz w:val="16"/>
          <w:szCs w:val="16"/>
          <w:color w:val="auto"/>
        </w:rPr>
        <w:t>970,044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15671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868" w:right="339" w:bottom="1440" w:gutter="0" w:footer="0" w:header="0"/>
          <w:type w:val="continuous"/>
        </w:sectPr>
      </w:pP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During the year ended June 30, 2022, software of $150,468 was derived from the asset acquisition of MSCT with an estimated useful life of 10 years (Note 3).</w:t>
      </w:r>
    </w:p>
    <w:p>
      <w:pPr>
        <w:sectPr>
          <w:pgSz w:w="11900" w:h="16838" w:orient="portrait"/>
          <w:cols w:equalWidth="0" w:num="1">
            <w:col w:w="11240"/>
          </w:cols>
          <w:pgMar w:left="320" w:top="868"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movement of intangible assets, net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705485</wp:posOffset>
            </wp:positionV>
            <wp:extent cx="7134225" cy="152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Addition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Disposal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61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p>
    <w:p>
      <w:pPr>
        <w:ind w:left="546" w:hanging="546"/>
        <w:spacing w:after="0"/>
        <w:tabs>
          <w:tab w:leader="none" w:pos="546" w:val="left"/>
        </w:tabs>
        <w:numPr>
          <w:ilvl w:val="0"/>
          <w:numId w:val="84"/>
        </w:numPr>
        <w:rPr>
          <w:rFonts w:ascii="Arial" w:cs="Arial" w:eastAsia="Arial" w:hAnsi="Arial"/>
          <w:sz w:val="17"/>
          <w:szCs w:val="17"/>
          <w:color w:val="auto"/>
        </w:rPr>
      </w:pPr>
      <w:r>
        <w:rPr>
          <w:rFonts w:ascii="Arial" w:cs="Arial" w:eastAsia="Arial" w:hAnsi="Arial"/>
          <w:sz w:val="17"/>
          <w:szCs w:val="17"/>
          <w:color w:val="auto"/>
        </w:rPr>
        <w:t>970,044</w:t>
      </w:r>
    </w:p>
    <w:p>
      <w:pPr>
        <w:spacing w:after="0" w:line="30" w:lineRule="exact"/>
        <w:rPr>
          <w:rFonts w:ascii="Arial" w:cs="Arial" w:eastAsia="Arial" w:hAnsi="Arial"/>
          <w:sz w:val="17"/>
          <w:szCs w:val="17"/>
          <w:color w:val="auto"/>
        </w:rPr>
      </w:pPr>
    </w:p>
    <w:p>
      <w:pPr>
        <w:ind w:left="1066"/>
        <w:spacing w:after="0"/>
        <w:rPr>
          <w:rFonts w:ascii="Arial" w:cs="Arial" w:eastAsia="Arial" w:hAnsi="Arial"/>
          <w:sz w:val="17"/>
          <w:szCs w:val="17"/>
          <w:color w:val="auto"/>
        </w:rPr>
      </w:pPr>
      <w:r>
        <w:rPr>
          <w:rFonts w:ascii="Arial" w:cs="Arial" w:eastAsia="Arial" w:hAnsi="Arial"/>
          <w:sz w:val="18"/>
          <w:szCs w:val="18"/>
          <w:color w:val="auto"/>
        </w:rPr>
        <w:t>-</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(179,078)</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(74,686)</w:t>
      </w:r>
    </w:p>
    <w:p>
      <w:pPr>
        <w:spacing w:after="0" w:line="7" w:lineRule="exact"/>
        <w:rPr>
          <w:sz w:val="20"/>
          <w:szCs w:val="20"/>
          <w:color w:val="auto"/>
        </w:rPr>
      </w:pPr>
    </w:p>
    <w:p>
      <w:pPr>
        <w:ind w:left="726"/>
        <w:spacing w:after="0"/>
        <w:rPr>
          <w:sz w:val="20"/>
          <w:szCs w:val="20"/>
          <w:color w:val="auto"/>
        </w:rPr>
      </w:pPr>
      <w:r>
        <w:rPr>
          <w:rFonts w:ascii="Arial" w:cs="Arial" w:eastAsia="Arial" w:hAnsi="Arial"/>
          <w:sz w:val="18"/>
          <w:szCs w:val="18"/>
          <w:color w:val="auto"/>
        </w:rPr>
        <w:t>9,895</w:t>
      </w:r>
    </w:p>
    <w:p>
      <w:pPr>
        <w:spacing w:after="0" w:line="60" w:lineRule="exact"/>
        <w:rPr>
          <w:sz w:val="20"/>
          <w:szCs w:val="20"/>
          <w:color w:val="auto"/>
        </w:rPr>
      </w:pPr>
    </w:p>
    <w:p>
      <w:pPr>
        <w:ind w:left="546" w:hanging="546"/>
        <w:spacing w:after="0"/>
        <w:tabs>
          <w:tab w:leader="none" w:pos="5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726,175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183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83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45720</wp:posOffset>
            </wp:positionV>
            <wp:extent cx="71183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4" w:space="720"/>
            <w:col w:w="1226"/>
          </w:cols>
          <w:pgMar w:left="320" w:top="868" w:right="339" w:bottom="1440" w:gutter="0" w:footer="0" w:header="0"/>
          <w:type w:val="continuous"/>
        </w:sectPr>
      </w:pPr>
    </w:p>
    <w:p>
      <w:pPr>
        <w:spacing w:after="0" w:line="9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amortization expenses were $179,078, $202,412 and $273,178 for the years ended June 30, 2023, 2022 and 2021. Estimated future amortization expenses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r>
      <w:tr>
        <w:trPr>
          <w:trHeight w:val="23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June 30,</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r>
      <w:tr>
        <w:trPr>
          <w:trHeight w:val="213"/>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116,823</w:t>
            </w:r>
          </w:p>
        </w:tc>
      </w:tr>
      <w:tr>
        <w:trPr>
          <w:trHeight w:val="213"/>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109,954</w:t>
            </w:r>
          </w:p>
        </w:tc>
      </w:tr>
      <w:tr>
        <w:trPr>
          <w:trHeight w:val="213"/>
        </w:trPr>
        <w:tc>
          <w:tcPr>
            <w:tcW w:w="9900" w:type="dxa"/>
            <w:vAlign w:val="bottom"/>
          </w:tcPr>
          <w:p>
            <w:pPr>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107,628</w:t>
            </w:r>
          </w:p>
        </w:tc>
      </w:tr>
      <w:tr>
        <w:trPr>
          <w:trHeight w:val="213"/>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107,493</w:t>
            </w:r>
          </w:p>
        </w:tc>
      </w:tr>
      <w:tr>
        <w:trPr>
          <w:trHeight w:val="234"/>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2029 and after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tcBorders>
              <w:bottom w:val="single" w:sz="8" w:color="CCEEFF"/>
            </w:tcBorders>
          </w:tcPr>
          <w:p>
            <w:pPr>
              <w:spacing w:after="0"/>
              <w:rPr>
                <w:sz w:val="20"/>
                <w:szCs w:val="20"/>
                <w:color w:val="auto"/>
              </w:rPr>
            </w:pPr>
          </w:p>
        </w:tc>
      </w:tr>
      <w:tr>
        <w:trPr>
          <w:trHeight w:val="24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726,175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were recognized for the years ended June 30, 2023, 2022 and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70" w:name="page171"/>
    <w:bookmarkEnd w:id="170"/>
    <w:p>
      <w:pPr>
        <w:jc w:val="center"/>
        <w:ind w:left="1966"/>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left="1966"/>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left="1966"/>
        <w:spacing w:after="0"/>
        <w:rPr>
          <w:sz w:val="20"/>
          <w:szCs w:val="20"/>
          <w:color w:val="auto"/>
        </w:rPr>
      </w:pPr>
      <w:r>
        <w:rPr>
          <w:rFonts w:ascii="Arial" w:cs="Arial" w:eastAsia="Arial" w:hAnsi="Arial"/>
          <w:sz w:val="17"/>
          <w:szCs w:val="17"/>
          <w:color w:val="auto"/>
        </w:rPr>
        <w:t>(Amounts in U.S. dollars (“$”), except for number of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690880</wp:posOffset>
            </wp:positionV>
            <wp:extent cx="7134225" cy="152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61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p>
    <w:p>
      <w:pPr>
        <w:ind w:left="406" w:hanging="406"/>
        <w:spacing w:after="0"/>
        <w:tabs>
          <w:tab w:leader="none" w:pos="406" w:val="left"/>
        </w:tabs>
        <w:numPr>
          <w:ilvl w:val="0"/>
          <w:numId w:val="86"/>
        </w:numPr>
        <w:rPr>
          <w:rFonts w:ascii="Arial" w:cs="Arial" w:eastAsia="Arial" w:hAnsi="Arial"/>
          <w:sz w:val="17"/>
          <w:szCs w:val="17"/>
          <w:color w:val="auto"/>
        </w:rPr>
      </w:pPr>
      <w:r>
        <w:rPr>
          <w:rFonts w:ascii="Arial" w:cs="Arial" w:eastAsia="Arial" w:hAnsi="Arial"/>
          <w:sz w:val="17"/>
          <w:szCs w:val="17"/>
          <w:color w:val="auto"/>
        </w:rPr>
        <w:t>2,363,841</w:t>
      </w:r>
    </w:p>
    <w:p>
      <w:pPr>
        <w:spacing w:after="0" w:line="30" w:lineRule="exact"/>
        <w:rPr>
          <w:rFonts w:ascii="Arial" w:cs="Arial" w:eastAsia="Arial" w:hAnsi="Arial"/>
          <w:sz w:val="17"/>
          <w:szCs w:val="17"/>
          <w:color w:val="auto"/>
        </w:rPr>
      </w:pPr>
    </w:p>
    <w:p>
      <w:pPr>
        <w:ind w:left="346"/>
        <w:spacing w:after="0"/>
        <w:rPr>
          <w:rFonts w:ascii="Arial" w:cs="Arial" w:eastAsia="Arial" w:hAnsi="Arial"/>
          <w:sz w:val="17"/>
          <w:szCs w:val="17"/>
          <w:color w:val="auto"/>
        </w:rPr>
      </w:pPr>
      <w:r>
        <w:rPr>
          <w:rFonts w:ascii="Arial" w:cs="Arial" w:eastAsia="Arial" w:hAnsi="Arial"/>
          <w:sz w:val="16"/>
          <w:szCs w:val="16"/>
          <w:color w:val="auto"/>
        </w:rPr>
        <w:t>(2,382,538)</w:t>
      </w:r>
    </w:p>
    <w:p>
      <w:pPr>
        <w:spacing w:after="0" w:line="29" w:lineRule="exact"/>
        <w:rPr>
          <w:rFonts w:ascii="Arial" w:cs="Arial" w:eastAsia="Arial" w:hAnsi="Arial"/>
          <w:sz w:val="17"/>
          <w:szCs w:val="17"/>
          <w:color w:val="auto"/>
        </w:rPr>
      </w:pPr>
    </w:p>
    <w:p>
      <w:pPr>
        <w:ind w:left="626"/>
        <w:spacing w:after="0"/>
        <w:rPr>
          <w:rFonts w:ascii="Arial" w:cs="Arial" w:eastAsia="Arial" w:hAnsi="Arial"/>
          <w:sz w:val="17"/>
          <w:szCs w:val="17"/>
          <w:color w:val="auto"/>
        </w:rPr>
      </w:pPr>
      <w:r>
        <w:rPr>
          <w:rFonts w:ascii="Arial" w:cs="Arial" w:eastAsia="Arial" w:hAnsi="Arial"/>
          <w:sz w:val="18"/>
          <w:szCs w:val="18"/>
          <w:color w:val="auto"/>
        </w:rPr>
        <w:t>18,697</w:t>
      </w:r>
    </w:p>
    <w:p>
      <w:pPr>
        <w:spacing w:after="0" w:line="60" w:lineRule="exact"/>
        <w:rPr>
          <w:sz w:val="20"/>
          <w:szCs w:val="20"/>
          <w:color w:val="auto"/>
        </w:rPr>
      </w:pPr>
    </w:p>
    <w:p>
      <w:pPr>
        <w:ind w:left="1066" w:hanging="1066"/>
        <w:spacing w:after="0"/>
        <w:tabs>
          <w:tab w:leader="none" w:pos="10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183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83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7118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4" w:space="720"/>
            <w:col w:w="1226"/>
          </w:cols>
          <w:pgMar w:left="320" w:top="868" w:right="339" w:bottom="1440" w:gutter="0" w:footer="0" w:header="0"/>
        </w:sectPr>
      </w:pPr>
    </w:p>
    <w:p>
      <w:pPr>
        <w:spacing w:after="0" w:line="87" w:lineRule="exact"/>
        <w:rPr>
          <w:sz w:val="20"/>
          <w:szCs w:val="20"/>
          <w:color w:val="auto"/>
        </w:rPr>
      </w:pPr>
    </w:p>
    <w:p>
      <w:pPr>
        <w:jc w:val="both"/>
        <w:spacing w:after="0" w:line="216" w:lineRule="exact"/>
        <w:rPr>
          <w:sz w:val="20"/>
          <w:szCs w:val="20"/>
          <w:color w:val="auto"/>
        </w:rPr>
      </w:pPr>
      <w:r>
        <w:rPr>
          <w:rFonts w:ascii="Arial" w:cs="Arial" w:eastAsia="Arial" w:hAnsi="Arial"/>
          <w:sz w:val="16"/>
          <w:szCs w:val="16"/>
          <w:color w:val="auto"/>
        </w:rPr>
        <w:t>For the year ended June 30, 2022</w:t>
      </w:r>
      <w:r>
        <w:rPr>
          <w:rFonts w:ascii="MS PGothic" w:cs="MS PGothic" w:eastAsia="MS PGothic" w:hAnsi="MS PGothic"/>
          <w:sz w:val="16"/>
          <w:szCs w:val="16"/>
          <w:color w:val="auto"/>
        </w:rPr>
        <w:t>，</w:t>
      </w:r>
      <w:r>
        <w:rPr>
          <w:rFonts w:ascii="Arial" w:cs="Arial" w:eastAsia="Arial" w:hAnsi="Arial"/>
          <w:sz w:val="16"/>
          <w:szCs w:val="16"/>
          <w:color w:val="auto"/>
        </w:rPr>
        <w:t>the Company performed a qualitative assessment of the goodwill for the reporting unit based on the requirements of ASC 350-20</w:t>
      </w:r>
      <w:r>
        <w:rPr>
          <w:rFonts w:ascii="MS PGothic" w:cs="MS PGothic" w:eastAsia="MS PGothic" w:hAnsi="MS PGothic"/>
          <w:sz w:val="16"/>
          <w:szCs w:val="16"/>
          <w:color w:val="auto"/>
        </w:rPr>
        <w:t>，</w:t>
      </w:r>
      <w:r>
        <w:rPr>
          <w:rFonts w:ascii="Arial" w:cs="Arial" w:eastAsia="Arial" w:hAnsi="Arial"/>
          <w:sz w:val="16"/>
          <w:szCs w:val="16"/>
          <w:color w:val="auto"/>
        </w:rPr>
        <w:t>evaluated all relevant factors, weighed all factors in their entirety and concluded that the two-step quantitative impairment test on goodwill was necessary as of June 30, 2022. The Company compared the carrying amount of the reporting unit to the fair value of the reporting unit based on estimated fair value using the income approach and the fair value of the reporting unit exceeded the carrying value of the reporting unit, goodwill is not impaired and the Company is not required to perform further testing, and no impairment loss shall be attributed to the parent or the noncontrolling interest.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June 30, 2023, the Company bypassed the qualitative assessment and performed a quantitative assessment of the goodwill for the reporting unit based on the requirements of ASC 350-20. The Company performed a quantitative assessment by estimating the fair value of the reporting unit based on market approach using multiples of comparable companies and other relevant information generated from market transactions involving identical or comparable assets or liabilities. The fair value of the reporting unit is less than its carrying value and therefore, impairment loss of US$2,382,538 was recognized for the year ended June 30,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Group has operating leases as the lessee for certain offices.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Group’s lease agreements include lease payments that are fixed, do not contain material residual value guarantees or variable lease payments. The leases have remaining lease terms of up to four years without option to extend the lease. The Group’s leases do not contain restrictions or covenants that restrict the Group from incurring other financial obligations. The Group’s lease agreements may contain lease and non-lease components. Non-lease components primarily include payments for property management fee. Consideration for lease and non-lease components are allocated on a relative standalone selling price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71" w:name="page172"/>
    <w:bookmarkEnd w:id="171"/>
    <w:p>
      <w:pPr>
        <w:jc w:val="center"/>
        <w:ind w:left="1966"/>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left="1966"/>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left="1966"/>
        <w:spacing w:after="0"/>
        <w:rPr>
          <w:sz w:val="20"/>
          <w:szCs w:val="20"/>
          <w:color w:val="auto"/>
        </w:rPr>
      </w:pPr>
      <w:r>
        <w:rPr>
          <w:rFonts w:ascii="Arial" w:cs="Arial" w:eastAsia="Arial" w:hAnsi="Arial"/>
          <w:sz w:val="17"/>
          <w:szCs w:val="17"/>
          <w:color w:val="auto"/>
        </w:rPr>
        <w:t>(Amounts in U.S. dollars (“$”), except for number of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 as Lessee-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86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For the year</w:t>
      </w:r>
    </w:p>
    <w:p>
      <w:pPr>
        <w:spacing w:after="0" w:line="23"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94"/>
        <w:spacing w:after="0"/>
        <w:rPr>
          <w:sz w:val="20"/>
          <w:szCs w:val="20"/>
          <w:color w:val="auto"/>
        </w:rPr>
      </w:pPr>
      <w:r>
        <w:rPr>
          <w:rFonts w:ascii="Arial" w:cs="Arial" w:eastAsia="Arial" w:hAnsi="Arial"/>
          <w:sz w:val="18"/>
          <w:szCs w:val="18"/>
          <w:b w:val="1"/>
          <w:bCs w:val="1"/>
          <w:color w:val="auto"/>
        </w:rPr>
        <w:t>2023</w:t>
      </w:r>
    </w:p>
    <w:p>
      <w:pPr>
        <w:spacing w:after="0" w:line="47" w:lineRule="exact"/>
        <w:rPr>
          <w:sz w:val="20"/>
          <w:szCs w:val="20"/>
          <w:color w:val="auto"/>
        </w:rPr>
      </w:pPr>
    </w:p>
    <w:p>
      <w:pPr>
        <w:ind w:left="406" w:hanging="406"/>
        <w:spacing w:after="0"/>
        <w:tabs>
          <w:tab w:leader="none" w:pos="406" w:val="left"/>
        </w:tabs>
        <w:numPr>
          <w:ilvl w:val="0"/>
          <w:numId w:val="88"/>
        </w:numPr>
        <w:rPr>
          <w:rFonts w:ascii="Arial" w:cs="Arial" w:eastAsia="Arial" w:hAnsi="Arial"/>
          <w:sz w:val="16"/>
          <w:szCs w:val="16"/>
          <w:color w:val="auto"/>
        </w:rPr>
      </w:pPr>
      <w:r>
        <w:rPr>
          <w:rFonts w:ascii="Arial" w:cs="Arial" w:eastAsia="Arial" w:hAnsi="Arial"/>
          <w:sz w:val="16"/>
          <w:szCs w:val="16"/>
          <w:color w:val="auto"/>
        </w:rPr>
        <w:t>1,070,385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183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286" w:lineRule="exact"/>
        <w:rPr>
          <w:sz w:val="20"/>
          <w:szCs w:val="20"/>
          <w:color w:val="auto"/>
        </w:rPr>
      </w:pPr>
    </w:p>
    <w:p>
      <w:pPr>
        <w:jc w:val="center"/>
        <w:ind w:right="194"/>
        <w:spacing w:after="0"/>
        <w:rPr>
          <w:sz w:val="20"/>
          <w:szCs w:val="20"/>
          <w:color w:val="auto"/>
        </w:rPr>
      </w:pPr>
      <w:r>
        <w:rPr>
          <w:rFonts w:ascii="Arial" w:cs="Arial" w:eastAsia="Arial" w:hAnsi="Arial"/>
          <w:sz w:val="17"/>
          <w:szCs w:val="17"/>
          <w:b w:val="1"/>
          <w:bCs w:val="1"/>
          <w:color w:val="auto"/>
        </w:rPr>
        <w:t>For the year</w:t>
      </w:r>
    </w:p>
    <w:p>
      <w:pPr>
        <w:spacing w:after="0" w:line="35" w:lineRule="exact"/>
        <w:rPr>
          <w:sz w:val="20"/>
          <w:szCs w:val="20"/>
          <w:color w:val="auto"/>
        </w:rPr>
      </w:pPr>
    </w:p>
    <w:p>
      <w:pPr>
        <w:jc w:val="center"/>
        <w:ind w:right="194"/>
        <w:spacing w:after="0"/>
        <w:rPr>
          <w:sz w:val="20"/>
          <w:szCs w:val="20"/>
          <w:color w:val="auto"/>
        </w:rPr>
      </w:pPr>
      <w:r>
        <w:rPr>
          <w:rFonts w:ascii="Arial" w:cs="Arial" w:eastAsia="Arial" w:hAnsi="Arial"/>
          <w:sz w:val="18"/>
          <w:szCs w:val="18"/>
          <w:b w:val="1"/>
          <w:bCs w:val="1"/>
          <w:color w:val="auto"/>
        </w:rPr>
        <w:t>ended</w:t>
      </w:r>
    </w:p>
    <w:p>
      <w:pPr>
        <w:spacing w:after="0" w:line="6" w:lineRule="exact"/>
        <w:rPr>
          <w:sz w:val="20"/>
          <w:szCs w:val="20"/>
          <w:color w:val="auto"/>
        </w:rPr>
      </w:pPr>
    </w:p>
    <w:p>
      <w:pPr>
        <w:jc w:val="center"/>
        <w:ind w:right="194"/>
        <w:spacing w:after="0"/>
        <w:rPr>
          <w:sz w:val="20"/>
          <w:szCs w:val="20"/>
          <w:color w:val="auto"/>
        </w:rPr>
      </w:pPr>
      <w:r>
        <w:rPr>
          <w:rFonts w:ascii="Arial" w:cs="Arial" w:eastAsia="Arial" w:hAnsi="Arial"/>
          <w:sz w:val="18"/>
          <w:szCs w:val="18"/>
          <w:b w:val="1"/>
          <w:bCs w:val="1"/>
          <w:color w:val="auto"/>
        </w:rPr>
        <w:t>June 30,</w:t>
      </w:r>
    </w:p>
    <w:p>
      <w:pPr>
        <w:spacing w:after="0" w:line="6" w:lineRule="exact"/>
        <w:rPr>
          <w:sz w:val="20"/>
          <w:szCs w:val="20"/>
          <w:color w:val="auto"/>
        </w:rPr>
      </w:pPr>
    </w:p>
    <w:p>
      <w:pPr>
        <w:jc w:val="center"/>
        <w:ind w:right="194"/>
        <w:spacing w:after="0"/>
        <w:rPr>
          <w:sz w:val="20"/>
          <w:szCs w:val="20"/>
          <w:color w:val="auto"/>
        </w:rPr>
      </w:pPr>
      <w:r>
        <w:rPr>
          <w:rFonts w:ascii="Arial" w:cs="Arial" w:eastAsia="Arial" w:hAnsi="Arial"/>
          <w:sz w:val="18"/>
          <w:szCs w:val="18"/>
          <w:b w:val="1"/>
          <w:bCs w:val="1"/>
          <w:color w:val="auto"/>
        </w:rPr>
        <w:t>2023</w:t>
      </w:r>
    </w:p>
    <w:p>
      <w:pPr>
        <w:spacing w:after="0" w:line="6" w:lineRule="exact"/>
        <w:rPr>
          <w:sz w:val="20"/>
          <w:szCs w:val="20"/>
          <w:color w:val="auto"/>
        </w:rPr>
      </w:pPr>
    </w:p>
    <w:p>
      <w:pPr>
        <w:sectPr>
          <w:pgSz w:w="11900" w:h="16838" w:orient="portrait"/>
          <w:cols w:equalWidth="0" w:num="2">
            <w:col w:w="9294" w:space="720"/>
            <w:col w:w="1226"/>
          </w:cols>
          <w:pgMar w:left="320" w:top="869"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792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20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920" w:type="dxa"/>
            <w:vAlign w:val="bottom"/>
          </w:tcPr>
          <w:p>
            <w:pPr>
              <w:ind w:left="1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2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1,101,526</w:t>
            </w: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ind w:left="16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815,324</w:t>
            </w:r>
          </w:p>
        </w:tc>
        <w:tc>
          <w:tcPr>
            <w:tcW w:w="100" w:type="dxa"/>
            <w:vAlign w:val="bottom"/>
          </w:tcPr>
          <w:p>
            <w:pPr>
              <w:spacing w:after="0"/>
              <w:rPr>
                <w:sz w:val="18"/>
                <w:szCs w:val="18"/>
                <w:color w:val="auto"/>
              </w:rPr>
            </w:pPr>
          </w:p>
        </w:tc>
      </w:tr>
      <w:tr>
        <w:trPr>
          <w:trHeight w:val="213"/>
        </w:trPr>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remaining lease term (in years):</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5.54%</w:t>
            </w:r>
          </w:p>
        </w:tc>
      </w:tr>
      <w:tr>
        <w:trPr>
          <w:trHeight w:val="400"/>
        </w:trPr>
        <w:tc>
          <w:tcPr>
            <w:tcW w:w="7920" w:type="dxa"/>
            <w:vAlign w:val="bottom"/>
          </w:tcPr>
          <w:p>
            <w:pPr>
              <w:spacing w:after="0"/>
              <w:rPr>
                <w:sz w:val="20"/>
                <w:szCs w:val="20"/>
                <w:color w:val="auto"/>
              </w:rPr>
            </w:pPr>
            <w:r>
              <w:rPr>
                <w:rFonts w:ascii="Arial" w:cs="Arial" w:eastAsia="Arial" w:hAnsi="Arial"/>
                <w:sz w:val="18"/>
                <w:szCs w:val="18"/>
                <w:color w:val="auto"/>
                <w:w w:val="93"/>
              </w:rPr>
              <w:t>For the year ended June 30, 2023, total operating lease costs of US$ 783,669,US$ 263,775, US $ 55,082</w:t>
            </w:r>
          </w:p>
        </w:tc>
        <w:tc>
          <w:tcPr>
            <w:tcW w:w="3320" w:type="dxa"/>
            <w:vAlign w:val="bottom"/>
            <w:gridSpan w:val="6"/>
          </w:tcPr>
          <w:p>
            <w:pPr>
              <w:jc w:val="right"/>
              <w:spacing w:after="0"/>
              <w:rPr>
                <w:sz w:val="20"/>
                <w:szCs w:val="20"/>
                <w:color w:val="auto"/>
              </w:rPr>
            </w:pPr>
            <w:r>
              <w:rPr>
                <w:rFonts w:ascii="Arial" w:cs="Arial" w:eastAsia="Arial" w:hAnsi="Arial"/>
                <w:sz w:val="18"/>
                <w:szCs w:val="18"/>
                <w:color w:val="auto"/>
                <w:w w:val="94"/>
              </w:rPr>
              <w:t>were recorded in general and administrative</w:t>
            </w:r>
          </w:p>
        </w:tc>
      </w:tr>
      <w:tr>
        <w:trPr>
          <w:trHeight w:val="226"/>
        </w:trPr>
        <w:tc>
          <w:tcPr>
            <w:tcW w:w="7920" w:type="dxa"/>
            <w:vAlign w:val="bottom"/>
          </w:tcPr>
          <w:p>
            <w:pPr>
              <w:spacing w:after="0"/>
              <w:rPr>
                <w:sz w:val="20"/>
                <w:szCs w:val="20"/>
                <w:color w:val="auto"/>
              </w:rPr>
            </w:pPr>
            <w:r>
              <w:rPr>
                <w:rFonts w:ascii="Arial" w:cs="Arial" w:eastAsia="Arial" w:hAnsi="Arial"/>
                <w:sz w:val="18"/>
                <w:szCs w:val="18"/>
                <w:color w:val="auto"/>
              </w:rPr>
              <w:t>expenses, selling expenses and research and development expenses, respectively.</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10140" w:type="dxa"/>
            <w:vAlign w:val="bottom"/>
            <w:gridSpan w:val="4"/>
          </w:tcPr>
          <w:p>
            <w:pPr>
              <w:spacing w:after="0"/>
              <w:rPr>
                <w:sz w:val="20"/>
                <w:szCs w:val="20"/>
                <w:color w:val="auto"/>
              </w:rPr>
            </w:pPr>
            <w:r>
              <w:rPr>
                <w:rFonts w:ascii="Arial" w:cs="Arial" w:eastAsia="Arial" w:hAnsi="Arial"/>
                <w:sz w:val="18"/>
                <w:szCs w:val="18"/>
                <w:color w:val="auto"/>
                <w:w w:val="92"/>
              </w:rPr>
              <w:t>Total expenses under operating leases were US$ 942,606 and US$ 1,413,521 for the years ended June 30, 2021 and 2022, respectively.</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920" w:type="dxa"/>
            <w:vAlign w:val="bottom"/>
          </w:tcPr>
          <w:p>
            <w:pPr>
              <w:spacing w:after="0"/>
              <w:rPr>
                <w:sz w:val="20"/>
                <w:szCs w:val="20"/>
                <w:color w:val="auto"/>
              </w:rPr>
            </w:pPr>
            <w:r>
              <w:rPr>
                <w:rFonts w:ascii="Arial" w:cs="Arial" w:eastAsia="Arial" w:hAnsi="Arial"/>
                <w:sz w:val="18"/>
                <w:szCs w:val="18"/>
                <w:color w:val="auto"/>
              </w:rPr>
              <w:t>Future minimum lease payments for operating leases as of June 30, 2023 are as follows:</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Operating</w:t>
            </w:r>
          </w:p>
        </w:tc>
      </w:tr>
      <w:tr>
        <w:trPr>
          <w:trHeight w:val="239"/>
        </w:trPr>
        <w:tc>
          <w:tcPr>
            <w:tcW w:w="7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Leases</w:t>
            </w:r>
          </w:p>
        </w:tc>
      </w:tr>
      <w:tr>
        <w:trPr>
          <w:trHeight w:val="213"/>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year ended June 30,2024</w:t>
            </w:r>
          </w:p>
        </w:tc>
        <w:tc>
          <w:tcPr>
            <w:tcW w:w="2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733,982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For the year ended June 30,2025</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105,063</w:t>
            </w: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839,045</w:t>
            </w: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22,629</w:t>
            </w: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Total lease liability balance</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816,416</w:t>
            </w:r>
          </w:p>
        </w:tc>
      </w:tr>
      <w:tr>
        <w:trPr>
          <w:trHeight w:val="213"/>
        </w:trPr>
        <w:tc>
          <w:tcPr>
            <w:tcW w:w="79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7920" w:type="dxa"/>
            <w:vAlign w:val="bottom"/>
          </w:tcPr>
          <w:p>
            <w:pPr>
              <w:spacing w:after="0"/>
              <w:rPr>
                <w:sz w:val="20"/>
                <w:szCs w:val="20"/>
                <w:color w:val="auto"/>
              </w:rPr>
            </w:pPr>
            <w:r>
              <w:rPr>
                <w:rFonts w:ascii="Arial" w:cs="Arial" w:eastAsia="Arial" w:hAnsi="Arial"/>
                <w:sz w:val="18"/>
                <w:szCs w:val="18"/>
                <w:color w:val="auto"/>
              </w:rPr>
              <w:t>Minimum payments related to leases not yet commenced as of June 30, 2023</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634"/>
        </w:trPr>
        <w:tc>
          <w:tcPr>
            <w:tcW w:w="79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F-34</w:t>
            </w:r>
          </w:p>
        </w:tc>
        <w:tc>
          <w:tcPr>
            <w:tcW w:w="2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type w:val="continuous"/>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INVESTMENTS</w:t>
      </w:r>
    </w:p>
    <w:p>
      <w:pPr>
        <w:spacing w:after="0" w:line="233"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15875</wp:posOffset>
            </wp:positionV>
            <wp:extent cx="156718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investments without readily determinable fair values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Beijing UniDev Software Co., Ltd. (“UniDev”)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Shenzhen Huaqin Robotics Co., Ltd. (“Huaqin Robotics”)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Total equity investments without readily determinable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86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135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Fuson Group Limited (“Fuson”)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5671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31" w:lineRule="exact"/>
        <w:rPr>
          <w:sz w:val="20"/>
          <w:szCs w:val="20"/>
          <w:color w:val="auto"/>
        </w:rPr>
      </w:pPr>
    </w:p>
    <w:p>
      <w:pPr>
        <w:spacing w:after="0"/>
        <w:tabs>
          <w:tab w:leader="none" w:pos="540" w:val="left"/>
          <w:tab w:leader="none" w:pos="134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232,924</w:t>
        <w:tab/>
        <w:t>$</w:t>
      </w:r>
      <w:r>
        <w:rPr>
          <w:sz w:val="20"/>
          <w:szCs w:val="20"/>
          <w:color w:val="auto"/>
        </w:rPr>
        <w:tab/>
      </w:r>
      <w:r>
        <w:rPr>
          <w:rFonts w:ascii="Arial" w:cs="Arial" w:eastAsia="Arial" w:hAnsi="Arial"/>
          <w:sz w:val="16"/>
          <w:szCs w:val="16"/>
          <w:color w:val="auto"/>
        </w:rPr>
        <w:t>252,161</w:t>
      </w:r>
    </w:p>
    <w:p>
      <w:pPr>
        <w:spacing w:after="0" w:line="20" w:lineRule="exact"/>
        <w:rPr>
          <w:sz w:val="20"/>
          <w:szCs w:val="20"/>
          <w:color w:val="auto"/>
        </w:rPr>
      </w:pPr>
    </w:p>
    <w:p>
      <w:pPr>
        <w:ind w:left="1900" w:hanging="819"/>
        <w:spacing w:after="0"/>
        <w:tabs>
          <w:tab w:leader="none" w:pos="1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149,296</w:t>
      </w:r>
    </w:p>
    <w:p>
      <w:pPr>
        <w:spacing w:after="0" w:line="8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232,924</w:t>
      </w:r>
      <w:r>
        <w:rPr>
          <w:rFonts w:ascii="Arial" w:cs="Arial" w:eastAsia="Arial" w:hAnsi="Arial"/>
          <w:sz w:val="16"/>
          <w:szCs w:val="16"/>
          <w:color w:val="auto"/>
        </w:rPr>
        <w:t>401,457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156718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560"/>
        <w:spacing w:after="0"/>
        <w:tabs>
          <w:tab w:leader="none" w:pos="1880" w:val="left"/>
        </w:tabs>
        <w:rPr>
          <w:sz w:val="20"/>
          <w:szCs w:val="20"/>
          <w:color w:val="auto"/>
        </w:rPr>
      </w:pPr>
      <w:r>
        <w:rPr>
          <w:rFonts w:ascii="Arial" w:cs="Arial" w:eastAsia="Arial" w:hAnsi="Arial"/>
          <w:sz w:val="18"/>
          <w:szCs w:val="18"/>
          <w:color w:val="auto"/>
        </w:rPr>
        <w:t>210,243</w:t>
      </w:r>
      <w:r>
        <w:rPr>
          <w:sz w:val="20"/>
          <w:szCs w:val="20"/>
          <w:color w:val="auto"/>
        </w:rPr>
        <w:tab/>
      </w:r>
      <w:r>
        <w:rPr>
          <w:rFonts w:ascii="Arial" w:cs="Arial" w:eastAsia="Arial" w:hAnsi="Arial"/>
          <w:sz w:val="18"/>
          <w:szCs w:val="18"/>
          <w:color w:val="auto"/>
        </w:rPr>
        <w:t>139,164</w:t>
      </w:r>
    </w:p>
    <w:p>
      <w:pPr>
        <w:spacing w:after="0" w:line="38" w:lineRule="exact"/>
        <w:rPr>
          <w:sz w:val="20"/>
          <w:szCs w:val="20"/>
          <w:color w:val="auto"/>
        </w:rPr>
      </w:pPr>
    </w:p>
    <w:p>
      <w:pPr>
        <w:sectPr>
          <w:pgSz w:w="11900" w:h="16838" w:orient="portrait"/>
          <w:cols w:equalWidth="0" w:num="2">
            <w:col w:w="7940" w:space="720"/>
            <w:col w:w="2580"/>
          </w:cols>
          <w:pgMar w:left="320" w:top="86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Shier Information Technology Co., Ltd. (“Shier”)</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69,765</w:t>
            </w: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Total equity method investments</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223,674</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208,929</w:t>
            </w:r>
          </w:p>
        </w:tc>
        <w:tc>
          <w:tcPr>
            <w:tcW w:w="100" w:type="dxa"/>
            <w:vAlign w:val="bottom"/>
            <w:tcBorders>
              <w:top w:val="single" w:sz="8" w:color="CCEEFF"/>
              <w:bottom w:val="single" w:sz="8" w:color="CCEEFF"/>
            </w:tcBorders>
          </w:tcPr>
          <w:p>
            <w:pPr>
              <w:spacing w:after="0"/>
              <w:rPr>
                <w:sz w:val="17"/>
                <w:szCs w:val="17"/>
                <w:color w:val="auto"/>
              </w:rPr>
            </w:pPr>
          </w:p>
        </w:tc>
      </w:tr>
      <w:tr>
        <w:trPr>
          <w:trHeight w:val="247"/>
        </w:trPr>
        <w:tc>
          <w:tcPr>
            <w:tcW w:w="8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456,598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610,386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without readily determinable fair values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an impairment loss of $32,744 for Huaqin Robotics for the year ended June 30, 2023 as “Other expenses” in the Consolidated Statements of Comprehensive (Loss)/Income. The investment was further disposed with no gains or losses recorded. There were no other downward adjustments (including impairment charges) or any upward adjustments recognized on equity investments without readily determinable fair value during any of the years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2021, the Company purchased a 35% equity interest of Shier at a cash consideration of $83,228 (RMB 0.54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2021, the Company purchased a 35.02% equity interest of Fuson at a cash consideration of $157,464 (HK$1.2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the investments in Shier and Fuson as equity method investments due to its significant influence over the entities.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recognized an impairment loss of $52,582 for Shier of for the year ended June 30, 2023 and an impairment loss of $102,155 of EMIT for the year ended June 30, 2022 as “Other expenses” in the Consolidated Statements of Comprehensive (Loss)/Income. No impairment loss was recorded for the year ended June 30, 2021.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carrying amount of the equity method investments in excess of the Company’s proportionate interest was not material and recognized as equity method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of the equity method investees are not presented as the effects were not material.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11 – BANK LOANS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Outstanding balances of bank loans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8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Shanghai Pudong Development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5,683,626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7,040,738</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Loan from China Merchants Bank</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3,491,928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5,931,331</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Communication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1,492,961</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Loans from Development Bank of Singapore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9,333</w:t>
            </w: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bank loans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10,554,617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14,474,363</w:t>
            </w: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Less: Non-current portion</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 and long-term bank loans – current portion</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10,554,617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14,474,363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Bank loans consisted of several bank loans denominated in RMB and SGD.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total financing credit facilities of RMB10,000,000 of which the unused amount was zero.</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2023, the Company had total financing credit facilities of RMB10,000,000 and HKD 58,000,000 of which the unused amount was HKD 58,000,000.</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Interest expenses were $365,893, $447,187, and $156,749 for the years ended June 30, 2023, 2022 and 2021, respectively. The effective weighted average interest rates were 3.467%, 3.771% and 4.160% for the years ended June 30, 2023, 2022 and 2021,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all loan principal will be due within 1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SALARIES AND BENEFITS PAYABLE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$ 1,181,491 and $1,550,145 accrued employer portion of social benefits payable to local governments as of June 30,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2023 and 2022 consisted 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Related Party</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Relationship with the Company</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Raymond Ming Hui Lin</w:t>
            </w:r>
          </w:p>
        </w:tc>
        <w:tc>
          <w:tcPr>
            <w:tcW w:w="4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CEO of the Company</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Economic Modeling Information Technology Co., Ltd. (“EMIT”)</w:t>
            </w:r>
          </w:p>
        </w:tc>
        <w:tc>
          <w:tcPr>
            <w:tcW w:w="4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investee of the Company</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Beijing Bright Technology Co., Ltd (“Beijing Bright”)</w:t>
            </w:r>
          </w:p>
        </w:tc>
        <w:tc>
          <w:tcPr>
            <w:tcW w:w="4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Noncontrolling interest shareholder of JAJI China</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UniDev</w:t>
            </w:r>
          </w:p>
        </w:tc>
        <w:tc>
          <w:tcPr>
            <w:tcW w:w="4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investee of the Company</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Fuson Group Limited (“Fuson”)</w:t>
            </w:r>
          </w:p>
        </w:tc>
        <w:tc>
          <w:tcPr>
            <w:tcW w:w="4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Equity investee of the Company</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MCT</w:t>
            </w:r>
          </w:p>
        </w:tc>
        <w:tc>
          <w:tcPr>
            <w:tcW w:w="4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 shareholder of MSCT</w:t>
            </w:r>
          </w:p>
        </w:tc>
      </w:tr>
      <w:tr>
        <w:trPr>
          <w:trHeight w:val="647"/>
        </w:trPr>
        <w:tc>
          <w:tcPr>
            <w:tcW w:w="50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F-37</w:t>
            </w:r>
          </w:p>
        </w:tc>
      </w:tr>
    </w:tbl>
    <w:p>
      <w:pPr>
        <w:sectPr>
          <w:pgSz w:w="11900" w:h="16838" w:orient="portrait"/>
          <w:cols w:equalWidth="0" w:num="1">
            <w:col w:w="11240"/>
          </w:cols>
          <w:pgMar w:left="320" w:top="868"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13 – RELATED PARTY TRANSACTIONS -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b w:val="1"/>
                <w:bCs w:val="1"/>
                <w:color w:val="auto"/>
              </w:rPr>
              <w:t>(a) Related party balances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The balances due from and due to related parties were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Fuson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189,363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r>
      <w:tr>
        <w:trPr>
          <w:trHeight w:val="21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226,421</w:t>
            </w:r>
          </w:p>
        </w:tc>
      </w:tr>
      <w:tr>
        <w:trPr>
          <w:trHeight w:val="234"/>
        </w:trPr>
        <w:tc>
          <w:tcPr>
            <w:tcW w:w="8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Beijing Bright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102,993</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391,271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377,642</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Due from related parties mainly represents loan provided to UniDey and Fuson and unreceived IT service fee from Fuson.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19,445</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MCT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r>
      <w:tr>
        <w:trPr>
          <w:trHeight w:val="247"/>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EMIT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24,889</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66,884</w:t>
            </w:r>
          </w:p>
        </w:tc>
        <w:tc>
          <w:tcPr>
            <w:tcW w:w="100" w:type="dxa"/>
            <w:vAlign w:val="bottom"/>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Due to related parties mainly represents the unpaid consulting service fee to UniDev and unpaid administrative fee to MCT.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NOTE 13 – RELATED PARTY TRANSACTIONS - continued</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00" w:type="dxa"/>
            <w:vAlign w:val="bottom"/>
          </w:tcPr>
          <w:p>
            <w:pPr>
              <w:spacing w:after="0"/>
              <w:rPr>
                <w:sz w:val="20"/>
                <w:szCs w:val="20"/>
                <w:color w:val="auto"/>
              </w:rPr>
            </w:pPr>
            <w:r>
              <w:rPr>
                <w:rFonts w:ascii="Arial" w:cs="Arial" w:eastAsia="Arial" w:hAnsi="Arial"/>
                <w:sz w:val="18"/>
                <w:szCs w:val="18"/>
                <w:b w:val="1"/>
                <w:bCs w:val="1"/>
                <w:color w:val="auto"/>
              </w:rPr>
              <w:t>(b) Related party transactions</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For the year ended,</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00" w:type="dxa"/>
            <w:vAlign w:val="bottom"/>
          </w:tcPr>
          <w:p>
            <w:pPr>
              <w:spacing w:after="0"/>
              <w:rPr>
                <w:sz w:val="20"/>
                <w:szCs w:val="20"/>
                <w:color w:val="auto"/>
              </w:rPr>
            </w:pPr>
            <w:r>
              <w:rPr>
                <w:rFonts w:ascii="Arial" w:cs="Arial" w:eastAsia="Arial" w:hAnsi="Arial"/>
                <w:sz w:val="18"/>
                <w:szCs w:val="18"/>
                <w:b w:val="1"/>
                <w:bCs w:val="1"/>
                <w:color w:val="auto"/>
              </w:rPr>
              <w:t>a) Consulting services provided to the related parties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46,008</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EMIT</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Fuson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160"/>
              <w:spacing w:after="0"/>
              <w:rPr>
                <w:sz w:val="20"/>
                <w:szCs w:val="20"/>
                <w:color w:val="auto"/>
              </w:rPr>
            </w:pPr>
            <w:r>
              <w:rPr>
                <w:rFonts w:ascii="Arial" w:cs="Arial" w:eastAsia="Arial" w:hAnsi="Arial"/>
                <w:sz w:val="18"/>
                <w:szCs w:val="18"/>
                <w:color w:val="auto"/>
              </w:rPr>
              <w:t>CLPS Lihong</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269,472</w:t>
            </w:r>
          </w:p>
        </w:tc>
        <w:tc>
          <w:tcPr>
            <w:tcW w:w="0" w:type="dxa"/>
            <w:vAlign w:val="bottom"/>
          </w:tcPr>
          <w:p>
            <w:pPr>
              <w:spacing w:after="0"/>
              <w:rPr>
                <w:sz w:val="1"/>
                <w:szCs w:val="1"/>
                <w:color w:val="auto"/>
              </w:rPr>
            </w:pPr>
          </w:p>
        </w:tc>
      </w:tr>
      <w:tr>
        <w:trPr>
          <w:trHeight w:val="245"/>
        </w:trPr>
        <w:tc>
          <w:tcPr>
            <w:tcW w:w="5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 Services provided by the related parties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EMIT</w:t>
            </w:r>
          </w:p>
        </w:tc>
        <w:tc>
          <w:tcPr>
            <w:tcW w:w="2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221,584</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157,762</w:t>
            </w:r>
          </w:p>
        </w:tc>
        <w:tc>
          <w:tcPr>
            <w:tcW w:w="260" w:type="dxa"/>
            <w:vAlign w:val="bottom"/>
            <w:gridSpan w:val="2"/>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758,976</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UniDev</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160"/>
              <w:spacing w:after="0"/>
              <w:rPr>
                <w:sz w:val="20"/>
                <w:szCs w:val="20"/>
                <w:color w:val="auto"/>
              </w:rPr>
            </w:pPr>
            <w:r>
              <w:rPr>
                <w:rFonts w:ascii="Arial" w:cs="Arial" w:eastAsia="Arial" w:hAnsi="Arial"/>
                <w:sz w:val="18"/>
                <w:szCs w:val="18"/>
                <w:color w:val="auto"/>
              </w:rPr>
              <w:t>Beijing Bright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142,487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604,033</w:t>
            </w:r>
          </w:p>
        </w:tc>
        <w:tc>
          <w:tcPr>
            <w:tcW w:w="0" w:type="dxa"/>
            <w:vAlign w:val="bottom"/>
          </w:tcPr>
          <w:p>
            <w:pPr>
              <w:spacing w:after="0"/>
              <w:rPr>
                <w:sz w:val="1"/>
                <w:szCs w:val="1"/>
                <w:color w:val="auto"/>
              </w:rPr>
            </w:pPr>
          </w:p>
        </w:tc>
      </w:tr>
      <w:tr>
        <w:trPr>
          <w:trHeight w:val="245"/>
        </w:trPr>
        <w:tc>
          <w:tcPr>
            <w:tcW w:w="5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590,758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Loans provided to the related parties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UniDev</w:t>
            </w:r>
          </w:p>
        </w:tc>
        <w:tc>
          <w:tcPr>
            <w:tcW w:w="2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143,810</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Fuson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160"/>
              <w:spacing w:after="0"/>
              <w:rPr>
                <w:sz w:val="20"/>
                <w:szCs w:val="20"/>
                <w:color w:val="auto"/>
              </w:rPr>
            </w:pPr>
            <w:r>
              <w:rPr>
                <w:rFonts w:ascii="Arial" w:cs="Arial" w:eastAsia="Arial" w:hAnsi="Arial"/>
                <w:sz w:val="18"/>
                <w:szCs w:val="18"/>
                <w:color w:val="auto"/>
              </w:rPr>
              <w:t>EMIT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83,651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151,783</w:t>
            </w:r>
          </w:p>
        </w:tc>
        <w:tc>
          <w:tcPr>
            <w:tcW w:w="0" w:type="dxa"/>
            <w:vAlign w:val="bottom"/>
          </w:tcPr>
          <w:p>
            <w:pPr>
              <w:spacing w:after="0"/>
              <w:rPr>
                <w:sz w:val="1"/>
                <w:szCs w:val="1"/>
                <w:color w:val="auto"/>
              </w:rPr>
            </w:pPr>
          </w:p>
        </w:tc>
      </w:tr>
      <w:tr>
        <w:trPr>
          <w:trHeight w:val="245"/>
        </w:trPr>
        <w:tc>
          <w:tcPr>
            <w:tcW w:w="5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274,212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 Repayment of loans from the related parties</w:t>
            </w: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EMIT</w:t>
            </w:r>
          </w:p>
        </w:tc>
        <w:tc>
          <w:tcPr>
            <w:tcW w:w="2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204,211</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15,491</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10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204,211</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15,491</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Interest income received from the related parties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8"/>
                <w:szCs w:val="18"/>
                <w:color w:val="auto"/>
              </w:rPr>
              <w:t>UniDev</w:t>
            </w:r>
          </w:p>
        </w:tc>
        <w:tc>
          <w:tcPr>
            <w:tcW w:w="2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6,342</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Fuson</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160"/>
              <w:spacing w:after="0"/>
              <w:rPr>
                <w:sz w:val="20"/>
                <w:szCs w:val="20"/>
                <w:color w:val="auto"/>
              </w:rPr>
            </w:pPr>
            <w:r>
              <w:rPr>
                <w:rFonts w:ascii="Arial" w:cs="Arial" w:eastAsia="Arial" w:hAnsi="Arial"/>
                <w:sz w:val="18"/>
                <w:szCs w:val="18"/>
                <w:color w:val="auto"/>
              </w:rPr>
              <w:t>EMIT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9,260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 Rental income from the related party</w:t>
            </w: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Fuson</w:t>
            </w:r>
          </w:p>
        </w:tc>
        <w:tc>
          <w:tcPr>
            <w:tcW w:w="2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3,587</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5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688"/>
              <w:spacing w:after="0"/>
              <w:rPr>
                <w:sz w:val="20"/>
                <w:szCs w:val="20"/>
                <w:color w:val="auto"/>
              </w:rPr>
            </w:pPr>
            <w:r>
              <w:rPr>
                <w:rFonts w:ascii="Arial" w:cs="Arial" w:eastAsia="Arial" w:hAnsi="Arial"/>
                <w:sz w:val="18"/>
                <w:szCs w:val="18"/>
                <w:color w:val="auto"/>
              </w:rPr>
              <w:t>F-39</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Corporate Income Taxes (“CIT”)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 and BVI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Under the current laws of the Cayman Islands and BVI, the Company and subsidiaries in BVI are not subject to tax on income or capital gains.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 Hong Kong are subject to Hong Kong Profits Tax rate at 16.5%, and foreign-derived income is exempted from income tax.</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Singapore are subject to Singapore Corporate Income Tax rate at 17.0%, and foreign-derived income is exempted from income tax.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Mainland China</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Enterprise Income Tax (“EIT”) Law of PRC, enterprises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PRC, was recognized as qualified HNTEs since 2013. Its latest qualified periods are for 2022 to 2024 and it enjoys a preferential tax rate of 15%. JAJI (Shanghai), the Company’s operating subsidiary in PRC, was recognized as qualified HNTEs since 2022. Its latest qualified periods are for 2022 to 2024 and it enjoys a preferential tax rate of 15%.</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qualified enterprise in encouraged industries registered in the Hainan Free Trade Port (“HFTP”) and engaged in substantive operations may enjoy a reduced EIT rate of 15%. CLPS Hainan, a Company’s subsidiary in the PRC, was recognized as a qualified enterprise engaged in encouraged industries registered in the Hainan Free Trade Port and engaged in substantive operations. It enjoys the reduced EIT rate of 15%.</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14 – TAXES - continued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3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jc w:val="right"/>
              <w:ind w:right="611"/>
              <w:spacing w:after="0"/>
              <w:rPr>
                <w:sz w:val="20"/>
                <w:szCs w:val="20"/>
                <w:color w:val="auto"/>
              </w:rPr>
            </w:pPr>
            <w:r>
              <w:rPr>
                <w:rFonts w:ascii="Arial" w:cs="Arial" w:eastAsia="Arial" w:hAnsi="Arial"/>
                <w:sz w:val="18"/>
                <w:szCs w:val="18"/>
                <w:b w:val="1"/>
                <w:bCs w:val="1"/>
                <w:color w:val="auto"/>
              </w:rPr>
              <w:t>For the years ended June 30,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4,350,067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17,366,634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14,814,221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gridSpan w:val="2"/>
          </w:tcPr>
          <w:p>
            <w:pPr>
              <w:spacing w:after="0"/>
              <w:rPr>
                <w:sz w:val="20"/>
                <w:szCs w:val="20"/>
                <w:color w:val="auto"/>
              </w:rPr>
            </w:pPr>
            <w:r>
              <w:rPr>
                <w:rFonts w:ascii="Arial" w:cs="Arial" w:eastAsia="Arial" w:hAnsi="Arial"/>
                <w:sz w:val="18"/>
                <w:szCs w:val="18"/>
                <w:color w:val="auto"/>
              </w:rPr>
              <w:t>Non- Mainland China</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(3,580,421)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(9,682,434)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(6,493,761)</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769,646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7,684,200</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8,320,460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reconciles the statutory rate to the Company’s effective tax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2023</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changes on deferred taxes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PRC preferential tax rate and tax relief</w:t>
            </w:r>
          </w:p>
        </w:tc>
        <w:tc>
          <w:tcPr>
            <w:tcW w:w="12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exempt income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Late payment interest</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gain/loss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Statutory income/expense</w:t>
            </w:r>
          </w:p>
        </w:tc>
        <w:tc>
          <w:tcPr>
            <w:tcW w:w="120" w:type="dxa"/>
            <w:vAlign w:val="bottom"/>
          </w:tcPr>
          <w:p>
            <w:pPr>
              <w:spacing w:after="0"/>
              <w:rPr>
                <w:sz w:val="18"/>
                <w:szCs w:val="18"/>
                <w:color w:val="auto"/>
              </w:rPr>
            </w:pPr>
          </w:p>
        </w:tc>
        <w:tc>
          <w:tcPr>
            <w:tcW w:w="1080" w:type="dxa"/>
            <w:vAlign w:val="bottom"/>
            <w:gridSpan w:val="2"/>
          </w:tcPr>
          <w:p>
            <w:pPr>
              <w:jc w:val="right"/>
              <w:ind w:right="31"/>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transfers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Deferred tax</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Goodwill Provision</w:t>
            </w:r>
          </w:p>
        </w:tc>
        <w:tc>
          <w:tcPr>
            <w:tcW w:w="120" w:type="dxa"/>
            <w:vAlign w:val="bottom"/>
          </w:tcPr>
          <w:p>
            <w:pPr>
              <w:spacing w:after="0"/>
              <w:rPr>
                <w:sz w:val="18"/>
                <w:szCs w:val="18"/>
                <w:color w:val="auto"/>
              </w:rPr>
            </w:pPr>
          </w:p>
        </w:tc>
        <w:tc>
          <w:tcPr>
            <w:tcW w:w="1080" w:type="dxa"/>
            <w:vAlign w:val="bottom"/>
            <w:gridSpan w:val="2"/>
          </w:tcPr>
          <w:p>
            <w:pPr>
              <w:jc w:val="right"/>
              <w:ind w:right="91"/>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Others</w:t>
            </w:r>
          </w:p>
        </w:tc>
        <w:tc>
          <w:tcPr>
            <w:tcW w:w="2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right w:val="single" w:sz="8" w:color="CCEEFF"/>
            </w:tcBorders>
            <w:shd w:val="clear" w:color="auto" w:fill="CCEEFF"/>
          </w:tcPr>
          <w:p>
            <w:pPr>
              <w:jc w:val="right"/>
              <w:ind w:right="91"/>
              <w:spacing w:after="0" w:line="160"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7"/>
        </w:trPr>
        <w:tc>
          <w:tcPr>
            <w:tcW w:w="710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CCEEFF"/>
              <w:right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0.5</w:t>
            </w:r>
          </w:p>
        </w:tc>
        <w:tc>
          <w:tcPr>
            <w:tcW w:w="2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732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F-41</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14 – TAXES -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320" w:type="dxa"/>
            <w:vAlign w:val="bottom"/>
          </w:tcPr>
          <w:p>
            <w:pPr>
              <w:spacing w:after="0"/>
              <w:rPr>
                <w:sz w:val="20"/>
                <w:szCs w:val="20"/>
                <w:color w:val="auto"/>
              </w:rPr>
            </w:pPr>
            <w:r>
              <w:rPr>
                <w:rFonts w:ascii="Arial" w:cs="Arial" w:eastAsia="Arial" w:hAnsi="Arial"/>
                <w:sz w:val="18"/>
                <w:szCs w:val="18"/>
                <w:b w:val="1"/>
                <w:bCs w:val="1"/>
                <w:color w:val="auto"/>
              </w:rPr>
              <w:t>(a) Corporate Income Taxes (“CIT”) (continued)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320" w:type="dxa"/>
            <w:vAlign w:val="bottom"/>
          </w:tcPr>
          <w:p>
            <w:pPr>
              <w:spacing w:after="0"/>
              <w:rPr>
                <w:sz w:val="20"/>
                <w:szCs w:val="20"/>
                <w:color w:val="auto"/>
              </w:rPr>
            </w:pPr>
            <w:r>
              <w:rPr>
                <w:rFonts w:ascii="Arial" w:cs="Arial" w:eastAsia="Arial" w:hAnsi="Arial"/>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(413,609)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provision for income tax expenses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674,344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3,045,992</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1,257,124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the Company had net operating loss carry forwards of approximately $1,950,947 from the Company’s PRC subsidiaries, which will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expire between 2023 and 2028 if not utilized. As of June 30, 2023, the Company had net operating loss carry forwards of approximately $1,339,665,</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$262,813, $919,278, $270,086 and $41,493 from its operations in Singapore, Australia, Hong Kong, Japan and Philippines, respectively. The net operating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losses in Singapore, Australia and Hong Kong will be carried forward indefinitely while the net operating losses in Japan and Philippines will be carried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forward for 10 years and 5 years,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Arial" w:cs="Arial" w:eastAsia="Arial" w:hAnsi="Arial"/>
                <w:sz w:val="18"/>
                <w:szCs w:val="18"/>
                <w:color w:val="auto"/>
              </w:rPr>
              <w:t>The significant components of the deferred tax assets and liabilities are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996,177</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39,516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Share of investee’s loss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160"/>
              <w:spacing w:after="0"/>
              <w:rPr>
                <w:sz w:val="20"/>
                <w:szCs w:val="20"/>
                <w:color w:val="auto"/>
              </w:rPr>
            </w:pPr>
            <w:r>
              <w:rPr>
                <w:rFonts w:ascii="Arial" w:cs="Arial" w:eastAsia="Arial" w:hAnsi="Arial"/>
                <w:sz w:val="18"/>
                <w:szCs w:val="18"/>
                <w:color w:val="auto"/>
              </w:rPr>
              <w:t>Valuation allowances</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(1,009,596)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(781,260)</w:t>
            </w:r>
          </w:p>
        </w:tc>
        <w:tc>
          <w:tcPr>
            <w:tcW w:w="0" w:type="dxa"/>
            <w:vAlign w:val="bottom"/>
          </w:tcPr>
          <w:p>
            <w:pPr>
              <w:spacing w:after="0"/>
              <w:rPr>
                <w:sz w:val="1"/>
                <w:szCs w:val="1"/>
                <w:color w:val="auto"/>
              </w:rPr>
            </w:pPr>
          </w:p>
        </w:tc>
      </w:tr>
      <w:tr>
        <w:trPr>
          <w:trHeight w:val="220"/>
        </w:trPr>
        <w:tc>
          <w:tcPr>
            <w:tcW w:w="8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169,375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160"/>
              <w:spacing w:after="0"/>
              <w:rPr>
                <w:sz w:val="20"/>
                <w:szCs w:val="20"/>
                <w:color w:val="auto"/>
              </w:rPr>
            </w:pPr>
            <w:r>
              <w:rPr>
                <w:rFonts w:ascii="Arial" w:cs="Arial" w:eastAsia="Arial" w:hAnsi="Arial"/>
                <w:sz w:val="18"/>
                <w:szCs w:val="18"/>
                <w:color w:val="auto"/>
              </w:rPr>
              <w:t>Share of investee’s income</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67,601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327,040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66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2023 and 2022, valuation allowances were provided against deferred tax assets in entities which were in a three-year cumulative losses position and/or are not forecasted to turn profits in the foreseeable future.</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years ended June 30, 2023,2022 and 2021, the Company accrued dividend distribution withholding tax for the remittance of earnings from subsidiaries in Mainland China to offshore entities of $70,016, nil and $994,941, respectively. As of June 30, 2023 and 2022, the Company intended to permanently reinvest the remaining undistributed earnings from PRC subsidiaries to fund future operations and thus no deferred tax has been recognized for withholding taxes that would be payable on the unremitted earnings that are subject to withholding taxes of the Company’s subsidiaries established in the PRC.As of June 30, 2023 and 2022, the taxable temporary differences for unrecognized deferred tax liabilities related to investments in foreign subsidiaries were $23,459,996 and $23,731,272, respectively. The amount of unrecognized deferred tax liabilities for temporary differences related to investments in foreign subsidiaries is not determined because such a determination is not practicable.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Corporate Income Taxes (“CIT”)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measures the unrecognized benefits associated with the tax positions. It is possible that the amount of unrecognized benefit will further change in the next 12 months; however, an estimate of the range of the possible change cannot be made at this moment. Unrecognized tax benefits were presented in “other non-current liabilities” in the consolidated balance sheets. As of June 30, 2023, 2022 and 2021, the Company had unrecognized tax benefits of $2,442,085, $3,095,554 and $1,333,608, respectively, if ultimately recognized, will impact the effective tax rate. The Company has presented unrecognized tax benefits of $1,924,305, $2,497,005 and $1,750,616 on a net basis with deferred tax assets relating to tax losses carry forward, $21,256, $ 446,490 and $208,109 of which a full valuation allowance would otherwise be recorded as of June 30, 2023, 2022 and 2021. The Company recorded interests of $313,305 and zero penalties related to potential underpaid income tax expenses for the year ended June 30, 2023 and interests of $36,363 and zero penalties for the year ended June 30, 2022, $53,826 interests and zero penalties for the year ended June 30,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20"/>
                <w:szCs w:val="20"/>
                <w:color w:val="auto"/>
              </w:rPr>
            </w:pPr>
            <w:r>
              <w:rPr>
                <w:rFonts w:ascii="Arial" w:cs="Arial" w:eastAsia="Arial" w:hAnsi="Arial"/>
                <w:sz w:val="18"/>
                <w:szCs w:val="18"/>
                <w:color w:val="auto"/>
                <w:w w:val="95"/>
              </w:rPr>
              <w:t>A reconciliation of the beginning and ending amount of unrecognized tax benefit was as follows: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3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Increase</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934,563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2,132,154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1,139,596</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(47,149)</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(201,235)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46,222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3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2,442,085</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3,095,554</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1,333,608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open tax years for Mainland China ranges from calendar year 2018 to calendar year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color w:val="auto"/>
              </w:rPr>
              <w:t>(b) Tax Payables</w:t>
            </w: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660" w:type="dxa"/>
            <w:vAlign w:val="bottom"/>
          </w:tcPr>
          <w:p>
            <w:pPr>
              <w:spacing w:after="0"/>
              <w:rPr>
                <w:sz w:val="20"/>
                <w:szCs w:val="20"/>
                <w:color w:val="auto"/>
              </w:rPr>
            </w:pPr>
            <w:r>
              <w:rPr>
                <w:rFonts w:ascii="Arial" w:cs="Arial" w:eastAsia="Arial" w:hAnsi="Arial"/>
                <w:sz w:val="18"/>
                <w:szCs w:val="18"/>
                <w:color w:val="auto"/>
              </w:rPr>
              <w:t>The Company’s tax payables consist of the following:</w:t>
            </w: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4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4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3"/>
        </w:trPr>
        <w:tc>
          <w:tcPr>
            <w:tcW w:w="4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VAT payable</w:t>
            </w:r>
          </w:p>
        </w:tc>
        <w:tc>
          <w:tcPr>
            <w:tcW w:w="42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654,799</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693,239</w:t>
            </w:r>
          </w:p>
        </w:tc>
      </w:tr>
      <w:tr>
        <w:trPr>
          <w:trHeight w:val="213"/>
        </w:trPr>
        <w:tc>
          <w:tcPr>
            <w:tcW w:w="4660" w:type="dxa"/>
            <w:vAlign w:val="bottom"/>
          </w:tcPr>
          <w:p>
            <w:pPr>
              <w:spacing w:after="0"/>
              <w:rPr>
                <w:sz w:val="20"/>
                <w:szCs w:val="20"/>
                <w:color w:val="auto"/>
              </w:rPr>
            </w:pPr>
            <w:r>
              <w:rPr>
                <w:rFonts w:ascii="Arial" w:cs="Arial" w:eastAsia="Arial" w:hAnsi="Arial"/>
                <w:sz w:val="18"/>
                <w:szCs w:val="18"/>
                <w:color w:val="auto"/>
              </w:rPr>
              <w:t>Corporate income tax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417,445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462,792</w:t>
            </w:r>
          </w:p>
        </w:tc>
      </w:tr>
      <w:tr>
        <w:trPr>
          <w:trHeight w:val="21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 payable</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349,582</w:t>
            </w:r>
          </w:p>
        </w:tc>
      </w:tr>
      <w:tr>
        <w:trPr>
          <w:trHeight w:val="213"/>
        </w:trPr>
        <w:tc>
          <w:tcPr>
            <w:tcW w:w="4660" w:type="dxa"/>
            <w:vAlign w:val="bottom"/>
          </w:tcPr>
          <w:p>
            <w:pPr>
              <w:spacing w:after="0"/>
              <w:rPr>
                <w:sz w:val="20"/>
                <w:szCs w:val="20"/>
                <w:color w:val="auto"/>
              </w:rPr>
            </w:pPr>
            <w:r>
              <w:rPr>
                <w:rFonts w:ascii="Arial" w:cs="Arial" w:eastAsia="Arial" w:hAnsi="Arial"/>
                <w:sz w:val="18"/>
                <w:szCs w:val="18"/>
                <w:color w:val="auto"/>
              </w:rPr>
              <w:t>Disability insurance fund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1,011,958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776,979</w:t>
            </w:r>
          </w:p>
        </w:tc>
      </w:tr>
      <w:tr>
        <w:trPr>
          <w:trHeight w:val="24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tax payables</w:t>
            </w:r>
          </w:p>
        </w:tc>
        <w:tc>
          <w:tcPr>
            <w:tcW w:w="4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72,474</w:t>
            </w:r>
          </w:p>
        </w:tc>
      </w:tr>
      <w:tr>
        <w:trPr>
          <w:trHeight w:val="234"/>
        </w:trPr>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tax payables</w:t>
            </w:r>
          </w:p>
        </w:tc>
        <w:tc>
          <w:tcPr>
            <w:tcW w:w="40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2,503,375</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2,355,066</w:t>
            </w:r>
          </w:p>
        </w:tc>
        <w:tc>
          <w:tcPr>
            <w:tcW w:w="100" w:type="dxa"/>
            <w:vAlign w:val="bottom"/>
            <w:tcBorders>
              <w:top w:val="single" w:sz="8" w:color="CCEEFF"/>
            </w:tcBorders>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7"/>
        </w:trPr>
        <w:tc>
          <w:tcPr>
            <w:tcW w:w="46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jc w:val="right"/>
              <w:ind w:right="3011"/>
              <w:spacing w:after="0"/>
              <w:rPr>
                <w:sz w:val="20"/>
                <w:szCs w:val="20"/>
                <w:color w:val="auto"/>
              </w:rPr>
            </w:pPr>
            <w:r>
              <w:rPr>
                <w:rFonts w:ascii="Arial" w:cs="Arial" w:eastAsia="Arial" w:hAnsi="Arial"/>
                <w:sz w:val="18"/>
                <w:szCs w:val="18"/>
                <w:color w:val="auto"/>
              </w:rPr>
              <w:t>F-43</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has no outstanding commitments other than the operating lease payments (Note 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 calculation: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common shares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192,529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4,455,428</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6,816,572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23,153,976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20,924,683</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17,279,443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32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Basic earnings per share attributable to common shares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0.21</w:t>
            </w: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0.39</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calculation: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common shares for calculating diluted earnings per share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192,529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4,455,428</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6,816,572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23,153,976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20,924,683</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17,279,443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ind w:left="160"/>
              <w:spacing w:after="0" w:line="200" w:lineRule="exact"/>
              <w:rPr>
                <w:sz w:val="20"/>
                <w:szCs w:val="20"/>
                <w:color w:val="auto"/>
              </w:rPr>
            </w:pPr>
            <w:r>
              <w:rPr>
                <w:rFonts w:ascii="Arial" w:cs="Arial" w:eastAsia="Arial" w:hAnsi="Arial"/>
                <w:sz w:val="18"/>
                <w:szCs w:val="18"/>
                <w:color w:val="auto"/>
              </w:rPr>
              <w:t>Weighted average common shares equivalents: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Effects of dilutive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4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Share options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480"/>
              <w:spacing w:after="0" w:line="201" w:lineRule="exact"/>
              <w:rPr>
                <w:sz w:val="20"/>
                <w:szCs w:val="20"/>
                <w:color w:val="auto"/>
              </w:rPr>
            </w:pPr>
            <w:r>
              <w:rPr>
                <w:rFonts w:ascii="Arial" w:cs="Arial" w:eastAsia="Arial" w:hAnsi="Arial"/>
                <w:sz w:val="18"/>
                <w:szCs w:val="18"/>
                <w:color w:val="auto"/>
              </w:rPr>
              <w:t>RSUs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132,380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110,518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Shares used in computing diluted earnings per share attributable to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23,153,976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21,057,063</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17,569,440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20" w:type="dxa"/>
            <w:vAlign w:val="bottom"/>
          </w:tcPr>
          <w:p>
            <w:pPr>
              <w:spacing w:after="0"/>
              <w:rPr>
                <w:sz w:val="20"/>
                <w:szCs w:val="20"/>
                <w:color w:val="auto"/>
              </w:rPr>
            </w:pPr>
            <w:r>
              <w:rPr>
                <w:rFonts w:ascii="Arial" w:cs="Arial" w:eastAsia="Arial" w:hAnsi="Arial"/>
                <w:sz w:val="18"/>
                <w:szCs w:val="18"/>
                <w:color w:val="auto"/>
              </w:rPr>
              <w:t>Diluted earnings per share attributable to common shares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years ended June 30, 2022 and 2023, warrants and options were out-of-the-money with no dilutive effect. For the year ended June 30, 2021, warrants were out-of-the-money with no dilutive effect. The effects of the outstanding RSUs were anti-dilutive and excluded from the computation of diluted earnings per share for the year ended June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on March 3, 2021</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March 3, 2021, the Company issued 2,666,666 warrants to with certain accredited investors concurrently with the private placement transaction (Note 18). Each warrant to purchase one common share of the Company at $6.0 per share and can be exercised prior to the termination date which is September 3, 2026. During year ended June 30, 2023, no warrants were exercised. As of June 30, 2023 and 2022, 2,666,666 warrants were issued and outstanding.</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year ended</w:t>
            </w:r>
          </w:p>
        </w:tc>
      </w:tr>
      <w:tr>
        <w:trPr>
          <w:trHeight w:val="213"/>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June 30,</w:t>
            </w:r>
          </w:p>
        </w:tc>
      </w:tr>
      <w:tr>
        <w:trPr>
          <w:trHeight w:val="239"/>
        </w:trPr>
        <w:tc>
          <w:tcPr>
            <w:tcW w:w="99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r>
      <w:tr>
        <w:trPr>
          <w:trHeight w:val="213"/>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r>
      <w:tr>
        <w:trPr>
          <w:trHeight w:val="213"/>
        </w:trPr>
        <w:tc>
          <w:tcPr>
            <w:tcW w:w="998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41.48%</w:t>
            </w:r>
          </w:p>
        </w:tc>
      </w:tr>
      <w:tr>
        <w:trPr>
          <w:trHeight w:val="213"/>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0.83%</w:t>
            </w:r>
          </w:p>
        </w:tc>
      </w:tr>
    </w:tbl>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term was determined with reference to the termination dates stated in the warrant purchase agreements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March 3, 2021 was $3,413,332.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2017 Stock Incentive Plan (the “2017 Plan”)</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Plan will be determined by the Board (or its Compensation Committee) and may contain both service and performance conditions.</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2019 Equity Incentive Plan (the “2019 Plan”)</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w:t>
      </w:r>
    </w:p>
    <w:p>
      <w:pPr>
        <w:spacing w:after="0" w:line="171" w:lineRule="exact"/>
        <w:rPr>
          <w:sz w:val="20"/>
          <w:szCs w:val="20"/>
          <w:color w:val="auto"/>
        </w:rPr>
      </w:pPr>
    </w:p>
    <w:p>
      <w:pPr>
        <w:ind w:left="320" w:hanging="313"/>
        <w:spacing w:after="0"/>
        <w:tabs>
          <w:tab w:leader="none" w:pos="3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2021 Equity Incentive Plan (the “2020 Plan”)</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Plan will be determined by the Board (or its Compensation Committee) and may contain both service and performance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20, 2018, the Company granted an aggregate of 306,967 stock options to key employees and senior executives under the 2017 Plan. The stock options are valid for a period of 10 years from the grant date and vest 25% per year in equal annual installments at the end of each anniversary over a four-year period, with the first 25% vesting on November 20, 2019 and the second, third and fourth 25% vest on November 20, 2020, 2021 and 2022, respectively.</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27, 2019, the Company granted an aggregate of 775,250 stock options to key employees and senior executives under the 2017 Plan. The stock options are valid for a period of 5 years from the grant date and vest 25% per year in equal annual installments at the end of each anniversary over a four-year period, with the first 25% vesting on November 27, 2020 and the second, third and fourth 25% vest on November 27, 2021, 2022 and 2023, respectively.</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6, 2020, the Company granted an aggregate of 618,839 stock options to key employees and senior executives under the 2020 plan. The stock options are valid for a period of 5 years from the grant date and vest 25% per year in equal annual installments at the end of each anniversary over a four-year period, with the first 25% vesting on November 6, 2021 and the second, third and fourth 25% vest on November 6, 2022, 2023 and 2024, respectively.</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August 31, 2021, the Company granted an aggregate of 2,790,300 stock options to key employees and senior executives under the 2020 plan. 200,000 stock options granted to the employees contains service condition, and 2,590,300 stock options granted to the employees and directors contains additional performance condition that the share numbers that will be vested is based on the performance appraisal of the grantees for the year 2022. The stock options are valid for a period of 5 years from the grant date and vest 25% per year in equal annual installments at the end of each anniversary over a four-year period, with the first 25% vesting on August 31, 2022 and the second, third and fourth 25% vest on August 31, 2023, 2024 and 2025, respectively.</w:t>
      </w:r>
    </w:p>
    <w:p>
      <w:pPr>
        <w:spacing w:after="0" w:line="1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31, 2022, the Company granted an aggregate of 1,300,000 stock options to key employees and senior executives under the 2020 plan. The stock options are valid for a period of 5 years from the grant date and vest 25% per year in equal annual installments at the end of each anniversary over a four-year period, with the first 25% vesting on January 31, 2023 and the second, third and fourth 25% vest on January 31, 2024, 2025 and 2026, respectively.</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14,2022, the Company granted an aggregate of 1,023,531 stock options to key employees and senior executives under the 2020 plan. The stock options are valid for a period of 5 years from the grant date and vest 25% per year in equal annual installments at the end of each anniversary over a four-year period, with the first 25% vesting on November 14,2023, and the second, third and fourth 25% vest on November 14, 2024, 2025 and 2026, respectively.</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 of $1,000,105, $1,196,971 and $529,479 were recognized for the years ended June 30, 2023, 2022 and 2021, respectively. The weighted-average grant-date fair value per share of options granted was $0.58 for senior executives and $0.57 for key employees during the year ended June 30, 2023, $1.13 for senior executives and $1.01 for key employees during the year ended June 30, 2022, and $1.06 for senior executives and $1.03 for key employees during the year ended June 30, 2021,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color w:val="auto"/>
              </w:rPr>
              <w:t>NOTE 18 – SHARE-BASED PAYMENT - 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 - continued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7220" w:type="dxa"/>
            <w:vAlign w:val="bottom"/>
          </w:tcPr>
          <w:p>
            <w:pPr>
              <w:spacing w:after="0"/>
              <w:rPr>
                <w:sz w:val="20"/>
                <w:szCs w:val="20"/>
                <w:color w:val="auto"/>
              </w:rPr>
            </w:pPr>
            <w:r>
              <w:rPr>
                <w:rFonts w:ascii="Arial" w:cs="Arial" w:eastAsia="Arial" w:hAnsi="Arial"/>
                <w:sz w:val="18"/>
                <w:szCs w:val="18"/>
                <w:color w:val="auto"/>
              </w:rPr>
              <w:t>The assumptions used to value the Company’s stock options grants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8"/>
        </w:trPr>
        <w:tc>
          <w:tcPr>
            <w:tcW w:w="7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r>
      <w:tr>
        <w:trPr>
          <w:trHeight w:val="213"/>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0.71~1.62%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Forfeited rates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w:t>
            </w:r>
          </w:p>
        </w:tc>
      </w:tr>
      <w:tr>
        <w:trPr>
          <w:trHeight w:val="226"/>
        </w:trPr>
        <w:tc>
          <w:tcPr>
            <w:tcW w:w="7220" w:type="dxa"/>
            <w:vAlign w:val="bottom"/>
          </w:tcPr>
          <w:p>
            <w:pPr>
              <w:spacing w:after="0"/>
              <w:rPr>
                <w:sz w:val="20"/>
                <w:szCs w:val="20"/>
                <w:color w:val="auto"/>
              </w:rPr>
            </w:pPr>
            <w:r>
              <w:rPr>
                <w:rFonts w:ascii="Arial" w:cs="Arial" w:eastAsia="Arial" w:hAnsi="Arial"/>
                <w:sz w:val="18"/>
                <w:szCs w:val="18"/>
                <w:color w:val="auto"/>
              </w:rPr>
              <w:t>Fair market value per common share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rPr>
              <w:t>1.92~3.15   $</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r>
    </w:tbl>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are the market value of the Company’s stocks on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summary of stock options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Grant-</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r>
      <w:tr>
        <w:trPr>
          <w:trHeight w:val="213"/>
        </w:trPr>
        <w:tc>
          <w:tcPr>
            <w:tcW w:w="46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stock</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date Fair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Intrinsic</w:t>
            </w:r>
          </w:p>
        </w:tc>
      </w:tr>
      <w:tr>
        <w:trPr>
          <w:trHeight w:val="239"/>
        </w:trPr>
        <w:tc>
          <w:tcPr>
            <w:tcW w:w="46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4,685,673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4.1 years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1,023,531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(483,842)</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2.8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356,642</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Outstanding and exercisable as of June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1,509,746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2.8 years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191,772</w:t>
            </w:r>
          </w:p>
        </w:tc>
      </w:tr>
      <w:tr>
        <w:trPr>
          <w:trHeight w:val="647"/>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F-49</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 continued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intrinsic value in the table above represents the difference between the closing stock price on the last trading day in fiscal 2023 and the options’ respective exercise price. Total intrinsic value of options exercised for the year ended June 30, 2023,2022 and 2021 was nil, $1,125 and $57,613, respectively. The total fair value of options vested during the years ended June 30, 2023, 2022 and 2021 was $1,152,356, $505,295 and $354,701, respectively.</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of June 30, 2023, there was $682,436 of unrecognized compensation cost, adjusted for estimated forfeitures based on historical data, related to non-vested stock options granted to the Company’s employees and directors. Total unrecognized compensation cost is expected to be recognized over a period of 1.61 years as of June 30, 2023. Total unrecognized compensation cost may be adjusted for future changes in estimated forfeitures.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 ended June 30, 2020, the Company granted 613,300 RSUs to key employees and directors and 1,119,750 RSUs to key employees under the 2017 Plan and the 2020 Plan, respectively. 18,700 RSUs granted to the employees under the 2017 Plan fully vest in one year after the grant date, and 594,600 RSUs granted to the employees and directors under the 2017 Plan fully vest on the grant date. 1,073,700 RSUs granted to key employees under the 2020 Plan fully vest on the grant date, and 46,050 RSUs to key employees under the 2020 Plan fully vest on specified date within two years.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year ended June 30, 2021, the Company granted 1,362,370 RSUs to key employees under the 2020 Plan. The RSUs granted to the employees fully vest on specified date within two years.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year ended June 30, 2022, the Company granted 2,519,600 RSUs to key employees under the 2020 Plan. The RSUs granted to the employees fully vest on specified date within four years.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year ended June 30, 2023, the Company granted 1,161,000 RSUs to key employees under the 2020 Plan. The RSUs granted to the employees fully vest on granted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per share is determined as the closing stock price at the grant date.</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 recognizes the compensation expenses over the service requisite periods using the accelerated method. Share-based compensation cost of $1,478,190, $5,987,891 and $4,599,217 was recognized for the years ended June 30, 2023, 2022 and 2021,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18 – SHARE-BASED PAYMENT - continued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b w:val="1"/>
                <w:bCs w:val="1"/>
                <w:i w:val="1"/>
                <w:iCs w:val="1"/>
                <w:color w:val="auto"/>
              </w:rPr>
              <w:t>Restricted Share Units - continued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The following table sets forth the summary of RSUs activities: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8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6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9"/>
        </w:trPr>
        <w:tc>
          <w:tcPr>
            <w:tcW w:w="86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3"/>
        </w:trPr>
        <w:tc>
          <w:tcPr>
            <w:tcW w:w="8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2022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1,161,000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(1,205,300)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Forfeited or 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(48,000)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bl>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2023, there was $128,865 of unrecognized compensation cost, adjusted for estimated forfeitures based on historical data, related to non-vested, service-based RSUs granted to the Company’s employees and directors. The RSUs are expected to be recognized over a weighted-average period of 1.38 years. The total fair value of the restricted share units vested was $3,870,449, $4,617,882 and $5,338,069 during the year ended June 30, 2023, 2022 and 2021, respectively. The weighted-average grant-date fair value per share of RSUs granted was $1.14, $2.52 and $3.34 during the year ended June 30, 2023, 2022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share-based compensation expense recognized by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00" w:type="dxa"/>
            <w:vAlign w:val="bottom"/>
            <w:shd w:val="clear" w:color="auto" w:fill="CCEEFF"/>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129,060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122,087</w:t>
            </w:r>
          </w:p>
        </w:tc>
      </w:tr>
      <w:tr>
        <w:trPr>
          <w:trHeight w:val="24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6,982,747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4,998,206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2,478,295</w:t>
            </w:r>
          </w:p>
        </w:tc>
        <w:tc>
          <w:tcPr>
            <w:tcW w:w="120" w:type="dxa"/>
            <w:vAlign w:val="bottom"/>
          </w:tcPr>
          <w:p>
            <w:pPr>
              <w:spacing w:after="0"/>
              <w:rPr>
                <w:sz w:val="20"/>
                <w:szCs w:val="20"/>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7,184,862</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5,128,696</w:t>
            </w:r>
          </w:p>
        </w:tc>
      </w:tr>
      <w:tr>
        <w:trPr>
          <w:trHeight w:val="20"/>
        </w:trPr>
        <w:tc>
          <w:tcPr>
            <w:tcW w:w="4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7"/>
        </w:trPr>
        <w:tc>
          <w:tcPr>
            <w:tcW w:w="40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1688"/>
              <w:spacing w:after="0"/>
              <w:rPr>
                <w:sz w:val="20"/>
                <w:szCs w:val="20"/>
                <w:color w:val="auto"/>
              </w:rPr>
            </w:pPr>
            <w:r>
              <w:rPr>
                <w:rFonts w:ascii="Arial" w:cs="Arial" w:eastAsia="Arial" w:hAnsi="Arial"/>
                <w:sz w:val="18"/>
                <w:szCs w:val="18"/>
                <w:color w:val="auto"/>
              </w:rPr>
              <w:t>F-51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January 10, 2023 the Company announced a cash dividend of US$ 0.05 per common share with an aggregate amount of US$1.18 million. The recorded date was December 29, 2022 and the dividend was paid in full in January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dividend was declared during the years ended June 30, 2022 and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 and restricted net assets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$284,952, $857,801 and $1,410,264 to statutory reserves during the years ended June 30, 2023, 2022 and 2021, respectively in accordance with PRC GAAP.</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PRC laws and regulations permit payments of dividends by the Company’s subsidiaries incorporated in the PRC only out of their retained earnings, if any, as determined in accordance with PRC accounting standards and regulations. In addition, the Company’s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Company’s subsidiaries incorporated in the PRC are restricted in their ability to transfer a portion of their net assets to the Company in the form of dividends payments, loans or advances. Amounts of net assets restricted amounted to $23,549,698 and $23,264,745 as of June 30, 2023 and 2022, respectively. Except for the above or disclosed elsewhere, there is no other restriction on the use of proceeds generated by the Company’s subsidiaries to satisfy any obligations of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19 – SHAREHOLDERS’ EQUITY continued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00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(loss)/income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0020" w:type="dxa"/>
            <w:vAlign w:val="bottom"/>
          </w:tcPr>
          <w:p>
            <w:pPr>
              <w:spacing w:after="0"/>
              <w:rPr>
                <w:sz w:val="20"/>
                <w:szCs w:val="20"/>
                <w:color w:val="auto"/>
              </w:rPr>
            </w:pPr>
            <w:r>
              <w:rPr>
                <w:rFonts w:ascii="Arial" w:cs="Arial" w:eastAsia="Arial" w:hAnsi="Arial"/>
                <w:sz w:val="18"/>
                <w:szCs w:val="18"/>
                <w:color w:val="auto"/>
              </w:rPr>
              <w:t>The components of accumulated other comprehensive income (loss)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Foreign</w:t>
            </w:r>
          </w:p>
        </w:tc>
      </w:tr>
      <w:tr>
        <w:trPr>
          <w:trHeight w:val="213"/>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r>
      <w:tr>
        <w:trPr>
          <w:trHeight w:val="213"/>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translation</w:t>
            </w:r>
          </w:p>
        </w:tc>
      </w:tr>
      <w:tr>
        <w:trPr>
          <w:trHeight w:val="239"/>
        </w:trPr>
        <w:tc>
          <w:tcPr>
            <w:tcW w:w="100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income (loss)</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Other comprehensive loss before reclassification</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(1,828,542)</w:t>
            </w: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(1,828,542)</w:t>
            </w:r>
          </w:p>
        </w:tc>
      </w:tr>
      <w:tr>
        <w:trPr>
          <w:trHeight w:val="234"/>
        </w:trPr>
        <w:tc>
          <w:tcPr>
            <w:tcW w:w="10020" w:type="dxa"/>
            <w:vAlign w:val="bottom"/>
          </w:tcPr>
          <w:p>
            <w:pPr>
              <w:spacing w:after="0"/>
              <w:rPr>
                <w:sz w:val="20"/>
                <w:szCs w:val="20"/>
                <w:color w:val="auto"/>
              </w:rPr>
            </w:pPr>
            <w:r>
              <w:rPr>
                <w:rFonts w:ascii="Arial" w:cs="Arial" w:eastAsia="Arial" w:hAnsi="Arial"/>
                <w:sz w:val="18"/>
                <w:szCs w:val="18"/>
                <w:color w:val="auto"/>
              </w:rPr>
              <w:t>Other comprehensive loss attribute to noncontrolling interests</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48,211</w:t>
            </w:r>
          </w:p>
        </w:tc>
      </w:tr>
      <w:tr>
        <w:trPr>
          <w:trHeight w:val="21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Other comprehensive income before reclassification</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(3,532,507)</w:t>
            </w: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0"/>
        </w:trPr>
        <w:tc>
          <w:tcPr>
            <w:tcW w:w="100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(3,532,507)</w:t>
            </w:r>
          </w:p>
        </w:tc>
        <w:tc>
          <w:tcPr>
            <w:tcW w:w="100" w:type="dxa"/>
            <w:vAlign w:val="bottom"/>
            <w:tcBorders>
              <w:top w:val="single" w:sz="8" w:color="CCEEFF"/>
            </w:tcBorders>
          </w:tcPr>
          <w:p>
            <w:pPr>
              <w:spacing w:after="0"/>
              <w:rPr>
                <w:sz w:val="17"/>
                <w:szCs w:val="17"/>
                <w:color w:val="auto"/>
              </w:rPr>
            </w:pPr>
          </w:p>
        </w:tc>
      </w:tr>
      <w:tr>
        <w:trPr>
          <w:trHeight w:val="24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attribute to noncontrolling interests</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92,161</w:t>
            </w:r>
          </w:p>
        </w:tc>
      </w:tr>
      <w:tr>
        <w:trPr>
          <w:trHeight w:val="213"/>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(3,990,594)</w:t>
            </w:r>
          </w:p>
        </w:tc>
        <w:tc>
          <w:tcPr>
            <w:tcW w:w="100" w:type="dxa"/>
            <w:vAlign w:val="bottom"/>
            <w:tcBorders>
              <w:top w:val="single" w:sz="8" w:color="CCEEFF"/>
            </w:tcBorders>
          </w:tcPr>
          <w:p>
            <w:pPr>
              <w:spacing w:after="0"/>
              <w:rPr>
                <w:sz w:val="18"/>
                <w:szCs w:val="18"/>
                <w:color w:val="auto"/>
              </w:rPr>
            </w:pPr>
          </w:p>
        </w:tc>
      </w:tr>
    </w:tbl>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There was nil tax expense or benefit recognized related to the changes of each component of accumulated other comprehensive income (loss) for the years ended June 30, 2023, 2022 and 2021.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NONCONTROLLING INTERESTS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December 2019, CLPS Shanghai held a 70% equity interest of CLPS Shenzhen and an 80% equity interest of CLPS Hong Kong, which held the remaining 30% equity interest of CLPS Shenzhen. On December 9, 2019, Qiner acquired the remaining 20% equity interest of CLPS Hong Kong from the noncontrolling shareholder with the consideration of the Company’s 100,000 common shares valued at $278,000, therefore holding 100% of CLPS Hong Kong and CLPS Shenzhen’s equity interest accordingly. On December 3, 2019, the Company issued 100,000 common shares with $0.0001 par value per share to noncontrolling shareholder. The carrying amount of the noncontrolling interests was $(130,992). The transaction was accounted for as an equity transaction and the difference of $131,002 between the purchase consideration and the carrying value of the noncontrolling interest of CLPS Hong Kong and CLPS Shenzhen was recorded in the additional paid-in capital on the consolidated balance sheets.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Prior to December 22, 2020, Qiner held an 80% equity interest in Ridik. On December 22, 2020, CLPS Technology (Singapore) Pte. Ltd., a fully owned subsidiary of Qiner, entered into a share purchase agreement with the noncontrolling shareholders of Ridik to purchase the remaining 20% equity interest in Ridik. The total purchase consideration is $621,619, including a cash consideration of $436,550 and the Company’s 62,622 common shares valued at $185,069 on January 29, 2021, using the closing market price of US$3.41 per share and discounts for lack of marketability. The carrying amount of the noncontrolling interests of Ridik as of January 29, 2021 was $446,636. The transaction was accounted for as an equity transaction and the difference of $10,080 between the purchase consideration and the carrying value of the noncontrolling interest of Ridik was recorded in the additional paid-in capital on the consolidated balance sheets.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January 2021, JAJI China, a 60% owned subsidiary of CLPS, owned 70% of JAJI HR. In January 2021, JAJI China entered into an agreement with CareerWin to purchase CareerWin’s 30% equity interest in JAJI HR. After the transaction, JAJI China owned 100% of JAJI HR. The purchase consideration was $18,995. The carrying amount of the noncontrolling interests was $12,189. The transaction was accounted for as an equity transaction and the difference of $6,806 between the purchase consideration and the carrying value of the noncontrolling interest of JAJI HR was recorded in the additional paid-in capital on the consolidated balance sheets.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2021, Growth Ring, a wholly owned subsidiary of CLPS, entered into an agreement with MCT to purchase MCT’s 53.33% equity interest in MSCT. The purchase consideration was $205,711. The transaction was accounted for as an asset acquisition and the carrying amount of the noncontrolling interests was $121,807 (Note 3).</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JAJI CHINA, a subsidiary of CLPS, formerly held 60% equity interests in Bozhuo. As JAJI CHINA disposed all of the equity interests in Bozhuo during the year ended June 30, 2023, the non-controlling interests of US$6,283 was derecognized at the same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follows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Company’s revenue and net income are substantially derived from enterprise application services and financial industry IT services.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The following table presents revenues generated in domestic and overseas markets for the years ended June 30, 2023, 2022 and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10"/>
          </w:tcPr>
          <w:p>
            <w:pPr>
              <w:ind w:left="680"/>
              <w:spacing w:after="0"/>
              <w:rPr>
                <w:sz w:val="20"/>
                <w:szCs w:val="20"/>
                <w:color w:val="auto"/>
              </w:rPr>
            </w:pPr>
            <w:r>
              <w:rPr>
                <w:rFonts w:ascii="Arial" w:cs="Arial" w:eastAsia="Arial" w:hAnsi="Arial"/>
                <w:sz w:val="18"/>
                <w:szCs w:val="18"/>
                <w:b w:val="1"/>
                <w:bCs w:val="1"/>
                <w:color w:val="auto"/>
              </w:rPr>
              <w:t>For the years ended June 30,</w:t>
            </w:r>
          </w:p>
        </w:tc>
      </w:tr>
      <w:tr>
        <w:trPr>
          <w:trHeight w:val="234"/>
        </w:trPr>
        <w:tc>
          <w:tcPr>
            <w:tcW w:w="73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134,185,815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137,915,276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112,511,341</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8,733,344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9,559,951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9,613,026</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4,311,182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3,365,491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3,728,039</w:t>
            </w: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883,478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34,740</w:t>
            </w: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254,601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26,419</w:t>
            </w: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Malaysia</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161,132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148,128</w:t>
            </w:r>
          </w:p>
        </w:tc>
        <w:tc>
          <w:tcPr>
            <w:tcW w:w="100" w:type="dxa"/>
            <w:vAlign w:val="bottom"/>
            <w:tcBorders>
              <w:bottom w:val="single" w:sz="8" w:color="CCEEFF"/>
            </w:tcBorders>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150,356,539</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152,022,381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126,061,693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2023,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10"/>
          </w:tcPr>
          <w:p>
            <w:pPr>
              <w:ind w:left="66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144,286,502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144,092,811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122,273,395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4,554,200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6,738,118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3,130,646</w:t>
            </w:r>
          </w:p>
        </w:tc>
        <w:tc>
          <w:tcPr>
            <w:tcW w:w="0" w:type="dxa"/>
            <w:vAlign w:val="bottom"/>
          </w:tcPr>
          <w:p>
            <w:pPr>
              <w:spacing w:after="0"/>
              <w:rPr>
                <w:sz w:val="1"/>
                <w:szCs w:val="1"/>
                <w:color w:val="auto"/>
              </w:rPr>
            </w:pPr>
          </w:p>
        </w:tc>
      </w:tr>
      <w:tr>
        <w:trPr>
          <w:trHeight w:val="247"/>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1,515,837</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1,191,452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150,356,539</w:t>
            </w: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152,022,381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126,061,693</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w w:val="97"/>
              </w:rPr>
              <w:t>Long-lived assets by geographic area are presented as follows:</w:t>
            </w: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9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15,124,060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Singapore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4,665,463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4,586,546</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541,766</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India</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20,112,305</w:t>
            </w:r>
          </w:p>
        </w:tc>
        <w:tc>
          <w:tcPr>
            <w:tcW w:w="1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20,601,098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520" w:type="dxa"/>
            <w:vAlign w:val="bottom"/>
            <w:gridSpan w:val="2"/>
            <w:vMerge w:val="restart"/>
          </w:tcPr>
          <w:p>
            <w:pPr>
              <w:jc w:val="right"/>
              <w:ind w:right="1608"/>
              <w:spacing w:after="0"/>
              <w:rPr>
                <w:sz w:val="20"/>
                <w:szCs w:val="20"/>
                <w:color w:val="auto"/>
              </w:rPr>
            </w:pPr>
            <w:r>
              <w:rPr>
                <w:rFonts w:ascii="Arial" w:cs="Arial" w:eastAsia="Arial" w:hAnsi="Arial"/>
                <w:sz w:val="18"/>
                <w:szCs w:val="18"/>
                <w:color w:val="auto"/>
              </w:rPr>
              <w:t>F-55</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49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22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As of June 30,</w:t>
      </w:r>
    </w:p>
    <w:p>
      <w:pPr>
        <w:sectPr>
          <w:pgSz w:w="11900" w:h="16838" w:orient="portrait"/>
          <w:cols w:equalWidth="0" w:num="1">
            <w:col w:w="11240"/>
          </w:cols>
          <w:pgMar w:left="320" w:top="868" w:right="3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Amounts due from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Prepayments, deposits and 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4225" cy="152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35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52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r>
      <w:tr>
        <w:trPr>
          <w:trHeight w:val="626"/>
        </w:trPr>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1,044,647</w:t>
            </w:r>
          </w:p>
        </w:tc>
        <w:tc>
          <w:tcPr>
            <w:tcW w:w="220" w:type="dxa"/>
            <w:vAlign w:val="bottom"/>
          </w:tcPr>
          <w:p>
            <w:pPr>
              <w:spacing w:after="0"/>
              <w:rPr>
                <w:sz w:val="24"/>
                <w:szCs w:val="24"/>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115,901</w:t>
            </w:r>
          </w:p>
        </w:tc>
      </w:tr>
      <w:tr>
        <w:trPr>
          <w:trHeight w:val="226"/>
        </w:trPr>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24,717,918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22,776,226</w:t>
            </w:r>
          </w:p>
        </w:tc>
      </w:tr>
      <w:tr>
        <w:trPr>
          <w:trHeight w:val="235"/>
        </w:trPr>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37,919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378,836</w:t>
            </w:r>
          </w:p>
        </w:tc>
      </w:tr>
      <w:tr>
        <w:trPr>
          <w:trHeight w:val="226"/>
        </w:trPr>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25,800,484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23,270,963</w:t>
            </w:r>
          </w:p>
        </w:tc>
      </w:tr>
      <w:tr>
        <w:trPr>
          <w:trHeight w:val="640"/>
        </w:trPr>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46,369,097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50,416,453</w:t>
            </w: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247"/>
        </w:trPr>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72,169,581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73,687,416</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40" w:space="720"/>
            <w:col w:w="2580"/>
          </w:cols>
          <w:pgMar w:left="320" w:top="868"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8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Other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7,588,546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7,134,543</w:t>
            </w:r>
          </w:p>
        </w:tc>
        <w:tc>
          <w:tcPr>
            <w:tcW w:w="0" w:type="dxa"/>
            <w:vAlign w:val="bottom"/>
          </w:tcPr>
          <w:p>
            <w:pPr>
              <w:spacing w:after="0"/>
              <w:rPr>
                <w:sz w:val="1"/>
                <w:szCs w:val="1"/>
                <w:color w:val="auto"/>
              </w:rPr>
            </w:pP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7,588,578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7,134,543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7,588,578</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7,134,543</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60" w:type="dxa"/>
            <w:vAlign w:val="bottom"/>
          </w:tcPr>
          <w:p>
            <w:pPr>
              <w:spacing w:after="0" w:line="199" w:lineRule="exact"/>
              <w:rPr>
                <w:sz w:val="20"/>
                <w:szCs w:val="20"/>
                <w:color w:val="auto"/>
              </w:rPr>
            </w:pPr>
            <w:r>
              <w:rPr>
                <w:rFonts w:ascii="Arial" w:cs="Arial" w:eastAsia="Arial" w:hAnsi="Arial"/>
                <w:sz w:val="18"/>
                <w:szCs w:val="18"/>
                <w:color w:val="auto"/>
                <w:w w:val="89"/>
              </w:rPr>
              <w:t>Common stock, $0.0001 par value, 100,000,000 shares authorized; 23,650,122 shares issued and outstanding as of June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60" w:type="dxa"/>
            <w:vAlign w:val="bottom"/>
          </w:tcPr>
          <w:p>
            <w:pPr>
              <w:ind w:left="160"/>
              <w:spacing w:after="0"/>
              <w:rPr>
                <w:sz w:val="20"/>
                <w:szCs w:val="20"/>
                <w:color w:val="auto"/>
              </w:rPr>
            </w:pPr>
            <w:r>
              <w:rPr>
                <w:rFonts w:ascii="Arial" w:cs="Arial" w:eastAsia="Arial" w:hAnsi="Arial"/>
                <w:sz w:val="18"/>
                <w:szCs w:val="18"/>
                <w:color w:val="auto"/>
              </w:rPr>
              <w:t>30, 2023; 22,444,822 shares issued and outstanding as of June 30, 2022*</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58,183,383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55,705,209</w:t>
            </w:r>
          </w:p>
        </w:tc>
        <w:tc>
          <w:tcPr>
            <w:tcW w:w="0" w:type="dxa"/>
            <w:vAlign w:val="bottom"/>
          </w:tcPr>
          <w:p>
            <w:pPr>
              <w:spacing w:after="0"/>
              <w:rPr>
                <w:sz w:val="1"/>
                <w:szCs w:val="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Accumulated retained earnings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10,385,849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11,395,668</w:t>
            </w: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(3,990,594)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(550,248)</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64,581,003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66,552,873</w:t>
            </w:r>
          </w:p>
        </w:tc>
        <w:tc>
          <w:tcPr>
            <w:tcW w:w="0" w:type="dxa"/>
            <w:vAlign w:val="bottom"/>
          </w:tcPr>
          <w:p>
            <w:pPr>
              <w:spacing w:after="0"/>
              <w:rPr>
                <w:sz w:val="1"/>
                <w:szCs w:val="1"/>
                <w:color w:val="auto"/>
              </w:rPr>
            </w:pPr>
          </w:p>
        </w:tc>
      </w:tr>
      <w:tr>
        <w:trPr>
          <w:trHeight w:val="213"/>
        </w:trPr>
        <w:tc>
          <w:tcPr>
            <w:tcW w:w="86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72,169,581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73,687,416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F-56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7"/>
        </w:trPr>
        <w:tc>
          <w:tcPr>
            <w:tcW w:w="86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8" w:right="33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 -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Condensed statements of comprehensive (loss)/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(3,308,445)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(7,640,065)</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(6,267,334)</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Share of profit in subsidiaries, net (Note a)</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3,023,065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12,060,619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13,202,527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(124,986)</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192,529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4,455,428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6,816,572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192,529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4,455,428</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6,816,572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(3,440,346)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(1,780,331)</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2,592,748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line="253" w:lineRule="exact"/>
              <w:rPr>
                <w:sz w:val="20"/>
                <w:szCs w:val="20"/>
                <w:color w:val="auto"/>
              </w:rPr>
            </w:pPr>
            <w:r>
              <w:rPr>
                <w:rFonts w:ascii="Arial" w:cs="Arial" w:eastAsia="Arial" w:hAnsi="Arial"/>
                <w:sz w:val="16"/>
                <w:szCs w:val="16"/>
                <w:color w:val="auto"/>
              </w:rPr>
              <w:t>(3,247,817</w:t>
            </w:r>
            <w:r>
              <w:rPr>
                <w:rFonts w:ascii="Arial" w:cs="Arial" w:eastAsia="Arial" w:hAnsi="Arial"/>
                <w:sz w:val="29"/>
                <w:szCs w:val="29"/>
                <w:color w:val="auto"/>
                <w:vertAlign w:val="superscript"/>
              </w:rPr>
              <w:t>)</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2,675,097</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9,409,320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(20,091,683)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(2,107,118)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(404,150)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7,395,038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14,799,107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(162,861)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928,746</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(12,859,506)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12,793,894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115,901</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12,975,407</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cash equivalents at the end of the year</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320" w:type="dxa"/>
            <w:vAlign w:val="bottom"/>
            <w:vMerge w:val="continue"/>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1,044,647</w:t>
            </w:r>
          </w:p>
        </w:tc>
        <w:tc>
          <w:tcPr>
            <w:tcW w:w="140" w:type="dxa"/>
            <w:vAlign w:val="bottom"/>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115,901</w:t>
            </w:r>
          </w:p>
        </w:tc>
        <w:tc>
          <w:tcPr>
            <w:tcW w:w="300" w:type="dxa"/>
            <w:vAlign w:val="bottom"/>
            <w:gridSpan w:val="2"/>
          </w:tcPr>
          <w:p>
            <w:pPr>
              <w:jc w:val="right"/>
              <w:ind w:right="1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12,975,407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Company-only financial statements, the Company’s investment in subsidiaries is stated at cost plus equity in undistributed earnings of subsidiaries since inception.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records its investment in its subsidiaries under the equity method of accounting as prescribed in ASC 323</w:t>
      </w:r>
      <w:r>
        <w:rPr>
          <w:rFonts w:ascii="Arial" w:cs="Arial" w:eastAsia="Arial" w:hAnsi="Arial"/>
          <w:sz w:val="18"/>
          <w:szCs w:val="18"/>
          <w:i w:val="1"/>
          <w:iCs w:val="1"/>
          <w:color w:val="auto"/>
        </w:rPr>
        <w:t>.</w:t>
      </w:r>
      <w:r>
        <w:rPr>
          <w:rFonts w:ascii="Arial" w:cs="Arial" w:eastAsia="Arial" w:hAnsi="Arial"/>
          <w:sz w:val="18"/>
          <w:szCs w:val="18"/>
          <w:color w:val="auto"/>
        </w:rPr>
        <w:t xml:space="preserve"> Such investments are presented on the balance sheets as “Investments in subsidiaries” and share of the subsidiaries’ profit or loss are shown as “Share of profit in subsidiaries, net” on the statements of comprehensive (loss) income.</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ITEM 19. EXHIBITS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1"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318">
        <w:r>
          <w:rPr>
            <w:rFonts w:ascii="Arial" w:cs="Arial" w:eastAsia="Arial" w:hAnsi="Arial"/>
            <w:sz w:val="16"/>
            <w:szCs w:val="16"/>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135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1140" w:hanging="1133"/>
        <w:spacing w:after="0"/>
        <w:tabs>
          <w:tab w:leader="none" w:pos="1140" w:val="left"/>
        </w:tabs>
        <w:numPr>
          <w:ilvl w:val="0"/>
          <w:numId w:val="91"/>
        </w:numPr>
        <w:rPr>
          <w:rFonts w:ascii="Arial" w:cs="Arial" w:eastAsia="Arial" w:hAnsi="Arial"/>
          <w:sz w:val="18"/>
          <w:szCs w:val="18"/>
          <w:u w:val="single" w:color="auto"/>
          <w:color w:val="0000EE"/>
        </w:rPr>
      </w:pPr>
      <w:hyperlink r:id="rId320">
        <w:r>
          <w:rPr>
            <w:rFonts w:ascii="Arial" w:cs="Arial" w:eastAsia="Arial" w:hAnsi="Arial"/>
            <w:sz w:val="18"/>
            <w:szCs w:val="18"/>
            <w:u w:val="single" w:color="auto"/>
            <w:color w:val="0000EE"/>
          </w:rPr>
          <w:t>Description of Securities registered under Section 12 of the Exchange Act (6)</w:t>
        </w:r>
      </w:hyperlink>
    </w:p>
    <w:tbl>
      <w:tblPr>
        <w:tblLayout w:type="fixed"/>
        <w:tblInd w:w="0" w:type="dxa"/>
        <w:tblCellMar>
          <w:top w:w="0" w:type="dxa"/>
          <w:left w:w="0" w:type="dxa"/>
          <w:bottom w:w="0" w:type="dxa"/>
          <w:right w:w="0" w:type="dxa"/>
        </w:tblCellMar>
      </w:tblPr>
      <w:tr>
        <w:trPr>
          <w:trHeight w:val="201"/>
        </w:trPr>
        <w:tc>
          <w:tcPr>
            <w:tcW w:w="1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3.1</w:t>
            </w:r>
          </w:p>
        </w:tc>
        <w:tc>
          <w:tcPr>
            <w:tcW w:w="10100" w:type="dxa"/>
            <w:vAlign w:val="bottom"/>
            <w:gridSpan w:val="28"/>
            <w:shd w:val="clear" w:color="auto" w:fill="CCEEFF"/>
          </w:tcPr>
          <w:p>
            <w:pPr>
              <w:spacing w:after="0" w:line="182" w:lineRule="exact"/>
              <w:rPr>
                <w:rFonts w:ascii="Arial" w:cs="Arial" w:eastAsia="Arial" w:hAnsi="Arial"/>
                <w:sz w:val="18"/>
                <w:szCs w:val="18"/>
                <w:color w:val="0000EE"/>
              </w:rPr>
            </w:pPr>
            <w:hyperlink r:id="rId321">
              <w:r>
                <w:rPr>
                  <w:rFonts w:ascii="Arial" w:cs="Arial" w:eastAsia="Arial" w:hAnsi="Arial"/>
                  <w:sz w:val="18"/>
                  <w:szCs w:val="18"/>
                  <w:color w:val="0000EE"/>
                </w:rPr>
                <w:t>Memorandum and Articles of Association (1).</w:t>
              </w:r>
            </w:hyperlink>
          </w:p>
        </w:tc>
      </w:tr>
      <w:tr>
        <w:trPr>
          <w:trHeight w:val="173"/>
        </w:trPr>
        <w:tc>
          <w:tcPr>
            <w:tcW w:w="1140" w:type="dxa"/>
            <w:vAlign w:val="bottom"/>
            <w:tcBorders>
              <w:top w:val="single" w:sz="8" w:color="CCEEFF"/>
            </w:tcBorders>
          </w:tcPr>
          <w:p>
            <w:pPr>
              <w:spacing w:after="0" w:line="174" w:lineRule="exact"/>
              <w:rPr>
                <w:sz w:val="20"/>
                <w:szCs w:val="20"/>
                <w:color w:val="auto"/>
              </w:rPr>
            </w:pPr>
            <w:r>
              <w:rPr>
                <w:rFonts w:ascii="Arial" w:cs="Arial" w:eastAsia="Arial" w:hAnsi="Arial"/>
                <w:sz w:val="18"/>
                <w:szCs w:val="18"/>
                <w:color w:val="auto"/>
              </w:rPr>
              <w:t>4.1</w:t>
            </w:r>
          </w:p>
        </w:tc>
        <w:tc>
          <w:tcPr>
            <w:tcW w:w="3280" w:type="dxa"/>
            <w:vAlign w:val="bottom"/>
            <w:tcBorders>
              <w:top w:val="single" w:sz="8" w:color="0000EE"/>
            </w:tcBorders>
            <w:gridSpan w:val="15"/>
          </w:tcPr>
          <w:p>
            <w:pPr>
              <w:spacing w:after="0" w:line="174" w:lineRule="exact"/>
              <w:rPr>
                <w:rFonts w:ascii="Arial" w:cs="Arial" w:eastAsia="Arial" w:hAnsi="Arial"/>
                <w:sz w:val="18"/>
                <w:szCs w:val="18"/>
                <w:color w:val="0000EE"/>
              </w:rPr>
            </w:pPr>
            <w:hyperlink r:id="rId322">
              <w:r>
                <w:rPr>
                  <w:rFonts w:ascii="Arial" w:cs="Arial" w:eastAsia="Arial" w:hAnsi="Arial"/>
                  <w:sz w:val="18"/>
                  <w:szCs w:val="18"/>
                  <w:color w:val="0000EE"/>
                </w:rPr>
                <w:t>Specimen Share Certificate (1).</w:t>
              </w:r>
            </w:hyperlink>
          </w:p>
        </w:tc>
        <w:tc>
          <w:tcPr>
            <w:tcW w:w="6820" w:type="dxa"/>
            <w:vAlign w:val="bottom"/>
            <w:tcBorders>
              <w:top w:val="single" w:sz="8" w:color="CCEEFF"/>
            </w:tcBorders>
            <w:gridSpan w:val="1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10.1</w:t>
            </w:r>
          </w:p>
        </w:tc>
        <w:tc>
          <w:tcPr>
            <w:tcW w:w="2240" w:type="dxa"/>
            <w:vAlign w:val="bottom"/>
            <w:tcBorders>
              <w:bottom w:val="single" w:sz="8" w:color="0000EE"/>
            </w:tcBorders>
            <w:gridSpan w:val="5"/>
            <w:shd w:val="clear" w:color="auto" w:fill="CCEEFF"/>
          </w:tcPr>
          <w:p>
            <w:pPr>
              <w:spacing w:after="0" w:line="174" w:lineRule="exact"/>
              <w:rPr>
                <w:rFonts w:ascii="Arial" w:cs="Arial" w:eastAsia="Arial" w:hAnsi="Arial"/>
                <w:sz w:val="18"/>
                <w:szCs w:val="18"/>
                <w:color w:val="0000EE"/>
                <w:w w:val="90"/>
              </w:rPr>
            </w:pPr>
            <w:hyperlink r:id="rId323">
              <w:r>
                <w:rPr>
                  <w:rFonts w:ascii="Arial" w:cs="Arial" w:eastAsia="Arial" w:hAnsi="Arial"/>
                  <w:sz w:val="18"/>
                  <w:szCs w:val="18"/>
                  <w:color w:val="0000EE"/>
                  <w:w w:val="90"/>
                </w:rPr>
                <w:t>2017 Equity Incentive Plan (1).</w:t>
              </w:r>
            </w:hyperlink>
          </w:p>
        </w:tc>
        <w:tc>
          <w:tcPr>
            <w:tcW w:w="7860" w:type="dxa"/>
            <w:vAlign w:val="bottom"/>
            <w:tcBorders>
              <w:bottom w:val="single" w:sz="8" w:color="CCEEFF"/>
            </w:tcBorders>
            <w:gridSpan w:val="23"/>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10.2</w:t>
            </w:r>
          </w:p>
        </w:tc>
        <w:tc>
          <w:tcPr>
            <w:tcW w:w="10100" w:type="dxa"/>
            <w:vAlign w:val="bottom"/>
            <w:gridSpan w:val="28"/>
          </w:tcPr>
          <w:p>
            <w:pPr>
              <w:spacing w:after="0" w:line="174" w:lineRule="exact"/>
              <w:rPr>
                <w:rFonts w:ascii="Arial" w:cs="Arial" w:eastAsia="Arial" w:hAnsi="Arial"/>
                <w:sz w:val="18"/>
                <w:szCs w:val="18"/>
                <w:color w:val="0000EE"/>
              </w:rPr>
            </w:pPr>
            <w:hyperlink r:id="rId324">
              <w:r>
                <w:rPr>
                  <w:rFonts w:ascii="Arial" w:cs="Arial" w:eastAsia="Arial" w:hAnsi="Arial"/>
                  <w:sz w:val="18"/>
                  <w:szCs w:val="18"/>
                  <w:color w:val="0000EE"/>
                </w:rPr>
                <w:t>2019 Equity Incentive Plan (3).</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7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10.3</w:t>
            </w:r>
          </w:p>
        </w:tc>
        <w:tc>
          <w:tcPr>
            <w:tcW w:w="10100" w:type="dxa"/>
            <w:vAlign w:val="bottom"/>
            <w:gridSpan w:val="28"/>
            <w:shd w:val="clear" w:color="auto" w:fill="CCEEFF"/>
          </w:tcPr>
          <w:p>
            <w:pPr>
              <w:spacing w:after="0" w:line="174" w:lineRule="exact"/>
              <w:rPr>
                <w:rFonts w:ascii="Arial" w:cs="Arial" w:eastAsia="Arial" w:hAnsi="Arial"/>
                <w:sz w:val="18"/>
                <w:szCs w:val="18"/>
                <w:color w:val="0000EE"/>
              </w:rPr>
            </w:pPr>
            <w:hyperlink r:id="rId325">
              <w:r>
                <w:rPr>
                  <w:rFonts w:ascii="Arial" w:cs="Arial" w:eastAsia="Arial" w:hAnsi="Arial"/>
                  <w:sz w:val="18"/>
                  <w:szCs w:val="18"/>
                  <w:color w:val="0000EE"/>
                </w:rPr>
                <w:t>2020 Equity Incentive Plan(4)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10.4</w:t>
            </w:r>
          </w:p>
        </w:tc>
        <w:tc>
          <w:tcPr>
            <w:tcW w:w="10100" w:type="dxa"/>
            <w:vAlign w:val="bottom"/>
            <w:gridSpan w:val="28"/>
          </w:tcPr>
          <w:p>
            <w:pPr>
              <w:spacing w:after="0" w:line="174" w:lineRule="exact"/>
              <w:rPr>
                <w:rFonts w:ascii="Arial" w:cs="Arial" w:eastAsia="Arial" w:hAnsi="Arial"/>
                <w:sz w:val="18"/>
                <w:szCs w:val="18"/>
                <w:color w:val="0000EE"/>
              </w:rPr>
            </w:pPr>
            <w:hyperlink r:id="rId326">
              <w:r>
                <w:rPr>
                  <w:rFonts w:ascii="Arial" w:cs="Arial" w:eastAsia="Arial" w:hAnsi="Arial"/>
                  <w:sz w:val="18"/>
                  <w:szCs w:val="18"/>
                  <w:color w:val="0000EE"/>
                </w:rPr>
                <w:t>2023 Equity Incentive Plan(8)</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10.5</w:t>
            </w:r>
          </w:p>
        </w:tc>
        <w:tc>
          <w:tcPr>
            <w:tcW w:w="3080" w:type="dxa"/>
            <w:vAlign w:val="bottom"/>
            <w:tcBorders>
              <w:bottom w:val="single" w:sz="8" w:color="0000EE"/>
            </w:tcBorders>
            <w:gridSpan w:val="13"/>
            <w:shd w:val="clear" w:color="auto" w:fill="CCEEFF"/>
          </w:tcPr>
          <w:p>
            <w:pPr>
              <w:spacing w:after="0" w:line="174" w:lineRule="exact"/>
              <w:rPr>
                <w:rFonts w:ascii="Arial" w:cs="Arial" w:eastAsia="Arial" w:hAnsi="Arial"/>
                <w:sz w:val="18"/>
                <w:szCs w:val="18"/>
                <w:color w:val="0000EE"/>
                <w:w w:val="89"/>
              </w:rPr>
            </w:pPr>
            <w:hyperlink r:id="rId327">
              <w:r>
                <w:rPr>
                  <w:rFonts w:ascii="Arial" w:cs="Arial" w:eastAsia="Arial" w:hAnsi="Arial"/>
                  <w:sz w:val="18"/>
                  <w:szCs w:val="18"/>
                  <w:color w:val="0000EE"/>
                  <w:w w:val="89"/>
                </w:rPr>
                <w:t>Form Independent Director Agreement (1).</w:t>
              </w:r>
            </w:hyperlink>
          </w:p>
        </w:tc>
        <w:tc>
          <w:tcPr>
            <w:tcW w:w="7020" w:type="dxa"/>
            <w:vAlign w:val="bottom"/>
            <w:tcBorders>
              <w:bottom w:val="single" w:sz="8" w:color="CCEEFF"/>
            </w:tcBorders>
            <w:gridSpan w:val="15"/>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10.6</w:t>
            </w:r>
          </w:p>
        </w:tc>
        <w:tc>
          <w:tcPr>
            <w:tcW w:w="10100" w:type="dxa"/>
            <w:vAlign w:val="bottom"/>
            <w:gridSpan w:val="28"/>
          </w:tcPr>
          <w:p>
            <w:pPr>
              <w:spacing w:after="0" w:line="174" w:lineRule="exact"/>
              <w:rPr>
                <w:rFonts w:ascii="Arial" w:cs="Arial" w:eastAsia="Arial" w:hAnsi="Arial"/>
                <w:sz w:val="18"/>
                <w:szCs w:val="18"/>
                <w:color w:val="0000EE"/>
              </w:rPr>
            </w:pPr>
            <w:hyperlink r:id="rId328">
              <w:r>
                <w:rPr>
                  <w:rFonts w:ascii="Arial" w:cs="Arial" w:eastAsia="Arial" w:hAnsi="Arial"/>
                  <w:sz w:val="18"/>
                  <w:szCs w:val="18"/>
                  <w:color w:val="0000EE"/>
                </w:rPr>
                <w:t>Employment Agreement between the Company and Xiao Feng Yang (1).</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10.7</w:t>
            </w:r>
          </w:p>
        </w:tc>
        <w:tc>
          <w:tcPr>
            <w:tcW w:w="5760" w:type="dxa"/>
            <w:vAlign w:val="bottom"/>
            <w:tcBorders>
              <w:bottom w:val="single" w:sz="8" w:color="0000EE"/>
            </w:tcBorders>
            <w:gridSpan w:val="25"/>
            <w:shd w:val="clear" w:color="auto" w:fill="CCEEFF"/>
          </w:tcPr>
          <w:p>
            <w:pPr>
              <w:spacing w:after="0" w:line="174" w:lineRule="exact"/>
              <w:rPr>
                <w:rFonts w:ascii="Arial" w:cs="Arial" w:eastAsia="Arial" w:hAnsi="Arial"/>
                <w:sz w:val="18"/>
                <w:szCs w:val="18"/>
                <w:color w:val="0000EE"/>
                <w:w w:val="90"/>
              </w:rPr>
            </w:pPr>
            <w:hyperlink r:id="rId329">
              <w:r>
                <w:rPr>
                  <w:rFonts w:ascii="Arial" w:cs="Arial" w:eastAsia="Arial" w:hAnsi="Arial"/>
                  <w:sz w:val="18"/>
                  <w:szCs w:val="18"/>
                  <w:color w:val="0000EE"/>
                  <w:w w:val="90"/>
                </w:rPr>
                <w:t>Employment Agreement between the Company and Raymond Ming Hui Lin (1).</w:t>
              </w:r>
            </w:hyperlink>
          </w:p>
        </w:tc>
        <w:tc>
          <w:tcPr>
            <w:tcW w:w="4340" w:type="dxa"/>
            <w:vAlign w:val="bottom"/>
            <w:tcBorders>
              <w:bottom w:val="single" w:sz="8" w:color="CCEEFF"/>
            </w:tcBorders>
            <w:gridSpan w:val="3"/>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10.8</w:t>
            </w:r>
          </w:p>
        </w:tc>
        <w:tc>
          <w:tcPr>
            <w:tcW w:w="10100" w:type="dxa"/>
            <w:vAlign w:val="bottom"/>
            <w:gridSpan w:val="28"/>
          </w:tcPr>
          <w:p>
            <w:pPr>
              <w:spacing w:after="0" w:line="174" w:lineRule="exact"/>
              <w:rPr>
                <w:rFonts w:ascii="Arial" w:cs="Arial" w:eastAsia="Arial" w:hAnsi="Arial"/>
                <w:sz w:val="18"/>
                <w:szCs w:val="18"/>
                <w:color w:val="0000EE"/>
              </w:rPr>
            </w:pPr>
            <w:hyperlink r:id="rId330">
              <w:r>
                <w:rPr>
                  <w:rFonts w:ascii="Arial" w:cs="Arial" w:eastAsia="Arial" w:hAnsi="Arial"/>
                  <w:sz w:val="18"/>
                  <w:szCs w:val="18"/>
                  <w:color w:val="0000EE"/>
                </w:rPr>
                <w:t>Employment Agreement between the Company and Rui Yang (5).</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10.9</w:t>
            </w:r>
          </w:p>
        </w:tc>
        <w:tc>
          <w:tcPr>
            <w:tcW w:w="4400" w:type="dxa"/>
            <w:vAlign w:val="bottom"/>
            <w:tcBorders>
              <w:bottom w:val="single" w:sz="8" w:color="0000EE"/>
            </w:tcBorders>
            <w:gridSpan w:val="19"/>
            <w:shd w:val="clear" w:color="auto" w:fill="CCEEFF"/>
          </w:tcPr>
          <w:p>
            <w:pPr>
              <w:spacing w:after="0" w:line="174"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Employment Agreement between the Company and Li Li (7).</w:t>
              </w:r>
            </w:hyperlink>
          </w:p>
        </w:tc>
        <w:tc>
          <w:tcPr>
            <w:tcW w:w="5700" w:type="dxa"/>
            <w:vAlign w:val="bottom"/>
            <w:tcBorders>
              <w:bottom w:val="single" w:sz="8" w:color="CCEEFF"/>
            </w:tcBorders>
            <w:gridSpan w:val="9"/>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10.10</w:t>
            </w:r>
          </w:p>
        </w:tc>
        <w:tc>
          <w:tcPr>
            <w:tcW w:w="10100" w:type="dxa"/>
            <w:vAlign w:val="bottom"/>
            <w:gridSpan w:val="28"/>
          </w:tcPr>
          <w:p>
            <w:pPr>
              <w:spacing w:after="0" w:line="174" w:lineRule="exact"/>
              <w:rPr>
                <w:rFonts w:ascii="Arial" w:cs="Arial" w:eastAsia="Arial" w:hAnsi="Arial"/>
                <w:sz w:val="18"/>
                <w:szCs w:val="18"/>
                <w:color w:val="0000EE"/>
              </w:rPr>
            </w:pPr>
            <w:hyperlink r:id="rId332">
              <w:r>
                <w:rPr>
                  <w:rFonts w:ascii="Arial" w:cs="Arial" w:eastAsia="Arial" w:hAnsi="Arial"/>
                  <w:sz w:val="18"/>
                  <w:szCs w:val="18"/>
                  <w:color w:val="0000EE"/>
                </w:rPr>
                <w:t>ANZ Global Services and Operations (Chengdu) Company Limited Agreement (1).</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10.11</w:t>
            </w:r>
          </w:p>
        </w:tc>
        <w:tc>
          <w:tcPr>
            <w:tcW w:w="4920" w:type="dxa"/>
            <w:vAlign w:val="bottom"/>
            <w:tcBorders>
              <w:bottom w:val="single" w:sz="8" w:color="0000EE"/>
            </w:tcBorders>
            <w:gridSpan w:val="22"/>
            <w:shd w:val="clear" w:color="auto" w:fill="CCEEFF"/>
          </w:tcPr>
          <w:p>
            <w:pPr>
              <w:spacing w:after="0" w:line="174" w:lineRule="exact"/>
              <w:rPr>
                <w:sz w:val="20"/>
                <w:szCs w:val="20"/>
                <w:color w:val="auto"/>
              </w:rPr>
            </w:pPr>
            <w:r>
              <w:rPr>
                <w:rFonts w:ascii="Arial" w:cs="Arial" w:eastAsia="Arial" w:hAnsi="Arial"/>
                <w:sz w:val="18"/>
                <w:szCs w:val="18"/>
                <w:color w:val="0000EE"/>
                <w:w w:val="88"/>
              </w:rPr>
              <w:t>Master Lease Agreement - Shanghai Pudong Software Park Co., Ltd.</w:t>
            </w:r>
          </w:p>
        </w:tc>
        <w:tc>
          <w:tcPr>
            <w:tcW w:w="5180" w:type="dxa"/>
            <w:vAlign w:val="bottom"/>
            <w:tcBorders>
              <w:bottom w:val="single" w:sz="8" w:color="CCEEFF"/>
            </w:tcBorders>
            <w:gridSpan w:val="6"/>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10.12</w:t>
            </w:r>
          </w:p>
        </w:tc>
        <w:tc>
          <w:tcPr>
            <w:tcW w:w="10100" w:type="dxa"/>
            <w:vAlign w:val="bottom"/>
            <w:gridSpan w:val="28"/>
          </w:tcPr>
          <w:p>
            <w:pPr>
              <w:spacing w:after="0" w:line="174" w:lineRule="exact"/>
              <w:rPr>
                <w:sz w:val="20"/>
                <w:szCs w:val="20"/>
                <w:color w:val="auto"/>
              </w:rPr>
            </w:pPr>
            <w:r>
              <w:rPr>
                <w:rFonts w:ascii="Arial" w:cs="Arial" w:eastAsia="Arial" w:hAnsi="Arial"/>
                <w:sz w:val="18"/>
                <w:szCs w:val="18"/>
                <w:color w:val="0000EE"/>
              </w:rPr>
              <w:t>Master Lease Agreement - Shanghai Pudong Software Park Co., Ltd.</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7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10.13</w:t>
            </w:r>
          </w:p>
        </w:tc>
        <w:tc>
          <w:tcPr>
            <w:tcW w:w="1010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Master Lease Agreement - Dalian High-Tech Park</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10.14</w:t>
            </w:r>
          </w:p>
        </w:tc>
        <w:tc>
          <w:tcPr>
            <w:tcW w:w="10100" w:type="dxa"/>
            <w:vAlign w:val="bottom"/>
            <w:gridSpan w:val="28"/>
          </w:tcPr>
          <w:p>
            <w:pPr>
              <w:spacing w:after="0" w:line="174" w:lineRule="exact"/>
              <w:rPr>
                <w:sz w:val="20"/>
                <w:szCs w:val="20"/>
                <w:color w:val="auto"/>
              </w:rPr>
            </w:pPr>
            <w:r>
              <w:rPr>
                <w:rFonts w:ascii="Arial" w:cs="Arial" w:eastAsia="Arial" w:hAnsi="Arial"/>
                <w:sz w:val="18"/>
                <w:szCs w:val="18"/>
                <w:color w:val="0000EE"/>
              </w:rPr>
              <w:t>Master Lease Agreement -Guangzhou Fengxing Plaza-A20F</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10.15</w:t>
            </w:r>
          </w:p>
        </w:tc>
        <w:tc>
          <w:tcPr>
            <w:tcW w:w="1010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Master Lease Agreement -Guangzhou Fengxing Plaza-A21F</w:t>
            </w:r>
          </w:p>
        </w:tc>
      </w:tr>
      <w:tr>
        <w:trPr>
          <w:trHeight w:val="173"/>
        </w:trPr>
        <w:tc>
          <w:tcPr>
            <w:tcW w:w="1140" w:type="dxa"/>
            <w:vAlign w:val="bottom"/>
            <w:tcBorders>
              <w:top w:val="single" w:sz="8" w:color="CCEEFF"/>
            </w:tcBorders>
          </w:tcPr>
          <w:p>
            <w:pPr>
              <w:spacing w:after="0" w:line="174" w:lineRule="exact"/>
              <w:rPr>
                <w:sz w:val="20"/>
                <w:szCs w:val="20"/>
                <w:color w:val="auto"/>
              </w:rPr>
            </w:pPr>
            <w:r>
              <w:rPr>
                <w:rFonts w:ascii="Arial" w:cs="Arial" w:eastAsia="Arial" w:hAnsi="Arial"/>
                <w:sz w:val="18"/>
                <w:szCs w:val="18"/>
                <w:color w:val="auto"/>
              </w:rPr>
              <w:t>10.16</w:t>
            </w:r>
          </w:p>
        </w:tc>
        <w:tc>
          <w:tcPr>
            <w:tcW w:w="4320" w:type="dxa"/>
            <w:vAlign w:val="bottom"/>
            <w:tcBorders>
              <w:top w:val="single" w:sz="8" w:color="0000EE"/>
            </w:tcBorders>
            <w:gridSpan w:val="18"/>
          </w:tcPr>
          <w:p>
            <w:pPr>
              <w:spacing w:after="0" w:line="174" w:lineRule="exact"/>
              <w:rPr>
                <w:rFonts w:ascii="Arial" w:cs="Arial" w:eastAsia="Arial" w:hAnsi="Arial"/>
                <w:sz w:val="18"/>
                <w:szCs w:val="18"/>
                <w:color w:val="0000EE"/>
              </w:rPr>
            </w:pPr>
            <w:hyperlink r:id="rId333">
              <w:r>
                <w:rPr>
                  <w:rFonts w:ascii="Arial" w:cs="Arial" w:eastAsia="Arial" w:hAnsi="Arial"/>
                  <w:sz w:val="18"/>
                  <w:szCs w:val="18"/>
                  <w:color w:val="0000EE"/>
                </w:rPr>
                <w:t>Form of Framework Contract for Subcontracting (1).</w:t>
              </w:r>
            </w:hyperlink>
          </w:p>
        </w:tc>
        <w:tc>
          <w:tcPr>
            <w:tcW w:w="5780" w:type="dxa"/>
            <w:vAlign w:val="bottom"/>
            <w:tcBorders>
              <w:top w:val="single" w:sz="8" w:color="CCEEFF"/>
            </w:tcBorders>
            <w:gridSpan w:val="1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10.17</w:t>
            </w:r>
          </w:p>
        </w:tc>
        <w:tc>
          <w:tcPr>
            <w:tcW w:w="10100" w:type="dxa"/>
            <w:vAlign w:val="bottom"/>
            <w:gridSpan w:val="28"/>
            <w:shd w:val="clear" w:color="auto" w:fill="CCEEFF"/>
          </w:tcPr>
          <w:p>
            <w:pPr>
              <w:spacing w:after="0" w:line="174" w:lineRule="exact"/>
              <w:rPr>
                <w:rFonts w:ascii="Arial" w:cs="Arial" w:eastAsia="Arial" w:hAnsi="Arial"/>
                <w:sz w:val="18"/>
                <w:szCs w:val="18"/>
                <w:color w:val="0000EE"/>
              </w:rPr>
            </w:pPr>
            <w:hyperlink r:id="rId334">
              <w:r>
                <w:rPr>
                  <w:rFonts w:ascii="Arial" w:cs="Arial" w:eastAsia="Arial" w:hAnsi="Arial"/>
                  <w:sz w:val="18"/>
                  <w:szCs w:val="18"/>
                  <w:color w:val="0000EE"/>
                </w:rPr>
                <w:t>Form Warrant Agreement (2).</w:t>
              </w:r>
            </w:hyperlink>
          </w:p>
        </w:tc>
      </w:tr>
      <w:tr>
        <w:trPr>
          <w:trHeight w:val="173"/>
        </w:trPr>
        <w:tc>
          <w:tcPr>
            <w:tcW w:w="1140" w:type="dxa"/>
            <w:vAlign w:val="bottom"/>
            <w:tcBorders>
              <w:top w:val="single" w:sz="8" w:color="CCEEFF"/>
            </w:tcBorders>
          </w:tcPr>
          <w:p>
            <w:pPr>
              <w:spacing w:after="0" w:line="174" w:lineRule="exact"/>
              <w:rPr>
                <w:sz w:val="20"/>
                <w:szCs w:val="20"/>
                <w:color w:val="auto"/>
              </w:rPr>
            </w:pPr>
            <w:r>
              <w:rPr>
                <w:rFonts w:ascii="Arial" w:cs="Arial" w:eastAsia="Arial" w:hAnsi="Arial"/>
                <w:sz w:val="18"/>
                <w:szCs w:val="18"/>
                <w:color w:val="auto"/>
              </w:rPr>
              <w:t>10.18</w:t>
            </w:r>
          </w:p>
        </w:tc>
        <w:tc>
          <w:tcPr>
            <w:tcW w:w="2120" w:type="dxa"/>
            <w:vAlign w:val="bottom"/>
            <w:tcBorders>
              <w:top w:val="single" w:sz="8" w:color="0000EE"/>
            </w:tcBorders>
            <w:gridSpan w:val="3"/>
          </w:tcPr>
          <w:p>
            <w:pPr>
              <w:spacing w:after="0" w:line="174" w:lineRule="exact"/>
              <w:rPr>
                <w:rFonts w:ascii="Arial" w:cs="Arial" w:eastAsia="Arial" w:hAnsi="Arial"/>
                <w:sz w:val="18"/>
                <w:szCs w:val="18"/>
                <w:color w:val="0000EE"/>
                <w:w w:val="91"/>
              </w:rPr>
            </w:pPr>
            <w:hyperlink r:id="rId335">
              <w:r>
                <w:rPr>
                  <w:rFonts w:ascii="Arial" w:cs="Arial" w:eastAsia="Arial" w:hAnsi="Arial"/>
                  <w:sz w:val="18"/>
                  <w:szCs w:val="18"/>
                  <w:color w:val="0000EE"/>
                  <w:w w:val="91"/>
                </w:rPr>
                <w:t>Form Lockup Agreement (2).</w:t>
              </w:r>
            </w:hyperlink>
          </w:p>
        </w:tc>
        <w:tc>
          <w:tcPr>
            <w:tcW w:w="7980" w:type="dxa"/>
            <w:vAlign w:val="bottom"/>
            <w:tcBorders>
              <w:top w:val="single" w:sz="8" w:color="CCEEFF"/>
            </w:tcBorders>
            <w:gridSpan w:val="25"/>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7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10.19</w:t>
            </w:r>
          </w:p>
        </w:tc>
        <w:tc>
          <w:tcPr>
            <w:tcW w:w="10100" w:type="dxa"/>
            <w:vAlign w:val="bottom"/>
            <w:gridSpan w:val="28"/>
            <w:shd w:val="clear" w:color="auto" w:fill="CCEEFF"/>
          </w:tcPr>
          <w:p>
            <w:pPr>
              <w:spacing w:after="0" w:line="174" w:lineRule="exact"/>
              <w:rPr>
                <w:rFonts w:ascii="Arial" w:cs="Arial" w:eastAsia="Arial" w:hAnsi="Arial"/>
                <w:sz w:val="18"/>
                <w:szCs w:val="18"/>
                <w:color w:val="0000EE"/>
              </w:rPr>
            </w:pPr>
            <w:hyperlink r:id="rId336">
              <w:r>
                <w:rPr>
                  <w:rFonts w:ascii="Arial" w:cs="Arial" w:eastAsia="Arial" w:hAnsi="Arial"/>
                  <w:sz w:val="18"/>
                  <w:szCs w:val="18"/>
                  <w:color w:val="0000EE"/>
                </w:rPr>
                <w:t>Escrow Indemnification Agreement (2).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10.20</w:t>
            </w:r>
          </w:p>
        </w:tc>
        <w:tc>
          <w:tcPr>
            <w:tcW w:w="10100" w:type="dxa"/>
            <w:vAlign w:val="bottom"/>
            <w:gridSpan w:val="28"/>
          </w:tcPr>
          <w:p>
            <w:pPr>
              <w:spacing w:after="0" w:line="174" w:lineRule="exact"/>
              <w:rPr>
                <w:sz w:val="20"/>
                <w:szCs w:val="20"/>
                <w:color w:val="auto"/>
              </w:rPr>
            </w:pPr>
            <w:r>
              <w:rPr>
                <w:rFonts w:ascii="Arial" w:cs="Arial" w:eastAsia="Arial" w:hAnsi="Arial"/>
                <w:sz w:val="18"/>
                <w:szCs w:val="18"/>
                <w:color w:val="0000EE"/>
              </w:rPr>
              <w:t>Credit Agreement with Bank of Shanghai Pudong Development Bank Co. Ltd-22 million</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10.21</w:t>
            </w:r>
          </w:p>
        </w:tc>
        <w:tc>
          <w:tcPr>
            <w:tcW w:w="6360" w:type="dxa"/>
            <w:vAlign w:val="bottom"/>
            <w:tcBorders>
              <w:bottom w:val="single" w:sz="8" w:color="0000EE"/>
            </w:tcBorders>
            <w:gridSpan w:val="27"/>
            <w:shd w:val="clear" w:color="auto" w:fill="CCEEFF"/>
          </w:tcPr>
          <w:p>
            <w:pPr>
              <w:spacing w:after="0" w:line="174" w:lineRule="exact"/>
              <w:rPr>
                <w:sz w:val="20"/>
                <w:szCs w:val="20"/>
                <w:color w:val="auto"/>
              </w:rPr>
            </w:pPr>
            <w:r>
              <w:rPr>
                <w:rFonts w:ascii="Arial" w:cs="Arial" w:eastAsia="Arial" w:hAnsi="Arial"/>
                <w:sz w:val="18"/>
                <w:szCs w:val="18"/>
                <w:color w:val="0000EE"/>
                <w:w w:val="91"/>
              </w:rPr>
              <w:t>Credit Agreement with Bank of Shanghai Pudong Development Bank Co. Ltd-18 million</w:t>
            </w:r>
          </w:p>
        </w:tc>
        <w:tc>
          <w:tcPr>
            <w:tcW w:w="3740" w:type="dxa"/>
            <w:vAlign w:val="bottom"/>
            <w:tcBorders>
              <w:bottom w:val="single" w:sz="8" w:color="CCEEFF"/>
            </w:tcBorders>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10.22</w:t>
            </w:r>
          </w:p>
        </w:tc>
        <w:tc>
          <w:tcPr>
            <w:tcW w:w="10100" w:type="dxa"/>
            <w:vAlign w:val="bottom"/>
            <w:gridSpan w:val="28"/>
          </w:tcPr>
          <w:p>
            <w:pPr>
              <w:spacing w:after="0" w:line="174" w:lineRule="exact"/>
              <w:rPr>
                <w:sz w:val="20"/>
                <w:szCs w:val="20"/>
                <w:color w:val="auto"/>
              </w:rPr>
            </w:pPr>
            <w:r>
              <w:rPr>
                <w:rFonts w:ascii="Arial" w:cs="Arial" w:eastAsia="Arial" w:hAnsi="Arial"/>
                <w:sz w:val="18"/>
                <w:szCs w:val="18"/>
                <w:color w:val="0000EE"/>
              </w:rPr>
              <w:t>Credit Agreement with Bank of Communications Bank Co., Ltd.-10 million.</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10.23</w:t>
            </w:r>
          </w:p>
        </w:tc>
        <w:tc>
          <w:tcPr>
            <w:tcW w:w="4800" w:type="dxa"/>
            <w:vAlign w:val="bottom"/>
            <w:tcBorders>
              <w:bottom w:val="single" w:sz="8" w:color="0000EE"/>
            </w:tcBorders>
            <w:gridSpan w:val="21"/>
            <w:shd w:val="clear" w:color="auto" w:fill="CCEEFF"/>
          </w:tcPr>
          <w:p>
            <w:pPr>
              <w:spacing w:after="0" w:line="174" w:lineRule="exact"/>
              <w:rPr>
                <w:sz w:val="20"/>
                <w:szCs w:val="20"/>
                <w:color w:val="auto"/>
              </w:rPr>
            </w:pPr>
            <w:r>
              <w:rPr>
                <w:rFonts w:ascii="Arial" w:cs="Arial" w:eastAsia="Arial" w:hAnsi="Arial"/>
                <w:sz w:val="18"/>
                <w:szCs w:val="18"/>
                <w:color w:val="0000EE"/>
                <w:w w:val="91"/>
              </w:rPr>
              <w:t>Credit Agreement with China Merchants Bank Co., Ltd.-10 million</w:t>
            </w:r>
          </w:p>
        </w:tc>
        <w:tc>
          <w:tcPr>
            <w:tcW w:w="5300" w:type="dxa"/>
            <w:vAlign w:val="bottom"/>
            <w:tcBorders>
              <w:bottom w:val="single" w:sz="8" w:color="CCEEFF"/>
            </w:tcBorders>
            <w:gridSpan w:val="7"/>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12.1</w:t>
            </w:r>
          </w:p>
        </w:tc>
        <w:tc>
          <w:tcPr>
            <w:tcW w:w="10100" w:type="dxa"/>
            <w:vAlign w:val="bottom"/>
            <w:tcBorders>
              <w:bottom w:val="single" w:sz="8" w:color="0000EE"/>
            </w:tcBorders>
            <w:gridSpan w:val="28"/>
          </w:tcPr>
          <w:p>
            <w:pPr>
              <w:spacing w:after="0" w:line="174" w:lineRule="exact"/>
              <w:rPr>
                <w:sz w:val="20"/>
                <w:szCs w:val="20"/>
                <w:color w:val="auto"/>
              </w:rPr>
            </w:pPr>
            <w:r>
              <w:rPr>
                <w:rFonts w:ascii="Arial" w:cs="Arial" w:eastAsia="Arial" w:hAnsi="Arial"/>
                <w:sz w:val="18"/>
                <w:szCs w:val="18"/>
                <w:color w:val="0000EE"/>
                <w:w w:val="95"/>
              </w:rPr>
              <w:t>Certification of the Chief Executive Officer (Principal Executive Officer) pursuant to Rule 13a-14(a) of the Securities Exchange Act, as</w:t>
            </w:r>
          </w:p>
        </w:tc>
      </w:tr>
      <w:tr>
        <w:trPr>
          <w:trHeight w:val="193"/>
        </w:trPr>
        <w:tc>
          <w:tcPr>
            <w:tcW w:w="1140" w:type="dxa"/>
            <w:vAlign w:val="bottom"/>
          </w:tcPr>
          <w:p>
            <w:pPr>
              <w:spacing w:after="0"/>
              <w:rPr>
                <w:sz w:val="16"/>
                <w:szCs w:val="16"/>
                <w:color w:val="auto"/>
              </w:rPr>
            </w:pPr>
          </w:p>
        </w:tc>
        <w:tc>
          <w:tcPr>
            <w:tcW w:w="10100" w:type="dxa"/>
            <w:vAlign w:val="bottom"/>
            <w:gridSpan w:val="28"/>
          </w:tcPr>
          <w:p>
            <w:pPr>
              <w:spacing w:after="0" w:line="194" w:lineRule="exact"/>
              <w:rPr>
                <w:sz w:val="20"/>
                <w:szCs w:val="20"/>
                <w:color w:val="auto"/>
              </w:rPr>
            </w:pPr>
            <w:r>
              <w:rPr>
                <w:rFonts w:ascii="Arial" w:cs="Arial" w:eastAsia="Arial" w:hAnsi="Arial"/>
                <w:sz w:val="18"/>
                <w:szCs w:val="18"/>
                <w:color w:val="0000EE"/>
              </w:rPr>
              <w:t>amended.</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12.2</w:t>
            </w:r>
          </w:p>
        </w:tc>
        <w:tc>
          <w:tcPr>
            <w:tcW w:w="10100" w:type="dxa"/>
            <w:vAlign w:val="bottom"/>
            <w:tcBorders>
              <w:bottom w:val="single" w:sz="8" w:color="0000EE"/>
            </w:tcBorders>
            <w:gridSpan w:val="28"/>
            <w:shd w:val="clear" w:color="auto" w:fill="CCEEFF"/>
          </w:tcPr>
          <w:p>
            <w:pPr>
              <w:spacing w:after="0" w:line="174" w:lineRule="exact"/>
              <w:rPr>
                <w:sz w:val="20"/>
                <w:szCs w:val="20"/>
                <w:color w:val="auto"/>
              </w:rPr>
            </w:pPr>
            <w:r>
              <w:rPr>
                <w:rFonts w:ascii="Arial" w:cs="Arial" w:eastAsia="Arial" w:hAnsi="Arial"/>
                <w:sz w:val="18"/>
                <w:szCs w:val="18"/>
                <w:color w:val="0000EE"/>
                <w:w w:val="96"/>
              </w:rPr>
              <w:t>Certification of the Chief Financial Officer (Principal Financial Officer) pursuant to Rule 13a-14(a) of the Securities Exchange Act, as</w:t>
            </w:r>
          </w:p>
        </w:tc>
      </w:tr>
      <w:tr>
        <w:trPr>
          <w:trHeight w:val="193"/>
        </w:trPr>
        <w:tc>
          <w:tcPr>
            <w:tcW w:w="1140" w:type="dxa"/>
            <w:vAlign w:val="bottom"/>
            <w:shd w:val="clear" w:color="auto" w:fill="CCEEFF"/>
          </w:tcPr>
          <w:p>
            <w:pPr>
              <w:spacing w:after="0"/>
              <w:rPr>
                <w:sz w:val="16"/>
                <w:szCs w:val="16"/>
                <w:color w:val="auto"/>
              </w:rPr>
            </w:pPr>
          </w:p>
        </w:tc>
        <w:tc>
          <w:tcPr>
            <w:tcW w:w="10100" w:type="dxa"/>
            <w:vAlign w:val="bottom"/>
            <w:gridSpan w:val="28"/>
            <w:shd w:val="clear" w:color="auto" w:fill="CCEEFF"/>
          </w:tcPr>
          <w:p>
            <w:pPr>
              <w:spacing w:after="0" w:line="194" w:lineRule="exact"/>
              <w:rPr>
                <w:sz w:val="20"/>
                <w:szCs w:val="20"/>
                <w:color w:val="auto"/>
              </w:rPr>
            </w:pPr>
            <w:r>
              <w:rPr>
                <w:rFonts w:ascii="Arial" w:cs="Arial" w:eastAsia="Arial" w:hAnsi="Arial"/>
                <w:sz w:val="18"/>
                <w:szCs w:val="18"/>
                <w:color w:val="0000EE"/>
              </w:rPr>
              <w:t>amended.</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13.1</w:t>
            </w:r>
          </w:p>
        </w:tc>
        <w:tc>
          <w:tcPr>
            <w:tcW w:w="10100" w:type="dxa"/>
            <w:vAlign w:val="bottom"/>
            <w:tcBorders>
              <w:bottom w:val="single" w:sz="8" w:color="0000EE"/>
            </w:tcBorders>
            <w:gridSpan w:val="28"/>
          </w:tcPr>
          <w:p>
            <w:pPr>
              <w:spacing w:after="0" w:line="174" w:lineRule="exact"/>
              <w:rPr>
                <w:sz w:val="20"/>
                <w:szCs w:val="20"/>
                <w:color w:val="auto"/>
              </w:rPr>
            </w:pPr>
            <w:r>
              <w:rPr>
                <w:rFonts w:ascii="Arial" w:cs="Arial" w:eastAsia="Arial" w:hAnsi="Arial"/>
                <w:sz w:val="18"/>
                <w:szCs w:val="18"/>
                <w:color w:val="0000EE"/>
                <w:w w:val="92"/>
              </w:rPr>
              <w:t>Certification of the Chief Executive Officer and Chief Financial Officer pursuant to 18 U.S.C. 1350, as adopted pursuant to Section 906 of</w:t>
            </w:r>
          </w:p>
        </w:tc>
      </w:tr>
      <w:tr>
        <w:trPr>
          <w:trHeight w:val="193"/>
        </w:trPr>
        <w:tc>
          <w:tcPr>
            <w:tcW w:w="1140" w:type="dxa"/>
            <w:vAlign w:val="bottom"/>
          </w:tcPr>
          <w:p>
            <w:pPr>
              <w:spacing w:after="0"/>
              <w:rPr>
                <w:sz w:val="16"/>
                <w:szCs w:val="16"/>
                <w:color w:val="auto"/>
              </w:rPr>
            </w:pPr>
          </w:p>
        </w:tc>
        <w:tc>
          <w:tcPr>
            <w:tcW w:w="10100" w:type="dxa"/>
            <w:vAlign w:val="bottom"/>
            <w:gridSpan w:val="28"/>
          </w:tcPr>
          <w:p>
            <w:pPr>
              <w:spacing w:after="0" w:line="194" w:lineRule="exact"/>
              <w:rPr>
                <w:sz w:val="20"/>
                <w:szCs w:val="20"/>
                <w:color w:val="auto"/>
              </w:rPr>
            </w:pPr>
            <w:r>
              <w:rPr>
                <w:rFonts w:ascii="Arial" w:cs="Arial" w:eastAsia="Arial" w:hAnsi="Arial"/>
                <w:sz w:val="18"/>
                <w:szCs w:val="18"/>
                <w:color w:val="0000EE"/>
              </w:rPr>
              <w:t>the Sarbanes-Oxley Act of 2002.</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7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14.1</w:t>
            </w:r>
          </w:p>
        </w:tc>
        <w:tc>
          <w:tcPr>
            <w:tcW w:w="10100" w:type="dxa"/>
            <w:vAlign w:val="bottom"/>
            <w:gridSpan w:val="28"/>
            <w:shd w:val="clear" w:color="auto" w:fill="CCEEFF"/>
          </w:tcPr>
          <w:p>
            <w:pPr>
              <w:spacing w:after="0" w:line="174" w:lineRule="exact"/>
              <w:rPr>
                <w:rFonts w:ascii="Arial" w:cs="Arial" w:eastAsia="Arial" w:hAnsi="Arial"/>
                <w:sz w:val="18"/>
                <w:szCs w:val="18"/>
                <w:color w:val="0000EE"/>
              </w:rPr>
            </w:pPr>
            <w:hyperlink r:id="rId337">
              <w:r>
                <w:rPr>
                  <w:rFonts w:ascii="Arial" w:cs="Arial" w:eastAsia="Arial" w:hAnsi="Arial"/>
                  <w:sz w:val="18"/>
                  <w:szCs w:val="18"/>
                  <w:color w:val="0000EE"/>
                </w:rPr>
                <w:t>Code of Conduct and Ethics (1).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21.1</w:t>
            </w:r>
          </w:p>
        </w:tc>
        <w:tc>
          <w:tcPr>
            <w:tcW w:w="10100" w:type="dxa"/>
            <w:vAlign w:val="bottom"/>
            <w:gridSpan w:val="28"/>
          </w:tcPr>
          <w:p>
            <w:pPr>
              <w:spacing w:after="0" w:line="174" w:lineRule="exact"/>
              <w:rPr>
                <w:sz w:val="20"/>
                <w:szCs w:val="20"/>
                <w:color w:val="auto"/>
              </w:rPr>
            </w:pPr>
            <w:r>
              <w:rPr>
                <w:rFonts w:ascii="Arial" w:cs="Arial" w:eastAsia="Arial" w:hAnsi="Arial"/>
                <w:sz w:val="18"/>
                <w:szCs w:val="18"/>
                <w:color w:val="0000EE"/>
              </w:rPr>
              <w:t>List of Subsidiaries of the Registrant.</w:t>
            </w: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23.1</w:t>
            </w:r>
          </w:p>
        </w:tc>
        <w:tc>
          <w:tcPr>
            <w:tcW w:w="10100" w:type="dxa"/>
            <w:vAlign w:val="bottom"/>
            <w:gridSpan w:val="28"/>
            <w:shd w:val="clear" w:color="auto" w:fill="CCEEFF"/>
          </w:tcPr>
          <w:p>
            <w:pPr>
              <w:spacing w:after="0" w:line="174" w:lineRule="exact"/>
              <w:rPr>
                <w:sz w:val="20"/>
                <w:szCs w:val="20"/>
                <w:color w:val="auto"/>
              </w:rPr>
            </w:pPr>
            <w:r>
              <w:rPr>
                <w:rFonts w:ascii="Arial" w:cs="Arial" w:eastAsia="Arial" w:hAnsi="Arial"/>
                <w:sz w:val="18"/>
                <w:szCs w:val="18"/>
                <w:color w:val="0000EE"/>
              </w:rPr>
              <w:t>Consent of Ernst &amp; Young Hua Ming LLP.</w:t>
            </w:r>
          </w:p>
        </w:tc>
      </w:tr>
      <w:tr>
        <w:trPr>
          <w:trHeight w:val="173"/>
        </w:trPr>
        <w:tc>
          <w:tcPr>
            <w:tcW w:w="1140" w:type="dxa"/>
            <w:vAlign w:val="bottom"/>
            <w:tcBorders>
              <w:top w:val="single" w:sz="8" w:color="CCEEFF"/>
            </w:tcBorders>
          </w:tcPr>
          <w:p>
            <w:pPr>
              <w:spacing w:after="0" w:line="174" w:lineRule="exact"/>
              <w:rPr>
                <w:sz w:val="20"/>
                <w:szCs w:val="20"/>
                <w:color w:val="auto"/>
              </w:rPr>
            </w:pPr>
            <w:r>
              <w:rPr>
                <w:rFonts w:ascii="Arial" w:cs="Arial" w:eastAsia="Arial" w:hAnsi="Arial"/>
                <w:sz w:val="18"/>
                <w:szCs w:val="18"/>
                <w:color w:val="auto"/>
              </w:rPr>
              <w:t>99.1</w:t>
            </w:r>
          </w:p>
        </w:tc>
        <w:tc>
          <w:tcPr>
            <w:tcW w:w="3040" w:type="dxa"/>
            <w:vAlign w:val="bottom"/>
            <w:tcBorders>
              <w:top w:val="single" w:sz="8" w:color="0000EE"/>
            </w:tcBorders>
            <w:gridSpan w:val="12"/>
          </w:tcPr>
          <w:p>
            <w:pPr>
              <w:spacing w:after="0" w:line="174" w:lineRule="exact"/>
              <w:rPr>
                <w:rFonts w:ascii="Arial" w:cs="Arial" w:eastAsia="Arial" w:hAnsi="Arial"/>
                <w:sz w:val="18"/>
                <w:szCs w:val="18"/>
                <w:color w:val="0000EE"/>
              </w:rPr>
            </w:pPr>
            <w:hyperlink r:id="rId338">
              <w:r>
                <w:rPr>
                  <w:rFonts w:ascii="Arial" w:cs="Arial" w:eastAsia="Arial" w:hAnsi="Arial"/>
                  <w:sz w:val="18"/>
                  <w:szCs w:val="18"/>
                  <w:color w:val="0000EE"/>
                </w:rPr>
                <w:t>Charter of the Audit Committee (1).</w:t>
              </w:r>
            </w:hyperlink>
          </w:p>
        </w:tc>
        <w:tc>
          <w:tcPr>
            <w:tcW w:w="7060" w:type="dxa"/>
            <w:vAlign w:val="bottom"/>
            <w:tcBorders>
              <w:top w:val="single" w:sz="8" w:color="CCEEFF"/>
            </w:tcBorders>
            <w:gridSpan w:val="1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8"/>
                <w:szCs w:val="18"/>
                <w:color w:val="auto"/>
              </w:rPr>
              <w:t>99.2</w:t>
            </w:r>
          </w:p>
        </w:tc>
        <w:tc>
          <w:tcPr>
            <w:tcW w:w="3200" w:type="dxa"/>
            <w:vAlign w:val="bottom"/>
            <w:tcBorders>
              <w:bottom w:val="single" w:sz="8" w:color="0000EE"/>
            </w:tcBorders>
            <w:gridSpan w:val="14"/>
            <w:shd w:val="clear" w:color="auto" w:fill="CCEEFF"/>
          </w:tcPr>
          <w:p>
            <w:pPr>
              <w:spacing w:after="0" w:line="174" w:lineRule="exact"/>
              <w:rPr>
                <w:rFonts w:ascii="Arial" w:cs="Arial" w:eastAsia="Arial" w:hAnsi="Arial"/>
                <w:sz w:val="18"/>
                <w:szCs w:val="18"/>
                <w:color w:val="0000EE"/>
                <w:w w:val="89"/>
              </w:rPr>
            </w:pPr>
            <w:hyperlink r:id="rId339">
              <w:r>
                <w:rPr>
                  <w:rFonts w:ascii="Arial" w:cs="Arial" w:eastAsia="Arial" w:hAnsi="Arial"/>
                  <w:sz w:val="18"/>
                  <w:szCs w:val="18"/>
                  <w:color w:val="0000EE"/>
                  <w:w w:val="89"/>
                </w:rPr>
                <w:t>Charter of the Compensation Committee (1).</w:t>
              </w:r>
            </w:hyperlink>
          </w:p>
        </w:tc>
        <w:tc>
          <w:tcPr>
            <w:tcW w:w="6900" w:type="dxa"/>
            <w:vAlign w:val="bottom"/>
            <w:tcBorders>
              <w:bottom w:val="single" w:sz="8" w:color="CCEEFF"/>
            </w:tcBorders>
            <w:gridSpan w:val="14"/>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Arial" w:cs="Arial" w:eastAsia="Arial" w:hAnsi="Arial"/>
                <w:sz w:val="18"/>
                <w:szCs w:val="18"/>
                <w:color w:val="auto"/>
              </w:rPr>
              <w:t>99.3</w:t>
            </w:r>
          </w:p>
        </w:tc>
        <w:tc>
          <w:tcPr>
            <w:tcW w:w="10100" w:type="dxa"/>
            <w:vAlign w:val="bottom"/>
            <w:gridSpan w:val="28"/>
          </w:tcPr>
          <w:p>
            <w:pPr>
              <w:spacing w:after="0" w:line="174" w:lineRule="exact"/>
              <w:rPr>
                <w:rFonts w:ascii="Arial" w:cs="Arial" w:eastAsia="Arial" w:hAnsi="Arial"/>
                <w:sz w:val="18"/>
                <w:szCs w:val="18"/>
                <w:color w:val="0000EE"/>
              </w:rPr>
            </w:pPr>
            <w:hyperlink r:id="rId340">
              <w:r>
                <w:rPr>
                  <w:rFonts w:ascii="Arial" w:cs="Arial" w:eastAsia="Arial" w:hAnsi="Arial"/>
                  <w:sz w:val="18"/>
                  <w:szCs w:val="18"/>
                  <w:color w:val="0000EE"/>
                </w:rPr>
                <w:t>Charter of the Nominating Committee (1).</w:t>
              </w:r>
            </w:hyperlink>
          </w:p>
        </w:tc>
      </w:tr>
      <w:tr>
        <w:trPr>
          <w:trHeight w:val="20"/>
        </w:trPr>
        <w:tc>
          <w:tcPr>
            <w:tcW w:w="1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1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99" w:lineRule="exact"/>
        <w:rPr>
          <w:sz w:val="20"/>
          <w:szCs w:val="20"/>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27, 2018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with the SEC as exhibit to Form F-1/A filed on May 18, 2018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29, 2019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an exhibit to the registration statement filed with the SEC on April 27, 2020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an exhibit to Form 6-K filed with the SEC on November 4, 2019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with the SEC on Form 8-A 12B on May 22, 2018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with the SEC as an exhibit to Form 20-F on October 22, 2020 and incorporated by reference herein.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May 12, 2023 and incorporated by reference herein.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224"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4"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Rui Yang</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Financial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No: ZL (N) 20230061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Party B (Lessee):Shanghai Chenqin Information Technology Services Co., Ltd.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house which is rented to Party B by Party A is located in Room 18101/18102/18103/18104, Building 17,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p>
      <w:pPr>
        <w:spacing w:after="0" w:line="188"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75" w:lineRule="exact"/>
        <w:rPr>
          <w:sz w:val="20"/>
          <w:szCs w:val="20"/>
          <w:color w:val="auto"/>
        </w:rPr>
      </w:pPr>
    </w:p>
    <w:p>
      <w:pPr>
        <w:jc w:val="both"/>
        <w:ind w:left="640" w:hanging="639"/>
        <w:spacing w:after="0" w:line="296"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6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 Rental Purposes</w:t>
      </w:r>
    </w:p>
    <w:p>
      <w:pPr>
        <w:spacing w:after="0" w:line="220" w:lineRule="exact"/>
        <w:rPr>
          <w:sz w:val="20"/>
          <w:szCs w:val="20"/>
          <w:color w:val="auto"/>
        </w:rPr>
      </w:pPr>
    </w:p>
    <w:p>
      <w:pPr>
        <w:jc w:val="both"/>
        <w:ind w:left="640" w:right="20" w:hanging="639"/>
        <w:spacing w:after="0" w:line="300"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52"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13422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3. Lease Term</w:t>
      </w:r>
    </w:p>
    <w:p>
      <w:pPr>
        <w:spacing w:after="0" w:line="220"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lease term of the house starts from September 16, 2023 (hereinafter referred to as the lease commencement date) to September 15, 2026 (hereinafter referred to as the lease expiration date).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4"/>
          <w:szCs w:val="14"/>
          <w:color w:val="auto"/>
        </w:rPr>
        <w:t>The delivery date of the house is September 16, 2023.</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Party A shall notify Party B of the acceptance and handover of the house at least one day in advance and no later than the delivery date. Party B shall send a representative to jointly accept the house with Party A and / or the property management company entrusted by Party A at the time notified by Party A.After the acceptance, Party B shall sign the written House acceptance handover certificate to show that Party A has delivered the house to Party B.</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If both parties check that the house and its ancillary facilities do not meet the delivery standards agreed in this contract, Party A shall correct them within 3 days or within a reasonable period agreed by both parties to meet the delivery standards, and notify Party B and Party A to jointly accept the house again.After the re acceptance, Party B shall sign the written House acceptance handover letter to show that Party A has delivered the house to Party B.</w:t>
      </w:r>
    </w:p>
    <w:p>
      <w:pPr>
        <w:spacing w:after="0" w:line="188"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If Party A fails to deliver the house to Party B as of the lease commencement date of Article 31, Party A shall extend the lease commencement date of Party B, and the new lease commencement date shall be calculated from the actual delivery date.From the lease date of Article 3.1, if the delivery of the house is delayed for more than 10 working days due to Party A, Party A shall pay Party B 10% of the daily rent of the house as liquidated damages for each delayed delivery day from the first working day after the lease date of Article 3.1, and postpone Party B&amp;apos;s lease date. The new lease date shall be calculated from the actual delivery date.If the starting date of rent is postponed according to this paragraph, the starting date of rent shall be postponed accordingly.If the aforesaid breach of contract by Party A lasts for more than 30 days, Party B has the right to terminate this contract.</w:t>
      </w:r>
    </w:p>
    <w:p>
      <w:pPr>
        <w:spacing w:after="0" w:line="193"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B shall handle the relevant handover procedures of the leased house no later than the delivery date. Party B&amp;apos;s delay in handling the handover procedures will not affect the rent payable by Party B from the date of rent payment and other expenses borne by Party B.If the relevant handover procedures are not completed within 30 days after the delivery date agreed in the contract due to Party B, Party A has the right to terminate the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A and Party B agree that the rental unit price of the house is calculated according to the construction area per square meter per day, and Party A will issue a valid invoice after receiving Party B’s monthly rent. Within the lease term agreed in this Contract,Since October 16, 2023 Until the rent deadline it’s the rental period.</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the lease term in this contract,Rent-free period from September 16, 2023 to October 15,2023</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the lease term in this contract,Rent-free period from September 16, 2024 to October 15,2024</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the lease term in this contract,Rent-free period from September 16, 2025 to October 15,2025</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October 16</w:t>
      </w:r>
      <w:r>
        <w:rPr>
          <w:rFonts w:ascii="Arial" w:cs="Arial" w:eastAsia="Arial" w:hAnsi="Arial"/>
          <w:sz w:val="29"/>
          <w:szCs w:val="29"/>
          <w:color w:val="auto"/>
          <w:vertAlign w:val="superscript"/>
        </w:rPr>
        <w:t>st</w:t>
      </w:r>
      <w:r>
        <w:rPr>
          <w:rFonts w:ascii="Arial" w:cs="Arial" w:eastAsia="Arial" w:hAnsi="Arial"/>
          <w:sz w:val="18"/>
          <w:szCs w:val="18"/>
          <w:color w:val="auto"/>
        </w:rPr>
        <w:t>,2023 to December 15</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,2024, the unit rental price is RMB 4.08 yuan</w:t>
      </w:r>
    </w:p>
    <w:p>
      <w:pPr>
        <w:ind w:left="640"/>
        <w:spacing w:after="0" w:line="182" w:lineRule="auto"/>
        <w:rPr>
          <w:sz w:val="20"/>
          <w:szCs w:val="20"/>
          <w:color w:val="auto"/>
        </w:rPr>
      </w:pPr>
      <w:r>
        <w:rPr>
          <w:rFonts w:ascii="Arial" w:cs="Arial" w:eastAsia="Arial" w:hAnsi="Arial"/>
          <w:sz w:val="18"/>
          <w:szCs w:val="18"/>
          <w:color w:val="auto"/>
        </w:rPr>
        <w:t>From October 16</w:t>
      </w:r>
      <w:r>
        <w:rPr>
          <w:rFonts w:ascii="Arial" w:cs="Arial" w:eastAsia="Arial" w:hAnsi="Arial"/>
          <w:sz w:val="29"/>
          <w:szCs w:val="29"/>
          <w:color w:val="auto"/>
          <w:vertAlign w:val="superscript"/>
        </w:rPr>
        <w:t>st</w:t>
      </w:r>
      <w:r>
        <w:rPr>
          <w:rFonts w:ascii="Arial" w:cs="Arial" w:eastAsia="Arial" w:hAnsi="Arial"/>
          <w:sz w:val="18"/>
          <w:szCs w:val="18"/>
          <w:color w:val="auto"/>
        </w:rPr>
        <w:t>,2024 to December 15</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,2025, the unit rental price is RMB 4.16 yuan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October 16</w:t>
      </w:r>
      <w:r>
        <w:rPr>
          <w:rFonts w:ascii="Arial" w:cs="Arial" w:eastAsia="Arial" w:hAnsi="Arial"/>
          <w:sz w:val="29"/>
          <w:szCs w:val="29"/>
          <w:color w:val="auto"/>
          <w:vertAlign w:val="superscript"/>
        </w:rPr>
        <w:t>st</w:t>
      </w:r>
      <w:r>
        <w:rPr>
          <w:rFonts w:ascii="Arial" w:cs="Arial" w:eastAsia="Arial" w:hAnsi="Arial"/>
          <w:sz w:val="18"/>
          <w:szCs w:val="18"/>
          <w:color w:val="auto"/>
        </w:rPr>
        <w:t>,2025 to December 15</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,2026, the unit rental price is RMB 4.24 yuan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above unit rental prices are tax-inclusive prices)</w:t>
      </w:r>
    </w:p>
    <w:p>
      <w:pPr>
        <w:spacing w:after="0" w:line="220" w:lineRule="exact"/>
        <w:rPr>
          <w:sz w:val="20"/>
          <w:szCs w:val="20"/>
          <w:color w:val="auto"/>
        </w:rPr>
      </w:pPr>
    </w:p>
    <w:p>
      <w:pPr>
        <w:jc w:val="both"/>
        <w:ind w:left="640" w:hanging="639"/>
        <w:spacing w:after="0" w:line="219" w:lineRule="exact"/>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 one</w:t>
      </w:r>
    </w:p>
    <w:p>
      <w:pPr>
        <w:spacing w:after="0" w:line="1" w:lineRule="exact"/>
        <w:rPr>
          <w:sz w:val="20"/>
          <w:szCs w:val="20"/>
          <w:color w:val="auto"/>
        </w:rPr>
      </w:pPr>
    </w:p>
    <w:p>
      <w:pPr>
        <w:jc w:val="both"/>
        <w:ind w:left="640"/>
        <w:spacing w:after="0" w:line="243" w:lineRule="auto"/>
        <w:rPr>
          <w:sz w:val="20"/>
          <w:szCs w:val="20"/>
          <w:color w:val="auto"/>
        </w:rPr>
      </w:pPr>
      <w:r>
        <w:rPr>
          <w:rFonts w:ascii="Arial" w:cs="Arial" w:eastAsia="Arial" w:hAnsi="Arial"/>
          <w:sz w:val="16"/>
          <w:szCs w:val="16"/>
          <w:color w:val="auto"/>
        </w:rPr>
        <w:t>decimal place). 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2" w:lineRule="exact"/>
        <w:rPr>
          <w:sz w:val="20"/>
          <w:szCs w:val="20"/>
          <w:color w:val="auto"/>
        </w:rPr>
      </w:pPr>
    </w:p>
    <w:p>
      <w:pPr>
        <w:jc w:val="both"/>
        <w:ind w:left="640"/>
        <w:spacing w:after="0" w:line="207" w:lineRule="auto"/>
        <w:rPr>
          <w:sz w:val="20"/>
          <w:szCs w:val="20"/>
          <w:color w:val="auto"/>
        </w:rPr>
      </w:pPr>
      <w:r>
        <w:rPr>
          <w:rFonts w:ascii="Arial" w:cs="Arial" w:eastAsia="Arial" w:hAnsi="Arial"/>
          <w:sz w:val="18"/>
          <w:szCs w:val="18"/>
          <w:color w:val="auto"/>
        </w:rPr>
        <w:t>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9" w:name="page200"/>
    <w:bookmarkEnd w:id="199"/>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Party B pays the rent to Party A’s following account by check or transfer: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1001194909004601783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ICBC Shanghai Zhangjiang sub branch</w:t>
      </w:r>
    </w:p>
    <w:p>
      <w:pPr>
        <w:spacing w:after="0" w:line="207"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Party A may entrust a property management company to assist in collecting the rent.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0" w:lineRule="exact"/>
        <w:rPr>
          <w:sz w:val="20"/>
          <w:szCs w:val="20"/>
          <w:color w:val="auto"/>
        </w:rPr>
      </w:pPr>
    </w:p>
    <w:p>
      <w:pPr>
        <w:jc w:val="both"/>
        <w:ind w:left="640" w:hanging="639"/>
        <w:spacing w:after="0" w:line="271"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RMB349,019 yuan. Party A shall issue a receipt to Party B after receiving the deposit. If Party B fails to pay the lease deposit in full to Party A in accordance with the provisions of this contract, Party B shall pay Party A late payment fee of 0.03% of the outstanding amount per day, until the full payment is completed. If Party B delays or fails to pay more than 15 working days, Party A has the right to rescind the contract.</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0" w:name="page201"/>
    <w:bookmarkEnd w:id="200"/>
    <w:p>
      <w:pPr>
        <w:jc w:val="both"/>
        <w:ind w:left="640"/>
        <w:spacing w:after="0" w:line="271" w:lineRule="auto"/>
        <w:rPr>
          <w:sz w:val="20"/>
          <w:szCs w:val="20"/>
          <w:color w:val="auto"/>
        </w:rPr>
      </w:pPr>
      <w:r>
        <w:rPr>
          <w:rFonts w:ascii="Arial" w:cs="Arial" w:eastAsia="Arial" w:hAnsi="Arial"/>
          <w:sz w:val="17"/>
          <w:szCs w:val="17"/>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77"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8"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0"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80" w:lineRule="exact"/>
        <w:rPr>
          <w:sz w:val="20"/>
          <w:szCs w:val="20"/>
          <w:color w:val="auto"/>
        </w:rPr>
      </w:pPr>
    </w:p>
    <w:p>
      <w:pPr>
        <w:jc w:val="both"/>
        <w:ind w:left="640" w:hanging="639"/>
        <w:spacing w:after="0" w:line="252"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9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90" w:lineRule="exact"/>
        <w:rPr>
          <w:sz w:val="20"/>
          <w:szCs w:val="20"/>
          <w:color w:val="auto"/>
        </w:rPr>
      </w:pPr>
    </w:p>
    <w:p>
      <w:pPr>
        <w:jc w:val="both"/>
        <w:ind w:left="640" w:hanging="639"/>
        <w:spacing w:after="0" w:line="300"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2" w:name="page203"/>
    <w:bookmarkEnd w:id="202"/>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0" w:lineRule="exact"/>
        <w:rPr>
          <w:sz w:val="20"/>
          <w:szCs w:val="20"/>
          <w:color w:val="auto"/>
        </w:rPr>
      </w:pPr>
    </w:p>
    <w:p>
      <w:pPr>
        <w:jc w:val="both"/>
        <w:ind w:left="640" w:hanging="639"/>
        <w:spacing w:after="0" w:line="292"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9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3" w:name="page204"/>
    <w:bookmarkEnd w:id="203"/>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8" w:lineRule="exact"/>
        <w:rPr>
          <w:sz w:val="20"/>
          <w:szCs w:val="20"/>
          <w:color w:val="auto"/>
        </w:rPr>
      </w:pPr>
    </w:p>
    <w:p>
      <w:pPr>
        <w:jc w:val="both"/>
        <w:ind w:left="640" w:hanging="639"/>
        <w:spacing w:after="0" w:line="271" w:lineRule="auto"/>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90" w:lineRule="exact"/>
        <w:rPr>
          <w:sz w:val="20"/>
          <w:szCs w:val="20"/>
          <w:color w:val="auto"/>
        </w:rPr>
      </w:pPr>
    </w:p>
    <w:p>
      <w:pPr>
        <w:jc w:val="both"/>
        <w:ind w:left="640" w:hanging="639"/>
        <w:spacing w:after="0" w:line="306"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9. Sublet, Mix, Transfer and Exchange</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6" w:lineRule="exact"/>
        <w:rPr>
          <w:sz w:val="20"/>
          <w:szCs w:val="20"/>
          <w:color w:val="auto"/>
        </w:rPr>
      </w:pPr>
    </w:p>
    <w:p>
      <w:pPr>
        <w:jc w:val="both"/>
        <w:ind w:left="640" w:hanging="639"/>
        <w:spacing w:after="0" w:line="306"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20" w:lineRule="exact"/>
        <w:rPr>
          <w:sz w:val="20"/>
          <w:szCs w:val="20"/>
          <w:color w:val="auto"/>
        </w:rPr>
      </w:pPr>
    </w:p>
    <w:p>
      <w:pPr>
        <w:jc w:val="both"/>
        <w:ind w:left="640" w:hanging="639"/>
        <w:spacing w:after="0" w:line="271"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77"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Party B shall return the House to Party A no later than the expiry date of the lease or the date on which the Contract is terminated prematurely.</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5" w:name="page206"/>
    <w:bookmarkEnd w:id="205"/>
    <w:p>
      <w:pPr>
        <w:jc w:val="both"/>
        <w:ind w:left="640" w:hanging="639"/>
        <w:spacing w:after="0" w:line="25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0" w:lineRule="exact"/>
        <w:rPr>
          <w:sz w:val="20"/>
          <w:szCs w:val="20"/>
          <w:color w:val="auto"/>
        </w:rPr>
      </w:pPr>
    </w:p>
    <w:p>
      <w:pPr>
        <w:jc w:val="both"/>
        <w:ind w:left="640" w:hanging="639"/>
        <w:spacing w:after="0" w:line="286"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7" w:lineRule="exact"/>
        <w:rPr>
          <w:sz w:val="20"/>
          <w:szCs w:val="20"/>
          <w:color w:val="auto"/>
        </w:rPr>
      </w:pPr>
    </w:p>
    <w:p>
      <w:pPr>
        <w:jc w:val="both"/>
        <w:ind w:left="640" w:hanging="639"/>
        <w:spacing w:after="0" w:line="250" w:lineRule="auto"/>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When Party A evicts Party B, Party B shall bear the relocation expenses (if any) for thousands of items left in the house by Party B, and Party A.Party A may (but is not obliged to) store the goods in situ or elsewhere. After the storage is completed, Party A shall serve a notice to Party B to inform it of the storage of the goods. Party B shall collect the property by itself within 15 days from the date of service of the notice. If Party B fails to collect the property within the time limit, it shall be deemed that Party B has given up the ownership of all the returned property, and Party A shall handle it. Party A has the right to charge Party B the storage fee, which is 50% of the daily rent/day. After the 15th day expires, Party A has the right to sell, transfer, discard or dispose of these items in any other way as it thinks fit, and pay any money owed by Party B to Party A in thousands and compensate Party A for its losses (if any) with the proceeds of disposal. If the payment and compensation are insufficient, Party A has the right to recover the difference from Party B Unless otherwise agreed by both parties, B posted by Party A shall be deemed as the date of delivery.</w:t>
      </w:r>
    </w:p>
    <w:p>
      <w:pPr>
        <w:spacing w:after="0" w:line="194"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When Party A dismisses Party B, it will adopt ways including but not limited to hiring a notary office, recording the whole process by itself and making Party B.The list of goods, notarized materials, videos and other evidence materials will be kept by Party A for reference and verification within 3 years from the time when Party A returns to Party B.</w:t>
      </w:r>
    </w:p>
    <w:p>
      <w:pPr>
        <w:spacing w:after="0" w:line="186"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Both Party A and Party B agree to deduct all the expenses incurred in the process of repaying and keeping from the lease deposit, but the deduction of such expenses does not mean that either party gives up the right to claim damages and liquidated damages for breach of contract according to its rights and obligations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86" w:lineRule="exact"/>
        <w:rPr>
          <w:sz w:val="20"/>
          <w:szCs w:val="20"/>
          <w:color w:val="auto"/>
        </w:rPr>
      </w:pPr>
    </w:p>
    <w:p>
      <w:pPr>
        <w:ind w:left="1280" w:hanging="633"/>
        <w:spacing w:after="0" w:line="270" w:lineRule="auto"/>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loss or damage due to expropriation, acquisition, confiscation, nationalization or any force majeure caused by state or government agencies;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6" w:name="page207"/>
    <w:bookmarkEnd w:id="206"/>
    <w:p>
      <w:pPr>
        <w:ind w:left="1280" w:hanging="633"/>
        <w:spacing w:after="0"/>
        <w:tabs>
          <w:tab w:leader="none" w:pos="12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19"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19" w:lineRule="exact"/>
        <w:rPr>
          <w:rFonts w:ascii="Arial" w:cs="Arial" w:eastAsia="Arial" w:hAnsi="Arial"/>
          <w:sz w:val="18"/>
          <w:szCs w:val="18"/>
          <w:color w:val="auto"/>
        </w:rPr>
      </w:pPr>
    </w:p>
    <w:p>
      <w:pPr>
        <w:ind w:left="1280" w:hanging="633"/>
        <w:spacing w:after="0" w:line="300" w:lineRule="auto"/>
        <w:tabs>
          <w:tab w:leader="none" w:pos="12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51" w:lineRule="exact"/>
        <w:rPr>
          <w:rFonts w:ascii="Arial" w:cs="Arial" w:eastAsia="Arial" w:hAnsi="Arial"/>
          <w:sz w:val="17"/>
          <w:szCs w:val="17"/>
          <w:color w:val="auto"/>
        </w:rPr>
      </w:pPr>
    </w:p>
    <w:p>
      <w:pPr>
        <w:ind w:left="280" w:hanging="273"/>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Party A’s default</w:t>
      </w:r>
    </w:p>
    <w:p>
      <w:pPr>
        <w:spacing w:after="0" w:line="220" w:lineRule="exact"/>
        <w:rPr>
          <w:sz w:val="20"/>
          <w:szCs w:val="20"/>
          <w:color w:val="auto"/>
        </w:rPr>
      </w:pPr>
    </w:p>
    <w:p>
      <w:pPr>
        <w:ind w:left="1280" w:hanging="633"/>
        <w:spacing w:after="0" w:line="270" w:lineRule="auto"/>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4"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6" w:lineRule="exact"/>
        <w:rPr>
          <w:rFonts w:ascii="Arial" w:cs="Arial" w:eastAsia="Arial" w:hAnsi="Arial"/>
          <w:sz w:val="18"/>
          <w:szCs w:val="18"/>
          <w:color w:val="auto"/>
        </w:rPr>
      </w:pPr>
    </w:p>
    <w:p>
      <w:pPr>
        <w:jc w:val="both"/>
        <w:ind w:left="1280" w:hanging="633"/>
        <w:spacing w:after="0" w:line="252" w:lineRule="auto"/>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7" w:name="page208"/>
    <w:bookmarkEnd w:id="207"/>
    <w:p>
      <w:pPr>
        <w:spacing w:after="0"/>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Party B’s default</w:t>
      </w:r>
    </w:p>
    <w:p>
      <w:pPr>
        <w:spacing w:after="0" w:line="220" w:lineRule="exact"/>
        <w:rPr>
          <w:sz w:val="20"/>
          <w:szCs w:val="20"/>
          <w:color w:val="auto"/>
        </w:rPr>
      </w:pPr>
    </w:p>
    <w:p>
      <w:pPr>
        <w:jc w:val="both"/>
        <w:ind w:left="1280" w:hanging="633"/>
        <w:spacing w:after="0" w:line="255" w:lineRule="auto"/>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Party B overdue payment of rent, deposit, equipment rental fee, energy consumption fee, property management fee or other relevant expenses payable, Party B shall pay overdue fine which is 0.03% of the amount of overdue payment per day. If overdue 30 days, Party A has the right to interrupt the water, electricity and other energy supply, until Party B pays all the expenses. And Party B should bear the cost of re-connection.</w:t>
      </w:r>
    </w:p>
    <w:p>
      <w:pPr>
        <w:spacing w:after="0" w:line="187" w:lineRule="exact"/>
        <w:rPr>
          <w:rFonts w:ascii="Arial" w:cs="Arial" w:eastAsia="Arial" w:hAnsi="Arial"/>
          <w:sz w:val="18"/>
          <w:szCs w:val="18"/>
          <w:color w:val="auto"/>
        </w:rPr>
      </w:pPr>
    </w:p>
    <w:p>
      <w:pPr>
        <w:jc w:val="both"/>
        <w:ind w:left="1280" w:hanging="633"/>
        <w:spacing w:after="0" w:line="255" w:lineRule="auto"/>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87" w:lineRule="exact"/>
        <w:rPr>
          <w:rFonts w:ascii="Arial" w:cs="Arial" w:eastAsia="Arial" w:hAnsi="Arial"/>
          <w:sz w:val="18"/>
          <w:szCs w:val="18"/>
          <w:color w:val="auto"/>
        </w:rPr>
      </w:pPr>
    </w:p>
    <w:p>
      <w:pPr>
        <w:jc w:val="both"/>
        <w:ind w:left="1280" w:right="20" w:hanging="633"/>
        <w:spacing w:after="0" w:line="333" w:lineRule="auto"/>
        <w:tabs>
          <w:tab w:leader="none" w:pos="12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29" w:lineRule="exact"/>
        <w:rPr>
          <w:rFonts w:ascii="Arial" w:cs="Arial" w:eastAsia="Arial" w:hAnsi="Arial"/>
          <w:sz w:val="16"/>
          <w:szCs w:val="16"/>
          <w:color w:val="auto"/>
        </w:rPr>
      </w:pPr>
    </w:p>
    <w:p>
      <w:pPr>
        <w:jc w:val="both"/>
        <w:ind w:left="1280" w:hanging="633"/>
        <w:spacing w:after="0" w:line="292" w:lineRule="auto"/>
        <w:tabs>
          <w:tab w:leader="none" w:pos="12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61" w:lineRule="exact"/>
        <w:rPr>
          <w:rFonts w:ascii="Arial" w:cs="Arial" w:eastAsia="Arial" w:hAnsi="Arial"/>
          <w:sz w:val="16"/>
          <w:szCs w:val="16"/>
          <w:color w:val="auto"/>
        </w:rPr>
      </w:pPr>
    </w:p>
    <w:p>
      <w:pPr>
        <w:ind w:left="1280"/>
        <w:spacing w:after="0" w:line="270" w:lineRule="auto"/>
        <w:rPr>
          <w:rFonts w:ascii="Arial" w:cs="Arial" w:eastAsia="Arial" w:hAnsi="Arial"/>
          <w:sz w:val="16"/>
          <w:szCs w:val="16"/>
          <w:color w:val="auto"/>
        </w:rPr>
      </w:pPr>
      <w:r>
        <w:rPr>
          <w:rFonts w:ascii="Arial" w:cs="Arial" w:eastAsia="Arial" w:hAnsi="Arial"/>
          <w:sz w:val="18"/>
          <w:szCs w:val="18"/>
          <w:color w:val="auto"/>
        </w:rPr>
        <w:t>Retirement refers to the behavior that Party B decides to terminate the lease relationship early for its own reasons, limited to a written statement.</w:t>
      </w:r>
    </w:p>
    <w:p>
      <w:pPr>
        <w:spacing w:after="0" w:line="174" w:lineRule="exact"/>
        <w:rPr>
          <w:rFonts w:ascii="Arial" w:cs="Arial" w:eastAsia="Arial" w:hAnsi="Arial"/>
          <w:sz w:val="16"/>
          <w:szCs w:val="16"/>
          <w:color w:val="auto"/>
        </w:rPr>
      </w:pPr>
    </w:p>
    <w:p>
      <w:pPr>
        <w:jc w:val="both"/>
        <w:ind w:left="1280" w:hanging="633"/>
        <w:spacing w:after="0" w:line="258" w:lineRule="auto"/>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Party A has right to request Party B to compensate Party A for the losses suffered thereby, if Party B takes the following actions:</w:t>
      </w:r>
    </w:p>
    <w:p>
      <w:pPr>
        <w:spacing w:after="0" w:line="231" w:lineRule="exact"/>
        <w:rPr>
          <w:rFonts w:ascii="Arial" w:cs="Arial" w:eastAsia="Arial" w:hAnsi="Arial"/>
          <w:sz w:val="17"/>
          <w:szCs w:val="17"/>
          <w:color w:val="auto"/>
        </w:rPr>
      </w:pPr>
    </w:p>
    <w:p>
      <w:pPr>
        <w:ind w:left="1920" w:hanging="632"/>
        <w:spacing w:after="0"/>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8" w:name="page209"/>
    <w:bookmarkEnd w:id="208"/>
    <w:p>
      <w:pPr>
        <w:ind w:left="1920" w:hanging="632"/>
        <w:spacing w:after="0"/>
        <w:tabs>
          <w:tab w:leader="none" w:pos="19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19" w:lineRule="exact"/>
        <w:rPr>
          <w:rFonts w:ascii="Arial" w:cs="Arial" w:eastAsia="Arial" w:hAnsi="Arial"/>
          <w:sz w:val="18"/>
          <w:szCs w:val="18"/>
          <w:color w:val="auto"/>
        </w:rPr>
      </w:pPr>
    </w:p>
    <w:p>
      <w:pPr>
        <w:jc w:val="both"/>
        <w:ind w:left="1920" w:hanging="632"/>
        <w:spacing w:after="0" w:line="258" w:lineRule="auto"/>
        <w:tabs>
          <w:tab w:leader="none" w:pos="19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6" w:lineRule="exact"/>
        <w:rPr>
          <w:rFonts w:ascii="Arial" w:cs="Arial" w:eastAsia="Arial" w:hAnsi="Arial"/>
          <w:sz w:val="18"/>
          <w:szCs w:val="18"/>
          <w:color w:val="auto"/>
        </w:rPr>
      </w:pPr>
    </w:p>
    <w:p>
      <w:pPr>
        <w:ind w:left="280" w:hanging="273"/>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0" w:lineRule="exact"/>
        <w:rPr>
          <w:sz w:val="20"/>
          <w:szCs w:val="20"/>
          <w:color w:val="auto"/>
        </w:rPr>
      </w:pPr>
    </w:p>
    <w:p>
      <w:pPr>
        <w:jc w:val="both"/>
        <w:ind w:left="640" w:hanging="639"/>
        <w:spacing w:after="0" w:line="289"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5"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party suffering from force majeure shall, within 15 days after the occurrence of such events, notify the other party of the specific circumstances of the force majeure in written form, and provide supporting documents to prove the existence and duration of the force majeure event (including the documents of the competent government department, if applicable). If the party suffering from force majeure fails to notify the other party in accordance with the above provisions and provide appropriate proof, the party shall not ask for exemption from its responsibilities on the basis of its inability to perform relevant obligations. In addition, the party suffering from force majeure should take all necessary measures to reduce the loss, otherwise it should bear the responsibility for the expanded loss.</w:t>
      </w:r>
    </w:p>
    <w:p>
      <w:pPr>
        <w:spacing w:after="0" w:line="18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9" w:name="page210"/>
    <w:bookmarkEnd w:id="209"/>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175" w:lineRule="exact"/>
        <w:rPr>
          <w:rFonts w:ascii="Arial" w:cs="Arial" w:eastAsia="Arial" w:hAnsi="Arial"/>
          <w:sz w:val="18"/>
          <w:szCs w:val="18"/>
          <w:color w:val="auto"/>
        </w:rPr>
      </w:pPr>
    </w:p>
    <w:p>
      <w:pPr>
        <w:ind w:left="1280" w:hanging="633"/>
        <w:spacing w:after="0" w:line="242" w:lineRule="exact"/>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19" w:lineRule="exact"/>
        <w:rPr>
          <w:rFonts w:ascii="Arial" w:cs="Arial" w:eastAsia="Arial" w:hAnsi="Arial"/>
          <w:sz w:val="18"/>
          <w:szCs w:val="18"/>
          <w:color w:val="auto"/>
        </w:rPr>
      </w:pPr>
    </w:p>
    <w:p>
      <w:pPr>
        <w:ind w:left="1280" w:right="20" w:hanging="633"/>
        <w:spacing w:after="0" w:line="270" w:lineRule="auto"/>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4" w:lineRule="exact"/>
        <w:rPr>
          <w:rFonts w:ascii="Arial" w:cs="Arial" w:eastAsia="Arial" w:hAnsi="Arial"/>
          <w:sz w:val="18"/>
          <w:szCs w:val="18"/>
          <w:color w:val="auto"/>
        </w:rPr>
      </w:pPr>
    </w:p>
    <w:p>
      <w:pPr>
        <w:ind w:left="1280" w:hanging="633"/>
        <w:spacing w:after="0" w:line="333" w:lineRule="auto"/>
        <w:tabs>
          <w:tab w:leader="none" w:pos="12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9" w:lineRule="exact"/>
        <w:rPr>
          <w:rFonts w:ascii="Arial" w:cs="Arial" w:eastAsia="Arial" w:hAnsi="Arial"/>
          <w:sz w:val="16"/>
          <w:szCs w:val="16"/>
          <w:color w:val="auto"/>
        </w:rPr>
      </w:pPr>
    </w:p>
    <w:p>
      <w:pPr>
        <w:ind w:left="1280" w:right="20" w:hanging="633"/>
        <w:spacing w:after="0" w:line="270" w:lineRule="auto"/>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20" w:lineRule="exact"/>
        <w:rPr>
          <w:sz w:val="20"/>
          <w:szCs w:val="20"/>
          <w:color w:val="auto"/>
        </w:rPr>
      </w:pPr>
    </w:p>
    <w:p>
      <w:pPr>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Both Parties agree that the Contract is terminated under the following situations, and neither of them should be responsible for the termination.</w:t>
      </w:r>
    </w:p>
    <w:p>
      <w:pPr>
        <w:spacing w:after="0" w:line="220" w:lineRule="exact"/>
        <w:rPr>
          <w:sz w:val="20"/>
          <w:szCs w:val="20"/>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16. Statements and Guarantees</w:t>
      </w:r>
    </w:p>
    <w:p>
      <w:pPr>
        <w:spacing w:after="0" w:line="220" w:lineRule="exact"/>
        <w:rPr>
          <w:sz w:val="20"/>
          <w:szCs w:val="20"/>
          <w:color w:val="auto"/>
        </w:rPr>
      </w:pPr>
    </w:p>
    <w:p>
      <w:pPr>
        <w:ind w:left="640" w:hanging="633"/>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4"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4"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19" w:lineRule="exact"/>
        <w:rPr>
          <w:rFonts w:ascii="Arial" w:cs="Arial" w:eastAsia="Arial" w:hAnsi="Arial"/>
          <w:sz w:val="18"/>
          <w:szCs w:val="18"/>
          <w:color w:val="auto"/>
        </w:rPr>
      </w:pPr>
    </w:p>
    <w:p>
      <w:pPr>
        <w:ind w:left="1280" w:hanging="633"/>
        <w:spacing w:after="0" w:line="333" w:lineRule="auto"/>
        <w:tabs>
          <w:tab w:leader="none" w:pos="12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29" w:lineRule="exact"/>
        <w:rPr>
          <w:rFonts w:ascii="Arial" w:cs="Arial" w:eastAsia="Arial" w:hAnsi="Arial"/>
          <w:sz w:val="16"/>
          <w:szCs w:val="16"/>
          <w:color w:val="auto"/>
        </w:rPr>
      </w:pPr>
    </w:p>
    <w:p>
      <w:pPr>
        <w:ind w:left="1280" w:hanging="633"/>
        <w:spacing w:after="0" w:line="300" w:lineRule="auto"/>
        <w:tabs>
          <w:tab w:leader="none" w:pos="12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20" w:lineRule="exact"/>
        <w:rPr>
          <w:sz w:val="20"/>
          <w:szCs w:val="20"/>
          <w:color w:val="auto"/>
        </w:rPr>
      </w:pPr>
    </w:p>
    <w:p>
      <w:pPr>
        <w:jc w:val="both"/>
        <w:ind w:left="640" w:hanging="639"/>
        <w:spacing w:after="0" w:line="216" w:lineRule="exact"/>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7"/>
          <w:szCs w:val="17"/>
          <w:color w:val="auto"/>
        </w:rPr>
        <w:t>Ⅲ</w:t>
      </w:r>
      <w:r>
        <w:rPr>
          <w:rFonts w:ascii="Arial" w:cs="Arial" w:eastAsia="Arial" w:hAnsi="Arial"/>
          <w:sz w:val="17"/>
          <w:szCs w:val="17"/>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1" w:name="page212"/>
    <w:bookmarkEnd w:id="211"/>
    <w:p>
      <w:pPr>
        <w:jc w:val="both"/>
        <w:ind w:left="640" w:hanging="639"/>
        <w:spacing w:after="0" w:line="333"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Party B’s safety records shall be used as a reference for Party B’s priority rights such as renewal and extension of lease (if 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4"/>
          <w:szCs w:val="14"/>
          <w:color w:val="auto"/>
        </w:rPr>
        <w:t>The Contract takes effect immediately after both parties have signed and sealed the contract.</w:t>
      </w:r>
    </w:p>
    <w:p>
      <w:pPr>
        <w:spacing w:after="0" w:line="220"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67" w:lineRule="exact"/>
        <w:rPr>
          <w:sz w:val="20"/>
          <w:szCs w:val="20"/>
          <w:color w:val="auto"/>
        </w:rPr>
      </w:pPr>
    </w:p>
    <w:p>
      <w:pPr>
        <w:jc w:val="both"/>
        <w:ind w:left="640" w:hanging="639"/>
        <w:spacing w:after="0" w:line="333"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30" w:lineRule="exact"/>
        <w:rPr>
          <w:sz w:val="20"/>
          <w:szCs w:val="20"/>
          <w:color w:val="auto"/>
        </w:rPr>
      </w:pPr>
    </w:p>
    <w:p>
      <w:pPr>
        <w:jc w:val="both"/>
        <w:ind w:left="640" w:right="20" w:hanging="639"/>
        <w:spacing w:after="0" w:line="333"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30" w:lineRule="exact"/>
        <w:rPr>
          <w:sz w:val="20"/>
          <w:szCs w:val="20"/>
          <w:color w:val="auto"/>
        </w:rPr>
      </w:pPr>
    </w:p>
    <w:p>
      <w:pPr>
        <w:ind w:left="1280" w:hanging="633"/>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0"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Contract has four copies with the Annex, and Party A, Party B, the business department, the tax department each hold a copy. All of them have the same effect.</w:t>
      </w:r>
    </w:p>
    <w:p>
      <w:pPr>
        <w:spacing w:after="0" w:line="175"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75"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188"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Party B confirms that Party A has fully explained and explained the relevant terms of this Contract to Party B, and Party B accepts and accepts all the terms of this Contract, which are concluded by the parties through friendly negotiation.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2" w:name="page213"/>
    <w:bookmarkEnd w:id="212"/>
    <w:p>
      <w:pPr>
        <w:jc w:val="center"/>
        <w:ind w:right="1120"/>
        <w:spacing w:after="0"/>
        <w:rPr>
          <w:sz w:val="20"/>
          <w:szCs w:val="20"/>
          <w:color w:val="auto"/>
        </w:rPr>
      </w:pPr>
      <w:r>
        <w:rPr>
          <w:rFonts w:ascii="Arial" w:cs="Arial" w:eastAsia="Arial" w:hAnsi="Arial"/>
          <w:sz w:val="18"/>
          <w:szCs w:val="18"/>
          <w:color w:val="auto"/>
        </w:rPr>
        <w:t>Annex I</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color w:val="auto"/>
        </w:rPr>
        <w:t>Annex II</w:t>
      </w:r>
    </w:p>
    <w:p>
      <w:pPr>
        <w:spacing w:after="0" w:line="22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Status of delivery, housing delivery standards:</w:t>
      </w:r>
    </w:p>
    <w:p>
      <w:pPr>
        <w:spacing w:after="0" w:line="220" w:lineRule="exact"/>
        <w:rPr>
          <w:sz w:val="20"/>
          <w:szCs w:val="20"/>
          <w:color w:val="auto"/>
        </w:rPr>
      </w:pPr>
    </w:p>
    <w:p>
      <w:pPr>
        <w:ind w:left="180" w:hanging="173"/>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public part is well decorated(Including atrium, lobby, public corridor, toilet).</w:t>
      </w:r>
    </w:p>
    <w:p>
      <w:pPr>
        <w:spacing w:after="0" w:line="219" w:lineRule="exact"/>
        <w:rPr>
          <w:rFonts w:ascii="Arial" w:cs="Arial" w:eastAsia="Arial" w:hAnsi="Arial"/>
          <w:sz w:val="18"/>
          <w:szCs w:val="18"/>
          <w:color w:val="auto"/>
        </w:rPr>
      </w:pPr>
    </w:p>
    <w:p>
      <w:pPr>
        <w:ind w:left="180" w:hanging="173"/>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(Office area)Interior wall paint white, mineral wool board ceiling, lighting installed, cement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Annex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7" w:lineRule="exact"/>
        <w:rPr>
          <w:sz w:val="20"/>
          <w:szCs w:val="20"/>
          <w:color w:val="auto"/>
        </w:rPr>
      </w:pPr>
    </w:p>
    <w:p>
      <w:pPr>
        <w:ind w:left="640" w:hanging="633"/>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19" w:lineRule="exact"/>
        <w:rPr>
          <w:rFonts w:ascii="Arial" w:cs="Arial" w:eastAsia="Arial" w:hAnsi="Arial"/>
          <w:sz w:val="18"/>
          <w:szCs w:val="18"/>
          <w:color w:val="auto"/>
        </w:rPr>
      </w:pPr>
    </w:p>
    <w:p>
      <w:pPr>
        <w:ind w:left="640"/>
        <w:spacing w:after="0" w:line="270"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4" w:lineRule="exact"/>
        <w:rPr>
          <w:rFonts w:ascii="Arial" w:cs="Arial" w:eastAsia="Arial" w:hAnsi="Arial"/>
          <w:sz w:val="18"/>
          <w:szCs w:val="18"/>
          <w:color w:val="auto"/>
        </w:rPr>
      </w:pPr>
    </w:p>
    <w:p>
      <w:pPr>
        <w:jc w:val="both"/>
        <w:ind w:left="1280" w:hanging="633"/>
        <w:spacing w:after="0" w:line="255" w:lineRule="auto"/>
        <w:tabs>
          <w:tab w:leader="none" w:pos="1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87"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4"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6" w:lineRule="exact"/>
        <w:rPr>
          <w:rFonts w:ascii="Arial" w:cs="Arial" w:eastAsia="Arial" w:hAnsi="Arial"/>
          <w:sz w:val="18"/>
          <w:szCs w:val="18"/>
          <w:color w:val="auto"/>
        </w:rPr>
      </w:pPr>
    </w:p>
    <w:p>
      <w:pPr>
        <w:ind w:left="640" w:hanging="633"/>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19" w:lineRule="exact"/>
        <w:rPr>
          <w:rFonts w:ascii="Arial" w:cs="Arial" w:eastAsia="Arial" w:hAnsi="Arial"/>
          <w:sz w:val="18"/>
          <w:szCs w:val="18"/>
          <w:color w:val="auto"/>
        </w:rPr>
      </w:pPr>
    </w:p>
    <w:p>
      <w:pPr>
        <w:jc w:val="both"/>
        <w:ind w:left="1280" w:hanging="633"/>
        <w:spacing w:after="0" w:line="281" w:lineRule="auto"/>
        <w:tabs>
          <w:tab w:leader="none" w:pos="12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67" w:lineRule="exact"/>
        <w:rPr>
          <w:rFonts w:ascii="Arial" w:cs="Arial" w:eastAsia="Arial" w:hAnsi="Arial"/>
          <w:sz w:val="17"/>
          <w:szCs w:val="17"/>
          <w:color w:val="auto"/>
        </w:rPr>
      </w:pPr>
    </w:p>
    <w:p>
      <w:pPr>
        <w:jc w:val="both"/>
        <w:ind w:left="1280" w:right="20" w:hanging="633"/>
        <w:spacing w:after="0" w:line="258" w:lineRule="auto"/>
        <w:tabs>
          <w:tab w:leader="none" w:pos="1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86"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5" w:name="page216"/>
    <w:bookmarkEnd w:id="215"/>
    <w:p>
      <w:pPr>
        <w:ind w:left="1280" w:hanging="633"/>
        <w:spacing w:after="0"/>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19" w:lineRule="exact"/>
        <w:rPr>
          <w:rFonts w:ascii="Arial" w:cs="Arial" w:eastAsia="Arial" w:hAnsi="Arial"/>
          <w:sz w:val="18"/>
          <w:szCs w:val="18"/>
          <w:color w:val="auto"/>
        </w:rPr>
      </w:pPr>
    </w:p>
    <w:p>
      <w:pPr>
        <w:ind w:left="1280" w:right="20" w:hanging="633"/>
        <w:spacing w:after="0" w:line="270" w:lineRule="auto"/>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19" w:lineRule="exact"/>
        <w:rPr>
          <w:rFonts w:ascii="Arial" w:cs="Arial" w:eastAsia="Arial" w:hAnsi="Arial"/>
          <w:sz w:val="18"/>
          <w:szCs w:val="18"/>
          <w:color w:val="auto"/>
        </w:rPr>
      </w:pPr>
    </w:p>
    <w:p>
      <w:pPr>
        <w:ind w:left="640" w:hanging="633"/>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4" w:lineRule="exact"/>
        <w:rPr>
          <w:rFonts w:ascii="Arial" w:cs="Arial" w:eastAsia="Arial" w:hAnsi="Arial"/>
          <w:sz w:val="18"/>
          <w:szCs w:val="18"/>
          <w:color w:val="auto"/>
        </w:rPr>
      </w:pPr>
    </w:p>
    <w:p>
      <w:pPr>
        <w:ind w:left="1280" w:right="20" w:hanging="633"/>
        <w:spacing w:after="0" w:line="270"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company.(contact:400-676-1818,61821818)</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26"/>
        </w:trPr>
        <w:tc>
          <w:tcPr>
            <w:tcW w:w="3660" w:type="dxa"/>
            <w:vAlign w:val="bottom"/>
          </w:tcPr>
          <w:p>
            <w:pPr>
              <w:spacing w:after="0"/>
              <w:rPr>
                <w:sz w:val="20"/>
                <w:szCs w:val="20"/>
                <w:color w:val="auto"/>
              </w:rPr>
            </w:pPr>
            <w:r>
              <w:rPr>
                <w:rFonts w:ascii="Arial" w:cs="Arial" w:eastAsia="Arial" w:hAnsi="Arial"/>
                <w:sz w:val="18"/>
                <w:szCs w:val="18"/>
                <w:color w:val="auto"/>
              </w:rPr>
              <w:t>Lessor (Party A):</w:t>
            </w:r>
          </w:p>
        </w:tc>
        <w:tc>
          <w:tcPr>
            <w:tcW w:w="7580" w:type="dxa"/>
            <w:vAlign w:val="bottom"/>
          </w:tcPr>
          <w:p>
            <w:pPr>
              <w:ind w:left="840"/>
              <w:spacing w:after="0"/>
              <w:rPr>
                <w:sz w:val="20"/>
                <w:szCs w:val="20"/>
                <w:color w:val="auto"/>
              </w:rPr>
            </w:pPr>
            <w:r>
              <w:rPr>
                <w:rFonts w:ascii="Arial" w:cs="Arial" w:eastAsia="Arial" w:hAnsi="Arial"/>
                <w:sz w:val="18"/>
                <w:szCs w:val="18"/>
                <w:color w:val="auto"/>
              </w:rPr>
              <w:t>Lessee (Party B):</w:t>
            </w:r>
          </w:p>
        </w:tc>
      </w:tr>
      <w:tr>
        <w:trPr>
          <w:trHeight w:val="427"/>
        </w:trPr>
        <w:tc>
          <w:tcPr>
            <w:tcW w:w="11240" w:type="dxa"/>
            <w:vAlign w:val="bottom"/>
            <w:gridSpan w:val="2"/>
          </w:tcPr>
          <w:p>
            <w:pPr>
              <w:spacing w:after="0"/>
              <w:rPr>
                <w:sz w:val="20"/>
                <w:szCs w:val="20"/>
                <w:color w:val="auto"/>
              </w:rPr>
            </w:pPr>
            <w:r>
              <w:rPr>
                <w:rFonts w:ascii="Arial" w:cs="Arial" w:eastAsia="Arial" w:hAnsi="Arial"/>
                <w:sz w:val="18"/>
                <w:szCs w:val="18"/>
                <w:color w:val="auto"/>
              </w:rPr>
              <w:t>Shanghai Pudong Software Park Co., Ltd.Shanghai Chenqin Information Technology Services Co.,Ltd.</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legal representative:</w:t>
            </w:r>
          </w:p>
        </w:tc>
        <w:tc>
          <w:tcPr>
            <w:tcW w:w="7580" w:type="dxa"/>
            <w:vAlign w:val="bottom"/>
          </w:tcPr>
          <w:p>
            <w:pPr>
              <w:ind w:left="840"/>
              <w:spacing w:after="0"/>
              <w:rPr>
                <w:sz w:val="20"/>
                <w:szCs w:val="20"/>
                <w:color w:val="auto"/>
              </w:rPr>
            </w:pPr>
            <w:r>
              <w:rPr>
                <w:rFonts w:ascii="Arial" w:cs="Arial" w:eastAsia="Arial" w:hAnsi="Arial"/>
                <w:sz w:val="18"/>
                <w:szCs w:val="18"/>
                <w:color w:val="auto"/>
              </w:rPr>
              <w:t>legal representative:</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Address:</w:t>
            </w:r>
          </w:p>
        </w:tc>
        <w:tc>
          <w:tcPr>
            <w:tcW w:w="7580" w:type="dxa"/>
            <w:vAlign w:val="bottom"/>
          </w:tcPr>
          <w:p>
            <w:pPr>
              <w:ind w:left="840"/>
              <w:spacing w:after="0"/>
              <w:rPr>
                <w:sz w:val="20"/>
                <w:szCs w:val="20"/>
                <w:color w:val="auto"/>
              </w:rPr>
            </w:pPr>
            <w:r>
              <w:rPr>
                <w:rFonts w:ascii="Arial" w:cs="Arial" w:eastAsia="Arial" w:hAnsi="Arial"/>
                <w:sz w:val="18"/>
                <w:szCs w:val="18"/>
                <w:color w:val="auto"/>
              </w:rPr>
              <w:t>Address:</w:t>
            </w:r>
          </w:p>
        </w:tc>
      </w:tr>
      <w:tr>
        <w:trPr>
          <w:trHeight w:val="427"/>
        </w:trPr>
        <w:tc>
          <w:tcPr>
            <w:tcW w:w="11240" w:type="dxa"/>
            <w:vAlign w:val="bottom"/>
            <w:gridSpan w:val="2"/>
          </w:tcPr>
          <w:p>
            <w:pPr>
              <w:spacing w:after="0"/>
              <w:rPr>
                <w:sz w:val="20"/>
                <w:szCs w:val="20"/>
                <w:color w:val="auto"/>
              </w:rPr>
            </w:pPr>
            <w:r>
              <w:rPr>
                <w:rFonts w:ascii="Arial" w:cs="Arial" w:eastAsia="Arial" w:hAnsi="Arial"/>
                <w:sz w:val="18"/>
                <w:szCs w:val="18"/>
                <w:color w:val="auto"/>
              </w:rPr>
              <w:t>Guo Shoujing Road No.498, Zhang Jiang High Tech Park, Pudong, Shanghai</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Contact number:</w:t>
            </w:r>
          </w:p>
        </w:tc>
        <w:tc>
          <w:tcPr>
            <w:tcW w:w="7580" w:type="dxa"/>
            <w:vAlign w:val="bottom"/>
          </w:tcPr>
          <w:p>
            <w:pPr>
              <w:ind w:left="840"/>
              <w:spacing w:after="0"/>
              <w:rPr>
                <w:sz w:val="20"/>
                <w:szCs w:val="20"/>
                <w:color w:val="auto"/>
              </w:rPr>
            </w:pPr>
            <w:r>
              <w:rPr>
                <w:rFonts w:ascii="Arial" w:cs="Arial" w:eastAsia="Arial" w:hAnsi="Arial"/>
                <w:sz w:val="18"/>
                <w:szCs w:val="18"/>
                <w:color w:val="auto"/>
              </w:rPr>
              <w:t>Contact number:</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Boyun Road No.2, Pudong, Shanghai</w:t>
            </w:r>
          </w:p>
        </w:tc>
        <w:tc>
          <w:tcPr>
            <w:tcW w:w="7580" w:type="dxa"/>
            <w:vAlign w:val="bottom"/>
          </w:tcPr>
          <w:p>
            <w:pPr>
              <w:spacing w:after="0"/>
              <w:rPr>
                <w:sz w:val="24"/>
                <w:szCs w:val="24"/>
                <w:color w:val="auto"/>
              </w:rPr>
            </w:pPr>
          </w:p>
        </w:tc>
      </w:tr>
      <w:tr>
        <w:trPr>
          <w:trHeight w:val="414"/>
        </w:trPr>
        <w:tc>
          <w:tcPr>
            <w:tcW w:w="3660" w:type="dxa"/>
            <w:vAlign w:val="bottom"/>
          </w:tcPr>
          <w:p>
            <w:pPr>
              <w:spacing w:after="0"/>
              <w:rPr>
                <w:sz w:val="20"/>
                <w:szCs w:val="20"/>
                <w:color w:val="auto"/>
              </w:rPr>
            </w:pPr>
            <w:r>
              <w:rPr>
                <w:rFonts w:ascii="Arial" w:cs="Arial" w:eastAsia="Arial" w:hAnsi="Arial"/>
                <w:sz w:val="18"/>
                <w:szCs w:val="18"/>
                <w:color w:val="auto"/>
              </w:rPr>
              <w:t>Postcode:</w:t>
            </w:r>
          </w:p>
        </w:tc>
        <w:tc>
          <w:tcPr>
            <w:tcW w:w="7580" w:type="dxa"/>
            <w:vAlign w:val="bottom"/>
          </w:tcPr>
          <w:p>
            <w:pPr>
              <w:ind w:left="840"/>
              <w:spacing w:after="0"/>
              <w:rPr>
                <w:sz w:val="20"/>
                <w:szCs w:val="20"/>
                <w:color w:val="auto"/>
              </w:rPr>
            </w:pPr>
            <w:r>
              <w:rPr>
                <w:rFonts w:ascii="Arial" w:cs="Arial" w:eastAsia="Arial" w:hAnsi="Arial"/>
                <w:sz w:val="18"/>
                <w:szCs w:val="18"/>
                <w:color w:val="auto"/>
              </w:rPr>
              <w:t>Postcode:</w:t>
            </w: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201213</w:t>
            </w:r>
          </w:p>
        </w:tc>
        <w:tc>
          <w:tcPr>
            <w:tcW w:w="7580" w:type="dxa"/>
            <w:vAlign w:val="bottom"/>
          </w:tcPr>
          <w:p>
            <w:pPr>
              <w:spacing w:after="0"/>
              <w:rPr>
                <w:sz w:val="18"/>
                <w:szCs w:val="18"/>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Phone:</w:t>
            </w:r>
          </w:p>
        </w:tc>
        <w:tc>
          <w:tcPr>
            <w:tcW w:w="7580" w:type="dxa"/>
            <w:vAlign w:val="bottom"/>
          </w:tcPr>
          <w:p>
            <w:pPr>
              <w:ind w:left="840"/>
              <w:spacing w:after="0"/>
              <w:rPr>
                <w:sz w:val="20"/>
                <w:szCs w:val="20"/>
                <w:color w:val="auto"/>
              </w:rPr>
            </w:pPr>
            <w:r>
              <w:rPr>
                <w:rFonts w:ascii="Arial" w:cs="Arial" w:eastAsia="Arial" w:hAnsi="Arial"/>
                <w:sz w:val="18"/>
                <w:szCs w:val="18"/>
                <w:color w:val="auto"/>
              </w:rPr>
              <w:t>Phone:</w:t>
            </w: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61821818</w:t>
            </w:r>
          </w:p>
        </w:tc>
        <w:tc>
          <w:tcPr>
            <w:tcW w:w="7580" w:type="dxa"/>
            <w:vAlign w:val="bottom"/>
          </w:tcPr>
          <w:p>
            <w:pPr>
              <w:spacing w:after="0"/>
              <w:rPr>
                <w:sz w:val="18"/>
                <w:szCs w:val="18"/>
                <w:color w:val="auto"/>
              </w:rPr>
            </w:pPr>
          </w:p>
        </w:tc>
      </w:tr>
      <w:tr>
        <w:trPr>
          <w:trHeight w:val="226"/>
        </w:trPr>
        <w:tc>
          <w:tcPr>
            <w:tcW w:w="3660" w:type="dxa"/>
            <w:vAlign w:val="bottom"/>
          </w:tcPr>
          <w:p>
            <w:pPr>
              <w:spacing w:after="0"/>
              <w:rPr>
                <w:sz w:val="20"/>
                <w:szCs w:val="20"/>
                <w:color w:val="auto"/>
              </w:rPr>
            </w:pPr>
            <w:r>
              <w:rPr>
                <w:rFonts w:ascii="Arial" w:cs="Arial" w:eastAsia="Arial" w:hAnsi="Arial"/>
                <w:sz w:val="18"/>
                <w:szCs w:val="18"/>
                <w:color w:val="auto"/>
              </w:rPr>
              <w:t>Delegate Agent:</w:t>
            </w:r>
          </w:p>
        </w:tc>
        <w:tc>
          <w:tcPr>
            <w:tcW w:w="7580" w:type="dxa"/>
            <w:vAlign w:val="bottom"/>
          </w:tcPr>
          <w:p>
            <w:pPr>
              <w:ind w:left="840"/>
              <w:spacing w:after="0"/>
              <w:rPr>
                <w:sz w:val="20"/>
                <w:szCs w:val="20"/>
                <w:color w:val="auto"/>
              </w:rPr>
            </w:pPr>
            <w:r>
              <w:rPr>
                <w:rFonts w:ascii="Arial" w:cs="Arial" w:eastAsia="Arial" w:hAnsi="Arial"/>
                <w:sz w:val="18"/>
                <w:szCs w:val="18"/>
                <w:color w:val="auto"/>
              </w:rPr>
              <w:t>Delegate Agent:</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Signature and seal:</w:t>
            </w:r>
          </w:p>
        </w:tc>
        <w:tc>
          <w:tcPr>
            <w:tcW w:w="7580" w:type="dxa"/>
            <w:vAlign w:val="bottom"/>
          </w:tcPr>
          <w:p>
            <w:pPr>
              <w:ind w:left="840"/>
              <w:spacing w:after="0"/>
              <w:rPr>
                <w:sz w:val="20"/>
                <w:szCs w:val="20"/>
                <w:color w:val="auto"/>
              </w:rPr>
            </w:pPr>
            <w:r>
              <w:rPr>
                <w:rFonts w:ascii="Arial" w:cs="Arial" w:eastAsia="Arial" w:hAnsi="Arial"/>
                <w:sz w:val="18"/>
                <w:szCs w:val="18"/>
                <w:color w:val="auto"/>
              </w:rPr>
              <w:t>Signature and seal:</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Date of contracting: September 5, 2023</w:t>
            </w:r>
          </w:p>
        </w:tc>
        <w:tc>
          <w:tcPr>
            <w:tcW w:w="7580" w:type="dxa"/>
            <w:vAlign w:val="bottom"/>
          </w:tcPr>
          <w:p>
            <w:pPr>
              <w:ind w:left="840"/>
              <w:spacing w:after="0"/>
              <w:rPr>
                <w:sz w:val="20"/>
                <w:szCs w:val="20"/>
                <w:color w:val="auto"/>
              </w:rPr>
            </w:pPr>
            <w:r>
              <w:rPr>
                <w:rFonts w:ascii="Arial" w:cs="Arial" w:eastAsia="Arial" w:hAnsi="Arial"/>
                <w:sz w:val="18"/>
                <w:szCs w:val="18"/>
                <w:color w:val="auto"/>
              </w:rPr>
              <w:t>Date of contracting:</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Place of contract:</w:t>
            </w:r>
          </w:p>
        </w:tc>
        <w:tc>
          <w:tcPr>
            <w:tcW w:w="7580" w:type="dxa"/>
            <w:vAlign w:val="bottom"/>
          </w:tcPr>
          <w:p>
            <w:pPr>
              <w:ind w:left="840"/>
              <w:spacing w:after="0"/>
              <w:rPr>
                <w:sz w:val="20"/>
                <w:szCs w:val="20"/>
                <w:color w:val="auto"/>
              </w:rPr>
            </w:pPr>
            <w:r>
              <w:rPr>
                <w:rFonts w:ascii="Arial" w:cs="Arial" w:eastAsia="Arial" w:hAnsi="Arial"/>
                <w:sz w:val="18"/>
                <w:szCs w:val="18"/>
                <w:color w:val="auto"/>
              </w:rPr>
              <w:t>Place of contract:</w:t>
            </w:r>
          </w:p>
        </w:tc>
      </w:tr>
      <w:tr>
        <w:trPr>
          <w:trHeight w:val="427"/>
        </w:trPr>
        <w:tc>
          <w:tcPr>
            <w:tcW w:w="3660" w:type="dxa"/>
            <w:vAlign w:val="bottom"/>
          </w:tcPr>
          <w:p>
            <w:pPr>
              <w:spacing w:after="0"/>
              <w:rPr>
                <w:sz w:val="20"/>
                <w:szCs w:val="20"/>
                <w:color w:val="auto"/>
              </w:rPr>
            </w:pPr>
            <w:r>
              <w:rPr>
                <w:rFonts w:ascii="Arial" w:cs="Arial" w:eastAsia="Arial" w:hAnsi="Arial"/>
                <w:sz w:val="18"/>
                <w:szCs w:val="18"/>
                <w:color w:val="auto"/>
              </w:rPr>
              <w:t>Pudong New Area, Shanghai, China</w:t>
            </w:r>
          </w:p>
        </w:tc>
        <w:tc>
          <w:tcPr>
            <w:tcW w:w="7580" w:type="dxa"/>
            <w:vAlign w:val="bottom"/>
          </w:tcPr>
          <w:p>
            <w:pPr>
              <w:ind w:left="840"/>
              <w:spacing w:after="0"/>
              <w:rPr>
                <w:sz w:val="20"/>
                <w:szCs w:val="20"/>
                <w:color w:val="auto"/>
              </w:rPr>
            </w:pPr>
            <w:r>
              <w:rPr>
                <w:rFonts w:ascii="Arial" w:cs="Arial" w:eastAsia="Arial" w:hAnsi="Arial"/>
                <w:sz w:val="18"/>
                <w:szCs w:val="18"/>
                <w:color w:val="auto"/>
              </w:rPr>
              <w:t>Pudong New Area, Shanghai, China</w:t>
            </w:r>
          </w:p>
        </w:tc>
      </w:tr>
      <w:tr>
        <w:trPr>
          <w:trHeight w:val="649"/>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NO:ZL(R)20210069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ChinaLink Professional Services Co., Ltd.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house which is rented to Party B by Party A is located in Room 18201/18202/18203/18204/18205/18206/18207/18208, Building 18,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88"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75" w:lineRule="exact"/>
        <w:rPr>
          <w:sz w:val="20"/>
          <w:szCs w:val="20"/>
          <w:color w:val="auto"/>
        </w:rPr>
      </w:pPr>
    </w:p>
    <w:p>
      <w:pPr>
        <w:jc w:val="both"/>
        <w:ind w:left="640" w:hanging="639"/>
        <w:spacing w:after="0" w:line="296"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6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398780</wp:posOffset>
            </wp:positionV>
            <wp:extent cx="713422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2. Rental Purposes</w:t>
      </w:r>
    </w:p>
    <w:p>
      <w:pPr>
        <w:spacing w:after="0" w:line="220" w:lineRule="exact"/>
        <w:rPr>
          <w:sz w:val="20"/>
          <w:szCs w:val="20"/>
          <w:color w:val="auto"/>
        </w:rPr>
      </w:pPr>
    </w:p>
    <w:p>
      <w:pPr>
        <w:ind w:left="640" w:right="20" w:hanging="639"/>
        <w:spacing w:after="0" w:line="300"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52" w:lineRule="exact"/>
        <w:rPr>
          <w:sz w:val="20"/>
          <w:szCs w:val="20"/>
          <w:color w:val="auto"/>
        </w:rPr>
      </w:pPr>
    </w:p>
    <w:p>
      <w:pPr>
        <w:ind w:left="640" w:hanging="639"/>
        <w:spacing w:after="0" w:line="270"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 Renewal Term</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Contract is a renewal contract based on the original contract (No. ZL(R)20190043) which was signed for renting the House.</w:t>
      </w:r>
    </w:p>
    <w:p>
      <w:pPr>
        <w:spacing w:after="0" w:line="19" w:lineRule="exact"/>
        <w:rPr>
          <w:sz w:val="20"/>
          <w:szCs w:val="20"/>
          <w:color w:val="auto"/>
        </w:rPr>
      </w:pPr>
    </w:p>
    <w:p>
      <w:pPr>
        <w:ind w:left="640" w:hanging="639"/>
        <w:spacing w:after="0" w:line="207" w:lineRule="auto"/>
        <w:tabs>
          <w:tab w:leader="none" w:pos="620" w:val="left"/>
        </w:tabs>
        <w:rPr>
          <w:sz w:val="20"/>
          <w:szCs w:val="20"/>
          <w:color w:val="auto"/>
        </w:rPr>
      </w:pPr>
      <w:r>
        <w:rPr>
          <w:rFonts w:ascii="Arial" w:cs="Arial" w:eastAsia="Arial" w:hAnsi="Arial"/>
          <w:sz w:val="35"/>
          <w:szCs w:val="35"/>
          <w:color w:val="auto"/>
          <w:vertAlign w:val="superscript"/>
        </w:rPr>
        <w:t>3-2</w:t>
      </w:r>
      <w:r>
        <w:rPr>
          <w:sz w:val="20"/>
          <w:szCs w:val="20"/>
          <w:color w:val="auto"/>
        </w:rPr>
        <w:tab/>
      </w:r>
      <w:r>
        <w:rPr>
          <w:rFonts w:ascii="Arial" w:cs="Arial" w:eastAsia="Arial" w:hAnsi="Arial"/>
          <w:sz w:val="18"/>
          <w:szCs w:val="18"/>
          <w:color w:val="auto"/>
        </w:rPr>
        <w:t>The renewal term is from July 1</w:t>
      </w:r>
      <w:r>
        <w:rPr>
          <w:rFonts w:ascii="Arial" w:cs="Arial" w:eastAsia="Arial" w:hAnsi="Arial"/>
          <w:sz w:val="29"/>
          <w:szCs w:val="29"/>
          <w:color w:val="auto"/>
          <w:vertAlign w:val="superscript"/>
        </w:rPr>
        <w:t>st</w:t>
      </w:r>
      <w:r>
        <w:rPr>
          <w:rFonts w:ascii="Arial" w:cs="Arial" w:eastAsia="Arial" w:hAnsi="Arial"/>
          <w:sz w:val="18"/>
          <w:szCs w:val="18"/>
          <w:color w:val="auto"/>
        </w:rPr>
        <w:t>, 2021 (hereinafter referred to as “lease date”) to June 30</w:t>
      </w:r>
      <w:r>
        <w:rPr>
          <w:rFonts w:ascii="Arial" w:cs="Arial" w:eastAsia="Arial" w:hAnsi="Arial"/>
          <w:sz w:val="29"/>
          <w:szCs w:val="29"/>
          <w:color w:val="auto"/>
          <w:vertAlign w:val="superscript"/>
        </w:rPr>
        <w:t>th</w:t>
      </w:r>
      <w:r>
        <w:rPr>
          <w:rFonts w:ascii="Arial" w:cs="Arial" w:eastAsia="Arial" w:hAnsi="Arial"/>
          <w:sz w:val="18"/>
          <w:szCs w:val="18"/>
          <w:color w:val="auto"/>
        </w:rPr>
        <w:t>, 2024 (hereinafter referred to as “terminal date”). The rent will be counted from July 1st, 2021 (hereinafter referred to as “rent date”) to terminal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color w:val="auto"/>
        </w:rPr>
        <w:t>Both Parties agree that the unit rental price is counted according to the daily construction area per square meter.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July 1st, 2021 to July 15</w:t>
      </w:r>
      <w:r>
        <w:rPr>
          <w:rFonts w:ascii="Arial" w:cs="Arial" w:eastAsia="Arial" w:hAnsi="Arial"/>
          <w:sz w:val="29"/>
          <w:szCs w:val="29"/>
          <w:color w:val="auto"/>
          <w:vertAlign w:val="superscript"/>
        </w:rPr>
        <w:t>th</w:t>
      </w:r>
      <w:r>
        <w:rPr>
          <w:rFonts w:ascii="Arial" w:cs="Arial" w:eastAsia="Arial" w:hAnsi="Arial"/>
          <w:sz w:val="18"/>
          <w:szCs w:val="18"/>
          <w:color w:val="auto"/>
        </w:rPr>
        <w:t>, 2021, rent free</w:t>
      </w:r>
    </w:p>
    <w:p>
      <w:pPr>
        <w:ind w:left="640"/>
        <w:spacing w:after="0" w:line="211" w:lineRule="auto"/>
        <w:rPr>
          <w:sz w:val="20"/>
          <w:szCs w:val="20"/>
          <w:color w:val="auto"/>
        </w:rPr>
      </w:pPr>
      <w:r>
        <w:rPr>
          <w:rFonts w:ascii="Arial" w:cs="Arial" w:eastAsia="Arial" w:hAnsi="Arial"/>
          <w:sz w:val="18"/>
          <w:szCs w:val="18"/>
          <w:color w:val="auto"/>
        </w:rPr>
        <w:t>From July 16st, 2021 to June 30</w:t>
      </w:r>
      <w:r>
        <w:rPr>
          <w:rFonts w:ascii="Arial" w:cs="Arial" w:eastAsia="Arial" w:hAnsi="Arial"/>
          <w:sz w:val="29"/>
          <w:szCs w:val="29"/>
          <w:color w:val="auto"/>
          <w:vertAlign w:val="superscript"/>
        </w:rPr>
        <w:t>th</w:t>
      </w:r>
      <w:r>
        <w:rPr>
          <w:rFonts w:ascii="Arial" w:cs="Arial" w:eastAsia="Arial" w:hAnsi="Arial"/>
          <w:sz w:val="18"/>
          <w:szCs w:val="18"/>
          <w:color w:val="auto"/>
        </w:rPr>
        <w:t>, 2022, the unit rental price is RMB 3.86 yuan</w:t>
      </w:r>
    </w:p>
    <w:p>
      <w:pPr>
        <w:ind w:left="640"/>
        <w:spacing w:after="0" w:line="182" w:lineRule="auto"/>
        <w:rPr>
          <w:sz w:val="20"/>
          <w:szCs w:val="20"/>
          <w:color w:val="auto"/>
        </w:rPr>
      </w:pPr>
      <w:r>
        <w:rPr>
          <w:rFonts w:ascii="Arial" w:cs="Arial" w:eastAsia="Arial" w:hAnsi="Arial"/>
          <w:sz w:val="18"/>
          <w:szCs w:val="18"/>
          <w:color w:val="auto"/>
        </w:rPr>
        <w:t>From July 1st, 2022 to June 30</w:t>
      </w:r>
      <w:r>
        <w:rPr>
          <w:rFonts w:ascii="Arial" w:cs="Arial" w:eastAsia="Arial" w:hAnsi="Arial"/>
          <w:sz w:val="29"/>
          <w:szCs w:val="29"/>
          <w:color w:val="auto"/>
          <w:vertAlign w:val="superscript"/>
        </w:rPr>
        <w:t>th</w:t>
      </w:r>
      <w:r>
        <w:rPr>
          <w:rFonts w:ascii="Arial" w:cs="Arial" w:eastAsia="Arial" w:hAnsi="Arial"/>
          <w:sz w:val="18"/>
          <w:szCs w:val="18"/>
          <w:color w:val="auto"/>
        </w:rPr>
        <w:t>, 2023, the unit rental price is RMB 3.98 yuan</w:t>
      </w:r>
    </w:p>
    <w:p>
      <w:pPr>
        <w:ind w:left="640"/>
        <w:spacing w:after="0" w:line="197" w:lineRule="auto"/>
        <w:rPr>
          <w:sz w:val="20"/>
          <w:szCs w:val="20"/>
          <w:color w:val="auto"/>
        </w:rPr>
      </w:pPr>
      <w:r>
        <w:rPr>
          <w:rFonts w:ascii="Arial" w:cs="Arial" w:eastAsia="Arial" w:hAnsi="Arial"/>
          <w:sz w:val="18"/>
          <w:szCs w:val="18"/>
          <w:color w:val="auto"/>
        </w:rPr>
        <w:t>From July 1st, 2023 to June 30</w:t>
      </w:r>
      <w:r>
        <w:rPr>
          <w:rFonts w:ascii="Arial" w:cs="Arial" w:eastAsia="Arial" w:hAnsi="Arial"/>
          <w:sz w:val="29"/>
          <w:szCs w:val="29"/>
          <w:color w:val="auto"/>
          <w:vertAlign w:val="superscript"/>
        </w:rPr>
        <w:t>th</w:t>
      </w:r>
      <w:r>
        <w:rPr>
          <w:rFonts w:ascii="Arial" w:cs="Arial" w:eastAsia="Arial" w:hAnsi="Arial"/>
          <w:sz w:val="18"/>
          <w:szCs w:val="18"/>
          <w:color w:val="auto"/>
        </w:rPr>
        <w:t>, 2024, the unit rental price is RMB 4.08 yuan</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above unit rental prices are tax-inclusive prices)</w:t>
      </w:r>
    </w:p>
    <w:p>
      <w:pPr>
        <w:spacing w:after="0" w:line="220" w:lineRule="exact"/>
        <w:rPr>
          <w:sz w:val="20"/>
          <w:szCs w:val="20"/>
          <w:color w:val="auto"/>
        </w:rPr>
      </w:pPr>
    </w:p>
    <w:p>
      <w:pPr>
        <w:jc w:val="both"/>
        <w:ind w:left="640" w:hanging="639"/>
        <w:spacing w:after="0" w:line="284"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unit rental price the calendar days of the month. The monthly rental amount is rounded to one</w:t>
      </w:r>
    </w:p>
    <w:p>
      <w:pPr>
        <w:jc w:val="both"/>
        <w:ind w:left="640"/>
        <w:spacing w:after="0" w:line="244" w:lineRule="auto"/>
        <w:rPr>
          <w:sz w:val="20"/>
          <w:szCs w:val="20"/>
          <w:color w:val="auto"/>
        </w:rPr>
      </w:pPr>
      <w:r>
        <w:rPr>
          <w:rFonts w:ascii="Arial" w:cs="Arial" w:eastAsia="Arial" w:hAnsi="Arial"/>
          <w:sz w:val="16"/>
          <w:szCs w:val="16"/>
          <w:color w:val="auto"/>
        </w:rPr>
        <w:t>decimal place). 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2" w:lineRule="exact"/>
        <w:rPr>
          <w:sz w:val="20"/>
          <w:szCs w:val="20"/>
          <w:color w:val="auto"/>
        </w:rPr>
      </w:pPr>
    </w:p>
    <w:p>
      <w:pPr>
        <w:jc w:val="both"/>
        <w:ind w:left="640"/>
        <w:spacing w:after="0" w:line="207" w:lineRule="auto"/>
        <w:rPr>
          <w:sz w:val="20"/>
          <w:szCs w:val="20"/>
          <w:color w:val="auto"/>
        </w:rPr>
      </w:pPr>
      <w:r>
        <w:rPr>
          <w:rFonts w:ascii="Arial" w:cs="Arial" w:eastAsia="Arial" w:hAnsi="Arial"/>
          <w:sz w:val="18"/>
          <w:szCs w:val="18"/>
          <w:color w:val="auto"/>
        </w:rPr>
        <w:t>be paid before the10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9" w:name="page220"/>
    <w:bookmarkEnd w:id="219"/>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Party B pays the rent to Party A’s following account by check or transfer: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1001194909004601783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ICBC Shanghai Zhangjiang sub branch</w:t>
      </w:r>
    </w:p>
    <w:p>
      <w:pPr>
        <w:spacing w:after="0" w:line="207"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Party A may entrust a property management company to assist in collecting the rent.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20" w:lineRule="exact"/>
        <w:rPr>
          <w:sz w:val="20"/>
          <w:szCs w:val="20"/>
          <w:color w:val="auto"/>
        </w:rPr>
      </w:pPr>
    </w:p>
    <w:p>
      <w:pPr>
        <w:jc w:val="both"/>
        <w:ind w:left="640" w:hanging="639"/>
        <w:spacing w:after="0" w:line="287"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 462,650 yuan. Party B has paid RMB 437,703 yuan for rental deposit under the original contract, and it will be automatically converted to the deposit under the Contract after the Contract becomes effective. The margin of the deposit is RMB 24,947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0" w:name="page221"/>
    <w:bookmarkEnd w:id="220"/>
    <w:p>
      <w:pPr>
        <w:jc w:val="both"/>
        <w:ind w:left="640"/>
        <w:spacing w:after="0" w:line="271" w:lineRule="auto"/>
        <w:rPr>
          <w:sz w:val="20"/>
          <w:szCs w:val="20"/>
          <w:color w:val="auto"/>
        </w:rPr>
      </w:pPr>
      <w:r>
        <w:rPr>
          <w:rFonts w:ascii="Arial" w:cs="Arial" w:eastAsia="Arial" w:hAnsi="Arial"/>
          <w:sz w:val="17"/>
          <w:szCs w:val="17"/>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77"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8"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20" w:lineRule="exact"/>
        <w:rPr>
          <w:sz w:val="20"/>
          <w:szCs w:val="20"/>
          <w:color w:val="auto"/>
        </w:rPr>
      </w:pPr>
    </w:p>
    <w:p>
      <w:pPr>
        <w:jc w:val="both"/>
        <w:ind w:left="640" w:hanging="639"/>
        <w:spacing w:after="0" w:line="269"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80" w:lineRule="exact"/>
        <w:rPr>
          <w:sz w:val="20"/>
          <w:szCs w:val="20"/>
          <w:color w:val="auto"/>
        </w:rPr>
      </w:pPr>
    </w:p>
    <w:p>
      <w:pPr>
        <w:jc w:val="both"/>
        <w:ind w:left="640" w:hanging="639"/>
        <w:spacing w:after="0" w:line="252"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9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90" w:lineRule="exact"/>
        <w:rPr>
          <w:sz w:val="20"/>
          <w:szCs w:val="20"/>
          <w:color w:val="auto"/>
        </w:rPr>
      </w:pPr>
    </w:p>
    <w:p>
      <w:pPr>
        <w:jc w:val="both"/>
        <w:ind w:left="640" w:hanging="639"/>
        <w:spacing w:after="0" w:line="300"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2" w:name="page223"/>
    <w:bookmarkEnd w:id="222"/>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20" w:lineRule="exact"/>
        <w:rPr>
          <w:sz w:val="20"/>
          <w:szCs w:val="20"/>
          <w:color w:val="auto"/>
        </w:rPr>
      </w:pPr>
    </w:p>
    <w:p>
      <w:pPr>
        <w:jc w:val="both"/>
        <w:ind w:left="640" w:hanging="639"/>
        <w:spacing w:after="0" w:line="292"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9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3" w:name="page224"/>
    <w:bookmarkEnd w:id="223"/>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8" w:lineRule="exact"/>
        <w:rPr>
          <w:sz w:val="20"/>
          <w:szCs w:val="20"/>
          <w:color w:val="auto"/>
        </w:rPr>
      </w:pPr>
    </w:p>
    <w:p>
      <w:pPr>
        <w:jc w:val="both"/>
        <w:ind w:left="640" w:hanging="639"/>
        <w:spacing w:after="0" w:line="271" w:lineRule="auto"/>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20"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90" w:lineRule="exact"/>
        <w:rPr>
          <w:sz w:val="20"/>
          <w:szCs w:val="20"/>
          <w:color w:val="auto"/>
        </w:rPr>
      </w:pPr>
    </w:p>
    <w:p>
      <w:pPr>
        <w:jc w:val="both"/>
        <w:ind w:left="640" w:hanging="639"/>
        <w:spacing w:after="0" w:line="306"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9. Sublet, Mix, Transfer and Exchange</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86" w:lineRule="exact"/>
        <w:rPr>
          <w:sz w:val="20"/>
          <w:szCs w:val="20"/>
          <w:color w:val="auto"/>
        </w:rPr>
      </w:pPr>
    </w:p>
    <w:p>
      <w:pPr>
        <w:jc w:val="both"/>
        <w:ind w:left="640" w:hanging="639"/>
        <w:spacing w:after="0" w:line="306"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20" w:lineRule="exact"/>
        <w:rPr>
          <w:sz w:val="20"/>
          <w:szCs w:val="20"/>
          <w:color w:val="auto"/>
        </w:rPr>
      </w:pPr>
    </w:p>
    <w:p>
      <w:pPr>
        <w:jc w:val="both"/>
        <w:ind w:left="640" w:hanging="639"/>
        <w:spacing w:after="0" w:line="271"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77"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Party B shall return the House to Party A no later than the expiry date of the lease or the date on which the Contract is terminated prematurely.</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5" w:name="page226"/>
    <w:bookmarkEnd w:id="225"/>
    <w:p>
      <w:pPr>
        <w:jc w:val="both"/>
        <w:ind w:left="640" w:hanging="639"/>
        <w:spacing w:after="0" w:line="25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90" w:lineRule="exact"/>
        <w:rPr>
          <w:sz w:val="20"/>
          <w:szCs w:val="20"/>
          <w:color w:val="auto"/>
        </w:rPr>
      </w:pPr>
    </w:p>
    <w:p>
      <w:pPr>
        <w:jc w:val="both"/>
        <w:ind w:left="640" w:hanging="639"/>
        <w:spacing w:after="0" w:line="286"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86" w:lineRule="exact"/>
        <w:rPr>
          <w:sz w:val="20"/>
          <w:szCs w:val="20"/>
          <w:color w:val="auto"/>
        </w:rPr>
      </w:pPr>
    </w:p>
    <w:p>
      <w:pPr>
        <w:ind w:left="1280" w:hanging="633"/>
        <w:spacing w:after="0" w:line="270" w:lineRule="auto"/>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loss or damage due to expropriation, acquisition, confiscation, nationalization or any force majeure caused by state or government agencies;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6" w:name="page227"/>
    <w:bookmarkEnd w:id="226"/>
    <w:p>
      <w:pPr>
        <w:ind w:left="1280" w:hanging="633"/>
        <w:spacing w:after="0"/>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19"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19" w:lineRule="exact"/>
        <w:rPr>
          <w:rFonts w:ascii="Arial" w:cs="Arial" w:eastAsia="Arial" w:hAnsi="Arial"/>
          <w:sz w:val="18"/>
          <w:szCs w:val="18"/>
          <w:color w:val="auto"/>
        </w:rPr>
      </w:pPr>
    </w:p>
    <w:p>
      <w:pPr>
        <w:ind w:left="1280" w:hanging="633"/>
        <w:spacing w:after="0" w:line="300" w:lineRule="auto"/>
        <w:tabs>
          <w:tab w:leader="none" w:pos="12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51" w:lineRule="exact"/>
        <w:rPr>
          <w:rFonts w:ascii="Arial" w:cs="Arial" w:eastAsia="Arial" w:hAnsi="Arial"/>
          <w:sz w:val="17"/>
          <w:szCs w:val="17"/>
          <w:color w:val="auto"/>
        </w:rPr>
      </w:pPr>
    </w:p>
    <w:p>
      <w:pPr>
        <w:ind w:left="280" w:hanging="273"/>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Party A’s default</w:t>
      </w:r>
    </w:p>
    <w:p>
      <w:pPr>
        <w:spacing w:after="0" w:line="220" w:lineRule="exact"/>
        <w:rPr>
          <w:sz w:val="20"/>
          <w:szCs w:val="20"/>
          <w:color w:val="auto"/>
        </w:rPr>
      </w:pPr>
    </w:p>
    <w:p>
      <w:pPr>
        <w:ind w:left="1280" w:hanging="633"/>
        <w:spacing w:after="0" w:line="270"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74"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86" w:lineRule="exact"/>
        <w:rPr>
          <w:rFonts w:ascii="Arial" w:cs="Arial" w:eastAsia="Arial" w:hAnsi="Arial"/>
          <w:sz w:val="18"/>
          <w:szCs w:val="18"/>
          <w:color w:val="auto"/>
        </w:rPr>
      </w:pPr>
    </w:p>
    <w:p>
      <w:pPr>
        <w:jc w:val="both"/>
        <w:ind w:left="1280" w:hanging="633"/>
        <w:spacing w:after="0" w:line="252"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7" w:name="page228"/>
    <w:bookmarkEnd w:id="227"/>
    <w:p>
      <w:pPr>
        <w:spacing w:after="0"/>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Party B’s default</w:t>
      </w:r>
    </w:p>
    <w:p>
      <w:pPr>
        <w:spacing w:after="0" w:line="220" w:lineRule="exact"/>
        <w:rPr>
          <w:sz w:val="20"/>
          <w:szCs w:val="20"/>
          <w:color w:val="auto"/>
        </w:rPr>
      </w:pPr>
    </w:p>
    <w:p>
      <w:pPr>
        <w:jc w:val="both"/>
        <w:ind w:left="1280" w:hanging="633"/>
        <w:spacing w:after="0" w:line="255"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87" w:lineRule="exact"/>
        <w:rPr>
          <w:rFonts w:ascii="Arial" w:cs="Arial" w:eastAsia="Arial" w:hAnsi="Arial"/>
          <w:sz w:val="18"/>
          <w:szCs w:val="18"/>
          <w:color w:val="auto"/>
        </w:rPr>
      </w:pPr>
    </w:p>
    <w:p>
      <w:pPr>
        <w:jc w:val="both"/>
        <w:ind w:left="1280" w:hanging="633"/>
        <w:spacing w:after="0" w:line="255"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87" w:lineRule="exact"/>
        <w:rPr>
          <w:rFonts w:ascii="Arial" w:cs="Arial" w:eastAsia="Arial" w:hAnsi="Arial"/>
          <w:sz w:val="18"/>
          <w:szCs w:val="18"/>
          <w:color w:val="auto"/>
        </w:rPr>
      </w:pPr>
    </w:p>
    <w:p>
      <w:pPr>
        <w:jc w:val="both"/>
        <w:ind w:left="1280" w:right="20" w:hanging="633"/>
        <w:spacing w:after="0" w:line="333" w:lineRule="auto"/>
        <w:tabs>
          <w:tab w:leader="none" w:pos="12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29" w:lineRule="exact"/>
        <w:rPr>
          <w:rFonts w:ascii="Arial" w:cs="Arial" w:eastAsia="Arial" w:hAnsi="Arial"/>
          <w:sz w:val="16"/>
          <w:szCs w:val="16"/>
          <w:color w:val="auto"/>
        </w:rPr>
      </w:pPr>
    </w:p>
    <w:p>
      <w:pPr>
        <w:jc w:val="both"/>
        <w:ind w:left="1280" w:hanging="633"/>
        <w:spacing w:after="0" w:line="292" w:lineRule="auto"/>
        <w:tabs>
          <w:tab w:leader="none" w:pos="12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61" w:lineRule="exact"/>
        <w:rPr>
          <w:rFonts w:ascii="Arial" w:cs="Arial" w:eastAsia="Arial" w:hAnsi="Arial"/>
          <w:sz w:val="16"/>
          <w:szCs w:val="16"/>
          <w:color w:val="auto"/>
        </w:rPr>
      </w:pPr>
    </w:p>
    <w:p>
      <w:pPr>
        <w:ind w:left="1280"/>
        <w:spacing w:after="0" w:line="270" w:lineRule="auto"/>
        <w:rPr>
          <w:rFonts w:ascii="Arial" w:cs="Arial" w:eastAsia="Arial" w:hAnsi="Arial"/>
          <w:sz w:val="16"/>
          <w:szCs w:val="16"/>
          <w:color w:val="auto"/>
        </w:rPr>
      </w:pPr>
      <w:r>
        <w:rPr>
          <w:rFonts w:ascii="Arial" w:cs="Arial" w:eastAsia="Arial" w:hAnsi="Arial"/>
          <w:sz w:val="18"/>
          <w:szCs w:val="18"/>
          <w:color w:val="auto"/>
        </w:rPr>
        <w:t>Retirement refers to the behavior that Party B decides to terminate the lease relationship early for its own reasons, limited to a written statement.</w:t>
      </w:r>
    </w:p>
    <w:p>
      <w:pPr>
        <w:spacing w:after="0" w:line="174" w:lineRule="exact"/>
        <w:rPr>
          <w:rFonts w:ascii="Arial" w:cs="Arial" w:eastAsia="Arial" w:hAnsi="Arial"/>
          <w:sz w:val="16"/>
          <w:szCs w:val="16"/>
          <w:color w:val="auto"/>
        </w:rPr>
      </w:pPr>
    </w:p>
    <w:p>
      <w:pPr>
        <w:jc w:val="both"/>
        <w:ind w:left="1280" w:hanging="633"/>
        <w:spacing w:after="0" w:line="258" w:lineRule="auto"/>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Party A has right to request Party B to compensate Party A for the losses suffered thereby, if Party B takes the following actions:</w:t>
      </w:r>
    </w:p>
    <w:p>
      <w:pPr>
        <w:spacing w:after="0" w:line="231" w:lineRule="exact"/>
        <w:rPr>
          <w:rFonts w:ascii="Arial" w:cs="Arial" w:eastAsia="Arial" w:hAnsi="Arial"/>
          <w:sz w:val="17"/>
          <w:szCs w:val="17"/>
          <w:color w:val="auto"/>
        </w:rPr>
      </w:pPr>
    </w:p>
    <w:p>
      <w:pPr>
        <w:ind w:left="1920" w:hanging="632"/>
        <w:spacing w:after="0"/>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8" w:name="page229"/>
    <w:bookmarkEnd w:id="228"/>
    <w:p>
      <w:pPr>
        <w:ind w:left="1920" w:hanging="632"/>
        <w:spacing w:after="0"/>
        <w:tabs>
          <w:tab w:leader="none" w:pos="19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19" w:lineRule="exact"/>
        <w:rPr>
          <w:rFonts w:ascii="Arial" w:cs="Arial" w:eastAsia="Arial" w:hAnsi="Arial"/>
          <w:sz w:val="18"/>
          <w:szCs w:val="18"/>
          <w:color w:val="auto"/>
        </w:rPr>
      </w:pPr>
    </w:p>
    <w:p>
      <w:pPr>
        <w:jc w:val="both"/>
        <w:ind w:left="1920" w:hanging="632"/>
        <w:spacing w:after="0" w:line="258" w:lineRule="auto"/>
        <w:tabs>
          <w:tab w:leader="none" w:pos="19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6" w:lineRule="exact"/>
        <w:rPr>
          <w:rFonts w:ascii="Arial" w:cs="Arial" w:eastAsia="Arial" w:hAnsi="Arial"/>
          <w:sz w:val="18"/>
          <w:szCs w:val="18"/>
          <w:color w:val="auto"/>
        </w:rPr>
      </w:pPr>
    </w:p>
    <w:p>
      <w:pPr>
        <w:ind w:left="280" w:hanging="273"/>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20" w:lineRule="exact"/>
        <w:rPr>
          <w:sz w:val="20"/>
          <w:szCs w:val="20"/>
          <w:color w:val="auto"/>
        </w:rPr>
      </w:pPr>
    </w:p>
    <w:p>
      <w:pPr>
        <w:jc w:val="both"/>
        <w:ind w:left="640" w:hanging="639"/>
        <w:spacing w:after="0" w:line="289"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5"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20"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9" w:name="page230"/>
    <w:bookmarkEnd w:id="229"/>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175" w:lineRule="exact"/>
        <w:rPr>
          <w:rFonts w:ascii="Arial" w:cs="Arial" w:eastAsia="Arial" w:hAnsi="Arial"/>
          <w:sz w:val="18"/>
          <w:szCs w:val="18"/>
          <w:color w:val="auto"/>
        </w:rPr>
      </w:pPr>
    </w:p>
    <w:p>
      <w:pPr>
        <w:ind w:left="1280" w:hanging="633"/>
        <w:spacing w:after="0" w:line="242" w:lineRule="exact"/>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02" w:lineRule="exact"/>
        <w:rPr>
          <w:rFonts w:ascii="Arial" w:cs="Arial" w:eastAsia="Arial" w:hAnsi="Arial"/>
          <w:sz w:val="18"/>
          <w:szCs w:val="18"/>
          <w:color w:val="auto"/>
        </w:rPr>
      </w:pPr>
    </w:p>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19" w:lineRule="exact"/>
        <w:rPr>
          <w:rFonts w:ascii="Arial" w:cs="Arial" w:eastAsia="Arial" w:hAnsi="Arial"/>
          <w:sz w:val="18"/>
          <w:szCs w:val="18"/>
          <w:color w:val="auto"/>
        </w:rPr>
      </w:pPr>
    </w:p>
    <w:p>
      <w:pPr>
        <w:ind w:left="1280" w:right="20" w:hanging="633"/>
        <w:spacing w:after="0" w:line="270"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74" w:lineRule="exact"/>
        <w:rPr>
          <w:rFonts w:ascii="Arial" w:cs="Arial" w:eastAsia="Arial" w:hAnsi="Arial"/>
          <w:sz w:val="18"/>
          <w:szCs w:val="18"/>
          <w:color w:val="auto"/>
        </w:rPr>
      </w:pPr>
    </w:p>
    <w:p>
      <w:pPr>
        <w:ind w:left="1280" w:hanging="633"/>
        <w:spacing w:after="0" w:line="333" w:lineRule="auto"/>
        <w:tabs>
          <w:tab w:leader="none" w:pos="12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29" w:lineRule="exact"/>
        <w:rPr>
          <w:rFonts w:ascii="Arial" w:cs="Arial" w:eastAsia="Arial" w:hAnsi="Arial"/>
          <w:sz w:val="16"/>
          <w:szCs w:val="16"/>
          <w:color w:val="auto"/>
        </w:rPr>
      </w:pPr>
    </w:p>
    <w:p>
      <w:pPr>
        <w:ind w:left="1280" w:right="20" w:hanging="633"/>
        <w:spacing w:after="0" w:line="270"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20" w:lineRule="exact"/>
        <w:rPr>
          <w:sz w:val="20"/>
          <w:szCs w:val="20"/>
          <w:color w:val="auto"/>
        </w:rPr>
      </w:pPr>
    </w:p>
    <w:p>
      <w:pPr>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Both Parties agree that the Contract is terminated under the following situations, and neither of them should be responsible for the termination.</w:t>
      </w:r>
    </w:p>
    <w:p>
      <w:pPr>
        <w:spacing w:after="0" w:line="220" w:lineRule="exact"/>
        <w:rPr>
          <w:sz w:val="20"/>
          <w:szCs w:val="20"/>
          <w:color w:val="auto"/>
        </w:rPr>
      </w:pPr>
    </w:p>
    <w:p>
      <w:pPr>
        <w:ind w:left="1280" w:hanging="633"/>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16. Statements and Guarantees</w:t>
      </w:r>
    </w:p>
    <w:p>
      <w:pPr>
        <w:spacing w:after="0" w:line="220" w:lineRule="exact"/>
        <w:rPr>
          <w:sz w:val="20"/>
          <w:szCs w:val="20"/>
          <w:color w:val="auto"/>
        </w:rPr>
      </w:pPr>
    </w:p>
    <w:p>
      <w:pPr>
        <w:ind w:left="640" w:hanging="633"/>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74"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74"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19" w:lineRule="exact"/>
        <w:rPr>
          <w:rFonts w:ascii="Arial" w:cs="Arial" w:eastAsia="Arial" w:hAnsi="Arial"/>
          <w:sz w:val="18"/>
          <w:szCs w:val="18"/>
          <w:color w:val="auto"/>
        </w:rPr>
      </w:pPr>
    </w:p>
    <w:p>
      <w:pPr>
        <w:ind w:left="1280" w:hanging="633"/>
        <w:spacing w:after="0" w:line="333" w:lineRule="auto"/>
        <w:tabs>
          <w:tab w:leader="none" w:pos="12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29" w:lineRule="exact"/>
        <w:rPr>
          <w:rFonts w:ascii="Arial" w:cs="Arial" w:eastAsia="Arial" w:hAnsi="Arial"/>
          <w:sz w:val="16"/>
          <w:szCs w:val="16"/>
          <w:color w:val="auto"/>
        </w:rPr>
      </w:pPr>
    </w:p>
    <w:p>
      <w:pPr>
        <w:ind w:left="1280" w:hanging="633"/>
        <w:spacing w:after="0" w:line="300" w:lineRule="auto"/>
        <w:tabs>
          <w:tab w:leader="none" w:pos="12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20" w:lineRule="exact"/>
        <w:rPr>
          <w:sz w:val="20"/>
          <w:szCs w:val="20"/>
          <w:color w:val="auto"/>
        </w:rPr>
      </w:pPr>
    </w:p>
    <w:p>
      <w:pPr>
        <w:jc w:val="both"/>
        <w:ind w:left="640" w:hanging="639"/>
        <w:spacing w:after="0" w:line="216" w:lineRule="exact"/>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7"/>
          <w:szCs w:val="17"/>
          <w:color w:val="auto"/>
        </w:rPr>
        <w:t>Ⅲ</w:t>
      </w:r>
      <w:r>
        <w:rPr>
          <w:rFonts w:ascii="Arial" w:cs="Arial" w:eastAsia="Arial" w:hAnsi="Arial"/>
          <w:sz w:val="17"/>
          <w:szCs w:val="17"/>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1" w:name="page232"/>
    <w:bookmarkEnd w:id="231"/>
    <w:p>
      <w:pPr>
        <w:jc w:val="both"/>
        <w:ind w:left="640" w:hanging="639"/>
        <w:spacing w:after="0" w:line="333"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Party B’s safety records shall be used as a reference for Party B’s priority rights such as renewal and extension of lease (if 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4"/>
          <w:szCs w:val="14"/>
          <w:color w:val="auto"/>
        </w:rPr>
        <w:t>The Contract takes effect immediately after both parties have signed and sealed the contract.</w:t>
      </w:r>
    </w:p>
    <w:p>
      <w:pPr>
        <w:spacing w:after="0" w:line="220"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67" w:lineRule="exact"/>
        <w:rPr>
          <w:sz w:val="20"/>
          <w:szCs w:val="20"/>
          <w:color w:val="auto"/>
        </w:rPr>
      </w:pPr>
    </w:p>
    <w:p>
      <w:pPr>
        <w:jc w:val="both"/>
        <w:ind w:left="640" w:hanging="639"/>
        <w:spacing w:after="0" w:line="333"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30" w:lineRule="exact"/>
        <w:rPr>
          <w:sz w:val="20"/>
          <w:szCs w:val="20"/>
          <w:color w:val="auto"/>
        </w:rPr>
      </w:pPr>
    </w:p>
    <w:p>
      <w:pPr>
        <w:jc w:val="both"/>
        <w:ind w:left="640" w:right="20" w:hanging="639"/>
        <w:spacing w:after="0" w:line="333"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30" w:lineRule="exact"/>
        <w:rPr>
          <w:sz w:val="20"/>
          <w:szCs w:val="20"/>
          <w:color w:val="auto"/>
        </w:rPr>
      </w:pPr>
    </w:p>
    <w:p>
      <w:pPr>
        <w:ind w:left="1020" w:hanging="373"/>
        <w:spacing w:after="0"/>
        <w:tabs>
          <w:tab w:leader="none" w:pos="1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19" w:lineRule="exact"/>
        <w:rPr>
          <w:rFonts w:ascii="Arial" w:cs="Arial" w:eastAsia="Arial" w:hAnsi="Arial"/>
          <w:sz w:val="18"/>
          <w:szCs w:val="18"/>
          <w:color w:val="auto"/>
        </w:rPr>
      </w:pPr>
    </w:p>
    <w:p>
      <w:pPr>
        <w:ind w:left="1020" w:hanging="373"/>
        <w:spacing w:after="0"/>
        <w:tabs>
          <w:tab w:leader="none" w:pos="1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20"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Contract has four copies with the Annex, and Party A, Party B, the business department, the tax department each hold a copy. All of them have the same effect.</w:t>
      </w:r>
    </w:p>
    <w:p>
      <w:pPr>
        <w:spacing w:after="0" w:line="175"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75"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2" w:name="page233"/>
    <w:bookmarkEnd w:id="232"/>
    <w:p>
      <w:pPr>
        <w:jc w:val="center"/>
        <w:ind w:right="1120"/>
        <w:spacing w:after="0"/>
        <w:rPr>
          <w:sz w:val="20"/>
          <w:szCs w:val="20"/>
          <w:color w:val="auto"/>
        </w:rPr>
      </w:pPr>
      <w:r>
        <w:rPr>
          <w:rFonts w:ascii="Arial" w:cs="Arial" w:eastAsia="Arial" w:hAnsi="Arial"/>
          <w:sz w:val="18"/>
          <w:szCs w:val="18"/>
          <w:color w:val="auto"/>
        </w:rPr>
        <w:t>Annex I</w:t>
      </w:r>
    </w:p>
    <w:p>
      <w:pPr>
        <w:spacing w:after="0" w:line="2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Plan of the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233" w:name="page234"/>
    <w:bookmarkEnd w:id="233"/>
    <w:p>
      <w:pPr>
        <w:jc w:val="center"/>
        <w:ind w:right="40"/>
        <w:spacing w:after="0"/>
        <w:rPr>
          <w:sz w:val="20"/>
          <w:szCs w:val="20"/>
          <w:color w:val="auto"/>
        </w:rPr>
      </w:pPr>
      <w:r>
        <w:rPr>
          <w:rFonts w:ascii="Arial" w:cs="Arial" w:eastAsia="Arial" w:hAnsi="Arial"/>
          <w:sz w:val="18"/>
          <w:szCs w:val="18"/>
          <w:color w:val="auto"/>
        </w:rPr>
        <w:t>Annex II</w:t>
      </w:r>
    </w:p>
    <w:p>
      <w:pPr>
        <w:spacing w:after="0" w:line="220" w:lineRule="exact"/>
        <w:rPr>
          <w:sz w:val="20"/>
          <w:szCs w:val="20"/>
          <w:color w:val="auto"/>
        </w:rPr>
      </w:pPr>
    </w:p>
    <w:p>
      <w:pPr>
        <w:jc w:val="center"/>
        <w:ind w:right="40"/>
        <w:spacing w:after="0" w:line="270"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713422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60" w:top="899"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color w:val="auto"/>
        </w:rPr>
        <w:t>Annex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67" w:lineRule="exact"/>
        <w:rPr>
          <w:sz w:val="20"/>
          <w:szCs w:val="20"/>
          <w:color w:val="auto"/>
        </w:rPr>
      </w:pPr>
    </w:p>
    <w:p>
      <w:pPr>
        <w:ind w:left="640" w:hanging="633"/>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19" w:lineRule="exact"/>
        <w:rPr>
          <w:rFonts w:ascii="Arial" w:cs="Arial" w:eastAsia="Arial" w:hAnsi="Arial"/>
          <w:sz w:val="18"/>
          <w:szCs w:val="18"/>
          <w:color w:val="auto"/>
        </w:rPr>
      </w:pPr>
    </w:p>
    <w:p>
      <w:pPr>
        <w:ind w:left="640"/>
        <w:spacing w:after="0" w:line="270"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74" w:lineRule="exact"/>
        <w:rPr>
          <w:rFonts w:ascii="Arial" w:cs="Arial" w:eastAsia="Arial" w:hAnsi="Arial"/>
          <w:sz w:val="18"/>
          <w:szCs w:val="18"/>
          <w:color w:val="auto"/>
        </w:rPr>
      </w:pPr>
    </w:p>
    <w:p>
      <w:pPr>
        <w:jc w:val="both"/>
        <w:ind w:left="1280" w:hanging="633"/>
        <w:spacing w:after="0" w:line="255" w:lineRule="auto"/>
        <w:tabs>
          <w:tab w:leader="none" w:pos="1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87"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74"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6" w:lineRule="exact"/>
        <w:rPr>
          <w:rFonts w:ascii="Arial" w:cs="Arial" w:eastAsia="Arial" w:hAnsi="Arial"/>
          <w:sz w:val="18"/>
          <w:szCs w:val="18"/>
          <w:color w:val="auto"/>
        </w:rPr>
      </w:pPr>
    </w:p>
    <w:p>
      <w:pPr>
        <w:ind w:left="640" w:hanging="633"/>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19" w:lineRule="exact"/>
        <w:rPr>
          <w:rFonts w:ascii="Arial" w:cs="Arial" w:eastAsia="Arial" w:hAnsi="Arial"/>
          <w:sz w:val="18"/>
          <w:szCs w:val="18"/>
          <w:color w:val="auto"/>
        </w:rPr>
      </w:pPr>
    </w:p>
    <w:p>
      <w:pPr>
        <w:jc w:val="both"/>
        <w:ind w:left="1280" w:hanging="633"/>
        <w:spacing w:after="0" w:line="281" w:lineRule="auto"/>
        <w:tabs>
          <w:tab w:leader="none" w:pos="12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67" w:lineRule="exact"/>
        <w:rPr>
          <w:rFonts w:ascii="Arial" w:cs="Arial" w:eastAsia="Arial" w:hAnsi="Arial"/>
          <w:sz w:val="17"/>
          <w:szCs w:val="17"/>
          <w:color w:val="auto"/>
        </w:rPr>
      </w:pPr>
    </w:p>
    <w:p>
      <w:pPr>
        <w:jc w:val="both"/>
        <w:ind w:left="1280" w:right="20" w:hanging="633"/>
        <w:spacing w:after="0" w:line="258" w:lineRule="auto"/>
        <w:tabs>
          <w:tab w:leader="none" w:pos="1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86" w:lineRule="exact"/>
        <w:rPr>
          <w:rFonts w:ascii="Arial" w:cs="Arial" w:eastAsia="Arial" w:hAnsi="Arial"/>
          <w:sz w:val="18"/>
          <w:szCs w:val="18"/>
          <w:color w:val="auto"/>
        </w:rPr>
      </w:pPr>
    </w:p>
    <w:p>
      <w:pPr>
        <w:jc w:val="both"/>
        <w:ind w:left="1280" w:hanging="633"/>
        <w:spacing w:after="0" w:line="258" w:lineRule="auto"/>
        <w:tabs>
          <w:tab w:leader="none" w:pos="1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5" w:name="page236"/>
    <w:bookmarkEnd w:id="235"/>
    <w:p>
      <w:pPr>
        <w:ind w:left="1280" w:hanging="633"/>
        <w:spacing w:after="0"/>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19" w:lineRule="exact"/>
        <w:rPr>
          <w:rFonts w:ascii="Arial" w:cs="Arial" w:eastAsia="Arial" w:hAnsi="Arial"/>
          <w:sz w:val="18"/>
          <w:szCs w:val="18"/>
          <w:color w:val="auto"/>
        </w:rPr>
      </w:pPr>
    </w:p>
    <w:p>
      <w:pPr>
        <w:ind w:left="1280" w:right="20" w:hanging="633"/>
        <w:spacing w:after="0" w:line="270" w:lineRule="auto"/>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19" w:lineRule="exact"/>
        <w:rPr>
          <w:rFonts w:ascii="Arial" w:cs="Arial" w:eastAsia="Arial" w:hAnsi="Arial"/>
          <w:sz w:val="18"/>
          <w:szCs w:val="18"/>
          <w:color w:val="auto"/>
        </w:rPr>
      </w:pPr>
    </w:p>
    <w:p>
      <w:pPr>
        <w:ind w:left="640" w:hanging="633"/>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74" w:lineRule="exact"/>
        <w:rPr>
          <w:rFonts w:ascii="Arial" w:cs="Arial" w:eastAsia="Arial" w:hAnsi="Arial"/>
          <w:sz w:val="18"/>
          <w:szCs w:val="18"/>
          <w:color w:val="auto"/>
        </w:rPr>
      </w:pPr>
    </w:p>
    <w:p>
      <w:pPr>
        <w:ind w:left="1280" w:right="20" w:hanging="633"/>
        <w:spacing w:after="0" w:line="270" w:lineRule="auto"/>
        <w:tabs>
          <w:tab w:leader="none" w:pos="12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8"/>
          <w:szCs w:val="28"/>
          <w:b w:val="1"/>
          <w:bCs w:val="1"/>
          <w:color w:val="auto"/>
        </w:rPr>
        <w:t>Housing lease Contract</w:t>
      </w:r>
    </w:p>
    <w:p>
      <w:pPr>
        <w:spacing w:after="0" w:line="200" w:lineRule="exact"/>
        <w:rPr>
          <w:sz w:val="20"/>
          <w:szCs w:val="20"/>
          <w:color w:val="auto"/>
        </w:rPr>
      </w:pPr>
    </w:p>
    <w:p>
      <w:pPr>
        <w:spacing w:after="0" w:line="25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(Office space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80"/>
        <w:spacing w:after="0"/>
        <w:tabs>
          <w:tab w:leader="none" w:pos="4500" w:val="left"/>
          <w:tab w:leader="none" w:pos="5140" w:val="left"/>
          <w:tab w:leader="none" w:pos="5920" w:val="left"/>
        </w:tabs>
        <w:rPr>
          <w:sz w:val="20"/>
          <w:szCs w:val="20"/>
          <w:color w:val="auto"/>
        </w:rPr>
      </w:pPr>
      <w:r>
        <w:rPr>
          <w:rFonts w:ascii="Arial" w:cs="Arial" w:eastAsia="Arial" w:hAnsi="Arial"/>
          <w:sz w:val="18"/>
          <w:szCs w:val="18"/>
          <w:b w:val="1"/>
          <w:bCs w:val="1"/>
          <w:color w:val="auto"/>
        </w:rPr>
        <w:t>Date of contract.</w:t>
      </w:r>
      <w:r>
        <w:rPr>
          <w:sz w:val="20"/>
          <w:szCs w:val="20"/>
          <w:color w:val="auto"/>
        </w:rPr>
        <w:tab/>
      </w:r>
      <w:r>
        <w:rPr>
          <w:rFonts w:ascii="Arial" w:cs="Arial" w:eastAsia="Arial" w:hAnsi="Arial"/>
          <w:sz w:val="18"/>
          <w:szCs w:val="18"/>
          <w:b w:val="1"/>
          <w:bCs w:val="1"/>
          <w:color w:val="auto"/>
        </w:rPr>
        <w:t>Year</w:t>
        <w:tab/>
        <w:t>Month</w:t>
      </w:r>
      <w:r>
        <w:rPr>
          <w:sz w:val="20"/>
          <w:szCs w:val="20"/>
          <w:color w:val="auto"/>
        </w:rPr>
        <w:tab/>
      </w:r>
      <w:r>
        <w:rPr>
          <w:rFonts w:ascii="Arial" w:cs="Arial" w:eastAsia="Arial" w:hAnsi="Arial"/>
          <w:sz w:val="16"/>
          <w:szCs w:val="16"/>
          <w:b w:val="1"/>
          <w:bCs w:val="1"/>
          <w:color w:val="auto"/>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439420</wp:posOffset>
            </wp:positionV>
            <wp:extent cx="713422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Party A: [Dalian Software Park Rong Yuan Development Co. ]</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 [Room 202H, 2/F, Jinhuai Building, No. 33 Hongchuan East Road, Dalian Hi-Tech Industrial Park, Liaoning Province]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 [0411-84756943] Fax [116023] Postcode. [  ]</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Party B: [CLPS Dalian Co., Ltd. ]</w:t>
      </w:r>
    </w:p>
    <w:p>
      <w:pPr>
        <w:spacing w:after="0" w:line="6" w:lineRule="exact"/>
        <w:rPr>
          <w:sz w:val="20"/>
          <w:szCs w:val="20"/>
          <w:color w:val="auto"/>
        </w:rPr>
      </w:pPr>
    </w:p>
    <w:p>
      <w:pPr>
        <w:ind w:right="860"/>
        <w:spacing w:after="0" w:line="255" w:lineRule="auto"/>
        <w:rPr>
          <w:sz w:val="20"/>
          <w:szCs w:val="20"/>
          <w:color w:val="auto"/>
        </w:rPr>
      </w:pPr>
      <w:r>
        <w:rPr>
          <w:rFonts w:ascii="Arial" w:cs="Arial" w:eastAsia="Arial" w:hAnsi="Arial"/>
          <w:sz w:val="18"/>
          <w:szCs w:val="18"/>
          <w:color w:val="auto"/>
        </w:rPr>
        <w:t>Registered office. [Room #01-01/02/03/04, 1st Floor, No. 1, Huixian Park, Qixianling, Dalian Hi-Tech Industrial Park, Liaoning Province, China] Tel. [13898687842] Fax [ ] Postcode.[ ]</w:t>
      </w:r>
    </w:p>
    <w:p>
      <w:pPr>
        <w:spacing w:after="0" w:line="188"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8"/>
          <w:szCs w:val="18"/>
          <w:color w:val="auto"/>
        </w:rPr>
        <w:t>The two parties, A and B, in accordance with the laws and regulations in force in the People’s Republic of China, enter into this contract after friendly consultation regarding the lease of Party A’s premises by Party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1 Leasehold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Basic overview of the house</w:t>
      </w:r>
    </w:p>
    <w:p>
      <w:pPr>
        <w:spacing w:after="0" w:line="207"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1.1 Party B voluntarily leases the premises owned by Party A (hereinafter referred to as “the premises”), the basic overview of which is set out in the “Basic Information Sheet of the Contract” attached to this contract; Party A guarantees that the facilities provided are in good condition.</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1.2 Party A guarantees that the property right of the house is clear and free from disputes. In case of any property right disputes or other debts related to Party A, Party A shall be responsible for clearing them up; Party A shall be responsible for compensating for any losses caused to Party B.</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Use of the house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2.1 The premises rented by Party B shall be used only for the purpose of conducting business in the relevant industry as agreed in the “Basic Information Form of the Contract” annexed to the Contract, and shall not be used for other purposes without the written consent of Party A. Party B shall not sublet or sublet the premises in whole or in part to a third party or exchange the premises with a third party.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38" w:name="page239"/>
    <w:bookmarkEnd w:id="238"/>
    <w:p>
      <w:pPr>
        <w:jc w:val="both"/>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2.2 Party B shall apply for and bear the costs of all approvals, licences and other permits required for the operation of its business in the premises. Party B guarantees that all business activities undertaken by it in the premises will obtain all business permits and other formalities issued by the government administration for industry and commerce, and that it will maintain legal registration and permits throughout the lease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Handover of the house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Conditions of handover of the house</w:t>
      </w:r>
    </w:p>
    <w:p>
      <w:pPr>
        <w:spacing w:after="0" w:line="22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conditions of handover of the house are detailed in the Basic Information Sheet of the contract annexed to the contract and are subject to the actual conditions at the time of handover.</w:t>
      </w:r>
    </w:p>
    <w:p>
      <w:pPr>
        <w:spacing w:after="0" w:line="17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Party B confirms that it has inspected the house on site before signing this contract, and has fully understood and approved of the current state of the interior and exterior of the house, its designed use and the then condition of its ancillary facilities and ancillary properties, and has no objection to them.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Check-in handover process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3.2.1 Party B shall send an application for occupation to Party A at least 2 working days before the commencement date of the lease as agreed in the contract, and Party A shall arrange personnel to hand over the leased premises together with Party B in accordance with the handover conditions upon receipt of the application, and the handover shall be completed before the commencement date of the lease; if Party B fails to make any payment as agreed before the occupation, Party A shall have the right to refuse to go through the occupation procedures to deliver the premises to it and shall not be liable for any breach of contract.</w:t>
      </w:r>
    </w:p>
    <w:p>
      <w:pPr>
        <w:spacing w:after="0" w:line="190"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3.2.2 When there is no objection to the handover, the representatives of A and B shall sign and confirm on the Notice of Occupancy respectively, and the handover of the house key or access card shall be carried out after the signature (in case of renewal of the tenancy agreement, the two parties shall no longer handle the handover process of occupancy, and the handover shall prevail at the initial occupancy).</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3.2.3 If the handover is actually used by you or is not completed by the Lease Commencement Date for your reasons, the handover will be deemed to be complete, i.e. the Premises will be deemed to meet the necessary standards and to have been delivered to you in good order on the Lease Commencement Date and the Lease Term will commence.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3.3 Check-out acceptance process</w:t>
      </w:r>
    </w:p>
    <w:p>
      <w:pPr>
        <w:spacing w:after="0" w:line="22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3.3.1 When withdrawing from the premises, Party B shall submit an application for withdrawal to Party A within the time limit required by Party A 7 days prior to the expiry of the lease term or early termination of the contract, and Party A shall arrange personnel to inspect and hand over the premises together with Party B before the expiry of the lease term or early withdrawal date in accordance with the handover conditions stipulated in Clause 3.1 of this contract.</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3.3.2 Party B shall ensure that the original decoration (including the ceiling) and facilities of the Premises are intact (except for natural damage) and that the condition of the room is restored to its original condition as agreed in the original condition restoration standards in the Contract Basic Information Form attached to this Agreement. In the event of any other damage or interruption to our rental, Party B shall compensate Party A for all losses, including but not limited to the occupation fee of the premises during the restoration period, liquidated damages, agency fees or other losses incurred as a result of the delay in delivery of the premises by Party A to the new tenant. The costs required for restoration shall be paid by Party B at its own expense or, if entrusted to Party A for completion, the relevant costs shall be paid to Party A.</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Party B fails to return the premises to Party A as agreed in this contract, Party A shall have the right to restore the premises to its original condition at its own expense and all costs arising therefrom shall be borne by Party B. Party A shall also have the right not to remove but to retain some or all of the improvements made by Party B and the aforesaid facilities and equipment owned by Party B. In such case, Party B shall be deemed to have relinquished its ownership of such improvements, facilities and equipment and Party B shall not be entitled to claim any compensation or indemnity in respect of such improvements, facilities and equipment retained by Party A. You shall not be entitled to claim any compensation or indemnity in respect of such improvements, facilities and equipment retained by us.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3.3.3 When Party B withdraws from the premises, all fees payable must be settled; if Party B has registered for business and industry in the rented premises, Party B shall change the address of the business and industry registration to another place within 10 days after the termination of this contract and report the approval or certificate from the relevant government authorities to Party A for backup.</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3.3.4 After acceptance, all keys or access cards of the rooms will be returned to Party A after the representatives of Party A and Party B respectively sign and confirm on the Notice of Check-out.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Chapter 2 Term of 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Lease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4.1.1 The term of the lease is detailed in the Basic Information Sheet of the Contract annexed hereto.</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4.1.2 If Party B does not move in on time for reasons other than Party A’s handover, the lease term shall commence on the contractual commencement date.</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4.1.3 If Party A transfers the premises during the lease period, it shall give Party B two months’ notice in advance and guarantee the continued performance of this contract. Party B shall have the right of first refusal under the same conditions, but Party B shall have no right of first refusal if Party A transfers the whole building (where Party B leases the premises). If Party B exercises its right of first refusal, it shall give a written reply within five days from the date of receipt of the notice, failing which it shall be deemed to have waived its right of first refusal.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Lease renewals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4.2.1 If Party B needs to continue to lease the premises after the expiry of the lease term, it shall submit an application for renewal of the lease to Party A in writing two months before the expiry of the lease term; if Party B fails to notify Party A on time, Party A shall have the right to deal with it in accordance with Party B’s non-renewal of the lease.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4.2.2 Party A shall reply to Party B’s application for lease renewal within 10 working days upon receipt of such application. Upon mutual agreement, Party B shall sign a lease renewal contract one month before the expiry of the lease; if the contract is not signed on time, Party A shall have the right to deal with it in accordance with Party B’s non-renewal of the lease.</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4.2.3 The parties agree that if the renewal of the lease is agreed, the parties may sign the Annexed Basic Information Form only and this contract shall continue to be valid during the renewal period; matters relating to the payment of fees during the renewal period and any amendments to this contract may be added to the Basic Information Form with the corresponding terms and conditions, which shall take precedence over the terms of this contract.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41" w:name="page242"/>
    <w:bookmarkEnd w:id="241"/>
    <w:p>
      <w:pPr>
        <w:jc w:val="both"/>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4.2.4 If Party B does not intend to renew the lease, or if the parties fail to sign a renewal contract within one month before the expiry of the lease term, Party A shall have the right to enter into an intention or contract to lease the Leased Premises with a third party, and shall have the right to carry out the leasing of the Leased Premises to Party B. Party B may, at any reasonable time upon prior notice, allow the new lessee or user of the Leased Premises to survey the site and carry out the necessary inspection of the premises, and Party B shall You shall co-operate.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Surrender of rent</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4.3.1 Upon expiry, termination or early termination of the contract, Party B shall move out of the premises as scheduled and in accordance with the agreed standard. If Party B fails to move out of the premises on time, Party A may grant a grace period of three working days; if Party B still fails to move out within the grace period, Party B shall pay double the rent and the occupation fee of the property fee standard according to the actual number of days of stay, and Party A may take any measures to exercise the ownership and right to use the leased premises, and has the right to replace the keys of the leased premises and prohibit Party B and its associated third parties from re-entering the leased premises; for For the renovation of the leased premises and the articles, equipment and facilities left by Party B and its associated third parties, they are deemed to have been abandoned by Party B and Party A has the right to dispose of them by itself, and Party B shall not claim any rights and incur any costs against Party A as a result. The costs incurred (including but not limited to attorney’s fees, construction costs for restoration of the original condition, relocation costs, clearance costs, auction costs, storage costs, etc.) shall be borne by Party B. If the proceeds from the disposal are not sufficient to cover the costs payable by Party B, Party A shall have the right of recourse against Party B.</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4.3.2 Upon expiry, cancellation or early termination of the contract, both parties shall go through the procedures for handing over and acceptance of the rent and settlement of expenses in accordance with the requirements of this contract; the date when the premises are inspected and accepted by Party A and the Notice of Withdrawal is issued shall be the official withdrawal date of Party 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Chapter 3: Rental and other fees and payment methods</w:t>
      </w:r>
    </w:p>
    <w:p>
      <w:pPr>
        <w:spacing w:after="0" w:line="220" w:lineRule="exact"/>
        <w:rPr>
          <w:sz w:val="20"/>
          <w:szCs w:val="20"/>
          <w:color w:val="auto"/>
        </w:rPr>
      </w:pPr>
    </w:p>
    <w:p>
      <w:pPr>
        <w:ind w:left="180" w:hanging="173"/>
        <w:spacing w:after="0"/>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Rent, property management fees and other fees and payment methods</w:t>
      </w:r>
    </w:p>
    <w:p>
      <w:pPr>
        <w:spacing w:after="0" w:line="2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Rates for rent, etc.</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Party A is a general taxpayer. The amount and method of payment of rent, property management fees and other charges are detailed in the Annex “Basic Information Sheet of the Contract” and the prices stated therein are all tax inclusive.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Performance bond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5.2.1 The standard and amount of payment of the performance deposit are set out in the Annex “Basic Information Sheet of the Contract”. Party B shall pay the deposit to Party A together with the first installment of rent and property management fee; Party A shall issue a receipt for receipt for Party B upon receipt of the performance deposit.</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5.2.2 In the case of a renewal contract, Party B has paid the corresponding performance deposit. If there is no change in the rent and property charges, Party B may not pay the performance deposit; if there is a change in the rent and property charges, the renewal contract will be executed as agreed.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5.2.3 The performance bond is a security deposit delivered by Party B to guarantee the performance of Party B’s obligations under this Agreement. Party A shall have the right not to apply it against the rent, property charges, liquidated damages and any other expenses (including but not limited to losses incurred by Party A or third parties as a result of Party B) owed by Party B. Party A shall have the right to choose to recover the relevant outstanding amount and liquidated damages directly from Party B. If Party A adopts to set off all or part of the performance bond against the amount owed by Party B to Party A, Party B shall make payment to Party A within 5 working days upon receipt of Party A’s notice to re-fill the original amount of the performance bond, and if the performance bond is insufficient to set off, Party A shall have the right to continue to recover the outstanding portion from Party B, or else bear the liability for default in respect of overdue fees in accordance with Clause 11.1 of this Agreement.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5.2.4 Upon expiry of the lease term or early termination of the contract, Party B shall pay all the fees payable under this contract and complete the check-out and acceptance process as agreed in this contract, and Party A shall return the performance deposit to Party B without interest within 30 days from the date Party A takes over the leased premises and accepts the premises. In case of late return, Party A shall pay to Party B a late payment of 0.1% of the total performance deposit on a daily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5.3 Payment methods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5.3.1 Rent and property management fees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5.3.1.1 Party B shall pay the rent and property management fee to Party A’s account as agreed in the Basic Information Form of the Contract.</w:t>
      </w:r>
    </w:p>
    <w:p>
      <w:pPr>
        <w:spacing w:after="0" w:line="231"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5.3.1.2 If there is any change to the account number specified by us, we shall notify you in writing at least 14 days in advance of the next payment date; you shall not be liable for any failure to receive payment on time as a result of our failure to properly comply with the aforesaid notification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5.3.2 Water and electricity charges in the leased area</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5.3.2.1 Water and electricity charges in the leased area shall be collected by Party A on behalf of Party B according to the actual occurrence of Party B. The property management company hired by Party A shall issue an itemized breakdown to Party B. The meter will be read on the 20th of each month and the bill will be paid by the 20th of the following month.</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5.3.2.2 In the event that the government adjusts the water and electricity tariff during the lease period, the adjusted standard will be implemented according to the corresponding range. Party A shall give written notice of the adjusted standard to Party B. The adjusted water and electricity tariffs shall take effect in the month in which Party A gives written notice.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5.3.2.3 Charges in the event of a meter failure are based on the average of the water and electricity bills for each month from one month prior to the failure to four months prior to the failure.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5.3.2.4 Costs incurred for the use of air-conditioning, heating, etc., required outside the contracted hours shall be as agreed in the Contract Annex “Basic Information Sheet for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5.3.3 Communication fee: To be paid by Party B to the relevant communication operation service provider.</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5.3.4 Taxes: All kinds of taxes and fees incurred as a result of this contract shall be handled by both parties in accordance with the relevant provisions of the tax law of the People’s Republic of China.</w:t>
      </w:r>
    </w:p>
    <w:p>
      <w:pPr>
        <w:spacing w:after="0" w:line="17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5.4 During the lease period, Party A may reasonably adjust the property management fee due to changes in government policies, the market and other reasons and the increase or decrease of property service content, but shall negotiate with Party B on the standard of the property management fee.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Chapter 4 Property Services and Asset Maintenance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Contents of property services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6.1 During the lease period, Party A or the property management company entrusted by Party A shall be responsible for the property service work of the house, and the contents of the property service are detailed in the Annex of the contract “Contract Basic Information Form”.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6.2 During the term of the lease, Party B is responsible for the cleaning and the fire and security work in the leased premises as well as the property work which is not part of the above property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6.3 During the lease period, Party B shall manage the contents of the premises by itself.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Covenants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7.1 During the lease period, we are obliged to coordinate the relationship between Party B and the property management company responsible for the management of the common areas.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7.2 Upon occupation, Party B shall provide the property management company engaged by Party A with the contact numbers of three main contacts for backup in case of emergency or other situations.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7.3 During the lease period, for the sake of safety, when Party B needs to move office furniture and computers and other items out of the building, it should register with Party A’s property management department in advance.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7.4 Party A shall have the right to change the name of the building in which the leased premises are located (hereinafter referred to as “the Building”) as necessary, provided that Party B is notified in writing or by public notice 30 days in advance.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7.5 A unified standard signage system will be set up in the lobby of the main entrance of the building. When Party B moves in, Party A will provide Party B with the production and installation of the signage once free of charge (limited to Party B’s first move-in), and the name of the signage will be limited to the name and room number recorded in this contract; without Party A’s written consent, Party B shall not post, set up or hang LOGO, drape or other signage outside its leased area and conduct related You shall not post, install, hang logos, drapes or other signs or conduct related promotional activities outside the leased area without our written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45" w:name="page246"/>
    <w:bookmarkEnd w:id="245"/>
    <w:p>
      <w:pPr>
        <w:jc w:val="both"/>
        <w:spacing w:after="0" w:line="30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7.6 In order to ensure the safety of electricity consumption, a 10-hour power outage will be carried out once every two years for the building’s electricity equipment in accordance with the Electricity Law, and Party A will notify Party B 60 calendar days before the day of the power outage.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7.7 In order to ensure the normal operation of the air conditioning, there will be 15 days of equipment maintenance days each year during the winter-summer and summer-winter switchover periods, during which the operation of the building’s air conditioning system will cease; Party A will notify Party B 7 calendar days in advance.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7.8 During the lease period, Party B should pay attention to property and personal safety, and Party B is the first responsible person and the ultimate responsibility bearer of fire safety. All responsibilities for personal injuries or fire accidents not due to Party A shall be borne by Party B; Party B shall compensate for any losses caused to Party 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Maintenance and repair of the house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8.1 Party A shall be responsible for the maintenance and repair of natural damage to the house and ancillary facilities. Party A’s responsibility for the maintenance of the house shall be limited to the original structure of the house, the power supply lines and the common parts of the house without alteration by Party B.</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8.2 The maintenance obligations and the maintenance costs of the parts decorated and renovated by Party B, the equipment and facilities and property added by Party B shall be borne by Party B. Party B shall ensure that they are in a suitable and safe condition and shall not endanger the personal and property safety of the rented premises, the building and other users.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8.3 During the lease period, Party B shall promptly notify Party A or the property management company of any damage or malfunction to the premises and ancillary facilities, and Party A shall not be liable for any loss caused to Party A as a result of untimely notification by Party B.</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8.4 Party A shall, upon receipt of the above notice, carry out maintenance after judging the responsibility according to the actual situation; if the damage or fault is within the scope of Party B’s maintenance responsibility or if it is within the scope of Party A’s maintenance but caused by Party B’s improper use or intentional damage, Party B shall carry out timely repair and notify Party A or the property management company; if Party B refuses to carry out repair within three calendar days upon receipt of Party A’s supervisory notice, Party A may carry out repair on behalf of Party B at Party B shall bear the cost.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46" w:name="page247"/>
    <w:bookmarkEnd w:id="246"/>
    <w:p>
      <w:pPr>
        <w:jc w:val="both"/>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8.5 The party responsible for maintenance shall compensate the other party for direct economic loss if delayed maintenance or improper maintenance causes damage to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Renovation and alteration of the house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9.1 In addition to the provisions of this Contract, if Party B needs to install additional ancillary facilities and equipment, it shall obtain prior written consent from Party A and, if it is required to report to the relevant authorities for approval, it shall also submit to the relevant authorities for approval before proceeding.</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9.2 With the written consent of Party A and the approval of the relevant government authorities (if required), Party B may carry out secondary decoration of the premises according to its business needs, but shall comply with Party A’s regulations on secondary decoration and relevant national regulations and bear all costs incurred in the decoration (including the costs of alteration and increase of fire-fighting facilities, etc.), while Party A has the right to supervise the decoration process of Party B. Party A has the right to stop Party B from violating the national regulations and this contract, and to request Party B to compensate for the losses caused to Party A as a result.</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9.3 Party B shall be responsible for the fire-fighting examination and inspection of the decoration of the rented area and shall not use the premises before obtaining fire-fighting acceptance and other formalities; if Party B carries out decoration or alteration without fire-fighting examination and inspection or obtains other formalities or uses the unexamined premises, all responsibilities arising therefrom shall be borne by Party B and Party B shall fully compensate for any losses caused to Party A.</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9.4 The per capita floor area of the office area before and after Party B’s renovation shall not be less than 10 square metres and the weight of the articles in the area shall not exceed the floor load-bearing standard of 200 kilograms per square metre. If Party B violates the above standard, all consequences shall be borne by Party B and Party B shall fully compensate for any losses caused to Party 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7" w:name="page248"/>
    <w:bookmarkEnd w:id="247"/>
    <w:p>
      <w:pPr>
        <w:jc w:val="both"/>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9.5 In view of the different occupation times of the tenants in this building, in order to ensure the working environment of the tenants who occupy the building first, the decoration period shall be specified by Party A or the property management company, and Party B and the decoration contractor shall apply again in special circumstances; Party B shall carry out the construction work in a manner consistent with this contract and the relevant property management regulations, and shall not use the common passageway of the floor or the area outside the scope of the tenancy as a pile of building materials or tools without the consent of Party A. The use of the common passageway and the area outside the leased area shall not be used for stacking building materials or tools without our 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Entry inspection and adjacency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10.1 Entry work checks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10.1.1 Party B agrees that Party A or the property management company may enter the parts of the building leased by Party B for maintenance, sanitation, burglary, disaster prevention, ambulance or other management purposes or for the maintenance of adjacent tenants; normally, Party A shall give 24 hours’ notice to Party B.</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10.1.2 Party A or the property management company shall be accompanied by Party B’s personnel to enter the premises. In case of emergency and if Party B cannot be contacted, Party A or the property management company shall have the right to enter the premises to deal with the emergency and shall not be liable for any loss caused to Party B as a result, but shall explain the emergency to Party B afterwards.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10.1.3 In the event of the above, Party B shall support and cooperate with the work of Party A or the property management company; Party A or the property management company shall minimise the impact on Party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10.2 Adjacency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10.2.1 Party B shall not do or tolerate any act which may cause a nuisance or disturbance to us or to neighbouring occupiers.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10.2.2 If a dispute arises between Party B and a neighbouring tenant, Party A shall be obliged to co-ordinate.</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10.2.3 In the event of a dispute between adjacent tenants caused by Party B, Party A shall have the right of recourse against Party B if the adjacent tenants bring proceedings against it and Party A is named as a defendant or third party and is held liable.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48" w:name="page249"/>
    <w:bookmarkEnd w:id="248"/>
    <w:p>
      <w:pPr>
        <w:jc w:val="both"/>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10.2.4 If, during the term of the lease, any rectification request is made by any government authority in respect of the renovation (including but not limited to fire safety facilities) of the adjoining unit of the Premises, Party B shall provide all necessary assistance and cooperation as required by Party A or the property company to comply with such rectification request; if Party B suffers any loss as a result, Party B shall, with the assistance of Party A, negotiate with the occupants of the adjoining unit to settle the compensation issue We shall not be liable in any way for such damages. You shall not refuse or delay to provide such assistance or cooperation on the ground that you have not yet reached agreement with the occupants of the adjoining unit.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5 Liability for breach of contract, dispute resolution</w:t>
      </w:r>
    </w:p>
    <w:p>
      <w:pPr>
        <w:spacing w:after="0" w:line="220" w:lineRule="exact"/>
        <w:rPr>
          <w:sz w:val="20"/>
          <w:szCs w:val="20"/>
          <w:color w:val="auto"/>
        </w:rPr>
      </w:pPr>
    </w:p>
    <w:p>
      <w:pPr>
        <w:ind w:left="260" w:hanging="253"/>
        <w:spacing w:after="0"/>
        <w:tabs>
          <w:tab w:leader="none" w:pos="2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 of contract</w:t>
      </w:r>
    </w:p>
    <w:p>
      <w:pPr>
        <w:spacing w:after="0" w:line="2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Late Payment of Fees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11.1.1 During the lease period, if Party B fails to pay the rent, property charges, utilities, performance bond or other relevant charges payable as agreed in the contract, Party B shall pay to Party A a late payment fee of 0.1% of the overdue charges for each day of delay without prejudice to other rights or remedies of Party A. The late payment fee shall be calculated from the date on which each of the above charges is payable until Party B has paid all the aforementioned charges in full. The late payment period shall commence on the date on which each of the above fees is payable and shall continue until all of the aforementioned fees, principal, late payment and other related fees are paid.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11.1.2 Party B shall not move the assets in the leased premises without Party A’s consent unless Party B has paid the rent and other charges in accordance with the contract. If Party B fails to pay the appropriate fees on time even after a reminder has been sent to it by Party A, Party B agrees that Party A may take the following remedial measures to protect Party A’s interests, namely</w:t>
      </w:r>
    </w:p>
    <w:p>
      <w:pPr>
        <w:spacing w:after="0" w:line="186" w:lineRule="exact"/>
        <w:rPr>
          <w:sz w:val="20"/>
          <w:szCs w:val="20"/>
          <w:color w:val="auto"/>
        </w:rPr>
      </w:pPr>
    </w:p>
    <w:p>
      <w:pPr>
        <w:jc w:val="both"/>
        <w:ind w:firstLine="7"/>
        <w:spacing w:after="0" w:line="274" w:lineRule="auto"/>
        <w:tabs>
          <w:tab w:leader="none" w:pos="26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Party A has the right to terminate the functions of the premises rented by Party B, including but not limited to termination of the provision of water, electricity, air-conditioning, lift, access to the premises and other functions until Party B has paid in full in accordance with the contract, and all economic losses that may be incurred by Party B as a result shall be borne by Party B. Party B shall be responsible for all costs incurred in reconnecting the above-mentioned functions and shall pay the normal rent and property charges during the period of disconnection.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9" w:name="page250"/>
    <w:bookmarkEnd w:id="249"/>
    <w:p>
      <w:pPr>
        <w:ind w:firstLine="7"/>
        <w:spacing w:after="0" w:line="270" w:lineRule="auto"/>
        <w:tabs>
          <w:tab w:leader="none" w:pos="253"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Move all the assets in Party B’s house to Party A’s asset pool and if Party B pays the full cost, Party A will return Party B’s assets; if Party B does not pay the full cost within fifteen days, Party A has the right to dispose of Party B’s assets.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11.1.3 In the event that Party B defaults on the payment of rent, property charges, utilities, performance bond or any other fees payable (not paid in full) for more than 60 days in aggregate, Party A shall have the right to unilaterally terminate the contract and repossess the Premises and Party B shall pay to Party A all outstanding amounts due under this contract (including outstanding fees and corresponding late payment fees) for the period of actual use of the Premises, 20% of the total rent and You shall also pay 20% of the total rent and property charges for the remaining tenancy period, and indemnify us for any loss suffered by us as a result (including but not limited to legal fees, court costs, rent, management and air-conditioning fees and other costs that we could have collected under this contract during the vacancy period, as well as the investment leasing costs incurred in leasing the premises to a new tenant, etc.), and the performance deposit received by us shall not be refunded.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Early termination of contract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During the term of the lease, unless otherwise agreed herein, neither party may unilaterally terminate this contract without statutory or agreed reason.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Either party may unilaterally terminate the contract if the following conditions are met and confirmed and agreed to by the other party: (1) a written application is made to the other party at least 90 days in advance; (2) liquidated damages are paid to the other party at 20% of the total rent and property charges for the remaining tenancy period; (3) all costs incurred and agreed to be payable under this contract are settled before the date of surrender.</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Parties further clarify that the following two circumstances shall not be subject to this Clause 11.2: (1) if Party B needs to terminate this Agreement early due to expansion of the lease (i.e. leasing a larger area of premises in the development and management zone of Party A and a lease contract has been actually signed), Party A and Party B shall discuss the operation procedure separately; (2) if Party B needs to change the subject of the lease and Party A agrees in writing, Party A and Party B may jointly negotiate (2) If Party B needs to change the subject of the lease and Party A agrees in writing, Party A and Party B may mutually agree to terminate this contract early and assign the remaining term and rights and obligations to the new subject of the lease, provided that Party B proves that the new subject of the lease is an associated company of Party B and provides an unlimited joint and several liability guarantee for the continued performance of this lease by the new subject of the lease.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11.3 Other serious non-compliance</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serious breach of contract by Party B as stipulated in the following clauses or other circumstances of termination as agreed in this contract, Party A shall have the right, in addition to exercising its rights under the law, to unilaterally terminate this contract and require Party B to pay 20% of the total rent and property charges for the remaining term of the lease, and to compensate Party A for any loss suffered as a result (including but not limited to legal fees, litigation costs, vacant premises (including but not limited to attorney’s fees, court costs, rent, management and air-conditioning fees and other costs that Party A could have collected under the provisions of this contract during the period of vacancy, as well as the investment leasing costs incurred in leasing the premises to a new tenant, etc.) and the security deposit received by Party A shall not be refunded.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11.3.1 if Party B is 30 days overdue in the occupation procedures from the commencement date of the lease (including failure to pay the down payment or security deposit, failure to hand over the premises to Party A, etc.).</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11.3.2 if Party B demolishes or renovates the Premises (including ancillary facilities) or changes the use of the Premises without the written consent of Party 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11.3.3 if Party B engages in any illegal or unlawful activity in the premises.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11.3.4 if Party B’s conduct seriously violates relevant national standards or regulations, causing serious impact on the environment of the Park or other customers, or if Party A requests Party B to rectify the situation within a specified period and Party B still fails to do so within the period limited by Party A.</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11.3.5 without our written consent, Party B sublets the premises, transfers the tenancy of the premises or exchanges the respective tenancy with others, or increases or changes the registered business in breach of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11.3.6 Any other material breach of this Agreement by Party B.</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11.4 Waiver of rights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Where Party A understands that a breach of contract has occurred and accepts the rent, this shall not be deemed to be a waiver of Party A’s right to pursue the breach. If Party A waives any of its rights under the terms and conditions of this contract, such waiver shall only be made on the basis of Party A’s written seal and any payment of rent or other sums by Party B which is not in full, even if Party A accepts the payment in full, shall not be deemed to be Party A’s consent to Party B’s payment in reduced amount, nor shall it affect Party A’s right to recover the shortfall in rent or arrears, nor its right to take other measures as provided for in this contract or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Applicable law and dispute resolution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12.1 The laws of the People’s Republic of China shall apply to this Contract.</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12.2 Disputes arising from the performance of this contract shall be settled by friendly consultation between the parties; if consultation fails, both parties may sue in the People’s Court where the house is located.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 Other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Force majeure</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13.1 Force majeure as referred to in this contract refers to flood, typhoon of grade 8 or above, earthquake, war, change in government planning and other events that are unforeseeable, insurmountable and beyond the control of either party to the contract. The party proposing force majeure must inform the other party 24 hours after the end of the force majeure and produce a documentary proof from the relevant local government department within 15 days after the occurrence of the force majeure.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13.2 In the event of a force majeure event causing damage to the leased property which cannot be used normally, Party A shall repair the property as soon as possible and shall be exempt from paying rent during the repair period, and shall continue to calculate the rent after the leased property is restored to use, and the validity of the contract shall be postponed accordingly; in the event of a force majeure event causing damage to the leased property which cannot be repaired, both parties shall have the right to terminate the contract without assuming any responsibility.</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13.3 If force majeure ceases or its effects are naturally removed, the contract shall continue to be performed from that date and its validity shall be extended accordingly.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52" w:name="page253"/>
    <w:bookmarkEnd w:id="252"/>
    <w:p>
      <w:pPr>
        <w:jc w:val="both"/>
        <w:ind w:right="2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13.4 The party who suffers an event of force majeure shall take effective measures to prevent the extension of the damage, failing which it shall be liable for the extended portion of the damage.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Confidentiality</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Neither party shall disclose to third parties the contents of this contract and the trade secrets of the other party known to it in the course of the conclusion and performance of this contract, whether or not this contract is concluded and performed, and this clause shall survive the termination of this contract.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usual form of notice to be given by either party in fulfilling its obligations under this contract shall be in writing.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Notice given by one party to the other in the course of the execution of this contract shall be deemed to be valid service of notice when served in writing by hand, courier, post (including registered or EMS), fax, e-mail or conspicuously posted at the door of the leased premises. The date of service of the notice shall be determined in accordance with the following principles.</w:t>
      </w:r>
    </w:p>
    <w:p>
      <w:pPr>
        <w:spacing w:after="0" w:line="186" w:lineRule="exact"/>
        <w:rPr>
          <w:sz w:val="20"/>
          <w:szCs w:val="20"/>
          <w:color w:val="auto"/>
        </w:rPr>
      </w:pPr>
    </w:p>
    <w:p>
      <w:pPr>
        <w:ind w:left="260" w:hanging="253"/>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Dedicated, courier: delivery is deemed to take place on the day it is handed over to a dedicated person or courier.</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post: delivery is deemed to take place on the third calendar day of dispatch by registered post or EMS.</w:t>
      </w:r>
    </w:p>
    <w:p>
      <w:pPr>
        <w:spacing w:after="0" w:line="220" w:lineRule="exact"/>
        <w:rPr>
          <w:sz w:val="20"/>
          <w:szCs w:val="20"/>
          <w:color w:val="auto"/>
        </w:rPr>
      </w:pPr>
    </w:p>
    <w:p>
      <w:pPr>
        <w:ind w:left="200" w:hanging="193"/>
        <w:spacing w:after="0"/>
        <w:tabs>
          <w:tab w:leader="none" w:pos="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Fax, e-mail: delivery is deemed to occur at the same time as the fax machine or e-mail shows successful delivery.</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Posting at the door: service is deemed to be effected by the third calendar day of posting.</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the date of actual delivery to the date of completion of the surrender procedures, the address of the premises leased by Party B shall be Party B’s contact address. In the event that Party A’s relevant notice cannot be served directly to Party B (including and not limited to Party B’s whereabouts unknown or refusal to accept), Party A shall be deemed to have served the notice if it is sent to such address by courier or EMS, and the date of signature or refusal shall be the date of service.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term of this contract, if one party changes its contact address, telephone number, fax number or addressee in the Contract Basic Information Form attached to this contract, it shall notify the other party in writing within 3 days of the change, otherwise the responsibility and consequences of any resulting non-delivery or undeliverability shall be borne by that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16. Declaration of the Parties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Both parties have full civil capacity at the time of signing this contract, and both parties have fully negotiated and informed each other about the terms and conditions involving their respective rights and obligations and reached a consensus; both parties are willing to perform in accordance with the agreement of this contract, and the party in breach is willing to accept the other party’s breach of contract to pursue.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Integrity of the contract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contract and its annexes are the final and complete contract between the parties in respect of the lease of the premises and supersede all previous or contemporaneous understandings and agreements reached between the parties in this regard. This contract shall not be amended without the written consent of both parties; any matters not covered by this contract shall be settled by separate negotiations between Party A and Party B and a supplementary agreement shall be signed, which shall have the same legal effect as this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 this contract, unless the context otherwise requires, the following interpretation shall apply.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18.1 The numbering of entries in this contract and their headings are for convenience of reference only and shall have no effect in the interpretation of this contract.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18.2 The Annexes hereto shall be an integral part hereof; references to “clauses”, “paragraphs” and “annexes” hereto shall be construed as clauses, paragraphs and annexes hereto. The term “this Contract” shall include the Annexes hereto and such modifications thereafter as the Parties may from time to time agree in writing.</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18.3 references to “this Contract” or any of its terms or to any other document shall be construed as including the version in force at that time as modified, varied, updated or supplemented.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18.4 The Chinese language shall be the dominant language for the writing, interpretation and explanation of this contract; in the event of different interpretations of the text in different languages, the Chinese text of the contract shall prevail.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54" w:name="page255"/>
    <w:bookmarkEnd w:id="254"/>
    <w:p>
      <w:pPr>
        <w:ind w:right="20" w:firstLine="7"/>
        <w:spacing w:after="0" w:line="274" w:lineRule="auto"/>
        <w:tabs>
          <w:tab w:leader="none" w:pos="276"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This contract is made in oneRampant One copy to be executed by Party A II Party A and Party B II The contract shall take effect after it has been signed or sealed by both parties.</w:t>
      </w:r>
    </w:p>
    <w:p>
      <w:pPr>
        <w:spacing w:after="0" w:line="167" w:lineRule="exact"/>
        <w:rPr>
          <w:rFonts w:ascii="Arial" w:cs="Arial" w:eastAsia="Arial" w:hAnsi="Arial"/>
          <w:sz w:val="18"/>
          <w:szCs w:val="18"/>
          <w:b w:val="1"/>
          <w:bCs w:val="1"/>
          <w:color w:val="auto"/>
        </w:rPr>
      </w:pPr>
    </w:p>
    <w:p>
      <w:pPr>
        <w:jc w:val="both"/>
        <w:ind w:firstLine="7"/>
        <w:spacing w:after="0" w:line="261" w:lineRule="auto"/>
        <w:tabs>
          <w:tab w:leader="none" w:pos="29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annexes to this contract include the following: </w:t>
      </w:r>
      <w:r>
        <w:rPr>
          <w:rFonts w:ascii="Arial" w:cs="Arial" w:eastAsia="Arial" w:hAnsi="Arial"/>
          <w:sz w:val="18"/>
          <w:szCs w:val="18"/>
          <w:color w:val="auto"/>
        </w:rPr>
        <w:t>Annexes.[1. “Basic Information Form of the Contract”, 2. “Schedule of Rental Property Fee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3. “Standard for Restoration of Original Condition”; if the content of the annexes is inconsistent with the main contract, the content of the annexes shall prevail in execution.]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entered into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Party A: (seal)</w:t>
            </w:r>
          </w:p>
        </w:tc>
        <w:tc>
          <w:tcPr>
            <w:tcW w:w="7320" w:type="dxa"/>
            <w:vAlign w:val="bottom"/>
          </w:tcPr>
          <w:p>
            <w:pPr>
              <w:ind w:left="580"/>
              <w:spacing w:after="0"/>
              <w:rPr>
                <w:sz w:val="20"/>
                <w:szCs w:val="20"/>
                <w:color w:val="auto"/>
              </w:rPr>
            </w:pPr>
            <w:r>
              <w:rPr>
                <w:rFonts w:ascii="Arial" w:cs="Arial" w:eastAsia="Arial" w:hAnsi="Arial"/>
                <w:sz w:val="18"/>
                <w:szCs w:val="18"/>
                <w:color w:val="auto"/>
              </w:rPr>
              <w:t>Party B: (seal)</w:t>
            </w:r>
          </w:p>
        </w:tc>
      </w:tr>
      <w:tr>
        <w:trPr>
          <w:trHeight w:val="427"/>
        </w:trPr>
        <w:tc>
          <w:tcPr>
            <w:tcW w:w="3920" w:type="dxa"/>
            <w:vAlign w:val="bottom"/>
          </w:tcPr>
          <w:p>
            <w:pPr>
              <w:spacing w:after="0"/>
              <w:rPr>
                <w:sz w:val="20"/>
                <w:szCs w:val="20"/>
                <w:color w:val="auto"/>
              </w:rPr>
            </w:pPr>
            <w:r>
              <w:rPr>
                <w:rFonts w:ascii="Arial" w:cs="Arial" w:eastAsia="Arial" w:hAnsi="Arial"/>
                <w:sz w:val="18"/>
                <w:szCs w:val="18"/>
                <w:color w:val="auto"/>
              </w:rPr>
              <w:t>Legal representative/authorised representative:</w:t>
            </w:r>
          </w:p>
        </w:tc>
        <w:tc>
          <w:tcPr>
            <w:tcW w:w="7320" w:type="dxa"/>
            <w:vAlign w:val="bottom"/>
          </w:tcPr>
          <w:p>
            <w:pPr>
              <w:ind w:left="580"/>
              <w:spacing w:after="0"/>
              <w:rPr>
                <w:sz w:val="20"/>
                <w:szCs w:val="20"/>
                <w:color w:val="auto"/>
              </w:rPr>
            </w:pPr>
            <w:r>
              <w:rPr>
                <w:rFonts w:ascii="Arial" w:cs="Arial" w:eastAsia="Arial" w:hAnsi="Arial"/>
                <w:sz w:val="18"/>
                <w:szCs w:val="18"/>
                <w:color w:val="auto"/>
              </w:rPr>
              <w:t>Legal representative/authorized representative:</w:t>
            </w:r>
          </w:p>
        </w:tc>
      </w:tr>
      <w:tr>
        <w:trPr>
          <w:trHeight w:val="427"/>
        </w:trPr>
        <w:tc>
          <w:tcPr>
            <w:tcW w:w="3920" w:type="dxa"/>
            <w:vAlign w:val="bottom"/>
          </w:tcPr>
          <w:p>
            <w:pPr>
              <w:spacing w:after="0"/>
              <w:rPr>
                <w:sz w:val="20"/>
                <w:szCs w:val="20"/>
                <w:color w:val="auto"/>
              </w:rPr>
            </w:pPr>
            <w:r>
              <w:rPr>
                <w:rFonts w:ascii="Arial" w:cs="Arial" w:eastAsia="Arial" w:hAnsi="Arial"/>
                <w:sz w:val="18"/>
                <w:szCs w:val="18"/>
                <w:color w:val="auto"/>
              </w:rPr>
              <w:t>Head of Operations:</w:t>
            </w:r>
          </w:p>
        </w:tc>
        <w:tc>
          <w:tcPr>
            <w:tcW w:w="7320" w:type="dxa"/>
            <w:vAlign w:val="bottom"/>
          </w:tcPr>
          <w:p>
            <w:pPr>
              <w:ind w:left="580"/>
              <w:spacing w:after="0"/>
              <w:rPr>
                <w:sz w:val="20"/>
                <w:szCs w:val="20"/>
                <w:color w:val="auto"/>
              </w:rPr>
            </w:pPr>
            <w:r>
              <w:rPr>
                <w:rFonts w:ascii="Arial" w:cs="Arial" w:eastAsia="Arial" w:hAnsi="Arial"/>
                <w:sz w:val="18"/>
                <w:szCs w:val="18"/>
                <w:color w:val="auto"/>
              </w:rPr>
              <w:t>Head of Operations.</w:t>
            </w:r>
          </w:p>
        </w:tc>
      </w:tr>
      <w:tr>
        <w:trPr>
          <w:trHeight w:val="427"/>
        </w:trPr>
        <w:tc>
          <w:tcPr>
            <w:tcW w:w="3920" w:type="dxa"/>
            <w:vAlign w:val="bottom"/>
          </w:tcPr>
          <w:p>
            <w:pPr>
              <w:jc w:val="right"/>
              <w:ind w:right="2391"/>
              <w:spacing w:after="0"/>
              <w:rPr>
                <w:sz w:val="20"/>
                <w:szCs w:val="20"/>
                <w:color w:val="auto"/>
              </w:rPr>
            </w:pPr>
            <w:r>
              <w:rPr>
                <w:rFonts w:ascii="Arial" w:cs="Arial" w:eastAsia="Arial" w:hAnsi="Arial"/>
                <w:sz w:val="18"/>
                <w:szCs w:val="18"/>
                <w:color w:val="auto"/>
              </w:rPr>
              <w:t>2021.11.12</w:t>
            </w:r>
          </w:p>
        </w:tc>
        <w:tc>
          <w:tcPr>
            <w:tcW w:w="7320" w:type="dxa"/>
            <w:vAlign w:val="bottom"/>
          </w:tcPr>
          <w:p>
            <w:pPr>
              <w:spacing w:after="0"/>
              <w:rPr>
                <w:sz w:val="24"/>
                <w:szCs w:val="24"/>
                <w:color w:val="auto"/>
              </w:rPr>
            </w:pPr>
          </w:p>
        </w:tc>
      </w:tr>
      <w:tr>
        <w:trPr>
          <w:trHeight w:val="649"/>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1029" w:right="3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Annexes.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Basic Contract Information Form</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7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Lessees</w:t>
            </w: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6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CLPS Dalian Co., Ltd.</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Email</w:t>
            </w:r>
          </w:p>
        </w:tc>
        <w:tc>
          <w:tcPr>
            <w:tcW w:w="540" w:type="dxa"/>
            <w:vAlign w:val="bottom"/>
            <w:tcBorders>
              <w:top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Contact number</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6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041182410800/13898687842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Postcode</w:t>
            </w:r>
          </w:p>
        </w:tc>
        <w:tc>
          <w:tcPr>
            <w:tcW w:w="540" w:type="dxa"/>
            <w:vAlign w:val="bottom"/>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Contact address</w:t>
            </w:r>
          </w:p>
        </w:tc>
        <w:tc>
          <w:tcPr>
            <w:tcW w:w="520" w:type="dxa"/>
            <w:vAlign w:val="bottom"/>
          </w:tcPr>
          <w:p>
            <w:pPr>
              <w:spacing w:after="0"/>
              <w:rPr>
                <w:sz w:val="22"/>
                <w:szCs w:val="22"/>
                <w:color w:val="auto"/>
              </w:rPr>
            </w:pPr>
          </w:p>
        </w:tc>
        <w:tc>
          <w:tcPr>
            <w:tcW w:w="9020" w:type="dxa"/>
            <w:vAlign w:val="bottom"/>
            <w:tcBorders>
              <w:right w:val="single" w:sz="8" w:color="auto"/>
            </w:tcBorders>
            <w:gridSpan w:val="6"/>
          </w:tcPr>
          <w:p>
            <w:pPr>
              <w:jc w:val="center"/>
              <w:ind w:right="451"/>
              <w:spacing w:after="0"/>
              <w:rPr>
                <w:sz w:val="20"/>
                <w:szCs w:val="20"/>
                <w:color w:val="auto"/>
              </w:rPr>
            </w:pPr>
            <w:r>
              <w:rPr>
                <w:rFonts w:ascii="Arial" w:cs="Arial" w:eastAsia="Arial" w:hAnsi="Arial"/>
                <w:sz w:val="18"/>
                <w:szCs w:val="18"/>
                <w:color w:val="auto"/>
                <w:w w:val="91"/>
              </w:rPr>
              <w:t>Room #01-01/02/03/04, 1st Floor, No. 1, Huixian Park, Qixianling, Dalian Hi-Tech Industrial Park, Liaoning Province</w:t>
            </w: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Lease of premises</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5/F, #501-503/504-506/507, 30 Cuitao Street, High-tech Park</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Building area</w:t>
            </w:r>
          </w:p>
        </w:tc>
        <w:tc>
          <w:tcPr>
            <w:tcW w:w="540" w:type="dxa"/>
            <w:vAlign w:val="bottom"/>
          </w:tcPr>
          <w:p>
            <w:pPr>
              <w:spacing w:after="0"/>
              <w:rPr>
                <w:sz w:val="22"/>
                <w:szCs w:val="22"/>
                <w:color w:val="auto"/>
              </w:rPr>
            </w:pP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1388.45 sqm</w:t>
            </w: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House use</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0" w:type="dxa"/>
            <w:vAlign w:val="bottom"/>
            <w:gridSpan w:val="3"/>
          </w:tcPr>
          <w:p>
            <w:pPr>
              <w:jc w:val="center"/>
              <w:ind w:left="571"/>
              <w:spacing w:after="0"/>
              <w:rPr>
                <w:sz w:val="20"/>
                <w:szCs w:val="20"/>
                <w:color w:val="auto"/>
              </w:rPr>
            </w:pPr>
            <w:r>
              <w:rPr>
                <w:rFonts w:ascii="Arial" w:cs="Arial" w:eastAsia="Arial" w:hAnsi="Arial"/>
                <w:sz w:val="18"/>
                <w:szCs w:val="18"/>
                <w:color w:val="auto"/>
                <w:w w:val="89"/>
              </w:rPr>
              <w:t>Business office use in software-related industries</w:t>
            </w: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Lease term</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60" w:type="dxa"/>
            <w:vAlign w:val="bottom"/>
          </w:tcPr>
          <w:p>
            <w:pPr>
              <w:jc w:val="center"/>
              <w:ind w:left="2311"/>
              <w:spacing w:after="0"/>
              <w:rPr>
                <w:sz w:val="20"/>
                <w:szCs w:val="20"/>
                <w:color w:val="auto"/>
              </w:rPr>
            </w:pPr>
            <w:r>
              <w:rPr>
                <w:rFonts w:ascii="Arial" w:cs="Arial" w:eastAsia="Arial" w:hAnsi="Arial"/>
                <w:sz w:val="18"/>
                <w:szCs w:val="18"/>
                <w:b w:val="1"/>
                <w:bCs w:val="1"/>
                <w:color w:val="auto"/>
                <w:w w:val="89"/>
              </w:rPr>
              <w:t>2021-12-31 to 2024-12-30</w:t>
            </w: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tcPr>
          <w:p>
            <w:pPr>
              <w:ind w:left="2000"/>
              <w:spacing w:after="0"/>
              <w:rPr>
                <w:sz w:val="20"/>
                <w:szCs w:val="20"/>
                <w:color w:val="auto"/>
              </w:rPr>
            </w:pPr>
            <w:r>
              <w:rPr>
                <w:rFonts w:ascii="Arial" w:cs="Arial" w:eastAsia="Arial" w:hAnsi="Arial"/>
                <w:sz w:val="18"/>
                <w:szCs w:val="18"/>
                <w:color w:val="auto"/>
              </w:rPr>
              <w:t>Rental and other rates</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2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gridSpan w:val="3"/>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Rental unit price</w:t>
            </w:r>
          </w:p>
        </w:tc>
        <w:tc>
          <w:tcPr>
            <w:tcW w:w="1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w w:val="94"/>
              </w:rPr>
              <w:t>1.60RMB/calendar day*sqm, rent does not include electricity and communication costs.</w:t>
            </w: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240" w:type="dxa"/>
            <w:vAlign w:val="bottom"/>
            <w:tcBorders>
              <w:left w:val="single" w:sz="8" w:color="auto"/>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0"/>
              </w:rPr>
              <w:t>Unit price of property charges</w:t>
            </w:r>
          </w:p>
        </w:tc>
        <w:tc>
          <w:tcPr>
            <w:tcW w:w="1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RMB 1.00/calendar day*sqm</w:t>
            </w: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42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Unit price of electricity</w:t>
            </w:r>
          </w:p>
        </w:tc>
        <w:tc>
          <w:tcPr>
            <w:tcW w:w="16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84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2"/>
              </w:rPr>
              <w:t>RMB1.05/kWh, and in case of government adjustment of electricity tariff during the lease period, the standard will</w:t>
            </w:r>
          </w:p>
        </w:tc>
        <w:tc>
          <w:tcPr>
            <w:tcW w:w="0" w:type="dxa"/>
            <w:vAlign w:val="bottom"/>
          </w:tcPr>
          <w:p>
            <w:pPr>
              <w:spacing w:after="0"/>
              <w:rPr>
                <w:sz w:val="1"/>
                <w:szCs w:val="1"/>
                <w:color w:val="auto"/>
              </w:rPr>
            </w:pPr>
          </w:p>
        </w:tc>
      </w:tr>
      <w:tr>
        <w:trPr>
          <w:trHeight w:val="120"/>
        </w:trPr>
        <w:tc>
          <w:tcPr>
            <w:tcW w:w="2240" w:type="dxa"/>
            <w:vAlign w:val="bottom"/>
            <w:tcBorders>
              <w:lef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860" w:type="dxa"/>
            <w:vAlign w:val="bottom"/>
            <w:vMerge w:val="restart"/>
          </w:tcPr>
          <w:p>
            <w:pPr>
              <w:ind w:left="40"/>
              <w:spacing w:after="0"/>
              <w:rPr>
                <w:sz w:val="20"/>
                <w:szCs w:val="20"/>
                <w:color w:val="auto"/>
              </w:rPr>
            </w:pPr>
            <w:r>
              <w:rPr>
                <w:rFonts w:ascii="Arial" w:cs="Arial" w:eastAsia="Arial" w:hAnsi="Arial"/>
                <w:sz w:val="18"/>
                <w:szCs w:val="18"/>
                <w:color w:val="auto"/>
                <w:w w:val="93"/>
              </w:rPr>
              <w:t>be implemented according to the corresponding adjusted range.</w:t>
            </w: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8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42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Unit price of water</w:t>
            </w:r>
          </w:p>
        </w:tc>
        <w:tc>
          <w:tcPr>
            <w:tcW w:w="16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84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4"/>
              </w:rPr>
              <w:t>RMB4.60/t, if the government adjusts the water price during the lease period, the standard will be implemented</w:t>
            </w:r>
          </w:p>
        </w:tc>
        <w:tc>
          <w:tcPr>
            <w:tcW w:w="0" w:type="dxa"/>
            <w:vAlign w:val="bottom"/>
          </w:tcPr>
          <w:p>
            <w:pPr>
              <w:spacing w:after="0"/>
              <w:rPr>
                <w:sz w:val="1"/>
                <w:szCs w:val="1"/>
                <w:color w:val="auto"/>
              </w:rPr>
            </w:pPr>
          </w:p>
        </w:tc>
      </w:tr>
      <w:tr>
        <w:trPr>
          <w:trHeight w:val="120"/>
        </w:trPr>
        <w:tc>
          <w:tcPr>
            <w:tcW w:w="2240" w:type="dxa"/>
            <w:vAlign w:val="bottom"/>
            <w:tcBorders>
              <w:lef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860" w:type="dxa"/>
            <w:vAlign w:val="bottom"/>
            <w:vMerge w:val="restart"/>
          </w:tcPr>
          <w:p>
            <w:pPr>
              <w:ind w:left="40"/>
              <w:spacing w:after="0"/>
              <w:rPr>
                <w:sz w:val="20"/>
                <w:szCs w:val="20"/>
                <w:color w:val="auto"/>
              </w:rPr>
            </w:pPr>
            <w:r>
              <w:rPr>
                <w:rFonts w:ascii="Arial" w:cs="Arial" w:eastAsia="Arial" w:hAnsi="Arial"/>
                <w:sz w:val="18"/>
                <w:szCs w:val="18"/>
                <w:color w:val="auto"/>
              </w:rPr>
              <w:t>according to the corresponding adjusted range.</w:t>
            </w: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8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240" w:type="dxa"/>
            <w:vAlign w:val="bottom"/>
            <w:tcBorders>
              <w:left w:val="single" w:sz="8" w:color="auto"/>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Communication Fee</w:t>
            </w:r>
          </w:p>
        </w:tc>
        <w:tc>
          <w:tcPr>
            <w:tcW w:w="1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Payable by Party B to the relevant communications operator</w:t>
            </w: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840" w:type="dxa"/>
            <w:vAlign w:val="bottom"/>
            <w:tcBorders>
              <w:left w:val="single" w:sz="8" w:color="auto"/>
              <w:bottom w:val="single" w:sz="8" w:color="auto"/>
              <w:right w:val="single" w:sz="8" w:color="auto"/>
            </w:tcBorders>
            <w:gridSpan w:val="4"/>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840" w:type="dxa"/>
            <w:vAlign w:val="bottom"/>
            <w:tcBorders>
              <w:left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Water, electricity and heating costs</w:t>
            </w:r>
          </w:p>
        </w:tc>
        <w:tc>
          <w:tcPr>
            <w:tcW w:w="4860" w:type="dxa"/>
            <w:vAlign w:val="bottom"/>
            <w:vMerge w:val="restart"/>
          </w:tcPr>
          <w:p>
            <w:pPr>
              <w:ind w:left="40"/>
              <w:spacing w:after="0"/>
              <w:rPr>
                <w:sz w:val="20"/>
                <w:szCs w:val="20"/>
                <w:color w:val="auto"/>
              </w:rPr>
            </w:pPr>
            <w:r>
              <w:rPr>
                <w:rFonts w:ascii="Arial" w:cs="Arial" w:eastAsia="Arial" w:hAnsi="Arial"/>
                <w:sz w:val="18"/>
                <w:szCs w:val="18"/>
                <w:color w:val="auto"/>
              </w:rPr>
              <w:t>Included in rent and property management fees</w:t>
            </w: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1"/>
              </w:rPr>
              <w:t>outside Party B’s leased area</w:t>
            </w:r>
          </w:p>
        </w:tc>
        <w:tc>
          <w:tcPr>
            <w:tcW w:w="1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8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40" w:type="dxa"/>
            <w:vAlign w:val="bottom"/>
            <w:tcBorders>
              <w:lef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42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72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84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1"/>
              </w:rPr>
              <w:t>Prior to the commencement of the renovation by Party B, Party A will charge the following renovation management</w:t>
            </w:r>
          </w:p>
        </w:tc>
        <w:tc>
          <w:tcPr>
            <w:tcW w:w="0" w:type="dxa"/>
            <w:vAlign w:val="bottom"/>
          </w:tcPr>
          <w:p>
            <w:pPr>
              <w:spacing w:after="0"/>
              <w:rPr>
                <w:sz w:val="1"/>
                <w:szCs w:val="1"/>
                <w:color w:val="auto"/>
              </w:rPr>
            </w:pPr>
          </w:p>
        </w:tc>
      </w:tr>
      <w:tr>
        <w:trPr>
          <w:trHeight w:val="226"/>
        </w:trPr>
        <w:tc>
          <w:tcPr>
            <w:tcW w:w="17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fees based on the leased floor area of Party B.</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6"/>
              </w:rPr>
              <w:t>Secondary renovation costs</w:t>
            </w:r>
          </w:p>
        </w:tc>
        <w:tc>
          <w:tcPr>
            <w:tcW w:w="16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842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w w:val="91"/>
              </w:rPr>
              <w:t>Renovation deposit (refundable) RMB20/m</w:t>
            </w:r>
            <w:r>
              <w:rPr>
                <w:rFonts w:ascii="Arial" w:cs="Arial" w:eastAsia="Arial" w:hAnsi="Arial"/>
                <w:sz w:val="29"/>
                <w:szCs w:val="29"/>
                <w:color w:val="auto"/>
                <w:w w:val="91"/>
                <w:vertAlign w:val="superscript"/>
              </w:rPr>
              <w:t>2</w:t>
            </w:r>
            <w:r>
              <w:rPr>
                <w:rFonts w:ascii="Arial" w:cs="Arial" w:eastAsia="Arial" w:hAnsi="Arial"/>
                <w:sz w:val="18"/>
                <w:szCs w:val="18"/>
                <w:color w:val="auto"/>
                <w:w w:val="91"/>
              </w:rPr>
              <w:t xml:space="preserve"> , renovation management fee (non-refundable) RMB5/m</w:t>
            </w:r>
            <w:r>
              <w:rPr>
                <w:rFonts w:ascii="Arial" w:cs="Arial" w:eastAsia="Arial" w:hAnsi="Arial"/>
                <w:sz w:val="29"/>
                <w:szCs w:val="29"/>
                <w:color w:val="auto"/>
                <w:w w:val="91"/>
                <w:vertAlign w:val="superscript"/>
              </w:rPr>
              <w:t>2</w:t>
            </w:r>
            <w:r>
              <w:rPr>
                <w:rFonts w:ascii="Arial" w:cs="Arial" w:eastAsia="Arial" w:hAnsi="Arial"/>
                <w:sz w:val="18"/>
                <w:szCs w:val="18"/>
                <w:color w:val="auto"/>
                <w:w w:val="91"/>
              </w:rPr>
              <w:t xml:space="preserve"> , temporary</w:t>
            </w:r>
          </w:p>
        </w:tc>
        <w:tc>
          <w:tcPr>
            <w:tcW w:w="0" w:type="dxa"/>
            <w:vAlign w:val="bottom"/>
          </w:tcPr>
          <w:p>
            <w:pPr>
              <w:spacing w:after="0"/>
              <w:rPr>
                <w:sz w:val="1"/>
                <w:szCs w:val="1"/>
                <w:color w:val="auto"/>
              </w:rPr>
            </w:pPr>
          </w:p>
        </w:tc>
      </w:tr>
      <w:tr>
        <w:trPr>
          <w:trHeight w:val="204"/>
        </w:trPr>
        <w:tc>
          <w:tcPr>
            <w:tcW w:w="172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42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600" w:type="dxa"/>
            <w:vAlign w:val="bottom"/>
            <w:tcBorders>
              <w:bottom w:val="single" w:sz="8" w:color="auto"/>
            </w:tcBorders>
            <w:gridSpan w:val="3"/>
          </w:tcPr>
          <w:p>
            <w:pPr>
              <w:ind w:left="40"/>
              <w:spacing w:after="0" w:line="317" w:lineRule="exact"/>
              <w:rPr>
                <w:sz w:val="20"/>
                <w:szCs w:val="20"/>
                <w:color w:val="auto"/>
              </w:rPr>
            </w:pPr>
            <w:r>
              <w:rPr>
                <w:rFonts w:ascii="Arial" w:cs="Arial" w:eastAsia="Arial" w:hAnsi="Arial"/>
                <w:sz w:val="18"/>
                <w:szCs w:val="18"/>
                <w:color w:val="auto"/>
                <w:w w:val="93"/>
              </w:rPr>
              <w:t>electricity fee (refundable) RMB5/m</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 xml:space="preserve"> , temporary water fee (non-refundable) RMB1/m</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 xml:space="preserve"> .</w:t>
            </w:r>
          </w:p>
        </w:tc>
        <w:tc>
          <w:tcPr>
            <w:tcW w:w="1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40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5"/>
              </w:rPr>
              <w:t>Air conditioning delay charges</w:t>
            </w:r>
          </w:p>
        </w:tc>
        <w:tc>
          <w:tcPr>
            <w:tcW w:w="440" w:type="dxa"/>
            <w:vAlign w:val="bottom"/>
            <w:tcBorders>
              <w:right w:val="single" w:sz="8" w:color="auto"/>
            </w:tcBorders>
          </w:tcPr>
          <w:p>
            <w:pPr>
              <w:spacing w:after="0"/>
              <w:rPr>
                <w:sz w:val="21"/>
                <w:szCs w:val="21"/>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Refrigeration: RMB300/hour</w:t>
            </w: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400" w:type="dxa"/>
            <w:vAlign w:val="bottom"/>
            <w:tcBorders>
              <w:left w:val="single" w:sz="8" w:color="auto"/>
            </w:tcBorders>
            <w:gridSpan w:val="3"/>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860" w:type="dxa"/>
            <w:vAlign w:val="bottom"/>
            <w:vMerge w:val="restart"/>
          </w:tcPr>
          <w:p>
            <w:pPr>
              <w:ind w:left="40"/>
              <w:spacing w:after="0"/>
              <w:rPr>
                <w:sz w:val="20"/>
                <w:szCs w:val="20"/>
                <w:color w:val="auto"/>
              </w:rPr>
            </w:pPr>
            <w:r>
              <w:rPr>
                <w:rFonts w:ascii="Arial" w:cs="Arial" w:eastAsia="Arial" w:hAnsi="Arial"/>
                <w:sz w:val="18"/>
                <w:szCs w:val="18"/>
                <w:color w:val="auto"/>
              </w:rPr>
              <w:t>Heating: RMB100/hour</w:t>
            </w: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8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72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0"/>
        </w:trPr>
        <w:tc>
          <w:tcPr>
            <w:tcW w:w="1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32" w:right="31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79"/>
        </w:trPr>
        <w:tc>
          <w:tcPr>
            <w:tcW w:w="2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 park management fee</w:t>
            </w:r>
          </w:p>
        </w:tc>
        <w:tc>
          <w:tcPr>
            <w:tcW w:w="84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car park charges of the building will apply.</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46"/>
        </w:trPr>
        <w:tc>
          <w:tcPr>
            <w:tcW w:w="2840" w:type="dxa"/>
            <w:vAlign w:val="bottom"/>
            <w:tcBorders>
              <w:left w:val="single" w:sz="8" w:color="auto"/>
              <w:right w:val="single" w:sz="8" w:color="auto"/>
            </w:tcBorders>
          </w:tcPr>
          <w:p>
            <w:pPr>
              <w:spacing w:after="0"/>
              <w:rPr>
                <w:sz w:val="21"/>
                <w:szCs w:val="21"/>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If the demand for electricity in the leased room of Party B exceeds the design standard of the building, Party B may</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apply to Party A for additional capacity at a charge of RMB300/KW, and Party B shall pay the additional capacity</w:t>
            </w:r>
          </w:p>
        </w:tc>
      </w:tr>
      <w:tr>
        <w:trPr>
          <w:trHeight w:val="213"/>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Electricity Capacity Increase Charges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fee in one go before the construction of the additional capacity. Party B’s capacity increase plan shall be approved</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by Party A before construction, and Party B shall be responsible for the capacity increase construction and bear the</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construction cost.</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46"/>
        </w:trPr>
        <w:tc>
          <w:tcPr>
            <w:tcW w:w="2840" w:type="dxa"/>
            <w:vAlign w:val="bottom"/>
            <w:tcBorders>
              <w:left w:val="single" w:sz="8" w:color="auto"/>
              <w:right w:val="single" w:sz="8" w:color="auto"/>
            </w:tcBorders>
          </w:tcPr>
          <w:p>
            <w:pPr>
              <w:spacing w:after="0"/>
              <w:rPr>
                <w:sz w:val="21"/>
                <w:szCs w:val="21"/>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The total amount of rent and property charges for 90 calendar days shall be paid by Party B to Party A together with</w:t>
            </w:r>
          </w:p>
        </w:tc>
      </w:tr>
      <w:tr>
        <w:trPr>
          <w:trHeight w:val="213"/>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bond</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down payment, i.e. (in capital letters): Three hundred and twenty thousand, eight hundred and ninety-seven</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dollars and thirty cents (RMB324,897.30)</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46"/>
        </w:trPr>
        <w:tc>
          <w:tcPr>
            <w:tcW w:w="2840" w:type="dxa"/>
            <w:vAlign w:val="bottom"/>
            <w:tcBorders>
              <w:left w:val="single" w:sz="8" w:color="auto"/>
              <w:right w:val="single" w:sz="8" w:color="auto"/>
            </w:tcBorders>
          </w:tcPr>
          <w:p>
            <w:pPr>
              <w:spacing w:after="0"/>
              <w:rPr>
                <w:sz w:val="21"/>
                <w:szCs w:val="21"/>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1. The total amount of rent and property management fee payable (in capital letters) is: $3,956,527.11 (RMB</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3,956,527.11)</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2. Discount during the lease period: Three hundred and eighty thousand, four hundred and thirty-five dollars and</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thirty cents (RMB 380,435.30)</w:t>
            </w:r>
          </w:p>
        </w:tc>
      </w:tr>
      <w:tr>
        <w:trPr>
          <w:trHeight w:val="414"/>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Rent and property management fees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3. The actual total amount of rent and property management fees payable (in capital letters) is: $3,576,091.81 (RMB</w:t>
            </w:r>
          </w:p>
        </w:tc>
      </w:tr>
      <w:tr>
        <w:trPr>
          <w:trHeight w:val="226"/>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amount</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3,576,091.81)</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total amount of rent (in capital letters) is: Two Million Five Hundred and Fifty Thousand Three Hundred and</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Fifty Dollars and One Cent (RMB 2,054,350.61)</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 total amount of property charges (in capital letters) is: One Million Five Hundred and Twenty Two Thousand</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Seven Hundred and Forty One Yuan and Two Cents (RMB 1,521,741.20)</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Prepaid on a [every three months] payment cycle, i.e.</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1, 2021-11-18 before the payment (capital): one hundred and twenty-two thousand two hundred and ninety-five</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yuan and eighty cents (¥ 622,905.18 yuan);</w:t>
            </w:r>
          </w:p>
        </w:tc>
      </w:tr>
      <w:tr>
        <w:trPr>
          <w:trHeight w:val="414"/>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Rent and property management fees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The total amount of rent (in capital letters) is one hundred and seventy-one thousand one hundred and ninety-nine</w:t>
            </w:r>
          </w:p>
        </w:tc>
      </w:tr>
      <w:tr>
        <w:trPr>
          <w:trHeight w:val="226"/>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Payment methods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yuan and four cents (RMB 171,196.04);</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The total amount of property charges (in capital letters) is: one hundred and twenty-two thousand, one hundred and</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eighty-one yuan and eighty cents (RMB 126,811.84); the period of representation is: 2021-12-31 to 2022-03-27; the</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performance guarantee (in capital letters) is: three hundred and twenty-two thousand, one hundred and eighty-nine</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yuan and three cents (RMB 324,897.30)</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46"/>
        </w:trPr>
        <w:tc>
          <w:tcPr>
            <w:tcW w:w="2840" w:type="dxa"/>
            <w:vAlign w:val="bottom"/>
            <w:tcBorders>
              <w:left w:val="single" w:sz="8" w:color="auto"/>
              <w:right w:val="single" w:sz="8" w:color="auto"/>
            </w:tcBorders>
          </w:tcPr>
          <w:p>
            <w:pPr>
              <w:spacing w:after="0"/>
              <w:rPr>
                <w:sz w:val="21"/>
                <w:szCs w:val="21"/>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2. In addition to the first installment of rent and property charges, Party B shall pay to Party A the rent and property</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charges for the next payment cycle before the end of each payment cycle, details of the payment schedule and fee</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rates are set out in the Schedule of Payment of Rent and Property Charges in Annex II.</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Party A shall provide Party B with a valid invoice for the same amount within 15 calendar days after confirming</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receipt of the full rent and property management fee for the respective representative period. If Party B pays by</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telegraphic transfer, the time of acknowledgement of receipt of the rent and property management fee shall be the</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 when the bank issues the telegraphic transfer voucher.</w:t>
            </w:r>
          </w:p>
        </w:tc>
      </w:tr>
      <w:tr>
        <w:trPr>
          <w:trHeight w:val="414"/>
        </w:trPr>
        <w:tc>
          <w:tcPr>
            <w:tcW w:w="284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Received by: CLPS Dalian Co., Ltd.</w:t>
            </w: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Bank of Account: ICBC Dalian Friendship Square Sub-branch</w:t>
            </w:r>
          </w:p>
        </w:tc>
      </w:tr>
      <w:tr>
        <w:trPr>
          <w:trHeight w:val="226"/>
        </w:trPr>
        <w:tc>
          <w:tcPr>
            <w:tcW w:w="2840" w:type="dxa"/>
            <w:vAlign w:val="bottom"/>
            <w:tcBorders>
              <w:left w:val="single" w:sz="8" w:color="auto"/>
              <w:right w:val="single" w:sz="8" w:color="auto"/>
            </w:tcBorders>
          </w:tcPr>
          <w:p>
            <w:pPr>
              <w:spacing w:after="0"/>
              <w:rPr>
                <w:sz w:val="19"/>
                <w:szCs w:val="19"/>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 number: 3400203419300134615</w:t>
            </w:r>
          </w:p>
        </w:tc>
      </w:tr>
      <w:tr>
        <w:trPr>
          <w:trHeight w:val="268"/>
        </w:trPr>
        <w:tc>
          <w:tcPr>
            <w:tcW w:w="2840" w:type="dxa"/>
            <w:vAlign w:val="bottom"/>
            <w:tcBorders>
              <w:left w:val="single" w:sz="8" w:color="auto"/>
              <w:bottom w:val="single" w:sz="8" w:color="auto"/>
              <w:right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r>
      <w:tr>
        <w:trPr>
          <w:trHeight w:val="640"/>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1027" w:right="339" w:bottom="1440" w:gutter="0" w:footer="0" w:header="0"/>
        </w:sectPr>
      </w:pPr>
    </w:p>
    <w:bookmarkStart w:id="257" w:name="page258"/>
    <w:bookmarkEnd w:id="2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6"/>
        </w:trPr>
        <w:tc>
          <w:tcPr>
            <w:tcW w:w="2840" w:type="dxa"/>
            <w:vAlign w:val="bottom"/>
          </w:tcPr>
          <w:p>
            <w:pPr>
              <w:spacing w:after="0"/>
              <w:rPr>
                <w:sz w:val="19"/>
                <w:szCs w:val="19"/>
                <w:color w:val="auto"/>
              </w:rPr>
            </w:pPr>
          </w:p>
        </w:tc>
        <w:tc>
          <w:tcPr>
            <w:tcW w:w="8400" w:type="dxa"/>
            <w:vAlign w:val="bottom"/>
          </w:tcPr>
          <w:p>
            <w:pPr>
              <w:ind w:left="1260"/>
              <w:spacing w:after="0"/>
              <w:rPr>
                <w:sz w:val="20"/>
                <w:szCs w:val="20"/>
                <w:color w:val="auto"/>
              </w:rPr>
            </w:pPr>
            <w:r>
              <w:rPr>
                <w:rFonts w:ascii="Arial" w:cs="Arial" w:eastAsia="Arial" w:hAnsi="Arial"/>
                <w:sz w:val="18"/>
                <w:szCs w:val="18"/>
                <w:color w:val="auto"/>
              </w:rPr>
              <w:t>Existing facilities and finishes in the house</w:t>
            </w:r>
          </w:p>
        </w:tc>
      </w:tr>
      <w:tr>
        <w:trPr>
          <w:trHeight w:val="215"/>
        </w:trPr>
        <w:tc>
          <w:tcPr>
            <w:tcW w:w="284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Central air conditioning</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Good</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Concrete floor</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Good</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Light fittings, switches, sockets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Good</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Wall Wall</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Emulsion paint and glass textures, good</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Sky Shed</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Good</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Communication facilities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Voice and network access available</w:t>
            </w:r>
          </w:p>
        </w:tc>
      </w:tr>
      <w:tr>
        <w:trPr>
          <w:trHeight w:val="55"/>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r>
      <w:tr>
        <w:trPr>
          <w:trHeight w:val="419"/>
        </w:trPr>
        <w:tc>
          <w:tcPr>
            <w:tcW w:w="2840" w:type="dxa"/>
            <w:vAlign w:val="bottom"/>
          </w:tcPr>
          <w:p>
            <w:pPr>
              <w:spacing w:after="0"/>
              <w:rPr>
                <w:sz w:val="24"/>
                <w:szCs w:val="24"/>
                <w:color w:val="auto"/>
              </w:rPr>
            </w:pPr>
          </w:p>
        </w:tc>
        <w:tc>
          <w:tcPr>
            <w:tcW w:w="8400" w:type="dxa"/>
            <w:vAlign w:val="bottom"/>
          </w:tcPr>
          <w:p>
            <w:pPr>
              <w:ind w:left="2160"/>
              <w:spacing w:after="0"/>
              <w:rPr>
                <w:sz w:val="20"/>
                <w:szCs w:val="20"/>
                <w:color w:val="auto"/>
              </w:rPr>
            </w:pPr>
            <w:r>
              <w:rPr>
                <w:rFonts w:ascii="Arial" w:cs="Arial" w:eastAsia="Arial" w:hAnsi="Arial"/>
                <w:sz w:val="18"/>
                <w:szCs w:val="18"/>
                <w:color w:val="auto"/>
              </w:rPr>
              <w:t>Property Services</w:t>
            </w:r>
          </w:p>
        </w:tc>
      </w:tr>
    </w:tbl>
    <w:p>
      <w:pPr>
        <w:spacing w:after="0" w:line="209" w:lineRule="exact"/>
        <w:rPr>
          <w:sz w:val="20"/>
          <w:szCs w:val="20"/>
          <w:color w:val="auto"/>
        </w:rPr>
      </w:pPr>
    </w:p>
    <w:p>
      <w:pPr>
        <w:jc w:val="both"/>
        <w:spacing w:after="0" w:line="263" w:lineRule="exact"/>
        <w:rPr>
          <w:sz w:val="20"/>
          <w:szCs w:val="20"/>
          <w:color w:val="auto"/>
        </w:rPr>
      </w:pPr>
      <w:r>
        <w:rPr>
          <w:rFonts w:ascii="Arial" w:cs="Arial" w:eastAsia="Arial" w:hAnsi="Arial"/>
          <w:sz w:val="18"/>
          <w:szCs w:val="18"/>
          <w:color w:val="auto"/>
        </w:rPr>
        <w:t xml:space="preserve">1 </w:t>
      </w:r>
      <w:r>
        <w:rPr>
          <w:rFonts w:ascii="SimSun" w:cs="SimSun" w:eastAsia="SimSun" w:hAnsi="SimSun"/>
          <w:sz w:val="18"/>
          <w:szCs w:val="18"/>
          <w:b w:val="1"/>
          <w:bCs w:val="1"/>
          <w:color w:val="auto"/>
        </w:rPr>
        <w:t>、</w:t>
      </w:r>
      <w:r>
        <w:rPr>
          <w:rFonts w:ascii="Arial" w:cs="Arial" w:eastAsia="Arial" w:hAnsi="Arial"/>
          <w:sz w:val="18"/>
          <w:szCs w:val="18"/>
          <w:color w:val="auto"/>
        </w:rPr>
        <w:t xml:space="preserve"> Security services: regular tour management of security in the outside areas of the building; 24-hour monitoring and management of fire fighting and surveillance facilities.</w:t>
      </w:r>
    </w:p>
    <w:p>
      <w:pPr>
        <w:spacing w:after="0" w:line="210" w:lineRule="exact"/>
        <w:rPr>
          <w:sz w:val="20"/>
          <w:szCs w:val="20"/>
          <w:color w:val="auto"/>
        </w:rPr>
      </w:pPr>
    </w:p>
    <w:p>
      <w:pPr>
        <w:jc w:val="both"/>
        <w:spacing w:after="0" w:line="263" w:lineRule="exact"/>
        <w:rPr>
          <w:sz w:val="20"/>
          <w:szCs w:val="20"/>
          <w:color w:val="auto"/>
        </w:rPr>
      </w:pPr>
      <w:r>
        <w:rPr>
          <w:rFonts w:ascii="Arial" w:cs="Arial" w:eastAsia="Arial" w:hAnsi="Arial"/>
          <w:sz w:val="18"/>
          <w:szCs w:val="18"/>
          <w:color w:val="auto"/>
        </w:rPr>
        <w:t xml:space="preserve">2 </w:t>
      </w:r>
      <w:r>
        <w:rPr>
          <w:rFonts w:ascii="SimSun" w:cs="SimSun" w:eastAsia="SimSun" w:hAnsi="SimSun"/>
          <w:sz w:val="18"/>
          <w:szCs w:val="18"/>
          <w:b w:val="1"/>
          <w:bCs w:val="1"/>
          <w:color w:val="auto"/>
        </w:rPr>
        <w:t>、</w:t>
      </w:r>
      <w:r>
        <w:rPr>
          <w:rFonts w:ascii="Arial" w:cs="Arial" w:eastAsia="Arial" w:hAnsi="Arial"/>
          <w:sz w:val="18"/>
          <w:szCs w:val="18"/>
          <w:color w:val="auto"/>
        </w:rPr>
        <w:t xml:space="preserve"> Cleaning services: daily cleaning of public areas outside the building and outside Party B’s leased area within the building; greening of public areas; disinfection and pest control inside and outside the building; external curtain wall cleaning.</w:t>
      </w:r>
    </w:p>
    <w:p>
      <w:pPr>
        <w:spacing w:after="0" w:line="21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3</w:t>
      </w:r>
      <w:r>
        <w:rPr>
          <w:rFonts w:ascii="SimSun" w:cs="SimSun" w:eastAsia="SimSun" w:hAnsi="SimSun"/>
          <w:sz w:val="18"/>
          <w:szCs w:val="18"/>
          <w:b w:val="1"/>
          <w:bCs w:val="1"/>
          <w:color w:val="auto"/>
        </w:rPr>
        <w:t>、</w:t>
      </w:r>
      <w:r>
        <w:rPr>
          <w:rFonts w:ascii="Arial" w:cs="Arial" w:eastAsia="Arial" w:hAnsi="Arial"/>
          <w:sz w:val="18"/>
          <w:szCs w:val="18"/>
          <w:color w:val="auto"/>
        </w:rPr>
        <w:t xml:space="preserve"> Maintenance and repair: maintenance and management of public facilities and equipment in the building.</w:t>
      </w:r>
    </w:p>
    <w:p>
      <w:pPr>
        <w:spacing w:after="0" w:line="30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4</w:t>
      </w:r>
      <w:r>
        <w:rPr>
          <w:rFonts w:ascii="SimSun" w:cs="SimSun" w:eastAsia="SimSun" w:hAnsi="SimSun"/>
          <w:sz w:val="18"/>
          <w:szCs w:val="18"/>
          <w:b w:val="1"/>
          <w:bCs w:val="1"/>
          <w:color w:val="auto"/>
        </w:rPr>
        <w:t>、</w:t>
      </w:r>
      <w:r>
        <w:rPr>
          <w:rFonts w:ascii="Arial" w:cs="Arial" w:eastAsia="Arial" w:hAnsi="Arial"/>
          <w:sz w:val="18"/>
          <w:szCs w:val="18"/>
          <w:color w:val="auto"/>
        </w:rPr>
        <w:t xml:space="preserve"> Business services: mail collection and delivery, newspaper subscriptions.</w:t>
      </w:r>
    </w:p>
    <w:p>
      <w:pPr>
        <w:spacing w:after="0" w:line="302" w:lineRule="exact"/>
        <w:rPr>
          <w:sz w:val="20"/>
          <w:szCs w:val="20"/>
          <w:color w:val="auto"/>
        </w:rPr>
      </w:pPr>
    </w:p>
    <w:p>
      <w:pPr>
        <w:jc w:val="both"/>
        <w:spacing w:after="0" w:line="246" w:lineRule="exact"/>
        <w:rPr>
          <w:sz w:val="20"/>
          <w:szCs w:val="20"/>
          <w:color w:val="auto"/>
        </w:rPr>
      </w:pPr>
      <w:r>
        <w:rPr>
          <w:rFonts w:ascii="Arial" w:cs="Arial" w:eastAsia="Arial" w:hAnsi="Arial"/>
          <w:sz w:val="18"/>
          <w:szCs w:val="18"/>
          <w:color w:val="auto"/>
        </w:rPr>
        <w:t>5</w:t>
      </w:r>
      <w:r>
        <w:rPr>
          <w:rFonts w:ascii="SimSun" w:cs="SimSun" w:eastAsia="SimSun" w:hAnsi="SimSun"/>
          <w:sz w:val="18"/>
          <w:szCs w:val="18"/>
          <w:b w:val="1"/>
          <w:bCs w:val="1"/>
          <w:color w:val="auto"/>
        </w:rPr>
        <w:t>、</w:t>
      </w:r>
      <w:r>
        <w:rPr>
          <w:rFonts w:ascii="Arial" w:cs="Arial" w:eastAsia="Arial" w:hAnsi="Arial"/>
          <w:sz w:val="18"/>
          <w:szCs w:val="18"/>
          <w:color w:val="auto"/>
        </w:rPr>
        <w:t xml:space="preserve"> Ancillary services: heating services are provided from 8:00 am to 18:00 pm Monday to Friday during the heating period set by the government, except for statutory holidays, and central air-conditioning delivery and cooling services are provided from 8:00 am to 18:00 pm Monday to Friday during the period from 15 May to 15 September each year.</w:t>
      </w:r>
    </w:p>
    <w:p>
      <w:pPr>
        <w:spacing w:after="0" w:line="210"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6</w:t>
      </w:r>
      <w:r>
        <w:rPr>
          <w:rFonts w:ascii="SimSun" w:cs="SimSun" w:eastAsia="SimSun" w:hAnsi="SimSun"/>
          <w:sz w:val="17"/>
          <w:szCs w:val="17"/>
          <w:b w:val="1"/>
          <w:bCs w:val="1"/>
          <w:color w:val="auto"/>
        </w:rPr>
        <w:t>、</w:t>
      </w:r>
      <w:r>
        <w:rPr>
          <w:rFonts w:ascii="Arial" w:cs="Arial" w:eastAsia="Arial" w:hAnsi="Arial"/>
          <w:sz w:val="17"/>
          <w:szCs w:val="17"/>
          <w:color w:val="auto"/>
        </w:rPr>
        <w:t xml:space="preserve"> Other services: Party B enjoys the production of the company name on the water sign in the hall during the lease period when it first moves in.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58" w:name="page259"/>
    <w:bookmarkEnd w:id="258"/>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In-situ restoration standards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Refer to Annex III of this Agreement: Standards for Restoration to Original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Remark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compliance with the terms and conditions of this contract, both parties hereby confirm the following additional concessions.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Party A has the right to grant Party B corresponding concessions (including but not limited to renovation period, rent-free period, etc.) according to its own commercial judgment and operational needs. Party B shall not be entitled to any preferential terms granted by Party A. In addition to the liability for breach of contract as stipulated in Chapter 11 of this contract, Party B shall also pay to Party A the full amount of the preferential terms enjoyed before the termination of the contract.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the basis of compliance with the terms and conditions of this contract, both parties, after friendly consultation, agree to make the following amendments and adjustments to the contents of the contract.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last sentence of Article 1.2 shall be amended to read: Party A shall be responsible for compensating for any damage caused to Party B. If the contract cannot continue to be performed, Party A shall pay Party B liquidated damages at 20% of the total rent and property charges for the remaining term of the lease.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first paragraph of Article 3.3.2 shall be amended to read: Party B shall ensure that the original decoration (including the ceiling) and facilities of the premises are intact (except for natural damage). If at the end of the lease term Party B finds an interested tenant who agrees to lease the premises in accordance with the current state of the premises (i.e. the condition that has not been restored after renovation by Party B), Party B does not need to restore the premises to its original state and can directly handle the handover procedures with Party A and the third party in accordance with the current state of the premises at that time, and the three parties will sign a separate agreement and agree in such agreement that the third party will restore the room to the condition as set out in Annex III to this contract, “Standards for Restoration to Original State”, upon surrender of the lease. Standards for Restoration to Original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9" w:name="page260"/>
    <w:bookmarkEnd w:id="259"/>
    <w:p>
      <w:pPr>
        <w:jc w:val="both"/>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4.1.2 Add at the end of clause 4.1.2: If Party B is unable to move in on time due to Party A, the term of the lease shall be extended accordingly. If Party B is late in moving in for [15] days due to the aforesaid reasons, Party B shall have the right to unilaterally terminate this contract and request Party A to return all the rent and property management fees paid by Party B and pay Party B liquidated damages at the rate of 0.1% per day on the basis of such fees, with the liquidated damages being calculated from the date of actual payment of such fees by Party B to Party A to the date of actual return of such fees by Party A to Party B. The liquidated damages shall be calculated from the date of actual payment of such fees by Party B to the date of actual return of such fees by Party A to Party B.</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Article 4.2.2 is amended to read: Party A shall reply to Party B’s application for renewal of the lease within 10 working days upon receipt of the application, and if both parties agree to renew the lease, both parties shall sign a renewal contract one month before the expiry of the lease. Party A shall sign a supplementary renewal contract with Party B as soon as possible.</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first sentence of Article 4.2.4 is amended to read: If Party B does not intend to renew the lease, or if for reasons attributable to Party B, the parties fail to sign a renewal contract one month before the expiry of the lease.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Article 7.8 is amended to read: During the lease period, Party B shall pay attention to property and personal safety, Party B is the first responsible person for fire safety and the ultimate responsibility bearer, notwithstanding the foregoing agreement, Party A shall ensure that the fire safety facilities of the house itself meet the statutory safety standards, and any personal and property safety accident caused by the fault of Party B shall be borne by Party B itself, and any personal and property safety accident caused by the fault of Party A shall be borne by Party A itself. If both parties are at fault, they shall be held responsible according to their respective degrees of fault, and if both parties are not at fault, they shall be held responsible in accordance with the provisions of the law. Any loss caused to Party A shall be compensated.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first sentence of Article 9.4 should read: Party A proposes that Party B’s office area before and after renovation should be not less than 10 square metres of floor space per person.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date of service of the notice in the case of article 15 (1) and (2) is amended to read: “Service is deemed to have taken place on the date of signature by the addressee.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26"/>
        </w:trPr>
        <w:tc>
          <w:tcPr>
            <w:tcW w:w="2260" w:type="dxa"/>
            <w:vAlign w:val="bottom"/>
            <w:gridSpan w:val="2"/>
          </w:tcPr>
          <w:p>
            <w:pPr>
              <w:ind w:left="320"/>
              <w:spacing w:after="0"/>
              <w:rPr>
                <w:sz w:val="20"/>
                <w:szCs w:val="20"/>
                <w:color w:val="auto"/>
              </w:rPr>
            </w:pPr>
            <w:r>
              <w:rPr>
                <w:rFonts w:ascii="Arial" w:cs="Arial" w:eastAsia="Arial" w:hAnsi="Arial"/>
                <w:sz w:val="18"/>
                <w:szCs w:val="18"/>
                <w:color w:val="auto"/>
              </w:rPr>
              <w:t>Annex II.</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6"/>
          </w:tcPr>
          <w:p>
            <w:pPr>
              <w:jc w:val="center"/>
              <w:ind w:left="511"/>
              <w:spacing w:after="0"/>
              <w:rPr>
                <w:sz w:val="20"/>
                <w:szCs w:val="20"/>
                <w:color w:val="auto"/>
              </w:rPr>
            </w:pPr>
            <w:r>
              <w:rPr>
                <w:rFonts w:ascii="Arial" w:cs="Arial" w:eastAsia="Arial" w:hAnsi="Arial"/>
                <w:sz w:val="18"/>
                <w:szCs w:val="18"/>
                <w:b w:val="1"/>
                <w:bCs w:val="1"/>
                <w:color w:val="auto"/>
                <w:w w:val="88"/>
              </w:rPr>
              <w:t>Rental Property Fee Payment Schedule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Duration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Payable</w:t>
            </w: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representation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Rent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Property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Fees payable</w:t>
            </w:r>
          </w:p>
        </w:tc>
      </w:tr>
      <w:tr>
        <w:trPr>
          <w:trHeight w:val="22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Projects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Deadline</w:t>
            </w:r>
          </w:p>
        </w:tc>
        <w:tc>
          <w:tcPr>
            <w:tcW w:w="13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Start</w:t>
            </w:r>
          </w:p>
        </w:tc>
        <w:tc>
          <w:tcPr>
            <w:tcW w:w="12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Stop</w:t>
            </w: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payable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fees payable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Subtotal</w:t>
            </w:r>
          </w:p>
        </w:tc>
      </w:tr>
      <w:tr>
        <w:trPr>
          <w:trHeight w:val="213"/>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Compliance Guarantee</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2021-11-18</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2021-12-31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2024-12-30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324,897.30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260" w:type="dxa"/>
            <w:vAlign w:val="bottom"/>
            <w:gridSpan w:val="2"/>
          </w:tcPr>
          <w:p>
            <w:pPr>
              <w:spacing w:after="0"/>
              <w:rPr>
                <w:sz w:val="20"/>
                <w:szCs w:val="20"/>
                <w:color w:val="auto"/>
              </w:rPr>
            </w:pPr>
            <w:r>
              <w:rPr>
                <w:rFonts w:ascii="Arial" w:cs="Arial" w:eastAsia="Arial" w:hAnsi="Arial"/>
                <w:sz w:val="18"/>
                <w:szCs w:val="18"/>
                <w:color w:val="auto"/>
              </w:rPr>
              <w:t>Rent Property Fee</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2021-11-18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2021-12-31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2022-03-27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171,196.04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126,811.84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622,905.18</w:t>
            </w:r>
          </w:p>
        </w:tc>
      </w:tr>
      <w:tr>
        <w:trPr>
          <w:trHeight w:val="213"/>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2022-03-01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2022-03-28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2022-06-27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2022-06-01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2022-06-28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2022-09-27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2022-09-01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2022-09-28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2022-12-27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2022-12-01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2022-12-28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2023-03-27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2023-03-01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2023-03-28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2023-06-27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2023-06-01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2023-06-28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2023-09-27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2023-09-01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2023-09-28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2023-12-27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2023-12-01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2023-12-28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2024-03-27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2024-03-01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2024-03-28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2024-06-27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298,007.63</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2024-06-01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2024-06-28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2024-09-27</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171,195.87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126,811.76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298,007.63</w:t>
            </w:r>
          </w:p>
        </w:tc>
      </w:tr>
      <w:tr>
        <w:trPr>
          <w:trHeight w:val="247"/>
        </w:trPr>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2024-09-01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2024-09-28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2024-12-30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171,195.87</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126,811.76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298,007.63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2,054,350.61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1,521,741.20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3,576,091.81</w:t>
            </w: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7"/>
        </w:trPr>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033" w:right="339" w:bottom="1440" w:gutter="0" w:footer="0" w:header="0"/>
        </w:sect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Annex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In-situ restoration standards</w:t>
      </w:r>
    </w:p>
    <w:p>
      <w:pPr>
        <w:spacing w:after="0" w:line="23" w:lineRule="exact"/>
        <w:rPr>
          <w:sz w:val="20"/>
          <w:szCs w:val="20"/>
          <w:color w:val="auto"/>
        </w:rPr>
      </w:pPr>
    </w:p>
    <w:p>
      <w:pPr>
        <w:spacing w:after="0" w:line="425" w:lineRule="exact"/>
        <w:rPr>
          <w:sz w:val="20"/>
          <w:szCs w:val="20"/>
          <w:color w:val="auto"/>
        </w:rPr>
      </w:pPr>
      <w:r>
        <w:rPr>
          <w:rFonts w:ascii="SimSun" w:cs="SimSun" w:eastAsia="SimSun" w:hAnsi="SimSun"/>
          <w:sz w:val="35"/>
          <w:szCs w:val="35"/>
          <w:color w:val="auto"/>
          <w:vertAlign w:val="subscript"/>
        </w:rPr>
        <w:t>一</w:t>
      </w:r>
      <w:r>
        <w:rPr>
          <w:rFonts w:ascii="SimSun" w:cs="SimSun" w:eastAsia="SimSun" w:hAnsi="SimSun"/>
          <w:sz w:val="35"/>
          <w:szCs w:val="35"/>
          <w:b w:val="1"/>
          <w:bCs w:val="1"/>
          <w:color w:val="auto"/>
          <w:vertAlign w:val="subscript"/>
        </w:rPr>
        <w:t>、</w:t>
      </w:r>
      <w:r>
        <w:rPr>
          <w:rFonts w:ascii="Arial" w:cs="Arial" w:eastAsia="Arial" w:hAnsi="Arial"/>
          <w:sz w:val="18"/>
          <w:szCs w:val="18"/>
          <w:color w:val="auto"/>
        </w:rPr>
        <w:t xml:space="preserve"> Civil, renovation component.</w:t>
      </w:r>
    </w:p>
    <w:p>
      <w:pPr>
        <w:spacing w:after="0" w:line="323" w:lineRule="exact"/>
        <w:rPr>
          <w:sz w:val="20"/>
          <w:szCs w:val="20"/>
          <w:color w:val="auto"/>
        </w:rPr>
      </w:pPr>
    </w:p>
    <w:p>
      <w:pPr>
        <w:ind w:left="960" w:hanging="313"/>
        <w:spacing w:after="0" w:line="270"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Flooring: removal of carpets (floor coverings, flooring, partitions, etc.), removal of ground penetrations, etc., restoration to concrete floors and ensuring that the floors are level and free of glue stains.</w:t>
      </w:r>
    </w:p>
    <w:p>
      <w:pPr>
        <w:spacing w:after="0" w:line="201"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Walls: surface potholes and holes filled in, large white walls need to be treated as a whole and restored to a white wall with a neat, even colour and no run-off etc.</w:t>
      </w:r>
    </w:p>
    <w:p>
      <w:pPr>
        <w:spacing w:after="0" w:line="201"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Shed surface: flat keel, neat and undamaged mineral wool board (mineral wool board using the original brand of the building or a brand of the same grade).</w:t>
      </w:r>
    </w:p>
    <w:p>
      <w:pPr>
        <w:spacing w:after="0" w:line="201" w:lineRule="exact"/>
        <w:rPr>
          <w:rFonts w:ascii="Arial" w:cs="Arial" w:eastAsia="Arial" w:hAnsi="Arial"/>
          <w:sz w:val="18"/>
          <w:szCs w:val="18"/>
          <w:color w:val="auto"/>
        </w:rPr>
      </w:pPr>
    </w:p>
    <w:p>
      <w:pPr>
        <w:ind w:left="960" w:hanging="313"/>
        <w:spacing w:after="0" w:line="300" w:lineRule="auto"/>
        <w:tabs>
          <w:tab w:leader="none" w:pos="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Other: doors and windows should be removed, and doors and windows should be opened, closed and locked properly, and the glass should be clean and tidy; changes to the building’s architecture and structure should be restored to the original state of the building.</w:t>
      </w:r>
    </w:p>
    <w:p>
      <w:pPr>
        <w:spacing w:after="0" w:line="17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二、</w:t>
      </w:r>
      <w:r>
        <w:rPr>
          <w:rFonts w:ascii="Arial" w:cs="Arial" w:eastAsia="Arial" w:hAnsi="Arial"/>
          <w:sz w:val="18"/>
          <w:szCs w:val="18"/>
          <w:color w:val="auto"/>
        </w:rPr>
        <w:t xml:space="preserve"> Electrical section.</w:t>
      </w:r>
    </w:p>
    <w:p>
      <w:pPr>
        <w:spacing w:after="0" w:line="247" w:lineRule="exact"/>
        <w:rPr>
          <w:sz w:val="20"/>
          <w:szCs w:val="20"/>
          <w:color w:val="auto"/>
        </w:rPr>
      </w:pPr>
    </w:p>
    <w:p>
      <w:pPr>
        <w:jc w:val="both"/>
        <w:ind w:left="960" w:hanging="313"/>
        <w:spacing w:after="0" w:line="258"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grille lights that are displaced are restored to their original position in the building (with reference to the original drawings of the building, the replacement grille lights are restored to the original brand of the building or to a brand of the same grade), the installation is smooth and the fluorescent tubes are bright and neat.</w:t>
      </w:r>
    </w:p>
    <w:p>
      <w:pPr>
        <w:spacing w:after="0" w:line="213" w:lineRule="exact"/>
        <w:rPr>
          <w:rFonts w:ascii="Arial" w:cs="Arial" w:eastAsia="Arial" w:hAnsi="Arial"/>
          <w:sz w:val="18"/>
          <w:szCs w:val="18"/>
          <w:color w:val="auto"/>
        </w:rPr>
      </w:pPr>
    </w:p>
    <w:p>
      <w:pPr>
        <w:ind w:left="960" w:hanging="313"/>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hangers of the relocated grilles are secure, properly fixed and free from looseness and shaking.</w:t>
      </w:r>
    </w:p>
    <w:p>
      <w:pPr>
        <w:spacing w:after="0" w:line="246"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roof and wall strong and weak power lines finishing, to ensure that the lines are in the line groove, line pipe, no exposed lines, line pipe, line groove fixed well, across the earth wire connection is secure and reasonable.</w:t>
      </w:r>
    </w:p>
    <w:p>
      <w:pPr>
        <w:spacing w:after="0" w:line="201"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Ensure that the wiring in the distribution box is regular, the air switch is normal and tidy, and the distribution box meets the requirements of the building.</w:t>
      </w:r>
    </w:p>
    <w:p>
      <w:pPr>
        <w:spacing w:after="0" w:line="201" w:lineRule="exact"/>
        <w:rPr>
          <w:rFonts w:ascii="Arial" w:cs="Arial" w:eastAsia="Arial" w:hAnsi="Arial"/>
          <w:sz w:val="18"/>
          <w:szCs w:val="18"/>
          <w:color w:val="auto"/>
        </w:rPr>
      </w:pPr>
    </w:p>
    <w:p>
      <w:pPr>
        <w:ind w:left="960" w:hanging="313"/>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Wall switches (relocated switches restored to the building’s original position) are in working order and tidy.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62" w:name="page263"/>
    <w:bookmarkEnd w:id="262"/>
    <w:p>
      <w:pPr>
        <w:spacing w:after="0" w:line="207"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26745" cy="2032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626745" cy="203200"/>
                    </a:xfrm>
                    <a:prstGeom prst="rect">
                      <a:avLst/>
                    </a:prstGeom>
                    <a:noFill/>
                  </pic:spPr>
                </pic:pic>
              </a:graphicData>
            </a:graphic>
          </wp:anchor>
        </w:drawing>
        <w:t>三、</w:t>
      </w:r>
      <w:r>
        <w:rPr>
          <w:rFonts w:ascii="Arial" w:cs="Arial" w:eastAsia="Arial" w:hAnsi="Arial"/>
          <w:sz w:val="18"/>
          <w:szCs w:val="18"/>
          <w:color w:val="auto"/>
        </w:rPr>
        <w:t xml:space="preserve"> Air conditioning section.</w:t>
      </w:r>
    </w:p>
    <w:p>
      <w:pPr>
        <w:spacing w:after="0" w:line="247" w:lineRule="exact"/>
        <w:rPr>
          <w:sz w:val="20"/>
          <w:szCs w:val="20"/>
          <w:color w:val="auto"/>
        </w:rPr>
      </w:pPr>
    </w:p>
    <w:p>
      <w:pPr>
        <w:ind w:left="960" w:right="20" w:hanging="313"/>
        <w:spacing w:after="0" w:line="270"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Displacement of fan coils (ceiling-mounted multi-connector panels), restoration of air outlet positions to the original position in the building (refer to the original drawings of the building) and ensuring that the return air outlet filters are clean.</w:t>
      </w:r>
    </w:p>
    <w:p>
      <w:pPr>
        <w:spacing w:after="0" w:line="201" w:lineRule="exact"/>
        <w:rPr>
          <w:rFonts w:ascii="Arial" w:cs="Arial" w:eastAsia="Arial" w:hAnsi="Arial"/>
          <w:sz w:val="18"/>
          <w:szCs w:val="18"/>
          <w:color w:val="auto"/>
        </w:rPr>
      </w:pPr>
    </w:p>
    <w:p>
      <w:pPr>
        <w:ind w:left="960" w:hanging="313"/>
        <w:spacing w:after="0" w:line="333"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Displacement of the three-speed switch to its original position in the building (the replacement three-speed switch is restored to the original brand of the building or to a brand of the same grade) and to ensure that its various control switches are in order and that the panel is tidy.</w:t>
      </w:r>
    </w:p>
    <w:p>
      <w:pPr>
        <w:spacing w:after="0" w:line="156" w:lineRule="exact"/>
        <w:rPr>
          <w:rFonts w:ascii="Arial" w:cs="Arial" w:eastAsia="Arial" w:hAnsi="Arial"/>
          <w:sz w:val="16"/>
          <w:szCs w:val="16"/>
          <w:color w:val="auto"/>
        </w:rPr>
      </w:pPr>
    </w:p>
    <w:p>
      <w:pPr>
        <w:ind w:left="960" w:hanging="31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fan coil motor starts, stops and changes speed normally, without any unusual noise.</w:t>
      </w:r>
    </w:p>
    <w:p>
      <w:pPr>
        <w:spacing w:after="0" w:line="24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四、</w:t>
      </w:r>
      <w:r>
        <w:rPr>
          <w:rFonts w:ascii="Arial" w:cs="Arial" w:eastAsia="Arial" w:hAnsi="Arial"/>
          <w:sz w:val="18"/>
          <w:szCs w:val="18"/>
          <w:color w:val="auto"/>
        </w:rPr>
        <w:t xml:space="preserve"> Firefighting section.</w:t>
      </w:r>
    </w:p>
    <w:p>
      <w:pPr>
        <w:spacing w:after="0" w:line="247" w:lineRule="exact"/>
        <w:rPr>
          <w:sz w:val="20"/>
          <w:szCs w:val="20"/>
          <w:color w:val="auto"/>
        </w:rPr>
      </w:pPr>
    </w:p>
    <w:p>
      <w:pPr>
        <w:ind w:left="960" w:hanging="313"/>
        <w:spacing w:after="0"/>
        <w:tabs>
          <w:tab w:leader="none" w:pos="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Restore the building to its original position after spraying has been moved to meet fire protection requirements, free from dirt and leaks.</w:t>
      </w:r>
    </w:p>
    <w:p>
      <w:pPr>
        <w:spacing w:after="0" w:line="258" w:lineRule="exact"/>
        <w:rPr>
          <w:rFonts w:ascii="Arial" w:cs="Arial" w:eastAsia="Arial" w:hAnsi="Arial"/>
          <w:sz w:val="17"/>
          <w:szCs w:val="17"/>
          <w:color w:val="auto"/>
        </w:rPr>
      </w:pPr>
    </w:p>
    <w:p>
      <w:pPr>
        <w:ind w:left="960" w:hanging="313"/>
        <w:spacing w:after="0"/>
        <w:tabs>
          <w:tab w:leader="none" w:pos="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Modified fire protection pipework to meet fire protection requirements, with reasonable hanger configurations, firm and free from leaks.</w:t>
      </w:r>
    </w:p>
    <w:p>
      <w:pPr>
        <w:spacing w:after="0" w:line="258" w:lineRule="exact"/>
        <w:rPr>
          <w:rFonts w:ascii="Arial" w:cs="Arial" w:eastAsia="Arial" w:hAnsi="Arial"/>
          <w:sz w:val="17"/>
          <w:szCs w:val="17"/>
          <w:color w:val="auto"/>
        </w:rPr>
      </w:pPr>
    </w:p>
    <w:p>
      <w:pPr>
        <w:jc w:val="both"/>
        <w:ind w:left="960" w:hanging="313"/>
        <w:spacing w:after="0" w:line="258"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smoke sensor is relocated and restored to its original position in the building (the new additional smoke sensor is removed and restored to the original logic of the original fire mainframe in the building) to meet the fire protection requirements, and the smoke signal and feedback is normal.</w:t>
      </w:r>
    </w:p>
    <w:p>
      <w:pPr>
        <w:spacing w:after="0" w:line="213" w:lineRule="exact"/>
        <w:rPr>
          <w:rFonts w:ascii="Arial" w:cs="Arial" w:eastAsia="Arial" w:hAnsi="Arial"/>
          <w:sz w:val="18"/>
          <w:szCs w:val="18"/>
          <w:color w:val="auto"/>
        </w:rPr>
      </w:pPr>
    </w:p>
    <w:p>
      <w:pPr>
        <w:ind w:left="960" w:hanging="31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layout of the room after restoration meets the requirements of the fire code.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The above standard descriptions are subject to the original drawings of the building if they are not exhaustive.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5185410" cy="51936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5185410" cy="5193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27940</wp:posOffset>
            </wp:positionV>
            <wp:extent cx="71342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wp:posOffset>
            </wp:positionH>
            <wp:positionV relativeFrom="page">
              <wp:posOffset>156845</wp:posOffset>
            </wp:positionV>
            <wp:extent cx="6057900" cy="72440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6057900" cy="724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27940</wp:posOffset>
            </wp:positionV>
            <wp:extent cx="713422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10.14</w:t>
      </w:r>
    </w:p>
    <w:p>
      <w:pPr>
        <w:spacing w:after="0" w:line="215" w:lineRule="exact"/>
        <w:rPr>
          <w:sz w:val="20"/>
          <w:szCs w:val="20"/>
          <w:color w:val="auto"/>
        </w:rPr>
      </w:pPr>
    </w:p>
    <w:p>
      <w:pPr>
        <w:ind w:left="10560"/>
        <w:spacing w:after="0"/>
        <w:rPr>
          <w:sz w:val="20"/>
          <w:szCs w:val="20"/>
          <w:color w:val="auto"/>
        </w:rPr>
      </w:pPr>
      <w:r>
        <w:rPr>
          <w:rFonts w:ascii="Arial" w:cs="Arial" w:eastAsia="Arial" w:hAnsi="Arial"/>
          <w:sz w:val="25"/>
          <w:szCs w:val="25"/>
          <w:b w:val="1"/>
          <w:bCs w:val="1"/>
          <w:color w:val="auto"/>
        </w:rPr>
        <w:t>NO.</w:t>
      </w: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5"/>
          <w:szCs w:val="25"/>
          <w:b w:val="1"/>
          <w:bCs w:val="1"/>
          <w:color w:val="auto"/>
        </w:rPr>
        <w:t>Guangzhou Fengxing Plaza office lease contract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Lessor: </w:t>
      </w:r>
      <w:r>
        <w:rPr>
          <w:rFonts w:ascii="Arial" w:cs="Arial" w:eastAsia="Arial" w:hAnsi="Arial"/>
          <w:sz w:val="18"/>
          <w:szCs w:val="18"/>
          <w:u w:val="single" w:color="auto"/>
          <w:color w:val="auto"/>
        </w:rPr>
        <w:t>Guangzhou Fengwei Decoration Engineering Co., Ltd.</w:t>
      </w:r>
      <w:r>
        <w:rPr>
          <w:rFonts w:ascii="Arial" w:cs="Arial" w:eastAsia="Arial" w:hAnsi="Arial"/>
          <w:sz w:val="18"/>
          <w:szCs w:val="18"/>
          <w:color w:val="auto"/>
        </w:rPr>
        <w:t xml:space="preserve"> (hereinafter referred to as Party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2807, No. 67, Tianhe East Road, Tianhe District, Guangzhou</w:t>
      </w:r>
    </w:p>
    <w:p>
      <w:pPr>
        <w:spacing w:after="0" w:line="22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 xml:space="preserve">Tel: </w:t>
      </w:r>
      <w:r>
        <w:rPr>
          <w:rFonts w:ascii="Arial" w:cs="Arial" w:eastAsia="Arial" w:hAnsi="Arial"/>
          <w:sz w:val="18"/>
          <w:szCs w:val="18"/>
          <w:u w:val="single" w:color="auto"/>
          <w:color w:val="auto"/>
        </w:rPr>
        <w:t>020-38394333</w:t>
      </w:r>
      <w:r>
        <w:rPr>
          <w:sz w:val="20"/>
          <w:szCs w:val="20"/>
          <w:color w:val="auto"/>
        </w:rPr>
        <w:tab/>
      </w:r>
      <w:r>
        <w:rPr>
          <w:rFonts w:ascii="Arial" w:cs="Arial" w:eastAsia="Arial" w:hAnsi="Arial"/>
          <w:sz w:val="14"/>
          <w:szCs w:val="14"/>
          <w:color w:val="auto"/>
        </w:rPr>
        <w:t>Postal Code: 510620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-11430</wp:posOffset>
            </wp:positionV>
            <wp:extent cx="6210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representative: </w:t>
      </w:r>
      <w:r>
        <w:rPr>
          <w:rFonts w:ascii="Arial" w:cs="Arial" w:eastAsia="Arial" w:hAnsi="Arial"/>
          <w:sz w:val="18"/>
          <w:szCs w:val="18"/>
          <w:u w:val="single" w:color="auto"/>
          <w:color w:val="auto"/>
        </w:rPr>
        <w:t>Li Buyun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Lessee: </w:t>
      </w:r>
      <w:r>
        <w:rPr>
          <w:rFonts w:ascii="Arial" w:cs="Arial" w:eastAsia="Arial" w:hAnsi="Arial"/>
          <w:sz w:val="18"/>
          <w:szCs w:val="18"/>
          <w:u w:val="single" w:color="auto"/>
          <w:color w:val="auto"/>
        </w:rPr>
        <w:t>CLPS Guangzhou Co., Ltd.</w:t>
      </w:r>
      <w:r>
        <w:rPr>
          <w:rFonts w:ascii="Arial" w:cs="Arial" w:eastAsia="Arial" w:hAnsi="Arial"/>
          <w:sz w:val="18"/>
          <w:szCs w:val="18"/>
          <w:color w:val="auto"/>
        </w:rPr>
        <w:t xml:space="preserve"> (hereinafter referred to as Party 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u w:val="single" w:color="auto"/>
          <w:color w:val="auto"/>
        </w:rPr>
        <w:t>Unit 01-11, 20th floor, No. 67 Tianhe East Road, Tianhe District, Guangzhou</w:t>
      </w:r>
    </w:p>
    <w:p>
      <w:pPr>
        <w:spacing w:after="0" w:line="220"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 xml:space="preserve">Tel: </w:t>
      </w:r>
      <w:r>
        <w:rPr>
          <w:rFonts w:ascii="Arial" w:cs="Arial" w:eastAsia="Arial" w:hAnsi="Arial"/>
          <w:sz w:val="18"/>
          <w:szCs w:val="18"/>
          <w:u w:val="single" w:color="auto"/>
          <w:color w:val="auto"/>
        </w:rPr>
        <w:t>020-38068088</w:t>
      </w:r>
      <w:r>
        <w:rPr>
          <w:sz w:val="20"/>
          <w:szCs w:val="20"/>
          <w:color w:val="auto"/>
        </w:rPr>
        <w:tab/>
      </w:r>
      <w:r>
        <w:rPr>
          <w:rFonts w:ascii="Arial" w:cs="Arial" w:eastAsia="Arial" w:hAnsi="Arial"/>
          <w:sz w:val="14"/>
          <w:szCs w:val="14"/>
          <w:color w:val="auto"/>
        </w:rPr>
        <w:t xml:space="preserve">Postal Code: </w:t>
      </w:r>
      <w:r>
        <w:rPr>
          <w:rFonts w:ascii="Arial" w:cs="Arial" w:eastAsia="Arial" w:hAnsi="Arial"/>
          <w:sz w:val="14"/>
          <w:szCs w:val="14"/>
          <w:u w:val="single" w:color="auto"/>
          <w:color w:val="auto"/>
        </w:rPr>
        <w:t>510620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representative: </w:t>
      </w:r>
      <w:r>
        <w:rPr>
          <w:rFonts w:ascii="Arial" w:cs="Arial" w:eastAsia="Arial" w:hAnsi="Arial"/>
          <w:sz w:val="18"/>
          <w:szCs w:val="18"/>
          <w:u w:val="single" w:color="auto"/>
          <w:color w:val="auto"/>
        </w:rPr>
        <w:t>Yang Xiaofeng</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and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-19685</wp:posOffset>
            </wp:positionV>
            <wp:extent cx="67754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Through friendly negotiation, both parties hereby enter into this contract with respect to Party B's lease of Party A's premises for mutual compliance.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Article 1 Name, address and size of the premises.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u w:val="single" w:color="auto"/>
          <w:color w:val="auto"/>
        </w:rPr>
        <w:t>Unit 01-11, 20th Floor, No. 67 Tianhe East Road, Tianhe District, Guangzhou</w:t>
      </w:r>
      <w:r>
        <w:rPr>
          <w:rFonts w:ascii="Arial" w:cs="Arial" w:eastAsia="Arial" w:hAnsi="Arial"/>
          <w:sz w:val="16"/>
          <w:szCs w:val="16"/>
          <w:color w:val="auto"/>
        </w:rPr>
        <w:t xml:space="preserve"> (hereinafter referred to as "the house", see Annex 3 for details, the drawing is for general identification purposes only and does not show the size of the house). The house has a rented floor area of </w:t>
      </w:r>
      <w:r>
        <w:rPr>
          <w:rFonts w:ascii="Arial" w:cs="Arial" w:eastAsia="Arial" w:hAnsi="Arial"/>
          <w:sz w:val="16"/>
          <w:szCs w:val="16"/>
          <w:u w:val="single" w:color="auto"/>
          <w:color w:val="auto"/>
        </w:rPr>
        <w:t>2354.13</w:t>
      </w:r>
      <w:r>
        <w:rPr>
          <w:rFonts w:ascii="Arial" w:cs="Arial" w:eastAsia="Arial" w:hAnsi="Arial"/>
          <w:sz w:val="16"/>
          <w:szCs w:val="16"/>
          <w:color w:val="auto"/>
        </w:rPr>
        <w:t xml:space="preserve"> square meters.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2 Usage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house is rented to Party B for office use. The name of Party B's business in this house is </w:t>
      </w:r>
      <w:r>
        <w:rPr>
          <w:rFonts w:ascii="Arial" w:cs="Arial" w:eastAsia="Arial" w:hAnsi="Arial"/>
          <w:sz w:val="18"/>
          <w:szCs w:val="18"/>
          <w:u w:val="single" w:color="auto"/>
          <w:color w:val="auto"/>
        </w:rPr>
        <w:t>CLPS Guangzhou Co., Ltd.</w:t>
      </w:r>
      <w:r>
        <w:rPr>
          <w:rFonts w:ascii="Arial" w:cs="Arial" w:eastAsia="Arial" w:hAnsi="Arial"/>
          <w:sz w:val="18"/>
          <w:szCs w:val="18"/>
          <w:color w:val="auto"/>
        </w:rPr>
        <w:t xml:space="preserve">, Its business scope is </w:t>
      </w:r>
      <w:r>
        <w:rPr>
          <w:rFonts w:ascii="Arial" w:cs="Arial" w:eastAsia="Arial" w:hAnsi="Arial"/>
          <w:sz w:val="18"/>
          <w:szCs w:val="18"/>
          <w:u w:val="single" w:color="auto"/>
          <w:color w:val="auto"/>
        </w:rPr>
        <w:t>software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 technology services</w:t>
      </w:r>
      <w:r>
        <w:rPr>
          <w:rFonts w:ascii="Arial" w:cs="Arial" w:eastAsia="Arial" w:hAnsi="Arial"/>
          <w:sz w:val="18"/>
          <w:szCs w:val="18"/>
          <w:color w:val="auto"/>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3 Lease Period</w:t>
      </w:r>
    </w:p>
    <w:p>
      <w:pPr>
        <w:spacing w:after="0" w:line="220" w:lineRule="exact"/>
        <w:rPr>
          <w:sz w:val="20"/>
          <w:szCs w:val="20"/>
          <w:color w:val="auto"/>
        </w:rPr>
      </w:pPr>
    </w:p>
    <w:p>
      <w:pPr>
        <w:jc w:val="both"/>
        <w:ind w:firstLine="7"/>
        <w:spacing w:after="0" w:line="255" w:lineRule="auto"/>
        <w:tabs>
          <w:tab w:leader="none" w:pos="1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Party B leases the house for a contract period of </w:t>
      </w:r>
      <w:r>
        <w:rPr>
          <w:rFonts w:ascii="Arial" w:cs="Arial" w:eastAsia="Arial" w:hAnsi="Arial"/>
          <w:sz w:val="18"/>
          <w:szCs w:val="18"/>
          <w:u w:val="single" w:color="auto"/>
          <w:color w:val="auto"/>
        </w:rPr>
        <w:t>40</w:t>
      </w:r>
      <w:r>
        <w:rPr>
          <w:rFonts w:ascii="Arial" w:cs="Arial" w:eastAsia="Arial" w:hAnsi="Arial"/>
          <w:sz w:val="18"/>
          <w:szCs w:val="18"/>
          <w:color w:val="auto"/>
        </w:rPr>
        <w:t xml:space="preserve"> months from the start date of the lease period, from </w:t>
      </w:r>
      <w:r>
        <w:rPr>
          <w:rFonts w:ascii="Arial" w:cs="Arial" w:eastAsia="Arial" w:hAnsi="Arial"/>
          <w:sz w:val="18"/>
          <w:szCs w:val="18"/>
          <w:u w:val="single" w:color="auto"/>
          <w:color w:val="auto"/>
        </w:rPr>
        <w:t>October 15, 2023</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February 14, 2027</w:t>
      </w:r>
      <w:r>
        <w:rPr>
          <w:rFonts w:ascii="Arial" w:cs="Arial" w:eastAsia="Arial" w:hAnsi="Arial"/>
          <w:sz w:val="18"/>
          <w:szCs w:val="18"/>
          <w:color w:val="auto"/>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6" w:name="page267"/>
    <w:bookmarkEnd w:id="266"/>
    <w:p>
      <w:pPr>
        <w:ind w:firstLine="7"/>
        <w:spacing w:after="0" w:line="270" w:lineRule="auto"/>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the validity period of the lease contract, neither party may unilaterally cancel or terminate the lease contract, except in the circumstances where the contract can be terminated as stipulated by law and the lease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4 Rent</w:t>
      </w:r>
    </w:p>
    <w:p>
      <w:pPr>
        <w:spacing w:after="0" w:line="220" w:lineRule="exact"/>
        <w:rPr>
          <w:sz w:val="20"/>
          <w:szCs w:val="20"/>
          <w:color w:val="auto"/>
        </w:rPr>
      </w:pPr>
    </w:p>
    <w:p>
      <w:pPr>
        <w:ind w:firstLine="7"/>
        <w:spacing w:after="0" w:line="220" w:lineRule="exact"/>
        <w:tabs>
          <w:tab w:leader="none" w:pos="17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Party B's monthly rent for renting the house is RMB: </w:t>
      </w:r>
      <w:r>
        <w:rPr>
          <w:rFonts w:ascii="Arial" w:cs="Arial" w:eastAsia="Arial" w:hAnsi="Arial"/>
          <w:sz w:val="17"/>
          <w:szCs w:val="17"/>
          <w:u w:val="single" w:color="auto"/>
          <w:color w:val="auto"/>
        </w:rPr>
        <w:t>247,184.00</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u w:val="single" w:color="auto"/>
          <w:color w:val="auto"/>
        </w:rPr>
        <w:t>RMB 105</w:t>
      </w:r>
      <w:r>
        <w:rPr>
          <w:rFonts w:ascii="Arial" w:cs="Arial" w:eastAsia="Arial" w:hAnsi="Arial"/>
          <w:sz w:val="17"/>
          <w:szCs w:val="17"/>
          <w:color w:val="auto"/>
        </w:rPr>
        <w:t xml:space="preserve"> per square meter (rent does not include property management fees, water, electricity and other expenses). From the third year of tenancy, the monthly rent will increase by 5% per annum. The specific rent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Rental time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Rent (RMB/month)</w:t>
            </w:r>
          </w:p>
        </w:tc>
      </w:tr>
      <w:tr>
        <w:trPr>
          <w:trHeight w:val="213"/>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October 15, 2023 to February 14, 2024</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Rent-free period</w:t>
            </w:r>
          </w:p>
        </w:tc>
      </w:tr>
      <w:tr>
        <w:trPr>
          <w:trHeight w:val="213"/>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February 15, 2024 to February 14, 2026</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247,184.00</w:t>
            </w:r>
          </w:p>
        </w:tc>
      </w:tr>
      <w:tr>
        <w:trPr>
          <w:trHeight w:val="213"/>
        </w:trPr>
        <w:tc>
          <w:tcPr>
            <w:tcW w:w="5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February 15, 2026 to February 14, 2027</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259,543.00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2. The house is paid according to the principle of first payment and then use, and the specific time of rent payment is as follows:</w:t>
      </w:r>
    </w:p>
    <w:p>
      <w:pPr>
        <w:spacing w:after="0" w:line="220" w:lineRule="exact"/>
        <w:rPr>
          <w:sz w:val="20"/>
          <w:szCs w:val="20"/>
          <w:color w:val="auto"/>
        </w:rPr>
      </w:pPr>
    </w:p>
    <w:p>
      <w:pPr>
        <w:jc w:val="both"/>
        <w:ind w:left="640" w:hanging="319"/>
        <w:spacing w:after="0" w:line="270" w:lineRule="auto"/>
        <w:rPr>
          <w:sz w:val="20"/>
          <w:szCs w:val="20"/>
          <w:color w:val="auto"/>
        </w:rPr>
      </w:pPr>
      <w:r>
        <w:rPr>
          <w:rFonts w:ascii="Arial" w:cs="Arial" w:eastAsia="Arial" w:hAnsi="Arial"/>
          <w:sz w:val="18"/>
          <w:szCs w:val="18"/>
          <w:color w:val="auto"/>
        </w:rPr>
        <w:t xml:space="preserve">2.1. Party B shall pay the first (monthly) rent after the expiration of the rent-free period within 3 working days before the date of the lease contract, calculated in </w:t>
      </w:r>
      <w:r>
        <w:rPr>
          <w:rFonts w:ascii="Arial" w:cs="Arial" w:eastAsia="Arial" w:hAnsi="Arial"/>
          <w:sz w:val="18"/>
          <w:szCs w:val="18"/>
          <w:u w:val="single" w:color="auto"/>
          <w:color w:val="auto"/>
        </w:rPr>
        <w:t>RMB 247,184.00 yuan</w:t>
      </w:r>
      <w:r>
        <w:rPr>
          <w:rFonts w:ascii="Arial" w:cs="Arial" w:eastAsia="Arial" w:hAnsi="Arial"/>
          <w:sz w:val="18"/>
          <w:szCs w:val="18"/>
          <w:color w:val="auto"/>
        </w:rPr>
        <w: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2.2. Before </w:t>
      </w:r>
      <w:r>
        <w:rPr>
          <w:rFonts w:ascii="Arial" w:cs="Arial" w:eastAsia="Arial" w:hAnsi="Arial"/>
          <w:sz w:val="17"/>
          <w:szCs w:val="17"/>
          <w:u w:val="single" w:color="auto"/>
          <w:color w:val="auto"/>
        </w:rPr>
        <w:t>March 15, 2024,</w:t>
      </w:r>
      <w:r>
        <w:rPr>
          <w:rFonts w:ascii="Arial" w:cs="Arial" w:eastAsia="Arial" w:hAnsi="Arial"/>
          <w:sz w:val="17"/>
          <w:szCs w:val="17"/>
          <w:color w:val="auto"/>
        </w:rPr>
        <w:t xml:space="preserve"> Party B shall pay Party A the rent from March 15, 2024 to March 31, 2024, calculated as </w:t>
      </w:r>
      <w:r>
        <w:rPr>
          <w:rFonts w:ascii="Arial" w:cs="Arial" w:eastAsia="Arial" w:hAnsi="Arial"/>
          <w:sz w:val="17"/>
          <w:szCs w:val="17"/>
          <w:u w:val="single" w:color="auto"/>
          <w:color w:val="auto"/>
        </w:rPr>
        <w:t>RMB 135,553.00 yuan.</w:t>
      </w:r>
    </w:p>
    <w:p>
      <w:pPr>
        <w:spacing w:after="0" w:line="231" w:lineRule="exact"/>
        <w:rPr>
          <w:sz w:val="20"/>
          <w:szCs w:val="20"/>
          <w:color w:val="auto"/>
        </w:rPr>
      </w:pPr>
    </w:p>
    <w:p>
      <w:pPr>
        <w:jc w:val="both"/>
        <w:ind w:left="640" w:hanging="319"/>
        <w:spacing w:after="0" w:line="270" w:lineRule="auto"/>
        <w:rPr>
          <w:sz w:val="20"/>
          <w:szCs w:val="20"/>
          <w:color w:val="auto"/>
        </w:rPr>
      </w:pPr>
      <w:r>
        <w:rPr>
          <w:rFonts w:ascii="Arial" w:cs="Arial" w:eastAsia="Arial" w:hAnsi="Arial"/>
          <w:sz w:val="18"/>
          <w:szCs w:val="18"/>
          <w:color w:val="auto"/>
        </w:rPr>
        <w:t>2.3. Party B shall pay the next month's rent to Party A before the end of each month (28-31), and Party A may implement it in accordance with the provisions of Article 8, Paragraph 2 of this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 Party B's rent can be delivered to Party A's account by transfer: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Account name: Guangzhou Fengwei Decoration Engineering Co.,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Bank: China Merchants Bank Fengxing Sub-branch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120906300410888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Article 5 Management Fees</w:t>
      </w:r>
    </w:p>
    <w:p>
      <w:pPr>
        <w:spacing w:after="0" w:line="220" w:lineRule="exact"/>
        <w:rPr>
          <w:sz w:val="20"/>
          <w:szCs w:val="20"/>
          <w:color w:val="auto"/>
        </w:rPr>
      </w:pPr>
    </w:p>
    <w:p>
      <w:pPr>
        <w:jc w:val="both"/>
        <w:ind w:firstLine="7"/>
        <w:spacing w:after="0" w:line="255" w:lineRule="auto"/>
        <w:tabs>
          <w:tab w:leader="none" w:pos="1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company address: the first floor of No. 23, Tianhe South 2nd Road, Tianhe District, Guangzhou</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Property company telephone: 87518183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7" w:name="page268"/>
    <w:bookmarkEnd w:id="267"/>
    <w:p>
      <w:pPr>
        <w:jc w:val="both"/>
        <w:ind w:firstLine="7"/>
        <w:spacing w:after="0" w:line="255" w:lineRule="auto"/>
        <w:tabs>
          <w:tab w:leader="none" w:pos="1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monthly management fee for the house is </w:t>
      </w:r>
      <w:r>
        <w:rPr>
          <w:rFonts w:ascii="Arial" w:cs="Arial" w:eastAsia="Arial" w:hAnsi="Arial"/>
          <w:sz w:val="18"/>
          <w:szCs w:val="18"/>
          <w:u w:val="single" w:color="auto"/>
          <w:color w:val="auto"/>
        </w:rPr>
        <w:t>RMB58,853.00 (RMB58,853.00) RMB 25 per square metre.</w:t>
      </w:r>
      <w:r>
        <w:rPr>
          <w:rFonts w:ascii="Arial" w:cs="Arial" w:eastAsia="Arial" w:hAnsi="Arial"/>
          <w:sz w:val="18"/>
          <w:szCs w:val="18"/>
          <w:color w:val="auto"/>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spacing w:after="0" w:line="187" w:lineRule="exact"/>
        <w:rPr>
          <w:rFonts w:ascii="Arial" w:cs="Arial" w:eastAsia="Arial" w:hAnsi="Arial"/>
          <w:sz w:val="18"/>
          <w:szCs w:val="18"/>
          <w:color w:val="auto"/>
        </w:rPr>
      </w:pPr>
    </w:p>
    <w:p>
      <w:pPr>
        <w:ind w:left="180" w:hanging="173"/>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house is paid first and used later, and the specific time of management fee payment is as follows:</w:t>
      </w:r>
    </w:p>
    <w:p>
      <w:pPr>
        <w:spacing w:after="0" w:line="220" w:lineRule="exact"/>
        <w:rPr>
          <w:sz w:val="20"/>
          <w:szCs w:val="20"/>
          <w:color w:val="auto"/>
        </w:rPr>
      </w:pPr>
    </w:p>
    <w:p>
      <w:pPr>
        <w:jc w:val="both"/>
        <w:ind w:left="640" w:hanging="319"/>
        <w:spacing w:after="0" w:line="270" w:lineRule="auto"/>
        <w:rPr>
          <w:sz w:val="20"/>
          <w:szCs w:val="20"/>
          <w:color w:val="auto"/>
        </w:rPr>
      </w:pPr>
      <w:r>
        <w:rPr>
          <w:rFonts w:ascii="Arial" w:cs="Arial" w:eastAsia="Arial" w:hAnsi="Arial"/>
          <w:sz w:val="18"/>
          <w:szCs w:val="18"/>
          <w:color w:val="auto"/>
        </w:rPr>
        <w:t xml:space="preserve">3.1 Party B shall pay the first (monthly) management fee after the expiration of the rent-free period within 3 working days before the date of the lease contract, calculated in </w:t>
      </w:r>
      <w:r>
        <w:rPr>
          <w:rFonts w:ascii="Arial" w:cs="Arial" w:eastAsia="Arial" w:hAnsi="Arial"/>
          <w:sz w:val="18"/>
          <w:szCs w:val="18"/>
          <w:u w:val="single" w:color="auto"/>
          <w:color w:val="auto"/>
        </w:rPr>
        <w:t>RMB 58,853.00.</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3.2 Before </w:t>
      </w:r>
      <w:r>
        <w:rPr>
          <w:rFonts w:ascii="Arial" w:cs="Arial" w:eastAsia="Arial" w:hAnsi="Arial"/>
          <w:sz w:val="16"/>
          <w:szCs w:val="16"/>
          <w:u w:val="single" w:color="auto"/>
          <w:color w:val="auto"/>
        </w:rPr>
        <w:t>March 15, 2024</w:t>
      </w:r>
      <w:r>
        <w:rPr>
          <w:rFonts w:ascii="Arial" w:cs="Arial" w:eastAsia="Arial" w:hAnsi="Arial"/>
          <w:sz w:val="16"/>
          <w:szCs w:val="16"/>
          <w:color w:val="auto"/>
        </w:rPr>
        <w:t xml:space="preserve">, Party B shall pay Party A a management fee from </w:t>
      </w:r>
      <w:r>
        <w:rPr>
          <w:rFonts w:ascii="Arial" w:cs="Arial" w:eastAsia="Arial" w:hAnsi="Arial"/>
          <w:sz w:val="16"/>
          <w:szCs w:val="16"/>
          <w:u w:val="single" w:color="auto"/>
          <w:color w:val="auto"/>
        </w:rPr>
        <w:t>March 15, 2024</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March 31, 2024</w:t>
      </w:r>
      <w:r>
        <w:rPr>
          <w:rFonts w:ascii="Arial" w:cs="Arial" w:eastAsia="Arial" w:hAnsi="Arial"/>
          <w:sz w:val="16"/>
          <w:szCs w:val="16"/>
          <w:color w:val="auto"/>
        </w:rPr>
        <w:t xml:space="preserve">, calculated in the amount of </w:t>
      </w:r>
      <w:r>
        <w:rPr>
          <w:rFonts w:ascii="Arial" w:cs="Arial" w:eastAsia="Arial" w:hAnsi="Arial"/>
          <w:sz w:val="16"/>
          <w:szCs w:val="16"/>
          <w:u w:val="single" w:color="auto"/>
          <w:color w:val="auto"/>
        </w:rPr>
        <w:t>RMB</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32,274.00 yuan (i.e. RMB 32,274.00).</w:t>
      </w:r>
    </w:p>
    <w:p>
      <w:pPr>
        <w:spacing w:after="0" w:line="207" w:lineRule="exact"/>
        <w:rPr>
          <w:sz w:val="20"/>
          <w:szCs w:val="20"/>
          <w:color w:val="auto"/>
        </w:rPr>
      </w:pPr>
    </w:p>
    <w:p>
      <w:pPr>
        <w:jc w:val="both"/>
        <w:ind w:left="640" w:hanging="319"/>
        <w:spacing w:after="0" w:line="258" w:lineRule="auto"/>
        <w:rPr>
          <w:sz w:val="20"/>
          <w:szCs w:val="20"/>
          <w:color w:val="auto"/>
        </w:rPr>
      </w:pPr>
      <w:r>
        <w:rPr>
          <w:rFonts w:ascii="Arial" w:cs="Arial" w:eastAsia="Arial" w:hAnsi="Arial"/>
          <w:sz w:val="18"/>
          <w:szCs w:val="18"/>
          <w:color w:val="auto"/>
        </w:rPr>
        <w:t>3.3 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spacing w:after="0" w:line="186" w:lineRule="exact"/>
        <w:rPr>
          <w:sz w:val="20"/>
          <w:szCs w:val="20"/>
          <w:color w:val="auto"/>
        </w:rPr>
      </w:pPr>
    </w:p>
    <w:p>
      <w:pPr>
        <w:ind w:right="2880" w:firstLine="7"/>
        <w:spacing w:after="0" w:line="495" w:lineRule="auto"/>
        <w:tabs>
          <w:tab w:leader="none" w:pos="1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Party B's management fee can be delivered to the property management company's account in the form of transfer: Account name: Guangdong Fengwei Property Management Co., Ltd</w:t>
      </w:r>
    </w:p>
    <w:p>
      <w:pPr>
        <w:spacing w:after="0"/>
        <w:rPr>
          <w:rFonts w:ascii="Arial" w:cs="Arial" w:eastAsia="Arial" w:hAnsi="Arial"/>
          <w:sz w:val="18"/>
          <w:szCs w:val="18"/>
          <w:color w:val="auto"/>
        </w:rPr>
      </w:pPr>
      <w:r>
        <w:rPr>
          <w:rFonts w:ascii="Arial" w:cs="Arial" w:eastAsia="Arial" w:hAnsi="Arial"/>
          <w:sz w:val="18"/>
          <w:szCs w:val="18"/>
          <w:color w:val="auto"/>
        </w:rPr>
        <w:t>Bank: ICBC Tianhe Sub-branch</w:t>
      </w:r>
    </w:p>
    <w:p>
      <w:pPr>
        <w:spacing w:after="0" w:line="219" w:lineRule="exact"/>
        <w:rPr>
          <w:rFonts w:ascii="Arial" w:cs="Arial" w:eastAsia="Arial" w:hAnsi="Arial"/>
          <w:sz w:val="18"/>
          <w:szCs w:val="18"/>
          <w:color w:val="auto"/>
        </w:rPr>
      </w:pPr>
    </w:p>
    <w:p>
      <w:pPr>
        <w:ind w:right="8260"/>
        <w:spacing w:after="0" w:line="556" w:lineRule="auto"/>
        <w:rPr>
          <w:rFonts w:ascii="Arial" w:cs="Arial" w:eastAsia="Arial" w:hAnsi="Arial"/>
          <w:sz w:val="18"/>
          <w:szCs w:val="18"/>
          <w:color w:val="auto"/>
        </w:rPr>
      </w:pPr>
      <w:r>
        <w:rPr>
          <w:rFonts w:ascii="Arial" w:cs="Arial" w:eastAsia="Arial" w:hAnsi="Arial"/>
          <w:sz w:val="16"/>
          <w:szCs w:val="16"/>
          <w:color w:val="auto"/>
        </w:rPr>
        <w:t>Account number: 3602013419200318634 Article 6 Performance bond</w:t>
      </w:r>
    </w:p>
    <w:p>
      <w:pPr>
        <w:spacing w:after="0" w:line="1" w:lineRule="exact"/>
        <w:rPr>
          <w:sz w:val="20"/>
          <w:szCs w:val="20"/>
          <w:color w:val="auto"/>
        </w:rPr>
      </w:pPr>
    </w:p>
    <w:p>
      <w:pPr>
        <w:jc w:val="both"/>
        <w:ind w:firstLine="7"/>
        <w:spacing w:after="0" w:line="255" w:lineRule="auto"/>
        <w:tabs>
          <w:tab w:leader="none" w:pos="18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Party B shall, within 3 working days before the date of commencement of the lease contract (but no later than the start date of the lease period), pay Party A the equivalent of two months' rent in the first year: </w:t>
      </w:r>
      <w:r>
        <w:rPr>
          <w:rFonts w:ascii="Arial" w:cs="Arial" w:eastAsia="Arial" w:hAnsi="Arial"/>
          <w:sz w:val="18"/>
          <w:szCs w:val="18"/>
          <w:u w:val="single" w:color="auto"/>
          <w:color w:val="auto"/>
        </w:rPr>
        <w:t>RMB 494,368.00</w:t>
      </w:r>
      <w:r>
        <w:rPr>
          <w:rFonts w:ascii="Arial" w:cs="Arial" w:eastAsia="Arial" w:hAnsi="Arial"/>
          <w:sz w:val="18"/>
          <w:szCs w:val="18"/>
          <w:color w:val="auto"/>
        </w:rPr>
        <w:t xml:space="preserve"> and management fee </w:t>
      </w:r>
      <w:r>
        <w:rPr>
          <w:rFonts w:ascii="Arial" w:cs="Arial" w:eastAsia="Arial" w:hAnsi="Arial"/>
          <w:sz w:val="18"/>
          <w:szCs w:val="18"/>
          <w:u w:val="single" w:color="auto"/>
          <w:color w:val="auto"/>
        </w:rPr>
        <w:t>(RMB 117,706.00)</w:t>
      </w:r>
      <w:r>
        <w:rPr>
          <w:rFonts w:ascii="Arial" w:cs="Arial" w:eastAsia="Arial" w:hAnsi="Arial"/>
          <w:sz w:val="18"/>
          <w:szCs w:val="18"/>
          <w:color w:val="auto"/>
        </w:rPr>
        <w:t xml:space="preserve">, a total of RMB: </w:t>
      </w:r>
      <w:r>
        <w:rPr>
          <w:rFonts w:ascii="Arial" w:cs="Arial" w:eastAsia="Arial" w:hAnsi="Arial"/>
          <w:sz w:val="18"/>
          <w:szCs w:val="18"/>
          <w:i w:val="1"/>
          <w:iCs w:val="1"/>
          <w:u w:val="single" w:color="auto"/>
          <w:color w:val="auto"/>
        </w:rPr>
        <w:t>612,074.00 CNY</w:t>
      </w:r>
      <w:r>
        <w:rPr>
          <w:rFonts w:ascii="Arial" w:cs="Arial" w:eastAsia="Arial" w:hAnsi="Arial"/>
          <w:sz w:val="18"/>
          <w:szCs w:val="18"/>
          <w:color w:val="auto"/>
        </w:rPr>
        <w:t xml:space="preserve"> It can be delivered to the account of Party A and the property management company in the form of transfer, and the performance bond cannot be used against rent, management fees and other expenses.</w:t>
      </w:r>
    </w:p>
    <w:p>
      <w:pPr>
        <w:spacing w:after="0" w:line="187" w:lineRule="exact"/>
        <w:rPr>
          <w:rFonts w:ascii="Arial" w:cs="Arial" w:eastAsia="Arial" w:hAnsi="Arial"/>
          <w:sz w:val="18"/>
          <w:szCs w:val="18"/>
          <w:color w:val="auto"/>
        </w:rPr>
      </w:pPr>
    </w:p>
    <w:p>
      <w:pPr>
        <w:jc w:val="both"/>
        <w:ind w:firstLine="7"/>
        <w:spacing w:after="0" w:line="292" w:lineRule="auto"/>
        <w:tabs>
          <w:tab w:leader="none" w:pos="18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8" w:name="page269"/>
    <w:bookmarkEnd w:id="268"/>
    <w:p>
      <w:pPr>
        <w:ind w:right="20" w:firstLine="7"/>
        <w:spacing w:after="0" w:line="270" w:lineRule="auto"/>
        <w:tabs>
          <w:tab w:leader="none" w:pos="18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7 Other Expenses</w:t>
      </w:r>
    </w:p>
    <w:p>
      <w:pPr>
        <w:spacing w:after="0" w:line="220" w:lineRule="exact"/>
        <w:rPr>
          <w:sz w:val="20"/>
          <w:szCs w:val="20"/>
          <w:color w:val="auto"/>
        </w:rPr>
      </w:pPr>
    </w:p>
    <w:p>
      <w:pPr>
        <w:jc w:val="both"/>
        <w:ind w:firstLine="7"/>
        <w:spacing w:after="0" w:line="258" w:lineRule="auto"/>
        <w:tabs>
          <w:tab w:leader="none" w:pos="1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During the rent-free period, Party B does not need to pay the rent of the house to Party A, but must pay the management fee for the rent-free period from </w:t>
      </w:r>
      <w:r>
        <w:rPr>
          <w:rFonts w:ascii="Arial" w:cs="Arial" w:eastAsia="Arial" w:hAnsi="Arial"/>
          <w:sz w:val="18"/>
          <w:szCs w:val="18"/>
          <w:u w:val="single" w:color="auto"/>
          <w:color w:val="auto"/>
        </w:rPr>
        <w:t>October 15, 2023</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February 14, 2024 (RMB 235,412.00)</w:t>
      </w:r>
      <w:r>
        <w:rPr>
          <w:rFonts w:ascii="Arial" w:cs="Arial" w:eastAsia="Arial" w:hAnsi="Arial"/>
          <w:sz w:val="18"/>
          <w:szCs w:val="18"/>
          <w:color w:val="auto"/>
        </w:rPr>
        <w:t xml:space="preserve"> before handing over the site, and the utility fee during the rent-free period shall be paid in accordance with the provisions of paragraph 2 of this Article.</w:t>
      </w:r>
    </w:p>
    <w:p>
      <w:pPr>
        <w:spacing w:after="0" w:line="186" w:lineRule="exact"/>
        <w:rPr>
          <w:rFonts w:ascii="Arial" w:cs="Arial" w:eastAsia="Arial" w:hAnsi="Arial"/>
          <w:sz w:val="18"/>
          <w:szCs w:val="18"/>
          <w:color w:val="auto"/>
        </w:rPr>
      </w:pPr>
    </w:p>
    <w:p>
      <w:pPr>
        <w:ind w:left="180" w:hanging="173"/>
        <w:spacing w:after="0"/>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Self-water and electricity bills and shared costs</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3. Telephone and network fees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spacing w:after="0" w:line="175" w:lineRule="exact"/>
        <w:rPr>
          <w:sz w:val="20"/>
          <w:szCs w:val="20"/>
          <w:color w:val="auto"/>
        </w:rPr>
      </w:pPr>
    </w:p>
    <w:p>
      <w:pPr>
        <w:ind w:left="180" w:hanging="173"/>
        <w:spacing w:after="0"/>
        <w:tabs>
          <w:tab w:leader="none" w:pos="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Air conditioning management regulations and costs</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Use of central air conditioning</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1.1 Air conditioning in the office building is available from 8:00 to 18:00 on Monday to Friday, 8:00 am to 12:00 pm on Saturday, and is closed on Saturday afternoon, Sunday and public holidays.</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ascii="SimSun" w:cs="SimSun" w:eastAsia="SimSun" w:hAnsi="SimSun"/>
          <w:sz w:val="18"/>
          <w:szCs w:val="18"/>
          <w:b w:val="1"/>
          <w:bCs w:val="1"/>
          <w:color w:val="auto"/>
        </w:rPr>
        <w:t>《</w:t>
      </w:r>
      <w:r>
        <w:rPr>
          <w:rFonts w:ascii="Arial" w:cs="Arial" w:eastAsia="Arial" w:hAnsi="Arial"/>
          <w:sz w:val="18"/>
          <w:szCs w:val="18"/>
          <w:color w:val="auto"/>
        </w:rPr>
        <w:t xml:space="preserve"> Fengxing Plaza Weekend/Holiday Overtime Air Conditioning Charging Standard.</w:t>
      </w:r>
      <w:r>
        <w:rPr>
          <w:rFonts w:ascii="SimSun" w:cs="SimSun" w:eastAsia="SimSun" w:hAnsi="SimSun"/>
          <w:sz w:val="18"/>
          <w:szCs w:val="18"/>
          <w:b w:val="1"/>
          <w:bCs w:val="1"/>
          <w:color w:val="auto"/>
        </w:rPr>
        <w:t>》</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Note: Property company approval conditions: More than 30% of the units in the building (calculated by floor area) apply for overtime before the central air conditioning can be started.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(2) Split air conditioner installation and use</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Without the written consent of Party A or the property company, Party B is strictly prohibited from installing split air conditioning within the scope of the rented house or using the public area of the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8 Rights and obligations of Party B</w:t>
      </w:r>
    </w:p>
    <w:p>
      <w:pPr>
        <w:spacing w:after="0" w:line="220" w:lineRule="exact"/>
        <w:rPr>
          <w:sz w:val="20"/>
          <w:szCs w:val="20"/>
          <w:color w:val="auto"/>
        </w:rPr>
      </w:pPr>
    </w:p>
    <w:p>
      <w:pPr>
        <w:jc w:val="both"/>
        <w:ind w:firstLine="7"/>
        <w:spacing w:after="0" w:line="271" w:lineRule="auto"/>
        <w:tabs>
          <w:tab w:leader="none" w:pos="20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Arial" w:cs="Arial" w:eastAsia="Arial" w:hAnsi="Arial"/>
          <w:sz w:val="17"/>
          <w:szCs w:val="17"/>
          <w:u w:val="single" w:color="auto"/>
          <w:color w:val="auto"/>
        </w:rPr>
        <w:t>but Party B needs to be notified at least 7 working days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w:t>
      </w:r>
      <w:r>
        <w:rPr>
          <w:rFonts w:ascii="Arial" w:cs="Arial" w:eastAsia="Arial" w:hAnsi="Arial"/>
          <w:sz w:val="17"/>
          <w:szCs w:val="17"/>
          <w:color w:val="auto"/>
        </w:rPr>
        <w:t xml:space="preserve"> and the performance bond paid by Party B will not be refunded.</w:t>
      </w:r>
    </w:p>
    <w:p>
      <w:pPr>
        <w:spacing w:after="0" w:line="177" w:lineRule="exact"/>
        <w:rPr>
          <w:rFonts w:ascii="Arial" w:cs="Arial" w:eastAsia="Arial" w:hAnsi="Arial"/>
          <w:sz w:val="17"/>
          <w:szCs w:val="17"/>
          <w:color w:val="auto"/>
        </w:rPr>
      </w:pPr>
    </w:p>
    <w:p>
      <w:pPr>
        <w:ind w:right="20" w:firstLine="7"/>
        <w:spacing w:after="0" w:line="270" w:lineRule="auto"/>
        <w:tabs>
          <w:tab w:leader="none" w:pos="1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Party B shall pay Party A rent, management fee and other fees payable by Party B on time. If the payment is overdue, Party A or the property management company may exercise the following relevant rights and interests from Party B:</w:t>
      </w:r>
    </w:p>
    <w:p>
      <w:pPr>
        <w:spacing w:after="0" w:line="175" w:lineRule="exact"/>
        <w:rPr>
          <w:sz w:val="20"/>
          <w:szCs w:val="20"/>
          <w:color w:val="auto"/>
        </w:rPr>
      </w:pPr>
    </w:p>
    <w:p>
      <w:pPr>
        <w:jc w:val="both"/>
        <w:ind w:firstLine="7"/>
        <w:spacing w:after="0" w:line="255" w:lineRule="auto"/>
        <w:tabs>
          <w:tab w:leader="none" w:pos="2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spacing w:after="0" w:line="187" w:lineRule="exact"/>
        <w:rPr>
          <w:rFonts w:ascii="Arial" w:cs="Arial" w:eastAsia="Arial" w:hAnsi="Arial"/>
          <w:sz w:val="18"/>
          <w:szCs w:val="18"/>
          <w:color w:val="auto"/>
        </w:rPr>
      </w:pPr>
    </w:p>
    <w:p>
      <w:pPr>
        <w:jc w:val="both"/>
        <w:ind w:firstLine="7"/>
        <w:spacing w:after="0" w:line="253" w:lineRule="auto"/>
        <w:tabs>
          <w:tab w:leader="none" w:pos="30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spacing w:after="0" w:line="190" w:lineRule="exact"/>
        <w:rPr>
          <w:sz w:val="20"/>
          <w:szCs w:val="20"/>
          <w:color w:val="auto"/>
        </w:rPr>
      </w:pPr>
    </w:p>
    <w:p>
      <w:pPr>
        <w:jc w:val="both"/>
        <w:ind w:firstLine="7"/>
        <w:spacing w:after="0" w:line="271" w:lineRule="auto"/>
        <w:tabs>
          <w:tab w:leader="none" w:pos="19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0" w:name="page271"/>
    <w:bookmarkEnd w:id="270"/>
    <w:p>
      <w:pPr>
        <w:jc w:val="both"/>
        <w:ind w:firstLine="7"/>
        <w:spacing w:after="0" w:line="255" w:lineRule="auto"/>
        <w:tabs>
          <w:tab w:leader="none" w:pos="1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spacing w:after="0" w:line="187" w:lineRule="exact"/>
        <w:rPr>
          <w:rFonts w:ascii="Arial" w:cs="Arial" w:eastAsia="Arial" w:hAnsi="Arial"/>
          <w:sz w:val="18"/>
          <w:szCs w:val="18"/>
          <w:color w:val="auto"/>
        </w:rPr>
      </w:pPr>
    </w:p>
    <w:p>
      <w:pPr>
        <w:jc w:val="both"/>
        <w:ind w:firstLine="7"/>
        <w:spacing w:after="0" w:line="252" w:lineRule="auto"/>
        <w:tabs>
          <w:tab w:leader="none" w:pos="1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spacing w:after="0" w:line="190" w:lineRule="exact"/>
        <w:rPr>
          <w:rFonts w:ascii="Arial" w:cs="Arial" w:eastAsia="Arial" w:hAnsi="Arial"/>
          <w:sz w:val="18"/>
          <w:szCs w:val="18"/>
          <w:color w:val="auto"/>
        </w:rPr>
      </w:pPr>
    </w:p>
    <w:p>
      <w:pPr>
        <w:jc w:val="both"/>
        <w:ind w:firstLine="7"/>
        <w:spacing w:after="0" w:line="258" w:lineRule="auto"/>
        <w:tabs>
          <w:tab w:leader="none" w:pos="1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spacing w:after="0" w:line="186" w:lineRule="exact"/>
        <w:rPr>
          <w:rFonts w:ascii="Arial" w:cs="Arial" w:eastAsia="Arial" w:hAnsi="Arial"/>
          <w:sz w:val="18"/>
          <w:szCs w:val="18"/>
          <w:color w:val="auto"/>
        </w:rPr>
      </w:pPr>
    </w:p>
    <w:p>
      <w:pPr>
        <w:jc w:val="both"/>
        <w:ind w:firstLine="7"/>
        <w:spacing w:after="0" w:line="258" w:lineRule="auto"/>
        <w:tabs>
          <w:tab w:leader="none" w:pos="1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spacing w:after="0" w:line="186" w:lineRule="exact"/>
        <w:rPr>
          <w:rFonts w:ascii="Arial" w:cs="Arial" w:eastAsia="Arial" w:hAnsi="Arial"/>
          <w:sz w:val="18"/>
          <w:szCs w:val="18"/>
          <w:color w:val="auto"/>
        </w:rPr>
      </w:pPr>
    </w:p>
    <w:p>
      <w:pPr>
        <w:jc w:val="both"/>
        <w:ind w:firstLine="7"/>
        <w:spacing w:after="0" w:line="258" w:lineRule="auto"/>
        <w:tabs>
          <w:tab w:leader="none" w:pos="1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spacing w:after="0" w:line="186" w:lineRule="exact"/>
        <w:rPr>
          <w:rFonts w:ascii="Arial" w:cs="Arial" w:eastAsia="Arial" w:hAnsi="Arial"/>
          <w:sz w:val="18"/>
          <w:szCs w:val="18"/>
          <w:color w:val="auto"/>
        </w:rPr>
      </w:pPr>
    </w:p>
    <w:p>
      <w:pPr>
        <w:jc w:val="both"/>
        <w:ind w:firstLine="7"/>
        <w:spacing w:after="0" w:line="281" w:lineRule="auto"/>
        <w:tabs>
          <w:tab w:leader="none" w:pos="1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1" w:name="page272"/>
    <w:bookmarkEnd w:id="271"/>
    <w:p>
      <w:pPr>
        <w:jc w:val="both"/>
        <w:spacing w:after="0" w:line="269" w:lineRule="auto"/>
        <w:rPr>
          <w:sz w:val="20"/>
          <w:szCs w:val="20"/>
          <w:color w:val="auto"/>
        </w:rPr>
      </w:pPr>
      <w:r>
        <w:rPr>
          <w:rFonts w:ascii="Arial" w:cs="Arial" w:eastAsia="Arial" w:hAnsi="Arial"/>
          <w:sz w:val="17"/>
          <w:szCs w:val="17"/>
          <w:color w:val="auto"/>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spacing w:after="0" w:line="180" w:lineRule="exact"/>
        <w:rPr>
          <w:sz w:val="20"/>
          <w:szCs w:val="20"/>
          <w:color w:val="auto"/>
        </w:rPr>
      </w:pPr>
    </w:p>
    <w:p>
      <w:pPr>
        <w:jc w:val="both"/>
        <w:ind w:firstLine="7"/>
        <w:spacing w:after="0" w:line="255" w:lineRule="auto"/>
        <w:tabs>
          <w:tab w:leader="none" w:pos="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spacing w:after="0" w:line="187" w:lineRule="exact"/>
        <w:rPr>
          <w:rFonts w:ascii="Arial" w:cs="Arial" w:eastAsia="Arial" w:hAnsi="Arial"/>
          <w:sz w:val="18"/>
          <w:szCs w:val="18"/>
          <w:color w:val="auto"/>
        </w:rPr>
      </w:pPr>
    </w:p>
    <w:p>
      <w:pPr>
        <w:jc w:val="both"/>
        <w:ind w:firstLine="7"/>
        <w:spacing w:after="0" w:line="269" w:lineRule="auto"/>
        <w:tabs>
          <w:tab w:leader="none" w:pos="26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spacing w:after="0" w:line="179" w:lineRule="exact"/>
        <w:rPr>
          <w:rFonts w:ascii="Arial" w:cs="Arial" w:eastAsia="Arial" w:hAnsi="Arial"/>
          <w:sz w:val="17"/>
          <w:szCs w:val="17"/>
          <w:color w:val="auto"/>
        </w:rPr>
      </w:pPr>
    </w:p>
    <w:p>
      <w:pPr>
        <w:ind w:firstLine="7"/>
        <w:spacing w:after="0" w:line="270" w:lineRule="auto"/>
        <w:tabs>
          <w:tab w:leader="none" w:pos="27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Party B shall abide by the property management of the building, and shall not open the windows on the glass curtain wall without the consent of Party A or the property management company.</w:t>
      </w:r>
    </w:p>
    <w:p>
      <w:pPr>
        <w:spacing w:after="0" w:line="174" w:lineRule="exact"/>
        <w:rPr>
          <w:rFonts w:ascii="Arial" w:cs="Arial" w:eastAsia="Arial" w:hAnsi="Arial"/>
          <w:sz w:val="18"/>
          <w:szCs w:val="18"/>
          <w:color w:val="auto"/>
        </w:rPr>
      </w:pPr>
    </w:p>
    <w:p>
      <w:pPr>
        <w:jc w:val="both"/>
        <w:ind w:firstLine="7"/>
        <w:spacing w:after="0" w:line="252" w:lineRule="auto"/>
        <w:tabs>
          <w:tab w:leader="none" w:pos="2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spacing w:after="0" w:line="190" w:lineRule="exact"/>
        <w:rPr>
          <w:rFonts w:ascii="Arial" w:cs="Arial" w:eastAsia="Arial" w:hAnsi="Arial"/>
          <w:sz w:val="18"/>
          <w:szCs w:val="18"/>
          <w:color w:val="auto"/>
        </w:rPr>
      </w:pPr>
    </w:p>
    <w:p>
      <w:pPr>
        <w:jc w:val="both"/>
        <w:ind w:firstLine="7"/>
        <w:spacing w:after="0" w:line="292" w:lineRule="auto"/>
        <w:tabs>
          <w:tab w:leader="none" w:pos="27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2" w:name="page273"/>
    <w:bookmarkEnd w:id="272"/>
    <w:p>
      <w:pPr>
        <w:ind w:firstLine="7"/>
        <w:spacing w:after="0" w:line="270" w:lineRule="auto"/>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Party B's decoration plan is reviewed and approved by Party A or the property company, there is no need to restore the original state after the lease expires.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9 Rights and obligations of Party A</w:t>
      </w:r>
    </w:p>
    <w:p>
      <w:pPr>
        <w:spacing w:after="0" w:line="220" w:lineRule="exact"/>
        <w:rPr>
          <w:sz w:val="20"/>
          <w:szCs w:val="20"/>
          <w:color w:val="auto"/>
        </w:rPr>
      </w:pPr>
    </w:p>
    <w:p>
      <w:pPr>
        <w:jc w:val="both"/>
        <w:ind w:firstLine="7"/>
        <w:spacing w:after="0" w:line="268" w:lineRule="auto"/>
        <w:tabs>
          <w:tab w:leader="none" w:pos="17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spacing w:after="0" w:line="179" w:lineRule="exact"/>
        <w:rPr>
          <w:rFonts w:ascii="Arial" w:cs="Arial" w:eastAsia="Arial" w:hAnsi="Arial"/>
          <w:sz w:val="17"/>
          <w:szCs w:val="17"/>
          <w:color w:val="auto"/>
        </w:rPr>
      </w:pPr>
    </w:p>
    <w:p>
      <w:pPr>
        <w:jc w:val="both"/>
        <w:ind w:firstLine="7"/>
        <w:spacing w:after="0" w:line="258" w:lineRule="auto"/>
        <w:tabs>
          <w:tab w:leader="none" w:pos="1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spacing w:after="0" w:line="186" w:lineRule="exact"/>
        <w:rPr>
          <w:rFonts w:ascii="Arial" w:cs="Arial" w:eastAsia="Arial" w:hAnsi="Arial"/>
          <w:sz w:val="18"/>
          <w:szCs w:val="18"/>
          <w:color w:val="auto"/>
        </w:rPr>
      </w:pPr>
    </w:p>
    <w:p>
      <w:pPr>
        <w:jc w:val="both"/>
        <w:ind w:firstLine="7"/>
        <w:spacing w:after="0" w:line="258" w:lineRule="auto"/>
        <w:tabs>
          <w:tab w:leader="none" w:pos="2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spacing w:after="0" w:line="175" w:lineRule="exact"/>
        <w:rPr>
          <w:sz w:val="20"/>
          <w:szCs w:val="20"/>
          <w:color w:val="auto"/>
        </w:rPr>
      </w:pPr>
    </w:p>
    <w:p>
      <w:pPr>
        <w:jc w:val="both"/>
        <w:ind w:firstLine="7"/>
        <w:spacing w:after="0" w:line="252" w:lineRule="auto"/>
        <w:tabs>
          <w:tab w:leader="none" w:pos="1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3" w:name="page274"/>
    <w:bookmarkEnd w:id="273"/>
    <w:p>
      <w:pPr>
        <w:jc w:val="both"/>
        <w:ind w:firstLine="7"/>
        <w:spacing w:after="0" w:line="258" w:lineRule="auto"/>
        <w:tabs>
          <w:tab w:leader="none" w:pos="2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spacing w:after="0" w:line="186" w:lineRule="exact"/>
        <w:rPr>
          <w:rFonts w:ascii="Arial" w:cs="Arial" w:eastAsia="Arial" w:hAnsi="Arial"/>
          <w:sz w:val="18"/>
          <w:szCs w:val="18"/>
          <w:color w:val="auto"/>
        </w:rPr>
      </w:pPr>
    </w:p>
    <w:p>
      <w:pPr>
        <w:jc w:val="both"/>
        <w:ind w:firstLine="7"/>
        <w:spacing w:after="0" w:line="415" w:lineRule="auto"/>
        <w:tabs>
          <w:tab w:leader="none" w:pos="178" w:val="left"/>
        </w:tabs>
        <w:numPr>
          <w:ilvl w:val="0"/>
          <w:numId w:val="151"/>
        </w:numPr>
        <w:rPr>
          <w:rFonts w:ascii="Arial" w:cs="Arial" w:eastAsia="Arial" w:hAnsi="Arial"/>
          <w:sz w:val="14"/>
          <w:szCs w:val="14"/>
          <w:color w:val="auto"/>
        </w:rPr>
      </w:pPr>
      <w:r>
        <w:rPr>
          <w:rFonts w:ascii="Arial" w:cs="Arial" w:eastAsia="Arial" w:hAnsi="Arial"/>
          <w:sz w:val="14"/>
          <w:szCs w:val="14"/>
          <w:color w:val="auto"/>
        </w:rPr>
        <w:t>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spacing w:after="0" w:line="83" w:lineRule="exact"/>
        <w:rPr>
          <w:rFonts w:ascii="Arial" w:cs="Arial" w:eastAsia="Arial" w:hAnsi="Arial"/>
          <w:sz w:val="14"/>
          <w:szCs w:val="14"/>
          <w:color w:val="auto"/>
        </w:rPr>
      </w:pPr>
    </w:p>
    <w:p>
      <w:pPr>
        <w:ind w:left="180" w:hanging="173"/>
        <w:spacing w:after="0"/>
        <w:tabs>
          <w:tab w:leader="none" w:pos="1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Party A shall not arbitrarily take back the house in advance. If it is withdrawn in advance, Party A shall return the performance bond paid by Party B twice.</w:t>
      </w:r>
    </w:p>
    <w:p>
      <w:pPr>
        <w:spacing w:after="0" w:line="242" w:lineRule="exact"/>
        <w:rPr>
          <w:rFonts w:ascii="Arial" w:cs="Arial" w:eastAsia="Arial" w:hAnsi="Arial"/>
          <w:sz w:val="16"/>
          <w:szCs w:val="16"/>
          <w:color w:val="auto"/>
        </w:rPr>
      </w:pPr>
    </w:p>
    <w:p>
      <w:pPr>
        <w:jc w:val="both"/>
        <w:ind w:firstLine="7"/>
        <w:spacing w:after="0" w:line="253" w:lineRule="auto"/>
        <w:tabs>
          <w:tab w:leader="none" w:pos="1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spacing w:after="0" w:line="189" w:lineRule="exact"/>
        <w:rPr>
          <w:rFonts w:ascii="Arial" w:cs="Arial" w:eastAsia="Arial" w:hAnsi="Arial"/>
          <w:sz w:val="18"/>
          <w:szCs w:val="18"/>
          <w:color w:val="auto"/>
        </w:rPr>
      </w:pPr>
    </w:p>
    <w:p>
      <w:pPr>
        <w:ind w:firstLine="7"/>
        <w:spacing w:after="0" w:line="270" w:lineRule="auto"/>
        <w:tabs>
          <w:tab w:leader="none" w:pos="21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Party A guarantees that it has the right to entrust the property management services stipulated in this contract to Guangdong Fengwei Property Management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10 Termination of Contract and Return of Leased Unit</w:t>
      </w:r>
    </w:p>
    <w:p>
      <w:pPr>
        <w:spacing w:after="0" w:line="220" w:lineRule="exact"/>
        <w:rPr>
          <w:sz w:val="20"/>
          <w:szCs w:val="20"/>
          <w:color w:val="auto"/>
        </w:rPr>
      </w:pPr>
    </w:p>
    <w:p>
      <w:pPr>
        <w:jc w:val="both"/>
        <w:ind w:firstLine="7"/>
        <w:spacing w:after="0" w:line="216" w:lineRule="exact"/>
        <w:tabs>
          <w:tab w:leader="none" w:pos="17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w:t>
      </w:r>
      <w:r>
        <w:rPr>
          <w:rFonts w:ascii="MS PGothic" w:cs="MS PGothic" w:eastAsia="MS PGothic" w:hAnsi="MS PGothic"/>
          <w:sz w:val="17"/>
          <w:szCs w:val="17"/>
          <w:color w:val="auto"/>
        </w:rPr>
        <w:t>，</w:t>
      </w:r>
      <w:r>
        <w:rPr>
          <w:rFonts w:ascii="Arial" w:cs="Arial" w:eastAsia="Arial" w:hAnsi="Arial"/>
          <w:sz w:val="17"/>
          <w:szCs w:val="17"/>
          <w:color w:val="auto"/>
        </w:rPr>
        <w:t>(Occupancy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spacing w:after="0" w:line="201" w:lineRule="exact"/>
        <w:rPr>
          <w:rFonts w:ascii="Arial" w:cs="Arial" w:eastAsia="Arial" w:hAnsi="Arial"/>
          <w:sz w:val="17"/>
          <w:szCs w:val="17"/>
          <w:color w:val="auto"/>
        </w:rPr>
      </w:pPr>
    </w:p>
    <w:p>
      <w:pPr>
        <w:jc w:val="both"/>
        <w:ind w:firstLine="7"/>
        <w:spacing w:after="0" w:line="271" w:lineRule="auto"/>
        <w:tabs>
          <w:tab w:leader="none" w:pos="20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4" w:name="page275"/>
    <w:bookmarkEnd w:id="274"/>
    <w:p>
      <w:pPr>
        <w:jc w:val="both"/>
        <w:ind w:firstLine="7"/>
        <w:spacing w:after="0" w:line="269" w:lineRule="auto"/>
        <w:tabs>
          <w:tab w:leader="none" w:pos="17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spacing w:after="0" w:line="179" w:lineRule="exact"/>
        <w:rPr>
          <w:rFonts w:ascii="Arial" w:cs="Arial" w:eastAsia="Arial" w:hAnsi="Arial"/>
          <w:sz w:val="17"/>
          <w:szCs w:val="17"/>
          <w:color w:val="auto"/>
        </w:rPr>
      </w:pPr>
    </w:p>
    <w:p>
      <w:pPr>
        <w:jc w:val="both"/>
        <w:ind w:firstLine="7"/>
        <w:spacing w:after="0" w:line="258" w:lineRule="auto"/>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spacing w:after="0" w:line="186" w:lineRule="exact"/>
        <w:rPr>
          <w:rFonts w:ascii="Arial" w:cs="Arial" w:eastAsia="Arial" w:hAnsi="Arial"/>
          <w:sz w:val="18"/>
          <w:szCs w:val="18"/>
          <w:color w:val="auto"/>
        </w:rPr>
      </w:pPr>
    </w:p>
    <w:p>
      <w:pPr>
        <w:ind w:firstLine="7"/>
        <w:spacing w:after="0" w:line="270" w:lineRule="auto"/>
        <w:tabs>
          <w:tab w:leader="none" w:pos="19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After the termination of the lease contract, Party B shall return the house to Party A in accordance with the following provisions before requesting the refund of the performance bond:</w:t>
      </w:r>
    </w:p>
    <w:p>
      <w:pPr>
        <w:spacing w:after="0" w:line="175" w:lineRule="exact"/>
        <w:rPr>
          <w:sz w:val="20"/>
          <w:szCs w:val="20"/>
          <w:color w:val="auto"/>
        </w:rPr>
      </w:pPr>
    </w:p>
    <w:p>
      <w:pPr>
        <w:ind w:left="260" w:hanging="253"/>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Remove all of his belongings from the house;</w:t>
      </w:r>
    </w:p>
    <w:p>
      <w:pPr>
        <w:spacing w:after="0" w:line="219" w:lineRule="exact"/>
        <w:rPr>
          <w:rFonts w:ascii="Arial" w:cs="Arial" w:eastAsia="Arial" w:hAnsi="Arial"/>
          <w:sz w:val="18"/>
          <w:szCs w:val="18"/>
          <w:color w:val="auto"/>
        </w:rPr>
      </w:pPr>
    </w:p>
    <w:p>
      <w:pPr>
        <w:ind w:firstLine="7"/>
        <w:spacing w:after="0" w:line="270" w:lineRule="auto"/>
        <w:tabs>
          <w:tab w:leader="none" w:pos="26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Check with Party A whether the equipment and facilities delivered by Party A to Party B are in normal use (except normal wear and tear), and Party B shall repair or compensate if there is any damage;</w:t>
      </w:r>
    </w:p>
    <w:p>
      <w:pPr>
        <w:spacing w:after="0" w:line="174" w:lineRule="exact"/>
        <w:rPr>
          <w:rFonts w:ascii="Arial" w:cs="Arial" w:eastAsia="Arial" w:hAnsi="Arial"/>
          <w:sz w:val="18"/>
          <w:szCs w:val="18"/>
          <w:color w:val="auto"/>
        </w:rPr>
      </w:pPr>
    </w:p>
    <w:p>
      <w:pPr>
        <w:ind w:left="260" w:hanging="253"/>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Give Party A the keys to the door of the house and all the doors inside it;</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Settle rent, property management fees and other expenses (including but not limited to water, electricity, communication fees, etc.);</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Both parties or Party A sign the confirmation document for Party B's return of the leased house.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Article 11 Renewal</w:t>
      </w:r>
    </w:p>
    <w:p>
      <w:pPr>
        <w:spacing w:after="0" w:line="220" w:lineRule="exact"/>
        <w:rPr>
          <w:sz w:val="20"/>
          <w:szCs w:val="20"/>
          <w:color w:val="auto"/>
        </w:rPr>
      </w:pPr>
    </w:p>
    <w:p>
      <w:pPr>
        <w:jc w:val="both"/>
        <w:ind w:firstLine="7"/>
        <w:spacing w:after="0" w:line="306" w:lineRule="auto"/>
        <w:tabs>
          <w:tab w:leader="none" w:pos="1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5" w:name="page276"/>
    <w:bookmarkEnd w:id="275"/>
    <w:p>
      <w:pPr>
        <w:jc w:val="both"/>
        <w:ind w:firstLine="7"/>
        <w:spacing w:after="0" w:line="306" w:lineRule="auto"/>
        <w:tabs>
          <w:tab w:leader="none" w:pos="17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Article 12 Force Majeure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Article 13 Dispute Resolution</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Article 14 Miscellaneous</w:t>
      </w:r>
    </w:p>
    <w:p>
      <w:pPr>
        <w:spacing w:after="0" w:line="220" w:lineRule="exact"/>
        <w:rPr>
          <w:sz w:val="20"/>
          <w:szCs w:val="20"/>
          <w:color w:val="auto"/>
        </w:rPr>
      </w:pPr>
    </w:p>
    <w:p>
      <w:pPr>
        <w:ind w:firstLine="7"/>
        <w:spacing w:after="0" w:line="270" w:lineRule="auto"/>
        <w:tabs>
          <w:tab w:leader="none" w:pos="1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spacing w:after="0" w:line="174" w:lineRule="exact"/>
        <w:rPr>
          <w:rFonts w:ascii="Arial" w:cs="Arial" w:eastAsia="Arial" w:hAnsi="Arial"/>
          <w:sz w:val="18"/>
          <w:szCs w:val="18"/>
          <w:color w:val="auto"/>
        </w:rPr>
      </w:pPr>
    </w:p>
    <w:p>
      <w:pPr>
        <w:ind w:right="20" w:firstLine="7"/>
        <w:spacing w:after="0" w:line="300" w:lineRule="auto"/>
        <w:tabs>
          <w:tab w:leader="none" w:pos="17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spacing w:after="0" w:line="151" w:lineRule="exact"/>
        <w:rPr>
          <w:rFonts w:ascii="Arial" w:cs="Arial" w:eastAsia="Arial" w:hAnsi="Arial"/>
          <w:sz w:val="17"/>
          <w:szCs w:val="17"/>
          <w:color w:val="auto"/>
        </w:rPr>
      </w:pPr>
    </w:p>
    <w:p>
      <w:pPr>
        <w:jc w:val="both"/>
        <w:ind w:firstLine="7"/>
        <w:spacing w:after="0" w:line="253" w:lineRule="auto"/>
        <w:tabs>
          <w:tab w:leader="none" w:pos="1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spacing w:after="0" w:line="189" w:lineRule="exact"/>
        <w:rPr>
          <w:rFonts w:ascii="Arial" w:cs="Arial" w:eastAsia="Arial" w:hAnsi="Arial"/>
          <w:sz w:val="18"/>
          <w:szCs w:val="18"/>
          <w:color w:val="auto"/>
        </w:rPr>
      </w:pPr>
    </w:p>
    <w:p>
      <w:pPr>
        <w:jc w:val="both"/>
        <w:ind w:firstLine="7"/>
        <w:spacing w:after="0" w:line="274" w:lineRule="auto"/>
        <w:tabs>
          <w:tab w:leader="none" w:pos="19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6" w:name="page277"/>
    <w:bookmarkEnd w:id="276"/>
    <w:p>
      <w:pPr>
        <w:ind w:firstLine="7"/>
        <w:spacing w:after="0" w:line="228" w:lineRule="exact"/>
        <w:tabs>
          <w:tab w:leader="none" w:pos="1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Party B has clearly understood the content of the </w:t>
      </w:r>
      <w:r>
        <w:rPr>
          <w:rFonts w:ascii="SimSun" w:cs="SimSun" w:eastAsia="SimSun" w:hAnsi="SimSun"/>
          <w:sz w:val="16"/>
          <w:szCs w:val="16"/>
          <w:b w:val="1"/>
          <w:bCs w:val="1"/>
          <w:color w:val="auto"/>
        </w:rPr>
        <w:t>《</w:t>
      </w:r>
      <w:r>
        <w:rPr>
          <w:rFonts w:ascii="Arial" w:cs="Arial" w:eastAsia="Arial" w:hAnsi="Arial"/>
          <w:sz w:val="16"/>
          <w:szCs w:val="16"/>
          <w:color w:val="auto"/>
        </w:rPr>
        <w:t>Interim Convention for Owners/Property Users of Fengxing Plaza Office Building</w:t>
      </w:r>
      <w:r>
        <w:rPr>
          <w:rFonts w:ascii="SimSun" w:cs="SimSun" w:eastAsia="SimSun" w:hAnsi="SimSun"/>
          <w:sz w:val="16"/>
          <w:szCs w:val="16"/>
          <w:b w:val="1"/>
          <w:bCs w:val="1"/>
          <w:color w:val="auto"/>
        </w:rPr>
        <w:t>》</w:t>
      </w:r>
      <w:r>
        <w:rPr>
          <w:rFonts w:ascii="Arial" w:cs="Arial" w:eastAsia="Arial" w:hAnsi="Arial"/>
          <w:sz w:val="16"/>
          <w:szCs w:val="16"/>
          <w:color w:val="auto"/>
        </w:rPr>
        <w:t>when signing this contract and is willing to comply with the relevant provisions, if the content of the above documents is contrary to this contract, this contract shall prevail.</w:t>
      </w:r>
    </w:p>
    <w:p>
      <w:pPr>
        <w:spacing w:after="0" w:line="201" w:lineRule="exact"/>
        <w:rPr>
          <w:rFonts w:ascii="Arial" w:cs="Arial" w:eastAsia="Arial" w:hAnsi="Arial"/>
          <w:sz w:val="16"/>
          <w:szCs w:val="16"/>
          <w:color w:val="auto"/>
        </w:rPr>
      </w:pPr>
    </w:p>
    <w:p>
      <w:pPr>
        <w:ind w:left="180" w:hanging="173"/>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Both parties agree to issue VAT invoices to Party B at the tax rate selected by Party A and the property management company.</w:t>
      </w:r>
    </w:p>
    <w:p>
      <w:pPr>
        <w:spacing w:after="0" w:line="219" w:lineRule="exact"/>
        <w:rPr>
          <w:rFonts w:ascii="Arial" w:cs="Arial" w:eastAsia="Arial" w:hAnsi="Arial"/>
          <w:sz w:val="18"/>
          <w:szCs w:val="18"/>
          <w:color w:val="auto"/>
        </w:rPr>
      </w:pPr>
    </w:p>
    <w:p>
      <w:pPr>
        <w:ind w:left="180" w:hanging="173"/>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lessor only issues an invoice for the payment of the month, and does not provide any procedures for replacing the bill.</w:t>
      </w:r>
    </w:p>
    <w:p>
      <w:pPr>
        <w:spacing w:after="0" w:line="19" w:lineRule="exact"/>
        <w:rPr>
          <w:rFonts w:ascii="Arial" w:cs="Arial" w:eastAsia="Arial" w:hAnsi="Arial"/>
          <w:sz w:val="18"/>
          <w:szCs w:val="18"/>
          <w:color w:val="auto"/>
        </w:rPr>
      </w:pPr>
    </w:p>
    <w:p>
      <w:pPr>
        <w:jc w:val="both"/>
        <w:ind w:firstLine="7"/>
        <w:spacing w:after="0" w:line="251" w:lineRule="auto"/>
        <w:tabs>
          <w:tab w:leader="none" w:pos="19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spacing w:after="0" w:line="191" w:lineRule="exact"/>
        <w:rPr>
          <w:rFonts w:ascii="Arial" w:cs="Arial" w:eastAsia="Arial" w:hAnsi="Arial"/>
          <w:sz w:val="18"/>
          <w:szCs w:val="18"/>
          <w:color w:val="auto"/>
        </w:rPr>
      </w:pPr>
    </w:p>
    <w:p>
      <w:pPr>
        <w:jc w:val="both"/>
        <w:ind w:firstLine="7"/>
        <w:spacing w:after="0" w:line="255" w:lineRule="auto"/>
        <w:tabs>
          <w:tab w:leader="none" w:pos="19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spacing w:after="0" w:line="187" w:lineRule="exact"/>
        <w:rPr>
          <w:rFonts w:ascii="Arial" w:cs="Arial" w:eastAsia="Arial" w:hAnsi="Arial"/>
          <w:sz w:val="18"/>
          <w:szCs w:val="18"/>
          <w:color w:val="auto"/>
        </w:rPr>
      </w:pPr>
    </w:p>
    <w:p>
      <w:pPr>
        <w:ind w:firstLine="7"/>
        <w:spacing w:after="0" w:line="333" w:lineRule="auto"/>
        <w:tabs>
          <w:tab w:leader="none" w:pos="267"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spacing w:after="0" w:line="13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spacing w:after="0" w:line="130"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Contract Annex</w:t>
      </w:r>
      <w:r>
        <w:rPr>
          <w:rFonts w:ascii="Arial" w:cs="Arial" w:eastAsia="Arial" w:hAnsi="Arial"/>
          <w:sz w:val="18"/>
          <w:szCs w:val="18"/>
          <w:color w:val="auto"/>
        </w:rPr>
        <w:t>: This Contract Annexes have the same legal effect as this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Annex 1: A copy of Party A's business license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Annex 2: A copy of Party B's business license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Annex 3: The floor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20" w:type="dxa"/>
            <w:vAlign w:val="bottom"/>
          </w:tcPr>
          <w:p>
            <w:pPr>
              <w:spacing w:after="0"/>
              <w:rPr>
                <w:sz w:val="20"/>
                <w:szCs w:val="20"/>
                <w:color w:val="auto"/>
              </w:rPr>
            </w:pPr>
            <w:r>
              <w:rPr>
                <w:rFonts w:ascii="Arial" w:cs="Arial" w:eastAsia="Arial" w:hAnsi="Arial"/>
                <w:sz w:val="18"/>
                <w:szCs w:val="18"/>
                <w:color w:val="auto"/>
              </w:rPr>
              <w:t>Party A:</w:t>
            </w:r>
          </w:p>
        </w:tc>
        <w:tc>
          <w:tcPr>
            <w:tcW w:w="7520" w:type="dxa"/>
            <w:vAlign w:val="bottom"/>
          </w:tcPr>
          <w:p>
            <w:pPr>
              <w:ind w:left="1900"/>
              <w:spacing w:after="0"/>
              <w:rPr>
                <w:sz w:val="20"/>
                <w:szCs w:val="20"/>
                <w:color w:val="auto"/>
              </w:rPr>
            </w:pPr>
            <w:r>
              <w:rPr>
                <w:rFonts w:ascii="Arial" w:cs="Arial" w:eastAsia="Arial" w:hAnsi="Arial"/>
                <w:sz w:val="18"/>
                <w:szCs w:val="18"/>
                <w:color w:val="auto"/>
              </w:rPr>
              <w:t>Party B:</w:t>
            </w:r>
          </w:p>
        </w:tc>
      </w:tr>
      <w:tr>
        <w:trPr>
          <w:trHeight w:val="427"/>
        </w:trPr>
        <w:tc>
          <w:tcPr>
            <w:tcW w:w="3720" w:type="dxa"/>
            <w:vAlign w:val="bottom"/>
          </w:tcPr>
          <w:p>
            <w:pPr>
              <w:spacing w:after="0"/>
              <w:rPr>
                <w:sz w:val="20"/>
                <w:szCs w:val="20"/>
                <w:color w:val="auto"/>
              </w:rPr>
            </w:pPr>
            <w:r>
              <w:rPr>
                <w:rFonts w:ascii="Arial" w:cs="Arial" w:eastAsia="Arial" w:hAnsi="Arial"/>
                <w:sz w:val="18"/>
                <w:szCs w:val="18"/>
                <w:color w:val="auto"/>
              </w:rPr>
              <w:t>Signature (representative):</w:t>
            </w:r>
          </w:p>
        </w:tc>
        <w:tc>
          <w:tcPr>
            <w:tcW w:w="7520" w:type="dxa"/>
            <w:vAlign w:val="bottom"/>
          </w:tcPr>
          <w:p>
            <w:pPr>
              <w:ind w:left="1900"/>
              <w:spacing w:after="0"/>
              <w:rPr>
                <w:sz w:val="20"/>
                <w:szCs w:val="20"/>
                <w:color w:val="auto"/>
              </w:rPr>
            </w:pPr>
            <w:r>
              <w:rPr>
                <w:rFonts w:ascii="Arial" w:cs="Arial" w:eastAsia="Arial" w:hAnsi="Arial"/>
                <w:sz w:val="18"/>
                <w:szCs w:val="18"/>
                <w:color w:val="auto"/>
              </w:rPr>
              <w:t>Signature (representative):</w:t>
            </w:r>
          </w:p>
        </w:tc>
      </w:tr>
      <w:tr>
        <w:trPr>
          <w:trHeight w:val="427"/>
        </w:trPr>
        <w:tc>
          <w:tcPr>
            <w:tcW w:w="3720" w:type="dxa"/>
            <w:vAlign w:val="bottom"/>
          </w:tcPr>
          <w:p>
            <w:pPr>
              <w:spacing w:after="0"/>
              <w:rPr>
                <w:sz w:val="20"/>
                <w:szCs w:val="20"/>
                <w:color w:val="auto"/>
              </w:rPr>
            </w:pPr>
            <w:r>
              <w:rPr>
                <w:rFonts w:ascii="Arial" w:cs="Arial" w:eastAsia="Arial" w:hAnsi="Arial"/>
                <w:sz w:val="18"/>
                <w:szCs w:val="18"/>
                <w:color w:val="auto"/>
              </w:rPr>
              <w:t>ID Number:</w:t>
            </w:r>
          </w:p>
        </w:tc>
        <w:tc>
          <w:tcPr>
            <w:tcW w:w="7520" w:type="dxa"/>
            <w:vAlign w:val="bottom"/>
          </w:tcPr>
          <w:p>
            <w:pPr>
              <w:ind w:left="1900"/>
              <w:spacing w:after="0"/>
              <w:rPr>
                <w:sz w:val="20"/>
                <w:szCs w:val="20"/>
                <w:color w:val="auto"/>
              </w:rPr>
            </w:pPr>
            <w:r>
              <w:rPr>
                <w:rFonts w:ascii="Arial" w:cs="Arial" w:eastAsia="Arial" w:hAnsi="Arial"/>
                <w:sz w:val="18"/>
                <w:szCs w:val="18"/>
                <w:color w:val="auto"/>
              </w:rPr>
              <w:t>ID Number:</w:t>
            </w:r>
          </w:p>
        </w:tc>
      </w:tr>
      <w:tr>
        <w:trPr>
          <w:trHeight w:val="427"/>
        </w:trPr>
        <w:tc>
          <w:tcPr>
            <w:tcW w:w="3720" w:type="dxa"/>
            <w:vAlign w:val="bottom"/>
          </w:tcPr>
          <w:p>
            <w:pPr>
              <w:spacing w:after="0"/>
              <w:rPr>
                <w:sz w:val="20"/>
                <w:szCs w:val="20"/>
                <w:color w:val="auto"/>
              </w:rPr>
            </w:pPr>
            <w:r>
              <w:rPr>
                <w:rFonts w:ascii="Arial" w:cs="Arial" w:eastAsia="Arial" w:hAnsi="Arial"/>
                <w:sz w:val="18"/>
                <w:szCs w:val="18"/>
                <w:color w:val="auto"/>
              </w:rPr>
              <w:t>Phone:</w:t>
            </w:r>
          </w:p>
        </w:tc>
        <w:tc>
          <w:tcPr>
            <w:tcW w:w="7520" w:type="dxa"/>
            <w:vAlign w:val="bottom"/>
          </w:tcPr>
          <w:p>
            <w:pPr>
              <w:ind w:left="1900"/>
              <w:spacing w:after="0"/>
              <w:rPr>
                <w:sz w:val="20"/>
                <w:szCs w:val="20"/>
                <w:color w:val="auto"/>
              </w:rPr>
            </w:pPr>
            <w:r>
              <w:rPr>
                <w:rFonts w:ascii="Arial" w:cs="Arial" w:eastAsia="Arial" w:hAnsi="Arial"/>
                <w:sz w:val="18"/>
                <w:szCs w:val="18"/>
                <w:color w:val="auto"/>
              </w:rPr>
              <w:t>Phone:</w:t>
            </w:r>
          </w:p>
        </w:tc>
      </w:tr>
      <w:tr>
        <w:trPr>
          <w:trHeight w:val="427"/>
        </w:trPr>
        <w:tc>
          <w:tcPr>
            <w:tcW w:w="3720" w:type="dxa"/>
            <w:vAlign w:val="bottom"/>
          </w:tcPr>
          <w:p>
            <w:pPr>
              <w:spacing w:after="0"/>
              <w:rPr>
                <w:sz w:val="20"/>
                <w:szCs w:val="20"/>
                <w:color w:val="auto"/>
              </w:rPr>
            </w:pPr>
            <w:r>
              <w:rPr>
                <w:rFonts w:ascii="Arial" w:cs="Arial" w:eastAsia="Arial" w:hAnsi="Arial"/>
                <w:sz w:val="18"/>
                <w:szCs w:val="18"/>
                <w:color w:val="auto"/>
              </w:rPr>
              <w:t>Date of Signing:</w:t>
            </w:r>
          </w:p>
        </w:tc>
        <w:tc>
          <w:tcPr>
            <w:tcW w:w="7520" w:type="dxa"/>
            <w:vAlign w:val="bottom"/>
          </w:tcPr>
          <w:p>
            <w:pPr>
              <w:ind w:left="1900"/>
              <w:spacing w:after="0"/>
              <w:rPr>
                <w:sz w:val="20"/>
                <w:szCs w:val="20"/>
                <w:color w:val="auto"/>
              </w:rPr>
            </w:pPr>
            <w:r>
              <w:rPr>
                <w:rFonts w:ascii="Arial" w:cs="Arial" w:eastAsia="Arial" w:hAnsi="Arial"/>
                <w:sz w:val="18"/>
                <w:szCs w:val="18"/>
                <w:color w:val="auto"/>
              </w:rPr>
              <w:t>Date of Signing:</w:t>
            </w:r>
          </w:p>
        </w:tc>
      </w:tr>
      <w:tr>
        <w:trPr>
          <w:trHeight w:val="649"/>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895"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10.15</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6"/>
          </w:tcPr>
          <w:p>
            <w:pPr>
              <w:ind w:left="80"/>
              <w:spacing w:after="0"/>
              <w:rPr>
                <w:sz w:val="20"/>
                <w:szCs w:val="20"/>
                <w:color w:val="auto"/>
              </w:rPr>
            </w:pPr>
            <w:r>
              <w:rPr>
                <w:rFonts w:ascii="Arial" w:cs="Arial" w:eastAsia="Arial" w:hAnsi="Arial"/>
                <w:sz w:val="18"/>
                <w:szCs w:val="18"/>
                <w:b w:val="1"/>
                <w:bCs w:val="1"/>
                <w:color w:val="auto"/>
                <w:w w:val="87"/>
              </w:rPr>
              <w:t>Guangzhou Fengxing Plaza office lease contract</w:t>
            </w:r>
          </w:p>
        </w:tc>
      </w:tr>
      <w:tr>
        <w:trPr>
          <w:trHeight w:val="388"/>
        </w:trPr>
        <w:tc>
          <w:tcPr>
            <w:tcW w:w="920" w:type="dxa"/>
            <w:vAlign w:val="bottom"/>
          </w:tcPr>
          <w:p>
            <w:pPr>
              <w:spacing w:after="0"/>
              <w:rPr>
                <w:sz w:val="20"/>
                <w:szCs w:val="20"/>
                <w:color w:val="auto"/>
              </w:rPr>
            </w:pPr>
            <w:r>
              <w:rPr>
                <w:rFonts w:ascii="Arial" w:cs="Arial" w:eastAsia="Arial" w:hAnsi="Arial"/>
                <w:sz w:val="18"/>
                <w:szCs w:val="18"/>
                <w:color w:val="auto"/>
              </w:rPr>
              <w:t>Lessor:</w:t>
            </w:r>
          </w:p>
        </w:tc>
        <w:tc>
          <w:tcPr>
            <w:tcW w:w="6520" w:type="dxa"/>
            <w:vAlign w:val="bottom"/>
            <w:gridSpan w:val="13"/>
          </w:tcPr>
          <w:p>
            <w:pPr>
              <w:spacing w:after="0"/>
              <w:rPr>
                <w:sz w:val="20"/>
                <w:szCs w:val="20"/>
                <w:color w:val="auto"/>
              </w:rPr>
            </w:pPr>
            <w:r>
              <w:rPr>
                <w:rFonts w:ascii="Arial" w:cs="Arial" w:eastAsia="Arial" w:hAnsi="Arial"/>
                <w:sz w:val="18"/>
                <w:szCs w:val="18"/>
                <w:color w:val="auto"/>
                <w:w w:val="91"/>
              </w:rPr>
              <w:t>Guangzhou Fengwei Decoration Engineering Co., Ltd. (hereinafter referred to as Party A)</w:t>
            </w: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920" w:type="dxa"/>
            <w:vAlign w:val="bottom"/>
          </w:tcPr>
          <w:p>
            <w:pPr>
              <w:spacing w:after="0" w:line="194" w:lineRule="exact"/>
              <w:rPr>
                <w:sz w:val="20"/>
                <w:szCs w:val="20"/>
                <w:color w:val="auto"/>
              </w:rPr>
            </w:pPr>
            <w:r>
              <w:rPr>
                <w:rFonts w:ascii="Arial" w:cs="Arial" w:eastAsia="Arial" w:hAnsi="Arial"/>
                <w:sz w:val="18"/>
                <w:szCs w:val="18"/>
                <w:color w:val="auto"/>
              </w:rPr>
              <w:t>Address:</w:t>
            </w:r>
          </w:p>
        </w:tc>
        <w:tc>
          <w:tcPr>
            <w:tcW w:w="6520" w:type="dxa"/>
            <w:vAlign w:val="bottom"/>
            <w:gridSpan w:val="13"/>
          </w:tcPr>
          <w:p>
            <w:pPr>
              <w:spacing w:after="0" w:line="194" w:lineRule="exact"/>
              <w:rPr>
                <w:sz w:val="20"/>
                <w:szCs w:val="20"/>
                <w:color w:val="auto"/>
              </w:rPr>
            </w:pPr>
            <w:r>
              <w:rPr>
                <w:rFonts w:ascii="Arial" w:cs="Arial" w:eastAsia="Arial" w:hAnsi="Arial"/>
                <w:sz w:val="18"/>
                <w:szCs w:val="18"/>
                <w:color w:val="auto"/>
              </w:rPr>
              <w:t>2807, No. 67, Tianhe East Road, Tianhe District, Guangzhou</w:t>
            </w:r>
          </w:p>
        </w:tc>
      </w:tr>
      <w:tr>
        <w:trPr>
          <w:trHeight w:val="193"/>
        </w:trPr>
        <w:tc>
          <w:tcPr>
            <w:tcW w:w="920" w:type="dxa"/>
            <w:vAlign w:val="bottom"/>
          </w:tcPr>
          <w:p>
            <w:pPr>
              <w:spacing w:after="0" w:line="194" w:lineRule="exact"/>
              <w:rPr>
                <w:sz w:val="20"/>
                <w:szCs w:val="20"/>
                <w:color w:val="auto"/>
              </w:rPr>
            </w:pPr>
            <w:r>
              <w:rPr>
                <w:rFonts w:ascii="Arial" w:cs="Arial" w:eastAsia="Arial" w:hAnsi="Arial"/>
                <w:sz w:val="18"/>
                <w:szCs w:val="18"/>
                <w:color w:val="auto"/>
              </w:rPr>
              <w:t>Tel:</w:t>
            </w:r>
          </w:p>
        </w:tc>
        <w:tc>
          <w:tcPr>
            <w:tcW w:w="10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7"/>
              </w:rPr>
              <w:t>020-38394333</w:t>
            </w:r>
          </w:p>
        </w:tc>
        <w:tc>
          <w:tcPr>
            <w:tcW w:w="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5"/>
          </w:tcPr>
          <w:p>
            <w:pPr>
              <w:ind w:left="220"/>
              <w:spacing w:after="0" w:line="194" w:lineRule="exact"/>
              <w:rPr>
                <w:sz w:val="20"/>
                <w:szCs w:val="20"/>
                <w:color w:val="auto"/>
              </w:rPr>
            </w:pPr>
            <w:r>
              <w:rPr>
                <w:rFonts w:ascii="Arial" w:cs="Arial" w:eastAsia="Arial" w:hAnsi="Arial"/>
                <w:sz w:val="18"/>
                <w:szCs w:val="18"/>
                <w:color w:val="auto"/>
              </w:rPr>
              <w:t>Postal Code:</w:t>
            </w:r>
          </w:p>
        </w:tc>
        <w:tc>
          <w:tcPr>
            <w:tcW w:w="1140" w:type="dxa"/>
            <w:vAlign w:val="bottom"/>
            <w:tcBorders>
              <w:top w:val="single" w:sz="8" w:color="auto"/>
            </w:tcBorders>
            <w:gridSpan w:val="3"/>
          </w:tcPr>
          <w:p>
            <w:pPr>
              <w:jc w:val="right"/>
              <w:ind w:right="620"/>
              <w:spacing w:after="0" w:line="194" w:lineRule="exact"/>
              <w:rPr>
                <w:sz w:val="20"/>
                <w:szCs w:val="20"/>
                <w:color w:val="auto"/>
              </w:rPr>
            </w:pPr>
            <w:r>
              <w:rPr>
                <w:rFonts w:ascii="Arial" w:cs="Arial" w:eastAsia="Arial" w:hAnsi="Arial"/>
                <w:sz w:val="18"/>
                <w:szCs w:val="18"/>
                <w:color w:val="auto"/>
                <w:w w:val="83"/>
              </w:rPr>
              <w:t>510620</w:t>
            </w:r>
          </w:p>
        </w:tc>
        <w:tc>
          <w:tcPr>
            <w:tcW w:w="40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2040" w:type="dxa"/>
            <w:vAlign w:val="bottom"/>
            <w:gridSpan w:val="3"/>
          </w:tcPr>
          <w:p>
            <w:pPr>
              <w:spacing w:after="0" w:line="194" w:lineRule="exact"/>
              <w:rPr>
                <w:sz w:val="20"/>
                <w:szCs w:val="20"/>
                <w:color w:val="auto"/>
              </w:rPr>
            </w:pPr>
            <w:r>
              <w:rPr>
                <w:rFonts w:ascii="Arial" w:cs="Arial" w:eastAsia="Arial" w:hAnsi="Arial"/>
                <w:sz w:val="18"/>
                <w:szCs w:val="18"/>
                <w:color w:val="auto"/>
              </w:rPr>
              <w:t>Legal representative:</w:t>
            </w:r>
          </w:p>
        </w:tc>
        <w:tc>
          <w:tcPr>
            <w:tcW w:w="6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94"/>
              </w:rPr>
              <w:t>Li Buyun</w:t>
            </w:r>
          </w:p>
        </w:tc>
        <w:tc>
          <w:tcPr>
            <w:tcW w:w="100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07"/>
        </w:trPr>
        <w:tc>
          <w:tcPr>
            <w:tcW w:w="920" w:type="dxa"/>
            <w:vAlign w:val="bottom"/>
          </w:tcPr>
          <w:p>
            <w:pPr>
              <w:spacing w:after="0"/>
              <w:rPr>
                <w:sz w:val="20"/>
                <w:szCs w:val="20"/>
                <w:color w:val="auto"/>
              </w:rPr>
            </w:pPr>
            <w:r>
              <w:rPr>
                <w:rFonts w:ascii="Arial" w:cs="Arial" w:eastAsia="Arial" w:hAnsi="Arial"/>
                <w:sz w:val="18"/>
                <w:szCs w:val="18"/>
                <w:color w:val="auto"/>
              </w:rPr>
              <w:t>Lessee:</w:t>
            </w:r>
          </w:p>
        </w:tc>
        <w:tc>
          <w:tcPr>
            <w:tcW w:w="6520" w:type="dxa"/>
            <w:vAlign w:val="bottom"/>
            <w:gridSpan w:val="13"/>
          </w:tcPr>
          <w:p>
            <w:pPr>
              <w:spacing w:after="0"/>
              <w:rPr>
                <w:sz w:val="20"/>
                <w:szCs w:val="20"/>
                <w:color w:val="auto"/>
              </w:rPr>
            </w:pPr>
            <w:r>
              <w:rPr>
                <w:rFonts w:ascii="Arial" w:cs="Arial" w:eastAsia="Arial" w:hAnsi="Arial"/>
                <w:sz w:val="18"/>
                <w:szCs w:val="18"/>
                <w:color w:val="auto"/>
              </w:rPr>
              <w:t>CLPS Guangzhou Co., Ltd. (hereinafter referred to as Party B)</w:t>
            </w:r>
          </w:p>
        </w:tc>
      </w:tr>
      <w:tr>
        <w:trPr>
          <w:trHeight w:val="20"/>
        </w:trPr>
        <w:tc>
          <w:tcPr>
            <w:tcW w:w="920" w:type="dxa"/>
            <w:vAlign w:val="bottom"/>
          </w:tcPr>
          <w:p>
            <w:pPr>
              <w:spacing w:after="0" w:line="20" w:lineRule="exact"/>
              <w:rPr>
                <w:sz w:val="1"/>
                <w:szCs w:val="1"/>
                <w:color w:val="auto"/>
              </w:rPr>
            </w:pPr>
          </w:p>
        </w:tc>
        <w:tc>
          <w:tcPr>
            <w:tcW w:w="196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920" w:type="dxa"/>
            <w:vAlign w:val="bottom"/>
          </w:tcPr>
          <w:p>
            <w:pPr>
              <w:spacing w:after="0" w:line="194" w:lineRule="exact"/>
              <w:rPr>
                <w:sz w:val="20"/>
                <w:szCs w:val="20"/>
                <w:color w:val="auto"/>
              </w:rPr>
            </w:pPr>
            <w:r>
              <w:rPr>
                <w:rFonts w:ascii="Arial" w:cs="Arial" w:eastAsia="Arial" w:hAnsi="Arial"/>
                <w:sz w:val="18"/>
                <w:szCs w:val="18"/>
                <w:color w:val="auto"/>
              </w:rPr>
              <w:t>Address:</w:t>
            </w:r>
          </w:p>
        </w:tc>
        <w:tc>
          <w:tcPr>
            <w:tcW w:w="6520" w:type="dxa"/>
            <w:vAlign w:val="bottom"/>
            <w:gridSpan w:val="13"/>
          </w:tcPr>
          <w:p>
            <w:pPr>
              <w:spacing w:after="0" w:line="194" w:lineRule="exact"/>
              <w:rPr>
                <w:sz w:val="20"/>
                <w:szCs w:val="20"/>
                <w:color w:val="auto"/>
              </w:rPr>
            </w:pPr>
            <w:r>
              <w:rPr>
                <w:rFonts w:ascii="Arial" w:cs="Arial" w:eastAsia="Arial" w:hAnsi="Arial"/>
                <w:sz w:val="18"/>
                <w:szCs w:val="18"/>
                <w:color w:val="auto"/>
              </w:rPr>
              <w:t>Unit 01-11, 21th floor, No. 67 Tianhe East Road, Tianhe District, Guangzhou</w:t>
            </w:r>
          </w:p>
        </w:tc>
      </w:tr>
      <w:tr>
        <w:trPr>
          <w:trHeight w:val="193"/>
        </w:trPr>
        <w:tc>
          <w:tcPr>
            <w:tcW w:w="920" w:type="dxa"/>
            <w:vAlign w:val="bottom"/>
          </w:tcPr>
          <w:p>
            <w:pPr>
              <w:spacing w:after="0" w:line="194" w:lineRule="exact"/>
              <w:rPr>
                <w:sz w:val="20"/>
                <w:szCs w:val="20"/>
                <w:color w:val="auto"/>
              </w:rPr>
            </w:pPr>
            <w:r>
              <w:rPr>
                <w:rFonts w:ascii="Arial" w:cs="Arial" w:eastAsia="Arial" w:hAnsi="Arial"/>
                <w:sz w:val="18"/>
                <w:szCs w:val="18"/>
                <w:color w:val="auto"/>
              </w:rPr>
              <w:t>Tel:</w:t>
            </w:r>
          </w:p>
        </w:tc>
        <w:tc>
          <w:tcPr>
            <w:tcW w:w="10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7"/>
              </w:rPr>
              <w:t>020-38068088</w:t>
            </w:r>
          </w:p>
        </w:tc>
        <w:tc>
          <w:tcPr>
            <w:tcW w:w="8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gridSpan w:val="10"/>
          </w:tcPr>
          <w:p>
            <w:pPr>
              <w:ind w:left="560"/>
              <w:spacing w:after="0" w:line="194" w:lineRule="exact"/>
              <w:rPr>
                <w:sz w:val="20"/>
                <w:szCs w:val="20"/>
                <w:color w:val="auto"/>
              </w:rPr>
            </w:pPr>
            <w:r>
              <w:rPr>
                <w:rFonts w:ascii="Arial" w:cs="Arial" w:eastAsia="Arial" w:hAnsi="Arial"/>
                <w:sz w:val="18"/>
                <w:szCs w:val="18"/>
                <w:color w:val="auto"/>
              </w:rPr>
              <w:t>Postal Code: 510620</w:t>
            </w:r>
          </w:p>
        </w:tc>
        <w:tc>
          <w:tcPr>
            <w:tcW w:w="10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2040" w:type="dxa"/>
            <w:vAlign w:val="bottom"/>
            <w:gridSpan w:val="3"/>
          </w:tcPr>
          <w:p>
            <w:pPr>
              <w:spacing w:after="0" w:line="194" w:lineRule="exact"/>
              <w:rPr>
                <w:sz w:val="20"/>
                <w:szCs w:val="20"/>
                <w:color w:val="auto"/>
              </w:rPr>
            </w:pPr>
            <w:r>
              <w:rPr>
                <w:rFonts w:ascii="Arial" w:cs="Arial" w:eastAsia="Arial" w:hAnsi="Arial"/>
                <w:sz w:val="18"/>
                <w:szCs w:val="18"/>
                <w:color w:val="auto"/>
              </w:rPr>
              <w:t>Legal representative:</w:t>
            </w:r>
          </w:p>
        </w:tc>
        <w:tc>
          <w:tcPr>
            <w:tcW w:w="1680" w:type="dxa"/>
            <w:vAlign w:val="bottom"/>
            <w:gridSpan w:val="5"/>
          </w:tcPr>
          <w:p>
            <w:pPr>
              <w:spacing w:after="0" w:line="194" w:lineRule="exact"/>
              <w:rPr>
                <w:sz w:val="20"/>
                <w:szCs w:val="20"/>
                <w:color w:val="auto"/>
              </w:rPr>
            </w:pPr>
            <w:r>
              <w:rPr>
                <w:rFonts w:ascii="Arial" w:cs="Arial" w:eastAsia="Arial" w:hAnsi="Arial"/>
                <w:sz w:val="18"/>
                <w:szCs w:val="18"/>
                <w:color w:val="auto"/>
              </w:rPr>
              <w:t>Yang Xiaofeng</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and contact information: 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Through friendly negotiation, both parties hereby enter into this contract with respect to Party B’s lease of Party A’s premises for mutual compliance.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Article 1 Name, address and size of the premises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u w:val="single" w:color="auto"/>
          <w:color w:val="auto"/>
        </w:rPr>
        <w:t>Unit 01-11, 21th Floor, No. 67 Tianhe East Road, Tianhe District, Guangzhou</w:t>
      </w:r>
      <w:r>
        <w:rPr>
          <w:rFonts w:ascii="Arial" w:cs="Arial" w:eastAsia="Arial" w:hAnsi="Arial"/>
          <w:sz w:val="16"/>
          <w:szCs w:val="16"/>
          <w:color w:val="auto"/>
        </w:rPr>
        <w:t xml:space="preserve"> (hereinafter referred to as “the house”, see Annex 3 for details, the drawing is for general identification purposes only and does not show the size of the house). The house has a rented floor area of </w:t>
      </w:r>
      <w:r>
        <w:rPr>
          <w:rFonts w:ascii="Arial" w:cs="Arial" w:eastAsia="Arial" w:hAnsi="Arial"/>
          <w:sz w:val="16"/>
          <w:szCs w:val="16"/>
          <w:u w:val="single" w:color="auto"/>
          <w:color w:val="auto"/>
        </w:rPr>
        <w:t>2354.13</w:t>
      </w:r>
      <w:r>
        <w:rPr>
          <w:rFonts w:ascii="Arial" w:cs="Arial" w:eastAsia="Arial" w:hAnsi="Arial"/>
          <w:sz w:val="16"/>
          <w:szCs w:val="16"/>
          <w:color w:val="auto"/>
        </w:rPr>
        <w:t xml:space="preserve"> square meters.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Article 2 Usage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house is rented to Party B for office use. The name of Party B’s business in this house is </w:t>
      </w:r>
      <w:r>
        <w:rPr>
          <w:rFonts w:ascii="Arial" w:cs="Arial" w:eastAsia="Arial" w:hAnsi="Arial"/>
          <w:sz w:val="18"/>
          <w:szCs w:val="18"/>
          <w:u w:val="single" w:color="auto"/>
          <w:color w:val="auto"/>
        </w:rPr>
        <w:t>CLPS Guangzhou Co., Ltd.</w:t>
      </w:r>
      <w:r>
        <w:rPr>
          <w:rFonts w:ascii="Arial" w:cs="Arial" w:eastAsia="Arial" w:hAnsi="Arial"/>
          <w:sz w:val="18"/>
          <w:szCs w:val="18"/>
          <w:color w:val="auto"/>
        </w:rPr>
        <w:t xml:space="preserve">,Its business scope is </w:t>
      </w:r>
      <w:r>
        <w:rPr>
          <w:rFonts w:ascii="Arial" w:cs="Arial" w:eastAsia="Arial" w:hAnsi="Arial"/>
          <w:sz w:val="18"/>
          <w:szCs w:val="18"/>
          <w:u w:val="single" w:color="auto"/>
          <w:color w:val="auto"/>
        </w:rPr>
        <w:t>software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 technology services</w:t>
      </w:r>
      <w:r>
        <w:rPr>
          <w:rFonts w:ascii="Arial" w:cs="Arial" w:eastAsia="Arial" w:hAnsi="Arial"/>
          <w:sz w:val="18"/>
          <w:szCs w:val="18"/>
          <w:color w:val="auto"/>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3 Lease Period</w:t>
      </w:r>
    </w:p>
    <w:p>
      <w:pPr>
        <w:spacing w:after="0" w:line="220" w:lineRule="exact"/>
        <w:rPr>
          <w:sz w:val="20"/>
          <w:szCs w:val="20"/>
          <w:color w:val="auto"/>
        </w:rPr>
      </w:pPr>
    </w:p>
    <w:p>
      <w:pPr>
        <w:jc w:val="both"/>
        <w:ind w:firstLine="7"/>
        <w:spacing w:after="0" w:line="255" w:lineRule="auto"/>
        <w:tabs>
          <w:tab w:leader="none" w:pos="1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Party B leases the house for a contract period of </w:t>
      </w:r>
      <w:r>
        <w:rPr>
          <w:rFonts w:ascii="Arial" w:cs="Arial" w:eastAsia="Arial" w:hAnsi="Arial"/>
          <w:sz w:val="18"/>
          <w:szCs w:val="18"/>
          <w:u w:val="single" w:color="auto"/>
          <w:color w:val="auto"/>
        </w:rPr>
        <w:t>40</w:t>
      </w:r>
      <w:r>
        <w:rPr>
          <w:rFonts w:ascii="Arial" w:cs="Arial" w:eastAsia="Arial" w:hAnsi="Arial"/>
          <w:sz w:val="18"/>
          <w:szCs w:val="18"/>
          <w:color w:val="auto"/>
        </w:rPr>
        <w:t xml:space="preserve"> months from the start date of the lease period, from </w:t>
      </w:r>
      <w:r>
        <w:rPr>
          <w:rFonts w:ascii="Arial" w:cs="Arial" w:eastAsia="Arial" w:hAnsi="Arial"/>
          <w:sz w:val="18"/>
          <w:szCs w:val="18"/>
          <w:u w:val="single" w:color="auto"/>
          <w:color w:val="auto"/>
        </w:rPr>
        <w:t>September 1, 2023</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December 31, 2026</w:t>
      </w:r>
      <w:r>
        <w:rPr>
          <w:rFonts w:ascii="Arial" w:cs="Arial" w:eastAsia="Arial" w:hAnsi="Arial"/>
          <w:sz w:val="18"/>
          <w:szCs w:val="18"/>
          <w:color w:val="auto"/>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ind w:firstLine="7"/>
        <w:spacing w:after="0" w:line="270"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During the validity period of the lease contract, neither party may unilaterally cancel or terminate the lease contract, except in the circumstances where the contract can be terminated as stipulated by law and the lease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4 Rent</w:t>
      </w:r>
    </w:p>
    <w:p>
      <w:pPr>
        <w:spacing w:after="0" w:line="220" w:lineRule="exact"/>
        <w:rPr>
          <w:sz w:val="20"/>
          <w:szCs w:val="20"/>
          <w:color w:val="auto"/>
        </w:rPr>
      </w:pPr>
    </w:p>
    <w:p>
      <w:pPr>
        <w:ind w:firstLine="7"/>
        <w:spacing w:after="0" w:line="220" w:lineRule="exact"/>
        <w:tabs>
          <w:tab w:leader="none" w:pos="18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Party B’s monthly rent for renting the house is RMB: </w:t>
      </w:r>
      <w:r>
        <w:rPr>
          <w:rFonts w:ascii="Arial" w:cs="Arial" w:eastAsia="Arial" w:hAnsi="Arial"/>
          <w:sz w:val="17"/>
          <w:szCs w:val="17"/>
          <w:u w:val="single" w:color="auto"/>
          <w:color w:val="auto"/>
        </w:rPr>
        <w:t>247,184.00</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u w:val="single" w:color="auto"/>
          <w:color w:val="auto"/>
        </w:rPr>
        <w:t>RMB 105</w:t>
      </w:r>
      <w:r>
        <w:rPr>
          <w:rFonts w:ascii="Arial" w:cs="Arial" w:eastAsia="Arial" w:hAnsi="Arial"/>
          <w:sz w:val="17"/>
          <w:szCs w:val="17"/>
          <w:color w:val="auto"/>
        </w:rPr>
        <w:t xml:space="preserve"> per square meter (rent does not include property management fees, water, electricity and other expenses). From the third year of tenancy, the monthly rent will increase by 5% per annum. The specific rent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Rental time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Rent (RMB/month)</w:t>
            </w:r>
          </w:p>
        </w:tc>
      </w:tr>
      <w:tr>
        <w:trPr>
          <w:trHeight w:val="213"/>
        </w:trPr>
        <w:tc>
          <w:tcPr>
            <w:tcW w:w="5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September 1, 2023 to 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Rent-free period</w:t>
            </w:r>
          </w:p>
        </w:tc>
      </w:tr>
      <w:tr>
        <w:trPr>
          <w:trHeight w:val="213"/>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January 1,2024 to December 31,2025</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247,184.00</w:t>
            </w:r>
          </w:p>
        </w:tc>
      </w:tr>
      <w:tr>
        <w:trPr>
          <w:trHeight w:val="213"/>
        </w:trPr>
        <w:tc>
          <w:tcPr>
            <w:tcW w:w="5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January 1, 2026 to December 31, 2026</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259,543.00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2. The house is paid according to the principle of first payment and then use, and the specific time of rent payment is as follows:</w:t>
      </w:r>
    </w:p>
    <w:p>
      <w:pPr>
        <w:spacing w:after="0" w:line="229" w:lineRule="exact"/>
        <w:rPr>
          <w:sz w:val="20"/>
          <w:szCs w:val="20"/>
          <w:color w:val="auto"/>
        </w:rPr>
      </w:pPr>
    </w:p>
    <w:p>
      <w:pPr>
        <w:jc w:val="both"/>
        <w:spacing w:after="0" w:line="263" w:lineRule="exact"/>
        <w:rPr>
          <w:sz w:val="20"/>
          <w:szCs w:val="20"/>
          <w:color w:val="auto"/>
        </w:rPr>
      </w:pPr>
      <w:r>
        <w:rPr>
          <w:rFonts w:ascii="Arial" w:cs="Arial" w:eastAsia="Arial" w:hAnsi="Arial"/>
          <w:sz w:val="18"/>
          <w:szCs w:val="18"/>
          <w:color w:val="auto"/>
        </w:rPr>
        <w:t>2.1</w:t>
      </w:r>
      <w:r>
        <w:rPr>
          <w:rFonts w:ascii="SimSun" w:cs="SimSun" w:eastAsia="SimSun" w:hAnsi="SimSun"/>
          <w:sz w:val="18"/>
          <w:szCs w:val="18"/>
          <w:b w:val="1"/>
          <w:bCs w:val="1"/>
          <w:color w:val="auto"/>
        </w:rPr>
        <w:t>、</w:t>
      </w:r>
      <w:r>
        <w:rPr>
          <w:rFonts w:ascii="Arial" w:cs="Arial" w:eastAsia="Arial" w:hAnsi="Arial"/>
          <w:sz w:val="18"/>
          <w:szCs w:val="18"/>
          <w:color w:val="auto"/>
        </w:rPr>
        <w:t xml:space="preserve">Party B shall pay the first (monthly) rent after the expiration of the rent-free period within 3 working days before the date of the lease contract, calculated in </w:t>
      </w:r>
      <w:r>
        <w:rPr>
          <w:rFonts w:ascii="Arial" w:cs="Arial" w:eastAsia="Arial" w:hAnsi="Arial"/>
          <w:sz w:val="18"/>
          <w:szCs w:val="18"/>
          <w:u w:val="single" w:color="auto"/>
          <w:color w:val="auto"/>
        </w:rPr>
        <w:t>RMB 247,184.00 yuan</w:t>
      </w:r>
      <w:r>
        <w:rPr>
          <w:rFonts w:ascii="Arial" w:cs="Arial" w:eastAsia="Arial" w:hAnsi="Arial"/>
          <w:sz w:val="18"/>
          <w:szCs w:val="18"/>
          <w:color w:val="auto"/>
        </w:rPr>
        <w:t>.</w:t>
      </w:r>
    </w:p>
    <w:p>
      <w:pPr>
        <w:spacing w:after="0" w:line="210" w:lineRule="exact"/>
        <w:rPr>
          <w:sz w:val="20"/>
          <w:szCs w:val="20"/>
          <w:color w:val="auto"/>
        </w:rPr>
      </w:pPr>
    </w:p>
    <w:p>
      <w:pPr>
        <w:jc w:val="both"/>
        <w:ind w:right="20"/>
        <w:spacing w:after="0" w:line="263" w:lineRule="exact"/>
        <w:rPr>
          <w:sz w:val="20"/>
          <w:szCs w:val="20"/>
          <w:color w:val="auto"/>
        </w:rPr>
      </w:pPr>
      <w:r>
        <w:rPr>
          <w:rFonts w:ascii="Arial" w:cs="Arial" w:eastAsia="Arial" w:hAnsi="Arial"/>
          <w:sz w:val="18"/>
          <w:szCs w:val="18"/>
          <w:color w:val="auto"/>
        </w:rPr>
        <w:t>2.3</w:t>
      </w:r>
      <w:r>
        <w:rPr>
          <w:rFonts w:ascii="SimSun" w:cs="SimSun" w:eastAsia="SimSun" w:hAnsi="SimSun"/>
          <w:sz w:val="18"/>
          <w:szCs w:val="18"/>
          <w:b w:val="1"/>
          <w:bCs w:val="1"/>
          <w:color w:val="auto"/>
        </w:rPr>
        <w:t>、</w:t>
      </w:r>
      <w:r>
        <w:rPr>
          <w:rFonts w:ascii="Arial" w:cs="Arial" w:eastAsia="Arial" w:hAnsi="Arial"/>
          <w:sz w:val="18"/>
          <w:szCs w:val="18"/>
          <w:color w:val="auto"/>
        </w:rPr>
        <w:t>Party B shall pay the next month’s rent to Party A before the end of each month (28-31), and Party A may implement it in accordance with the provisions of Article 8, Paragraph 2 of this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3. Party B’s rent can be delivered to Party A’s account by transfer: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Account name: Guangzhou Fengwei Decoration Engineering Co.,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Bank: China Merchants Bank Fengxing Sub-branch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120906300410888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Article 5 Management Fees</w:t>
      </w:r>
    </w:p>
    <w:p>
      <w:pPr>
        <w:spacing w:after="0" w:line="220" w:lineRule="exact"/>
        <w:rPr>
          <w:sz w:val="20"/>
          <w:szCs w:val="20"/>
          <w:color w:val="auto"/>
        </w:rPr>
      </w:pPr>
    </w:p>
    <w:p>
      <w:pPr>
        <w:jc w:val="both"/>
        <w:ind w:firstLine="7"/>
        <w:spacing w:after="0" w:line="255" w:lineRule="auto"/>
        <w:tabs>
          <w:tab w:leader="none" w:pos="18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company address: the first floor of No. 23, Tianhe South 2nd Road, Tianhe District, Guangzhou</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Property company telephone: 87518183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0" w:name="page281"/>
    <w:bookmarkEnd w:id="280"/>
    <w:p>
      <w:pPr>
        <w:jc w:val="both"/>
        <w:ind w:firstLine="7"/>
        <w:spacing w:after="0" w:line="255" w:lineRule="auto"/>
        <w:tabs>
          <w:tab w:leader="none" w:pos="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monthly management fee for the house is </w:t>
      </w:r>
      <w:r>
        <w:rPr>
          <w:rFonts w:ascii="Arial" w:cs="Arial" w:eastAsia="Arial" w:hAnsi="Arial"/>
          <w:sz w:val="18"/>
          <w:szCs w:val="18"/>
          <w:u w:val="single" w:color="auto"/>
          <w:color w:val="auto"/>
        </w:rPr>
        <w:t>RMB58,853.00 (RMB58,853.00) RMB 25 per square metre.</w:t>
      </w:r>
      <w:r>
        <w:rPr>
          <w:rFonts w:ascii="Arial" w:cs="Arial" w:eastAsia="Arial" w:hAnsi="Arial"/>
          <w:sz w:val="18"/>
          <w:szCs w:val="18"/>
          <w:color w:val="auto"/>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spacing w:after="0" w:line="187" w:lineRule="exact"/>
        <w:rPr>
          <w:rFonts w:ascii="Arial" w:cs="Arial" w:eastAsia="Arial" w:hAnsi="Arial"/>
          <w:sz w:val="18"/>
          <w:szCs w:val="18"/>
          <w:color w:val="auto"/>
        </w:rPr>
      </w:pPr>
    </w:p>
    <w:p>
      <w:pPr>
        <w:ind w:left="180" w:hanging="173"/>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house is paid first and used later, and the specific time of management fee payment is as follows: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3.1 Party B shall pay the first (monthly) management fee after the expiration of the rent-free period within 3 working days before the date of the lease contract, calculated in </w:t>
      </w:r>
      <w:r>
        <w:rPr>
          <w:rFonts w:ascii="Arial" w:cs="Arial" w:eastAsia="Arial" w:hAnsi="Arial"/>
          <w:sz w:val="18"/>
          <w:szCs w:val="18"/>
          <w:u w:val="single" w:color="auto"/>
          <w:color w:val="auto"/>
        </w:rPr>
        <w:t>RMB 58,853.00.</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3.3According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spacing w:after="0" w:line="186" w:lineRule="exact"/>
        <w:rPr>
          <w:sz w:val="20"/>
          <w:szCs w:val="20"/>
          <w:color w:val="auto"/>
        </w:rPr>
      </w:pPr>
    </w:p>
    <w:p>
      <w:pPr>
        <w:ind w:right="2860" w:firstLine="7"/>
        <w:spacing w:after="0" w:line="495" w:lineRule="auto"/>
        <w:tabs>
          <w:tab w:leader="none" w:pos="1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Party B’s management fee can be delivered to the property management company’s account in the form of transfer: Account name: Guangdong Fengwei Property Management Co., Ltd</w:t>
      </w:r>
    </w:p>
    <w:p>
      <w:pPr>
        <w:spacing w:after="0"/>
        <w:rPr>
          <w:rFonts w:ascii="Arial" w:cs="Arial" w:eastAsia="Arial" w:hAnsi="Arial"/>
          <w:sz w:val="18"/>
          <w:szCs w:val="18"/>
          <w:color w:val="auto"/>
        </w:rPr>
      </w:pPr>
      <w:r>
        <w:rPr>
          <w:rFonts w:ascii="Arial" w:cs="Arial" w:eastAsia="Arial" w:hAnsi="Arial"/>
          <w:sz w:val="18"/>
          <w:szCs w:val="18"/>
          <w:color w:val="auto"/>
        </w:rPr>
        <w:t>Bank: ICBC Tianhe Sub-branch</w:t>
      </w:r>
    </w:p>
    <w:p>
      <w:pPr>
        <w:spacing w:after="0" w:line="219" w:lineRule="exact"/>
        <w:rPr>
          <w:rFonts w:ascii="Arial" w:cs="Arial" w:eastAsia="Arial" w:hAnsi="Arial"/>
          <w:sz w:val="18"/>
          <w:szCs w:val="18"/>
          <w:color w:val="auto"/>
        </w:rPr>
      </w:pPr>
    </w:p>
    <w:p>
      <w:pPr>
        <w:ind w:right="8260"/>
        <w:spacing w:after="0" w:line="556" w:lineRule="auto"/>
        <w:rPr>
          <w:rFonts w:ascii="Arial" w:cs="Arial" w:eastAsia="Arial" w:hAnsi="Arial"/>
          <w:sz w:val="18"/>
          <w:szCs w:val="18"/>
          <w:color w:val="auto"/>
        </w:rPr>
      </w:pPr>
      <w:r>
        <w:rPr>
          <w:rFonts w:ascii="Arial" w:cs="Arial" w:eastAsia="Arial" w:hAnsi="Arial"/>
          <w:sz w:val="16"/>
          <w:szCs w:val="16"/>
          <w:color w:val="auto"/>
        </w:rPr>
        <w:t>Account number: 3602013419200318634 Article 6 Performance bond</w:t>
      </w:r>
    </w:p>
    <w:p>
      <w:pPr>
        <w:spacing w:after="0" w:line="1" w:lineRule="exact"/>
        <w:rPr>
          <w:sz w:val="20"/>
          <w:szCs w:val="20"/>
          <w:color w:val="auto"/>
        </w:rPr>
      </w:pPr>
    </w:p>
    <w:p>
      <w:pPr>
        <w:jc w:val="both"/>
        <w:ind w:firstLine="7"/>
        <w:spacing w:after="0" w:line="255" w:lineRule="auto"/>
        <w:tabs>
          <w:tab w:leader="none" w:pos="18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Party B shall, within 3 working days before the date of commencement of the lease contract (but no later than the start date of the lease period), pay Party A the equivalent of two months’ rent in the first year: </w:t>
      </w:r>
      <w:r>
        <w:rPr>
          <w:rFonts w:ascii="Arial" w:cs="Arial" w:eastAsia="Arial" w:hAnsi="Arial"/>
          <w:sz w:val="18"/>
          <w:szCs w:val="18"/>
          <w:u w:val="single" w:color="auto"/>
          <w:color w:val="auto"/>
        </w:rPr>
        <w:t>RMB 494,368.00</w:t>
      </w:r>
      <w:r>
        <w:rPr>
          <w:rFonts w:ascii="Arial" w:cs="Arial" w:eastAsia="Arial" w:hAnsi="Arial"/>
          <w:sz w:val="18"/>
          <w:szCs w:val="18"/>
          <w:color w:val="auto"/>
        </w:rPr>
        <w:t xml:space="preserve"> and management fee </w:t>
      </w:r>
      <w:r>
        <w:rPr>
          <w:rFonts w:ascii="Arial" w:cs="Arial" w:eastAsia="Arial" w:hAnsi="Arial"/>
          <w:sz w:val="18"/>
          <w:szCs w:val="18"/>
          <w:u w:val="single" w:color="auto"/>
          <w:color w:val="auto"/>
        </w:rPr>
        <w:t>(RMB 117,706.00)</w:t>
      </w:r>
      <w:r>
        <w:rPr>
          <w:rFonts w:ascii="Arial" w:cs="Arial" w:eastAsia="Arial" w:hAnsi="Arial"/>
          <w:sz w:val="18"/>
          <w:szCs w:val="18"/>
          <w:color w:val="auto"/>
        </w:rPr>
        <w:t xml:space="preserve">, a total of RMB: </w:t>
      </w:r>
      <w:r>
        <w:rPr>
          <w:rFonts w:ascii="Arial" w:cs="Arial" w:eastAsia="Arial" w:hAnsi="Arial"/>
          <w:sz w:val="18"/>
          <w:szCs w:val="18"/>
          <w:i w:val="1"/>
          <w:iCs w:val="1"/>
          <w:u w:val="single" w:color="auto"/>
          <w:color w:val="auto"/>
        </w:rPr>
        <w:t>612,074.00 CNY</w:t>
      </w:r>
      <w:r>
        <w:rPr>
          <w:rFonts w:ascii="Arial" w:cs="Arial" w:eastAsia="Arial" w:hAnsi="Arial"/>
          <w:sz w:val="18"/>
          <w:szCs w:val="18"/>
          <w:color w:val="auto"/>
        </w:rPr>
        <w:t xml:space="preserve"> It can be delivered to the account of Party A and the property management company in the form of transfer, and the performance bond cannot be used against rent, management fees and other expenses.</w:t>
      </w:r>
    </w:p>
    <w:p>
      <w:pPr>
        <w:spacing w:after="0" w:line="187" w:lineRule="exact"/>
        <w:rPr>
          <w:rFonts w:ascii="Arial" w:cs="Arial" w:eastAsia="Arial" w:hAnsi="Arial"/>
          <w:sz w:val="18"/>
          <w:szCs w:val="18"/>
          <w:color w:val="auto"/>
        </w:rPr>
      </w:pPr>
    </w:p>
    <w:p>
      <w:pPr>
        <w:jc w:val="both"/>
        <w:ind w:firstLine="7"/>
        <w:spacing w:after="0" w:line="292" w:lineRule="auto"/>
        <w:tabs>
          <w:tab w:leader="none" w:pos="1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1" w:name="page282"/>
    <w:bookmarkEnd w:id="281"/>
    <w:p>
      <w:pPr>
        <w:ind w:right="20" w:firstLine="7"/>
        <w:spacing w:after="0" w:line="270" w:lineRule="auto"/>
        <w:tabs>
          <w:tab w:leader="none" w:pos="18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7 Other Expenses</w:t>
      </w:r>
    </w:p>
    <w:p>
      <w:pPr>
        <w:spacing w:after="0" w:line="220" w:lineRule="exact"/>
        <w:rPr>
          <w:sz w:val="20"/>
          <w:szCs w:val="20"/>
          <w:color w:val="auto"/>
        </w:rPr>
      </w:pPr>
    </w:p>
    <w:p>
      <w:pPr>
        <w:jc w:val="both"/>
        <w:ind w:firstLine="7"/>
        <w:spacing w:after="0" w:line="258" w:lineRule="auto"/>
        <w:tabs>
          <w:tab w:leader="none" w:pos="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During the rent-free period, Party B does not need to pay the rent of the house to Party A, but must pay the management fee for the rent-free period from </w:t>
      </w:r>
      <w:r>
        <w:rPr>
          <w:rFonts w:ascii="Arial" w:cs="Arial" w:eastAsia="Arial" w:hAnsi="Arial"/>
          <w:sz w:val="18"/>
          <w:szCs w:val="18"/>
          <w:u w:val="single" w:color="auto"/>
          <w:color w:val="auto"/>
        </w:rPr>
        <w:t>September 1, 2023</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December 31, 2023 (RMB 235,412.00)</w:t>
      </w:r>
      <w:r>
        <w:rPr>
          <w:rFonts w:ascii="Arial" w:cs="Arial" w:eastAsia="Arial" w:hAnsi="Arial"/>
          <w:sz w:val="18"/>
          <w:szCs w:val="18"/>
          <w:color w:val="auto"/>
        </w:rPr>
        <w:t xml:space="preserve"> before handing over the site, and the utility fee during the rent-free period shall be paid in accordance with the provisions of paragraph 2 of this Article.</w:t>
      </w:r>
    </w:p>
    <w:p>
      <w:pPr>
        <w:spacing w:after="0" w:line="186" w:lineRule="exact"/>
        <w:rPr>
          <w:rFonts w:ascii="Arial" w:cs="Arial" w:eastAsia="Arial" w:hAnsi="Arial"/>
          <w:sz w:val="18"/>
          <w:szCs w:val="18"/>
          <w:color w:val="auto"/>
        </w:rPr>
      </w:pPr>
    </w:p>
    <w:p>
      <w:pPr>
        <w:ind w:left="180" w:hanging="173"/>
        <w:spacing w:after="0"/>
        <w:tabs>
          <w:tab w:leader="none" w:pos="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Self-water and electricity bills and shared costs</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3. Telephone and network fees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spacing w:after="0" w:line="175" w:lineRule="exact"/>
        <w:rPr>
          <w:sz w:val="20"/>
          <w:szCs w:val="20"/>
          <w:color w:val="auto"/>
        </w:rPr>
      </w:pPr>
    </w:p>
    <w:p>
      <w:pPr>
        <w:ind w:left="180" w:hanging="173"/>
        <w:spacing w:after="0"/>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Air conditioning management regulations and costs</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Use of central air conditioning</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1.1 Air conditioning in the office building is available from 8:00 to 18:00 on Monday to Friday, 8:00 am to 12:00 pm on Saturday, and is closed on Saturday afternoon, Sunday and public holidays.</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ascii="SimSun" w:cs="SimSun" w:eastAsia="SimSun" w:hAnsi="SimSun"/>
          <w:sz w:val="18"/>
          <w:szCs w:val="18"/>
          <w:b w:val="1"/>
          <w:bCs w:val="1"/>
          <w:color w:val="auto"/>
        </w:rPr>
        <w:t>《</w:t>
      </w:r>
      <w:r>
        <w:rPr>
          <w:rFonts w:ascii="Arial" w:cs="Arial" w:eastAsia="Arial" w:hAnsi="Arial"/>
          <w:sz w:val="18"/>
          <w:szCs w:val="18"/>
          <w:color w:val="auto"/>
        </w:rPr>
        <w:t xml:space="preserve"> Fengxing Plaza Weekend/Holiday Overtime Air Conditioning Charging Standard.</w:t>
      </w:r>
      <w:r>
        <w:rPr>
          <w:rFonts w:ascii="SimSun" w:cs="SimSun" w:eastAsia="SimSun" w:hAnsi="SimSun"/>
          <w:sz w:val="18"/>
          <w:szCs w:val="18"/>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2" w:name="page283"/>
    <w:bookmarkEnd w:id="282"/>
    <w:p>
      <w:pPr>
        <w:spacing w:after="0" w:line="270" w:lineRule="auto"/>
        <w:rPr>
          <w:sz w:val="20"/>
          <w:szCs w:val="20"/>
          <w:color w:val="auto"/>
        </w:rPr>
      </w:pPr>
      <w:r>
        <w:rPr>
          <w:rFonts w:ascii="Arial" w:cs="Arial" w:eastAsia="Arial" w:hAnsi="Arial"/>
          <w:sz w:val="18"/>
          <w:szCs w:val="18"/>
          <w:color w:val="auto"/>
        </w:rPr>
        <w:t>Note: Property company approval conditions: More than 30% of the units in the building (calculated by floor area) apply for overtime before the central air conditioning can be started.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 Split air conditioner installation and use</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Without the written consent of Party A or the property company, Party B is strictly prohibited from installing split air conditioning within the scope of the rented house or using the public area of the building.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8 Rights and obligations of Party B</w:t>
      </w:r>
    </w:p>
    <w:p>
      <w:pPr>
        <w:spacing w:after="0" w:line="220" w:lineRule="exact"/>
        <w:rPr>
          <w:sz w:val="20"/>
          <w:szCs w:val="20"/>
          <w:color w:val="auto"/>
        </w:rPr>
      </w:pPr>
    </w:p>
    <w:p>
      <w:pPr>
        <w:jc w:val="both"/>
        <w:ind w:firstLine="7"/>
        <w:spacing w:after="0" w:line="271" w:lineRule="auto"/>
        <w:tabs>
          <w:tab w:leader="none" w:pos="2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Arial" w:cs="Arial" w:eastAsia="Arial" w:hAnsi="Arial"/>
          <w:sz w:val="17"/>
          <w:szCs w:val="17"/>
          <w:u w:val="single" w:color="auto"/>
          <w:color w:val="auto"/>
        </w:rPr>
        <w:t>but Party B needs to be notified at least 7 working days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w:t>
      </w:r>
      <w:r>
        <w:rPr>
          <w:rFonts w:ascii="Arial" w:cs="Arial" w:eastAsia="Arial" w:hAnsi="Arial"/>
          <w:sz w:val="17"/>
          <w:szCs w:val="17"/>
          <w:color w:val="auto"/>
        </w:rPr>
        <w:t xml:space="preserve"> and the performance bond paid by Party B will not be refunded.</w:t>
      </w:r>
    </w:p>
    <w:p>
      <w:pPr>
        <w:spacing w:after="0" w:line="177" w:lineRule="exact"/>
        <w:rPr>
          <w:rFonts w:ascii="Arial" w:cs="Arial" w:eastAsia="Arial" w:hAnsi="Arial"/>
          <w:sz w:val="17"/>
          <w:szCs w:val="17"/>
          <w:color w:val="auto"/>
        </w:rPr>
      </w:pPr>
    </w:p>
    <w:p>
      <w:pPr>
        <w:ind w:right="20" w:firstLine="7"/>
        <w:spacing w:after="0" w:line="270" w:lineRule="auto"/>
        <w:tabs>
          <w:tab w:leader="none" w:pos="17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Party B shall pay Party A rent, management fee and other fees payable by Party B on time. If the payment is overdue, Party A or the property management company may exercise the following relevant rights and interests from Party B:</w:t>
      </w:r>
    </w:p>
    <w:p>
      <w:pPr>
        <w:spacing w:after="0" w:line="175" w:lineRule="exact"/>
        <w:rPr>
          <w:sz w:val="20"/>
          <w:szCs w:val="20"/>
          <w:color w:val="auto"/>
        </w:rPr>
      </w:pPr>
    </w:p>
    <w:p>
      <w:pPr>
        <w:jc w:val="both"/>
        <w:ind w:firstLine="7"/>
        <w:spacing w:after="0" w:line="255" w:lineRule="auto"/>
        <w:tabs>
          <w:tab w:leader="none" w:pos="29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spacing w:after="0" w:line="187" w:lineRule="exact"/>
        <w:rPr>
          <w:rFonts w:ascii="Arial" w:cs="Arial" w:eastAsia="Arial" w:hAnsi="Arial"/>
          <w:sz w:val="18"/>
          <w:szCs w:val="18"/>
          <w:color w:val="auto"/>
        </w:rPr>
      </w:pPr>
    </w:p>
    <w:p>
      <w:pPr>
        <w:jc w:val="both"/>
        <w:ind w:firstLine="7"/>
        <w:spacing w:after="0" w:line="253" w:lineRule="auto"/>
        <w:tabs>
          <w:tab w:leader="none" w:pos="30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spacing w:after="0" w:line="190" w:lineRule="exact"/>
        <w:rPr>
          <w:sz w:val="20"/>
          <w:szCs w:val="20"/>
          <w:color w:val="auto"/>
        </w:rPr>
      </w:pPr>
    </w:p>
    <w:p>
      <w:pPr>
        <w:jc w:val="both"/>
        <w:ind w:firstLine="7"/>
        <w:spacing w:after="0" w:line="271" w:lineRule="auto"/>
        <w:tabs>
          <w:tab w:leader="none" w:pos="1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3" w:name="page284"/>
    <w:bookmarkEnd w:id="283"/>
    <w:p>
      <w:pPr>
        <w:jc w:val="both"/>
        <w:ind w:firstLine="7"/>
        <w:spacing w:after="0" w:line="255" w:lineRule="auto"/>
        <w:tabs>
          <w:tab w:leader="none" w:pos="17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spacing w:after="0" w:line="187" w:lineRule="exact"/>
        <w:rPr>
          <w:rFonts w:ascii="Arial" w:cs="Arial" w:eastAsia="Arial" w:hAnsi="Arial"/>
          <w:sz w:val="18"/>
          <w:szCs w:val="18"/>
          <w:color w:val="auto"/>
        </w:rPr>
      </w:pPr>
    </w:p>
    <w:p>
      <w:pPr>
        <w:jc w:val="both"/>
        <w:ind w:firstLine="7"/>
        <w:spacing w:after="0" w:line="252" w:lineRule="auto"/>
        <w:tabs>
          <w:tab w:leader="none" w:pos="18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spacing w:after="0" w:line="190" w:lineRule="exact"/>
        <w:rPr>
          <w:rFonts w:ascii="Arial" w:cs="Arial" w:eastAsia="Arial" w:hAnsi="Arial"/>
          <w:sz w:val="18"/>
          <w:szCs w:val="18"/>
          <w:color w:val="auto"/>
        </w:rPr>
      </w:pPr>
    </w:p>
    <w:p>
      <w:pPr>
        <w:jc w:val="both"/>
        <w:ind w:firstLine="7"/>
        <w:spacing w:after="0" w:line="258" w:lineRule="auto"/>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spacing w:after="0" w:line="186" w:lineRule="exact"/>
        <w:rPr>
          <w:rFonts w:ascii="Arial" w:cs="Arial" w:eastAsia="Arial" w:hAnsi="Arial"/>
          <w:sz w:val="18"/>
          <w:szCs w:val="18"/>
          <w:color w:val="auto"/>
        </w:rPr>
      </w:pPr>
    </w:p>
    <w:p>
      <w:pPr>
        <w:jc w:val="both"/>
        <w:ind w:firstLine="7"/>
        <w:spacing w:after="0" w:line="258" w:lineRule="auto"/>
        <w:tabs>
          <w:tab w:leader="none" w:pos="1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spacing w:after="0" w:line="186" w:lineRule="exact"/>
        <w:rPr>
          <w:rFonts w:ascii="Arial" w:cs="Arial" w:eastAsia="Arial" w:hAnsi="Arial"/>
          <w:sz w:val="18"/>
          <w:szCs w:val="18"/>
          <w:color w:val="auto"/>
        </w:rPr>
      </w:pPr>
    </w:p>
    <w:p>
      <w:pPr>
        <w:jc w:val="both"/>
        <w:ind w:firstLine="7"/>
        <w:spacing w:after="0" w:line="258" w:lineRule="auto"/>
        <w:tabs>
          <w:tab w:leader="none" w:pos="19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spacing w:after="0" w:line="186" w:lineRule="exact"/>
        <w:rPr>
          <w:rFonts w:ascii="Arial" w:cs="Arial" w:eastAsia="Arial" w:hAnsi="Arial"/>
          <w:sz w:val="18"/>
          <w:szCs w:val="18"/>
          <w:color w:val="auto"/>
        </w:rPr>
      </w:pPr>
    </w:p>
    <w:p>
      <w:pPr>
        <w:jc w:val="both"/>
        <w:ind w:firstLine="7"/>
        <w:spacing w:after="0" w:line="281" w:lineRule="auto"/>
        <w:tabs>
          <w:tab w:leader="none" w:pos="18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4" w:name="page285"/>
    <w:bookmarkEnd w:id="284"/>
    <w:p>
      <w:pPr>
        <w:jc w:val="both"/>
        <w:ind w:firstLine="7"/>
        <w:spacing w:after="0" w:line="255" w:lineRule="auto"/>
        <w:tabs>
          <w:tab w:leader="none" w:pos="26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spacing w:after="0" w:line="187" w:lineRule="exact"/>
        <w:rPr>
          <w:rFonts w:ascii="Arial" w:cs="Arial" w:eastAsia="Arial" w:hAnsi="Arial"/>
          <w:sz w:val="18"/>
          <w:szCs w:val="18"/>
          <w:color w:val="auto"/>
        </w:rPr>
      </w:pPr>
    </w:p>
    <w:p>
      <w:pPr>
        <w:jc w:val="both"/>
        <w:ind w:firstLine="7"/>
        <w:spacing w:after="0" w:line="269" w:lineRule="auto"/>
        <w:tabs>
          <w:tab w:leader="none" w:pos="2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spacing w:after="0" w:line="179" w:lineRule="exact"/>
        <w:rPr>
          <w:rFonts w:ascii="Arial" w:cs="Arial" w:eastAsia="Arial" w:hAnsi="Arial"/>
          <w:sz w:val="17"/>
          <w:szCs w:val="17"/>
          <w:color w:val="auto"/>
        </w:rPr>
      </w:pPr>
    </w:p>
    <w:p>
      <w:pPr>
        <w:ind w:firstLine="7"/>
        <w:spacing w:after="0" w:line="270" w:lineRule="auto"/>
        <w:tabs>
          <w:tab w:leader="none" w:pos="27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Party B shall abide by the property management of the building, and shall not open the windows on the glass curtain wall without the consent of Party A or the property management company.</w:t>
      </w:r>
    </w:p>
    <w:p>
      <w:pPr>
        <w:spacing w:after="0" w:line="174" w:lineRule="exact"/>
        <w:rPr>
          <w:rFonts w:ascii="Arial" w:cs="Arial" w:eastAsia="Arial" w:hAnsi="Arial"/>
          <w:sz w:val="18"/>
          <w:szCs w:val="18"/>
          <w:color w:val="auto"/>
        </w:rPr>
      </w:pPr>
    </w:p>
    <w:p>
      <w:pPr>
        <w:jc w:val="both"/>
        <w:ind w:firstLine="7"/>
        <w:spacing w:after="0" w:line="252" w:lineRule="auto"/>
        <w:tabs>
          <w:tab w:leader="none" w:pos="2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spacing w:after="0" w:line="190" w:lineRule="exact"/>
        <w:rPr>
          <w:rFonts w:ascii="Arial" w:cs="Arial" w:eastAsia="Arial" w:hAnsi="Arial"/>
          <w:sz w:val="18"/>
          <w:szCs w:val="18"/>
          <w:color w:val="auto"/>
        </w:rPr>
      </w:pPr>
    </w:p>
    <w:p>
      <w:pPr>
        <w:jc w:val="both"/>
        <w:ind w:firstLine="7"/>
        <w:spacing w:after="0" w:line="292" w:lineRule="auto"/>
        <w:tabs>
          <w:tab w:leader="none" w:pos="27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5" w:name="page286"/>
    <w:bookmarkEnd w:id="285"/>
    <w:p>
      <w:pPr>
        <w:ind w:firstLine="7"/>
        <w:spacing w:after="0" w:line="270" w:lineRule="auto"/>
        <w:tabs>
          <w:tab w:leader="none" w:pos="2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Party B’s decoration plan is reviewed and approved by Party A or the property company, there is no need to restore the original state after the lease expires.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9 Rights and obligations of Party A</w:t>
      </w:r>
    </w:p>
    <w:p>
      <w:pPr>
        <w:spacing w:after="0" w:line="220" w:lineRule="exact"/>
        <w:rPr>
          <w:sz w:val="20"/>
          <w:szCs w:val="20"/>
          <w:color w:val="auto"/>
        </w:rPr>
      </w:pPr>
    </w:p>
    <w:p>
      <w:pPr>
        <w:jc w:val="both"/>
        <w:ind w:firstLine="7"/>
        <w:spacing w:after="0" w:line="268" w:lineRule="auto"/>
        <w:tabs>
          <w:tab w:leader="none" w:pos="18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spacing w:after="0" w:line="179" w:lineRule="exact"/>
        <w:rPr>
          <w:rFonts w:ascii="Arial" w:cs="Arial" w:eastAsia="Arial" w:hAnsi="Arial"/>
          <w:sz w:val="17"/>
          <w:szCs w:val="17"/>
          <w:color w:val="auto"/>
        </w:rPr>
      </w:pPr>
    </w:p>
    <w:p>
      <w:pPr>
        <w:jc w:val="both"/>
        <w:ind w:firstLine="7"/>
        <w:spacing w:after="0" w:line="258" w:lineRule="auto"/>
        <w:tabs>
          <w:tab w:leader="none" w:pos="19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spacing w:after="0" w:line="186" w:lineRule="exact"/>
        <w:rPr>
          <w:rFonts w:ascii="Arial" w:cs="Arial" w:eastAsia="Arial" w:hAnsi="Arial"/>
          <w:sz w:val="18"/>
          <w:szCs w:val="18"/>
          <w:color w:val="auto"/>
        </w:rPr>
      </w:pPr>
    </w:p>
    <w:p>
      <w:pPr>
        <w:jc w:val="both"/>
        <w:ind w:firstLine="7"/>
        <w:spacing w:after="0" w:line="258" w:lineRule="auto"/>
        <w:tabs>
          <w:tab w:leader="none" w:pos="2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spacing w:after="0" w:line="175" w:lineRule="exact"/>
        <w:rPr>
          <w:sz w:val="20"/>
          <w:szCs w:val="20"/>
          <w:color w:val="auto"/>
        </w:rPr>
      </w:pPr>
    </w:p>
    <w:p>
      <w:pPr>
        <w:jc w:val="both"/>
        <w:ind w:firstLine="7"/>
        <w:spacing w:after="0" w:line="252" w:lineRule="auto"/>
        <w:tabs>
          <w:tab w:leader="none" w:pos="18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6" w:name="page287"/>
    <w:bookmarkEnd w:id="286"/>
    <w:p>
      <w:pPr>
        <w:jc w:val="both"/>
        <w:ind w:firstLine="7"/>
        <w:spacing w:after="0" w:line="258" w:lineRule="auto"/>
        <w:tabs>
          <w:tab w:leader="none" w:pos="20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spacing w:after="0" w:line="186" w:lineRule="exact"/>
        <w:rPr>
          <w:rFonts w:ascii="Arial" w:cs="Arial" w:eastAsia="Arial" w:hAnsi="Arial"/>
          <w:sz w:val="18"/>
          <w:szCs w:val="18"/>
          <w:color w:val="auto"/>
        </w:rPr>
      </w:pPr>
    </w:p>
    <w:p>
      <w:pPr>
        <w:jc w:val="both"/>
        <w:ind w:firstLine="7"/>
        <w:spacing w:after="0" w:line="415" w:lineRule="auto"/>
        <w:tabs>
          <w:tab w:leader="none" w:pos="18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spacing w:after="0" w:line="83" w:lineRule="exact"/>
        <w:rPr>
          <w:rFonts w:ascii="Arial" w:cs="Arial" w:eastAsia="Arial" w:hAnsi="Arial"/>
          <w:sz w:val="14"/>
          <w:szCs w:val="14"/>
          <w:color w:val="auto"/>
        </w:rPr>
      </w:pPr>
    </w:p>
    <w:p>
      <w:pPr>
        <w:ind w:left="180" w:hanging="173"/>
        <w:spacing w:after="0"/>
        <w:tabs>
          <w:tab w:leader="none" w:pos="1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Party A shall not arbitrarily take back the house in advance. If it is withdrawn in advance, Party A shall return the performance bond paid by Party B twice.</w:t>
      </w:r>
    </w:p>
    <w:p>
      <w:pPr>
        <w:spacing w:after="0" w:line="242" w:lineRule="exact"/>
        <w:rPr>
          <w:rFonts w:ascii="Arial" w:cs="Arial" w:eastAsia="Arial" w:hAnsi="Arial"/>
          <w:sz w:val="16"/>
          <w:szCs w:val="16"/>
          <w:color w:val="auto"/>
        </w:rPr>
      </w:pPr>
    </w:p>
    <w:p>
      <w:pPr>
        <w:jc w:val="both"/>
        <w:ind w:firstLine="7"/>
        <w:spacing w:after="0" w:line="253" w:lineRule="auto"/>
        <w:tabs>
          <w:tab w:leader="none" w:pos="18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spacing w:after="0" w:line="189" w:lineRule="exact"/>
        <w:rPr>
          <w:rFonts w:ascii="Arial" w:cs="Arial" w:eastAsia="Arial" w:hAnsi="Arial"/>
          <w:sz w:val="18"/>
          <w:szCs w:val="18"/>
          <w:color w:val="auto"/>
        </w:rPr>
      </w:pPr>
    </w:p>
    <w:p>
      <w:pPr>
        <w:ind w:firstLine="7"/>
        <w:spacing w:after="0" w:line="270" w:lineRule="auto"/>
        <w:tabs>
          <w:tab w:leader="none" w:pos="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Party A guarantees that it has the right to entrust the property management services stipulated in this contract to Guangdong Fengwei Property Management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Article 10 Termination of Contract and Return of Leased Unit</w:t>
      </w:r>
    </w:p>
    <w:p>
      <w:pPr>
        <w:spacing w:after="0" w:line="220" w:lineRule="exact"/>
        <w:rPr>
          <w:sz w:val="20"/>
          <w:szCs w:val="20"/>
          <w:color w:val="auto"/>
        </w:rPr>
      </w:pPr>
    </w:p>
    <w:p>
      <w:pPr>
        <w:jc w:val="both"/>
        <w:ind w:firstLine="7"/>
        <w:spacing w:after="0" w:line="216" w:lineRule="exact"/>
        <w:tabs>
          <w:tab w:leader="none" w:pos="17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w:t>
      </w:r>
      <w:r>
        <w:rPr>
          <w:rFonts w:ascii="MS PGothic" w:cs="MS PGothic" w:eastAsia="MS PGothic" w:hAnsi="MS PGothic"/>
          <w:sz w:val="17"/>
          <w:szCs w:val="17"/>
          <w:color w:val="auto"/>
        </w:rPr>
        <w:t>，</w:t>
      </w:r>
      <w:r>
        <w:rPr>
          <w:rFonts w:ascii="Arial" w:cs="Arial" w:eastAsia="Arial" w:hAnsi="Arial"/>
          <w:sz w:val="17"/>
          <w:szCs w:val="17"/>
          <w:color w:val="auto"/>
        </w:rPr>
        <w:t>(Occupancy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2.If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7" w:name="page288"/>
    <w:bookmarkEnd w:id="287"/>
    <w:p>
      <w:pPr>
        <w:jc w:val="both"/>
        <w:ind w:firstLine="7"/>
        <w:spacing w:after="0" w:line="269" w:lineRule="auto"/>
        <w:tabs>
          <w:tab w:leader="none" w:pos="17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4.If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5.After the termination of the lease contract, Party B shall return the house to Party A in accordance with the following provisions before requesting the refund of the performance bond:</w:t>
      </w:r>
    </w:p>
    <w:p>
      <w:pPr>
        <w:spacing w:after="0" w:line="188" w:lineRule="exact"/>
        <w:rPr>
          <w:sz w:val="20"/>
          <w:szCs w:val="20"/>
          <w:color w:val="auto"/>
        </w:rPr>
      </w:pPr>
    </w:p>
    <w:p>
      <w:pPr>
        <w:ind w:left="260" w:hanging="253"/>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Remove all of his belongings from the house;</w:t>
      </w:r>
    </w:p>
    <w:p>
      <w:pPr>
        <w:spacing w:after="0" w:line="219" w:lineRule="exact"/>
        <w:rPr>
          <w:rFonts w:ascii="Arial" w:cs="Arial" w:eastAsia="Arial" w:hAnsi="Arial"/>
          <w:sz w:val="18"/>
          <w:szCs w:val="18"/>
          <w:color w:val="auto"/>
        </w:rPr>
      </w:pPr>
    </w:p>
    <w:p>
      <w:pPr>
        <w:ind w:firstLine="7"/>
        <w:spacing w:after="0" w:line="270" w:lineRule="auto"/>
        <w:tabs>
          <w:tab w:leader="none" w:pos="26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Check with Party A whether the equipment and facilities delivered by Party A to Party B are in normal use (except normal wear and tear), and Party B shall repair or compensate if there is any damage;</w:t>
      </w:r>
    </w:p>
    <w:p>
      <w:pPr>
        <w:spacing w:after="0" w:line="174" w:lineRule="exact"/>
        <w:rPr>
          <w:rFonts w:ascii="Arial" w:cs="Arial" w:eastAsia="Arial" w:hAnsi="Arial"/>
          <w:sz w:val="18"/>
          <w:szCs w:val="18"/>
          <w:color w:val="auto"/>
        </w:rPr>
      </w:pPr>
    </w:p>
    <w:p>
      <w:pPr>
        <w:ind w:left="260" w:hanging="253"/>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Give Party A the keys to the door of the house and all the doors inside it;</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Settle rent, property management fees and other expenses (including but not limited to water, electricity, communication fees, etc.);</w:t>
      </w:r>
    </w:p>
    <w:p>
      <w:pPr>
        <w:spacing w:after="0" w:line="219" w:lineRule="exact"/>
        <w:rPr>
          <w:rFonts w:ascii="Arial" w:cs="Arial" w:eastAsia="Arial" w:hAnsi="Arial"/>
          <w:sz w:val="18"/>
          <w:szCs w:val="18"/>
          <w:color w:val="auto"/>
        </w:rPr>
      </w:pPr>
    </w:p>
    <w:p>
      <w:pPr>
        <w:ind w:left="260" w:hanging="253"/>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Both parties or Party A sign the confirmation document for Party B’s return of the leased house.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Article 11 Renewal</w:t>
      </w:r>
    </w:p>
    <w:p>
      <w:pPr>
        <w:spacing w:after="0" w:line="220" w:lineRule="exact"/>
        <w:rPr>
          <w:sz w:val="20"/>
          <w:szCs w:val="20"/>
          <w:color w:val="auto"/>
        </w:rPr>
      </w:pPr>
    </w:p>
    <w:p>
      <w:pPr>
        <w:jc w:val="both"/>
        <w:ind w:firstLine="7"/>
        <w:spacing w:after="0" w:line="306" w:lineRule="auto"/>
        <w:tabs>
          <w:tab w:leader="none" w:pos="17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spacing w:after="0" w:line="150" w:lineRule="exact"/>
        <w:rPr>
          <w:rFonts w:ascii="Arial" w:cs="Arial" w:eastAsia="Arial" w:hAnsi="Arial"/>
          <w:sz w:val="16"/>
          <w:szCs w:val="16"/>
          <w:color w:val="auto"/>
        </w:rPr>
      </w:pPr>
    </w:p>
    <w:p>
      <w:pPr>
        <w:jc w:val="both"/>
        <w:ind w:firstLine="7"/>
        <w:spacing w:after="0" w:line="306" w:lineRule="auto"/>
        <w:tabs>
          <w:tab w:leader="none" w:pos="17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Article 12 Force Majeure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Article 13 Dispute Resolution</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Article 14 Miscellaneous</w:t>
      </w:r>
    </w:p>
    <w:p>
      <w:pPr>
        <w:spacing w:after="0" w:line="220" w:lineRule="exact"/>
        <w:rPr>
          <w:sz w:val="20"/>
          <w:szCs w:val="20"/>
          <w:color w:val="auto"/>
        </w:rPr>
      </w:pPr>
    </w:p>
    <w:p>
      <w:pPr>
        <w:ind w:firstLine="7"/>
        <w:spacing w:after="0" w:line="270" w:lineRule="auto"/>
        <w:tabs>
          <w:tab w:leader="none" w:pos="1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spacing w:after="0" w:line="174" w:lineRule="exact"/>
        <w:rPr>
          <w:rFonts w:ascii="Arial" w:cs="Arial" w:eastAsia="Arial" w:hAnsi="Arial"/>
          <w:sz w:val="18"/>
          <w:szCs w:val="18"/>
          <w:color w:val="auto"/>
        </w:rPr>
      </w:pPr>
    </w:p>
    <w:p>
      <w:pPr>
        <w:ind w:right="20" w:firstLine="7"/>
        <w:spacing w:after="0" w:line="300" w:lineRule="auto"/>
        <w:tabs>
          <w:tab w:leader="none" w:pos="17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spacing w:after="0" w:line="151" w:lineRule="exact"/>
        <w:rPr>
          <w:rFonts w:ascii="Arial" w:cs="Arial" w:eastAsia="Arial" w:hAnsi="Arial"/>
          <w:sz w:val="17"/>
          <w:szCs w:val="17"/>
          <w:color w:val="auto"/>
        </w:rPr>
      </w:pPr>
    </w:p>
    <w:p>
      <w:pPr>
        <w:jc w:val="both"/>
        <w:ind w:firstLine="7"/>
        <w:spacing w:after="0" w:line="253" w:lineRule="auto"/>
        <w:tabs>
          <w:tab w:leader="none" w:pos="1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spacing w:after="0" w:line="189" w:lineRule="exact"/>
        <w:rPr>
          <w:rFonts w:ascii="Arial" w:cs="Arial" w:eastAsia="Arial" w:hAnsi="Arial"/>
          <w:sz w:val="18"/>
          <w:szCs w:val="18"/>
          <w:color w:val="auto"/>
        </w:rPr>
      </w:pPr>
    </w:p>
    <w:p>
      <w:pPr>
        <w:jc w:val="both"/>
        <w:ind w:firstLine="7"/>
        <w:spacing w:after="0" w:line="274" w:lineRule="auto"/>
        <w:tabs>
          <w:tab w:leader="none" w:pos="19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spacing w:after="0" w:line="185" w:lineRule="exact"/>
        <w:rPr>
          <w:rFonts w:ascii="Arial" w:cs="Arial" w:eastAsia="Arial" w:hAnsi="Arial"/>
          <w:sz w:val="17"/>
          <w:szCs w:val="17"/>
          <w:color w:val="auto"/>
        </w:rPr>
      </w:pPr>
    </w:p>
    <w:p>
      <w:pPr>
        <w:ind w:firstLine="7"/>
        <w:spacing w:after="0" w:line="228" w:lineRule="exact"/>
        <w:tabs>
          <w:tab w:leader="none" w:pos="18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Party B has clearly understood the content of the </w:t>
      </w:r>
      <w:r>
        <w:rPr>
          <w:rFonts w:ascii="SimSun" w:cs="SimSun" w:eastAsia="SimSun" w:hAnsi="SimSun"/>
          <w:sz w:val="16"/>
          <w:szCs w:val="16"/>
          <w:b w:val="1"/>
          <w:bCs w:val="1"/>
          <w:color w:val="auto"/>
        </w:rPr>
        <w:t>《</w:t>
      </w:r>
      <w:r>
        <w:rPr>
          <w:rFonts w:ascii="Arial" w:cs="Arial" w:eastAsia="Arial" w:hAnsi="Arial"/>
          <w:sz w:val="16"/>
          <w:szCs w:val="16"/>
          <w:color w:val="auto"/>
        </w:rPr>
        <w:t>Interim Convention for Owners/Property Users of Fengxing Plaza Office Building</w:t>
      </w:r>
      <w:r>
        <w:rPr>
          <w:rFonts w:ascii="SimSun" w:cs="SimSun" w:eastAsia="SimSun" w:hAnsi="SimSun"/>
          <w:sz w:val="16"/>
          <w:szCs w:val="16"/>
          <w:b w:val="1"/>
          <w:bCs w:val="1"/>
          <w:color w:val="auto"/>
        </w:rPr>
        <w:t>》</w:t>
      </w:r>
      <w:r>
        <w:rPr>
          <w:rFonts w:ascii="Arial" w:cs="Arial" w:eastAsia="Arial" w:hAnsi="Arial"/>
          <w:sz w:val="16"/>
          <w:szCs w:val="16"/>
          <w:color w:val="auto"/>
        </w:rPr>
        <w:t>when signing this contract and is willing to comply with the relevant provisions, if the content of the above documents is contrary to this contract, this contract shall prevail.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9" w:name="page290"/>
    <w:bookmarkEnd w:id="289"/>
    <w:p>
      <w:pPr>
        <w:ind w:left="180" w:hanging="173"/>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Both parties agree to issue VAT invoices to Party B at the tax rate selected by Party A and the property management company.</w:t>
      </w:r>
    </w:p>
    <w:p>
      <w:pPr>
        <w:spacing w:after="0" w:line="219" w:lineRule="exact"/>
        <w:rPr>
          <w:rFonts w:ascii="Arial" w:cs="Arial" w:eastAsia="Arial" w:hAnsi="Arial"/>
          <w:sz w:val="18"/>
          <w:szCs w:val="18"/>
          <w:color w:val="auto"/>
        </w:rPr>
      </w:pPr>
    </w:p>
    <w:p>
      <w:pPr>
        <w:ind w:left="180" w:hanging="173"/>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lessor only issues an invoice for the payment of the month, and does not provide any procedures for replacing the bill.</w:t>
      </w:r>
    </w:p>
    <w:p>
      <w:pPr>
        <w:spacing w:after="0" w:line="219" w:lineRule="exact"/>
        <w:rPr>
          <w:rFonts w:ascii="Arial" w:cs="Arial" w:eastAsia="Arial" w:hAnsi="Arial"/>
          <w:sz w:val="18"/>
          <w:szCs w:val="18"/>
          <w:color w:val="auto"/>
        </w:rPr>
      </w:pPr>
    </w:p>
    <w:p>
      <w:pPr>
        <w:jc w:val="both"/>
        <w:ind w:firstLine="7"/>
        <w:spacing w:after="0" w:line="258" w:lineRule="auto"/>
        <w:tabs>
          <w:tab w:leader="none" w:pos="2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spacing w:after="0" w:line="186" w:lineRule="exact"/>
        <w:rPr>
          <w:rFonts w:ascii="Arial" w:cs="Arial" w:eastAsia="Arial" w:hAnsi="Arial"/>
          <w:sz w:val="18"/>
          <w:szCs w:val="18"/>
          <w:color w:val="auto"/>
        </w:rPr>
      </w:pPr>
    </w:p>
    <w:p>
      <w:pPr>
        <w:jc w:val="both"/>
        <w:ind w:firstLine="7"/>
        <w:spacing w:after="0" w:line="255" w:lineRule="auto"/>
        <w:tabs>
          <w:tab w:leader="none" w:pos="1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spacing w:after="0" w:line="187" w:lineRule="exact"/>
        <w:rPr>
          <w:rFonts w:ascii="Arial" w:cs="Arial" w:eastAsia="Arial" w:hAnsi="Arial"/>
          <w:sz w:val="18"/>
          <w:szCs w:val="18"/>
          <w:color w:val="auto"/>
        </w:rPr>
      </w:pPr>
    </w:p>
    <w:p>
      <w:pPr>
        <w:ind w:firstLine="7"/>
        <w:spacing w:after="0" w:line="333" w:lineRule="auto"/>
        <w:tabs>
          <w:tab w:leader="none" w:pos="267"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spacing w:after="0" w:line="13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spacing w:after="0" w:line="130"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auto"/>
        </w:rPr>
        <w:t>Contract Annex</w:t>
      </w:r>
      <w:r>
        <w:rPr>
          <w:rFonts w:ascii="Arial" w:cs="Arial" w:eastAsia="Arial" w:hAnsi="Arial"/>
          <w:sz w:val="18"/>
          <w:szCs w:val="18"/>
          <w:color w:val="auto"/>
        </w:rPr>
        <w:t>: This Contract Annexes have the same legal effect as this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Annex 1: A copy of Party A’s business license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40" w:type="dxa"/>
            <w:vAlign w:val="bottom"/>
          </w:tcPr>
          <w:p>
            <w:pPr>
              <w:spacing w:after="0"/>
              <w:rPr>
                <w:sz w:val="20"/>
                <w:szCs w:val="20"/>
                <w:color w:val="auto"/>
              </w:rPr>
            </w:pPr>
            <w:r>
              <w:rPr>
                <w:rFonts w:ascii="Arial" w:cs="Arial" w:eastAsia="Arial" w:hAnsi="Arial"/>
                <w:sz w:val="18"/>
                <w:szCs w:val="18"/>
                <w:color w:val="auto"/>
                <w:w w:val="90"/>
              </w:rPr>
              <w:t>Annex 2: A copy of Party B’s business license</w:t>
            </w:r>
          </w:p>
        </w:tc>
        <w:tc>
          <w:tcPr>
            <w:tcW w:w="7900" w:type="dxa"/>
            <w:vAlign w:val="bottom"/>
          </w:tcPr>
          <w:p>
            <w:pPr>
              <w:spacing w:after="0"/>
              <w:rPr>
                <w:sz w:val="19"/>
                <w:szCs w:val="19"/>
                <w:color w:val="auto"/>
              </w:rPr>
            </w:pP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Annex 3: The floor plan</w:t>
            </w:r>
          </w:p>
        </w:tc>
        <w:tc>
          <w:tcPr>
            <w:tcW w:w="7900" w:type="dxa"/>
            <w:vAlign w:val="bottom"/>
          </w:tcPr>
          <w:p>
            <w:pPr>
              <w:spacing w:after="0"/>
              <w:rPr>
                <w:sz w:val="24"/>
                <w:szCs w:val="24"/>
                <w:color w:val="auto"/>
              </w:rPr>
            </w:pP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Party A:</w:t>
            </w:r>
          </w:p>
        </w:tc>
        <w:tc>
          <w:tcPr>
            <w:tcW w:w="7900" w:type="dxa"/>
            <w:vAlign w:val="bottom"/>
          </w:tcPr>
          <w:p>
            <w:pPr>
              <w:ind w:left="40"/>
              <w:spacing w:after="0"/>
              <w:rPr>
                <w:sz w:val="20"/>
                <w:szCs w:val="20"/>
                <w:color w:val="auto"/>
              </w:rPr>
            </w:pPr>
            <w:r>
              <w:rPr>
                <w:rFonts w:ascii="Arial" w:cs="Arial" w:eastAsia="Arial" w:hAnsi="Arial"/>
                <w:sz w:val="18"/>
                <w:szCs w:val="18"/>
                <w:color w:val="auto"/>
              </w:rPr>
              <w:t>Party B:</w:t>
            </w: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Signature (representative):</w:t>
            </w:r>
          </w:p>
        </w:tc>
        <w:tc>
          <w:tcPr>
            <w:tcW w:w="7900" w:type="dxa"/>
            <w:vAlign w:val="bottom"/>
          </w:tcPr>
          <w:p>
            <w:pPr>
              <w:ind w:left="40"/>
              <w:spacing w:after="0"/>
              <w:rPr>
                <w:sz w:val="20"/>
                <w:szCs w:val="20"/>
                <w:color w:val="auto"/>
              </w:rPr>
            </w:pPr>
            <w:r>
              <w:rPr>
                <w:rFonts w:ascii="Arial" w:cs="Arial" w:eastAsia="Arial" w:hAnsi="Arial"/>
                <w:sz w:val="18"/>
                <w:szCs w:val="18"/>
                <w:color w:val="auto"/>
              </w:rPr>
              <w:t>Signature (representative):</w:t>
            </w: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ID Number:</w:t>
            </w:r>
          </w:p>
        </w:tc>
        <w:tc>
          <w:tcPr>
            <w:tcW w:w="7900" w:type="dxa"/>
            <w:vAlign w:val="bottom"/>
          </w:tcPr>
          <w:p>
            <w:pPr>
              <w:ind w:left="40"/>
              <w:spacing w:after="0"/>
              <w:rPr>
                <w:sz w:val="20"/>
                <w:szCs w:val="20"/>
                <w:color w:val="auto"/>
              </w:rPr>
            </w:pPr>
            <w:r>
              <w:rPr>
                <w:rFonts w:ascii="Arial" w:cs="Arial" w:eastAsia="Arial" w:hAnsi="Arial"/>
                <w:sz w:val="18"/>
                <w:szCs w:val="18"/>
                <w:color w:val="auto"/>
              </w:rPr>
              <w:t>ID Number:</w:t>
            </w: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Phone:</w:t>
            </w:r>
          </w:p>
        </w:tc>
        <w:tc>
          <w:tcPr>
            <w:tcW w:w="7900" w:type="dxa"/>
            <w:vAlign w:val="bottom"/>
          </w:tcPr>
          <w:p>
            <w:pPr>
              <w:ind w:left="40"/>
              <w:spacing w:after="0"/>
              <w:rPr>
                <w:sz w:val="20"/>
                <w:szCs w:val="20"/>
                <w:color w:val="auto"/>
              </w:rPr>
            </w:pPr>
            <w:r>
              <w:rPr>
                <w:rFonts w:ascii="Arial" w:cs="Arial" w:eastAsia="Arial" w:hAnsi="Arial"/>
                <w:sz w:val="18"/>
                <w:szCs w:val="18"/>
                <w:color w:val="auto"/>
              </w:rPr>
              <w:t>Phone:</w:t>
            </w:r>
          </w:p>
        </w:tc>
      </w:tr>
      <w:tr>
        <w:trPr>
          <w:trHeight w:val="427"/>
        </w:trPr>
        <w:tc>
          <w:tcPr>
            <w:tcW w:w="3340" w:type="dxa"/>
            <w:vAlign w:val="bottom"/>
          </w:tcPr>
          <w:p>
            <w:pPr>
              <w:spacing w:after="0"/>
              <w:rPr>
                <w:sz w:val="20"/>
                <w:szCs w:val="20"/>
                <w:color w:val="auto"/>
              </w:rPr>
            </w:pPr>
            <w:r>
              <w:rPr>
                <w:rFonts w:ascii="Arial" w:cs="Arial" w:eastAsia="Arial" w:hAnsi="Arial"/>
                <w:sz w:val="18"/>
                <w:szCs w:val="18"/>
                <w:color w:val="auto"/>
              </w:rPr>
              <w:t>Date of Signing:</w:t>
            </w:r>
          </w:p>
        </w:tc>
        <w:tc>
          <w:tcPr>
            <w:tcW w:w="7900" w:type="dxa"/>
            <w:vAlign w:val="bottom"/>
          </w:tcPr>
          <w:p>
            <w:pPr>
              <w:ind w:left="40"/>
              <w:spacing w:after="0"/>
              <w:rPr>
                <w:sz w:val="20"/>
                <w:szCs w:val="20"/>
                <w:color w:val="auto"/>
              </w:rPr>
            </w:pPr>
            <w:r>
              <w:rPr>
                <w:rFonts w:ascii="Arial" w:cs="Arial" w:eastAsia="Arial" w:hAnsi="Arial"/>
                <w:sz w:val="18"/>
                <w:szCs w:val="18"/>
                <w:color w:val="auto"/>
              </w:rPr>
              <w:t>Date of Signing:</w:t>
            </w:r>
          </w:p>
        </w:tc>
      </w:tr>
      <w:tr>
        <w:trPr>
          <w:trHeight w:val="862"/>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335"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10.20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 98842023280447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SPD BANK</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1385570</wp:posOffset>
            </wp:positionV>
            <wp:extent cx="713422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t>contract for loans of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Principal business address: 2nd floor, building 18, No. 498, GuoShouJing Road, Pudong New Area, Shanghai</w:t>
      </w:r>
    </w:p>
    <w:p>
      <w:pPr>
        <w:sectPr>
          <w:pgSz w:w="11900" w:h="16838" w:orient="portrait"/>
          <w:cols w:equalWidth="0" w:num="1">
            <w:col w:w="11240"/>
          </w:cols>
          <w:pgMar w:left="320" w:top="895"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contact: Lisa Wu</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Tell: 18516502856</w:t>
      </w:r>
    </w:p>
    <w:p>
      <w:pPr>
        <w:spacing w:after="0" w:line="200" w:lineRule="exact"/>
        <w:rPr>
          <w:sz w:val="20"/>
          <w:szCs w:val="20"/>
          <w:color w:val="auto"/>
        </w:rPr>
      </w:pPr>
    </w:p>
    <w:p>
      <w:pPr>
        <w:sectPr>
          <w:pgSz w:w="11900" w:h="16838" w:orient="portrait"/>
          <w:cols w:equalWidth="0" w:num="2">
            <w:col w:w="3780" w:space="720"/>
            <w:col w:w="6740"/>
          </w:cols>
          <w:pgMar w:left="320" w:top="89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Fax: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4460"/>
        <w:spacing w:after="0"/>
        <w:rPr>
          <w:sz w:val="20"/>
          <w:szCs w:val="20"/>
          <w:color w:val="auto"/>
        </w:rPr>
      </w:pPr>
      <w:r>
        <w:rPr>
          <w:rFonts w:ascii="Arial" w:cs="Arial" w:eastAsia="Arial" w:hAnsi="Arial"/>
          <w:sz w:val="16"/>
          <w:szCs w:val="16"/>
          <w:color w:val="auto"/>
        </w:rPr>
        <w:t>Email: lisa.wu@clpsglobal.com</w:t>
      </w:r>
    </w:p>
    <w:p>
      <w:pPr>
        <w:spacing w:after="0" w:line="200" w:lineRule="exact"/>
        <w:rPr>
          <w:sz w:val="20"/>
          <w:szCs w:val="20"/>
          <w:color w:val="auto"/>
        </w:rPr>
      </w:pPr>
    </w:p>
    <w:p>
      <w:pPr>
        <w:sectPr>
          <w:pgSz w:w="11900" w:h="16838" w:orient="portrait"/>
          <w:cols w:equalWidth="0" w:num="2">
            <w:col w:w="3780" w:space="720"/>
            <w:col w:w="6740"/>
          </w:cols>
          <w:pgMar w:left="320" w:top="89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Lender: Shanghai Pudong Development Bank Co., LTD. Jinqiao Branch</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Principal business address: No.509 Jingang Road, Pudong New Area, Shanghai</w:t>
      </w:r>
    </w:p>
    <w:p>
      <w:pPr>
        <w:sectPr>
          <w:pgSz w:w="11900" w:h="16838" w:orient="portrait"/>
          <w:cols w:equalWidth="0" w:num="1">
            <w:col w:w="11240"/>
          </w:cols>
          <w:pgMar w:left="320" w:top="895" w:right="3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contact: Lin Xie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Tell: 13611896953</w:t>
      </w:r>
    </w:p>
    <w:p>
      <w:pPr>
        <w:spacing w:after="0" w:line="200" w:lineRule="exact"/>
        <w:rPr>
          <w:sz w:val="20"/>
          <w:szCs w:val="20"/>
          <w:color w:val="auto"/>
        </w:rPr>
      </w:pPr>
    </w:p>
    <w:p>
      <w:pPr>
        <w:sectPr>
          <w:pgSz w:w="11900" w:h="16838" w:orient="portrait"/>
          <w:cols w:equalWidth="0" w:num="2">
            <w:col w:w="3780" w:space="720"/>
            <w:col w:w="6740"/>
          </w:cols>
          <w:pgMar w:left="320" w:top="89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ectPr>
          <w:pgSz w:w="11900" w:h="16838" w:orient="portrait"/>
          <w:cols w:equalWidth="0" w:num="1">
            <w:col w:w="11240"/>
          </w:cols>
          <w:pgMar w:left="320" w:top="895" w:right="339" w:bottom="1440" w:gutter="0" w:footer="0" w:header="0"/>
          <w:type w:val="continuous"/>
        </w:sectPr>
      </w:pPr>
    </w:p>
    <w:p>
      <w:pPr>
        <w:spacing w:after="0" w:line="266"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the same time, the borrower and the lender confirm the following principal terms.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(please select in the box below according to the situation, tick X if not selected);</w:t>
      </w:r>
    </w:p>
    <w:p>
      <w:pPr>
        <w:spacing w:after="0" w:line="220" w:lineRule="exact"/>
        <w:rPr>
          <w:sz w:val="20"/>
          <w:szCs w:val="20"/>
          <w:color w:val="auto"/>
        </w:rPr>
      </w:pPr>
    </w:p>
    <w:p>
      <w:pPr>
        <w:jc w:val="both"/>
        <w:ind w:firstLine="327"/>
        <w:spacing w:after="0" w:line="281" w:lineRule="auto"/>
        <w:tabs>
          <w:tab w:leader="none" w:pos="555" w:val="left"/>
        </w:tabs>
        <w:numPr>
          <w:ilvl w:val="0"/>
          <w:numId w:val="184"/>
        </w:numPr>
        <w:rPr>
          <w:rFonts w:ascii="MS PGothic" w:cs="MS PGothic" w:eastAsia="MS PGothic" w:hAnsi="MS PGothic"/>
          <w:sz w:val="17"/>
          <w:szCs w:val="17"/>
          <w:color w:val="auto"/>
        </w:rPr>
      </w:pPr>
      <w:r>
        <w:rPr>
          <w:rFonts w:ascii="Arial" w:cs="Arial" w:eastAsia="Arial" w:hAnsi="Arial"/>
          <w:sz w:val="17"/>
          <w:szCs w:val="17"/>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67" w:lineRule="exact"/>
        <w:rPr>
          <w:sz w:val="20"/>
          <w:szCs w:val="20"/>
          <w:color w:val="auto"/>
        </w:rPr>
      </w:pPr>
    </w:p>
    <w:p>
      <w:pPr>
        <w:ind w:right="20" w:firstLine="327"/>
        <w:spacing w:after="0" w:line="270" w:lineRule="auto"/>
        <w:tabs>
          <w:tab w:leader="none" w:pos="47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(Select this item if the purpose of borrowing is to repay the old or renew the loan)</w:t>
      </w:r>
    </w:p>
    <w:p>
      <w:pPr>
        <w:spacing w:after="0" w:line="220" w:lineRule="exact"/>
        <w:rPr>
          <w:sz w:val="20"/>
          <w:szCs w:val="20"/>
          <w:color w:val="auto"/>
        </w:rPr>
      </w:pPr>
    </w:p>
    <w:p>
      <w:pPr>
        <w:ind w:firstLine="327"/>
        <w:spacing w:after="0" w:line="270" w:lineRule="auto"/>
        <w:tabs>
          <w:tab w:leader="none" w:pos="528" w:val="left"/>
        </w:tabs>
        <w:numPr>
          <w:ilvl w:val="0"/>
          <w:numId w:val="186"/>
        </w:numPr>
        <w:rPr>
          <w:rFonts w:ascii="MS PGothic" w:cs="MS PGothic" w:eastAsia="MS PGothic" w:hAnsi="MS PGothic"/>
          <w:sz w:val="18"/>
          <w:szCs w:val="18"/>
          <w:color w:val="auto"/>
        </w:rPr>
      </w:pPr>
      <w:r>
        <w:rPr>
          <w:rFonts w:ascii="Arial" w:cs="Arial" w:eastAsia="Arial" w:hAnsi="Arial"/>
          <w:sz w:val="18"/>
          <w:szCs w:val="18"/>
          <w:color w:val="auto"/>
        </w:rPr>
        <w:t>The guarantor has been informed that the purpose of the loan under this contract is to repay the loan under the original contract name:________ Date of signing: _______ No:_______.</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93" w:name="page294"/>
    <w:bookmarkEnd w:id="293"/>
    <w:p>
      <w:pPr>
        <w:jc w:val="center"/>
        <w:ind w:right="-19"/>
        <w:spacing w:after="0"/>
        <w:rPr>
          <w:sz w:val="20"/>
          <w:szCs w:val="20"/>
          <w:color w:val="auto"/>
        </w:rPr>
      </w:pPr>
      <w:r>
        <w:rPr>
          <w:rFonts w:ascii="Arial" w:cs="Arial" w:eastAsia="Arial" w:hAnsi="Arial"/>
          <w:sz w:val="18"/>
          <w:szCs w:val="18"/>
          <w:b w:val="1"/>
          <w:bCs w:val="1"/>
          <w:color w:val="auto"/>
        </w:rPr>
        <w:t>The Part One Commercial terms</w:t>
      </w:r>
    </w:p>
    <w:p>
      <w:pPr>
        <w:spacing w:after="0" w:line="179" w:lineRule="exact"/>
        <w:rPr>
          <w:sz w:val="20"/>
          <w:szCs w:val="20"/>
          <w:color w:val="auto"/>
        </w:rPr>
      </w:pPr>
    </w:p>
    <w:p>
      <w:pPr>
        <w:ind w:left="320" w:hanging="313"/>
        <w:spacing w:after="0" w:line="207" w:lineRule="exact"/>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Types of Loans: þ Short-term working capital loans ; </w:t>
      </w:r>
      <w:r>
        <w:rPr>
          <w:rFonts w:ascii="MS PGothic" w:cs="MS PGothic" w:eastAsia="MS PGothic" w:hAnsi="MS PGothic"/>
          <w:sz w:val="18"/>
          <w:szCs w:val="18"/>
          <w:color w:val="auto"/>
        </w:rPr>
        <w:t>☐</w:t>
      </w:r>
      <w:r>
        <w:rPr>
          <w:rFonts w:ascii="Arial" w:cs="Arial" w:eastAsia="Arial" w:hAnsi="Arial"/>
          <w:sz w:val="18"/>
          <w:szCs w:val="18"/>
          <w:color w:val="auto"/>
        </w:rPr>
        <w:t xml:space="preserve"> mid-term liquidity loan,</w:t>
      </w:r>
    </w:p>
    <w:p>
      <w:pPr>
        <w:spacing w:after="0" w:line="264" w:lineRule="exact"/>
        <w:rPr>
          <w:rFonts w:ascii="Arial" w:cs="Arial" w:eastAsia="Arial" w:hAnsi="Arial"/>
          <w:sz w:val="18"/>
          <w:szCs w:val="18"/>
          <w:color w:val="auto"/>
        </w:rPr>
      </w:pPr>
    </w:p>
    <w:p>
      <w:pPr>
        <w:ind w:left="320" w:hanging="313"/>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loan amount under this contract is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22 million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specific use of loan under this contract as follows: </w:t>
      </w:r>
      <w:r>
        <w:rPr>
          <w:rFonts w:ascii="Arial" w:cs="Arial" w:eastAsia="Arial" w:hAnsi="Arial"/>
          <w:sz w:val="18"/>
          <w:szCs w:val="18"/>
          <w:u w:val="single" w:color="auto"/>
          <w:color w:val="auto"/>
        </w:rPr>
        <w:t>payroll</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time limit for the loan under this contract (please check in the box below, and mark × if not selected)</w:t>
      </w:r>
    </w:p>
    <w:p>
      <w:pPr>
        <w:spacing w:after="0" w:line="224" w:lineRule="exact"/>
        <w:rPr>
          <w:sz w:val="20"/>
          <w:szCs w:val="20"/>
          <w:color w:val="auto"/>
        </w:rPr>
      </w:pPr>
    </w:p>
    <w:p>
      <w:pPr>
        <w:ind w:left="460" w:hanging="133"/>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since </w:t>
      </w:r>
      <w:r>
        <w:rPr>
          <w:rFonts w:ascii="Arial" w:cs="Arial" w:eastAsia="Arial" w:hAnsi="Arial"/>
          <w:sz w:val="18"/>
          <w:szCs w:val="18"/>
          <w:u w:val="single" w:color="auto"/>
          <w:color w:val="auto"/>
        </w:rPr>
        <w:t>26</w:t>
      </w:r>
      <w:r>
        <w:rPr>
          <w:rFonts w:ascii="Arial" w:cs="Arial" w:eastAsia="Arial" w:hAnsi="Arial"/>
          <w:sz w:val="29"/>
          <w:szCs w:val="29"/>
          <w:u w:val="single" w:color="auto"/>
          <w:color w:val="auto"/>
          <w:vertAlign w:val="superscript"/>
        </w:rPr>
        <w:t>st</w:t>
      </w:r>
      <w:r>
        <w:rPr>
          <w:rFonts w:ascii="Arial" w:cs="Arial" w:eastAsia="Arial" w:hAnsi="Arial"/>
          <w:sz w:val="18"/>
          <w:szCs w:val="18"/>
          <w:color w:val="auto"/>
        </w:rPr>
        <w:t xml:space="preserve"> </w:t>
      </w:r>
      <w:r>
        <w:rPr>
          <w:rFonts w:ascii="Arial" w:cs="Arial" w:eastAsia="Arial" w:hAnsi="Arial"/>
          <w:sz w:val="18"/>
          <w:szCs w:val="18"/>
          <w:u w:val="single" w:color="auto"/>
          <w:color w:val="auto"/>
        </w:rPr>
        <w:t>June 2023</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25</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June 2024.</w:t>
      </w:r>
    </w:p>
    <w:p>
      <w:pPr>
        <w:spacing w:after="0" w:line="130" w:lineRule="exact"/>
        <w:rPr>
          <w:sz w:val="20"/>
          <w:szCs w:val="20"/>
          <w:color w:val="auto"/>
        </w:rPr>
      </w:pPr>
    </w:p>
    <w:p>
      <w:pPr>
        <w:ind w:left="540" w:hanging="213"/>
        <w:spacing w:after="0"/>
        <w:tabs>
          <w:tab w:leader="none" w:pos="540" w:val="left"/>
        </w:tabs>
        <w:numPr>
          <w:ilvl w:val="0"/>
          <w:numId w:val="189"/>
        </w:numPr>
        <w:rPr>
          <w:rFonts w:ascii="MS PGothic" w:cs="MS PGothic" w:eastAsia="MS PGothic" w:hAnsi="MS PGothic"/>
          <w:sz w:val="18"/>
          <w:szCs w:val="18"/>
          <w:color w:val="auto"/>
        </w:rPr>
      </w:pPr>
      <w:r>
        <w:rPr>
          <w:rFonts w:ascii="Arial" w:cs="Arial" w:eastAsia="Arial" w:hAnsi="Arial"/>
          <w:sz w:val="18"/>
          <w:szCs w:val="18"/>
          <w:color w:val="auto"/>
        </w:rPr>
        <w:t>From the date of first withdrawal ___ / ___ year (or ___ / ___ months)</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5</w:t>
      </w:r>
      <w:r>
        <w:rPr>
          <w:rFonts w:ascii="MS PGothic" w:cs="MS PGothic" w:eastAsia="MS PGothic" w:hAnsi="MS PGothic"/>
          <w:sz w:val="18"/>
          <w:szCs w:val="18"/>
          <w:color w:val="auto"/>
        </w:rPr>
        <w:t>．</w:t>
      </w:r>
      <w:r>
        <w:rPr>
          <w:rFonts w:ascii="Arial" w:cs="Arial" w:eastAsia="Arial" w:hAnsi="Arial"/>
          <w:sz w:val="18"/>
          <w:szCs w:val="18"/>
          <w:color w:val="auto"/>
        </w:rPr>
        <w:t xml:space="preserve"> The interest rate of the loan under this Contract is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þ (1) the RMB loans Interest Rate :</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Each loan under this Contract shall be issued according to the loan market quoted APR (term) -45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8" w:lineRule="exact"/>
        <w:rPr>
          <w:sz w:val="20"/>
          <w:szCs w:val="20"/>
          <w:color w:val="auto"/>
        </w:rPr>
      </w:pPr>
    </w:p>
    <w:p>
      <w:pPr>
        <w:jc w:val="both"/>
        <w:ind w:firstLine="320"/>
        <w:spacing w:after="0" w:line="235" w:lineRule="exact"/>
        <w:rPr>
          <w:sz w:val="20"/>
          <w:szCs w:val="20"/>
          <w:color w:val="auto"/>
        </w:rPr>
      </w:pPr>
      <w:r>
        <w:rPr>
          <w:rFonts w:ascii="Arial" w:cs="Arial" w:eastAsia="Arial" w:hAnsi="Arial"/>
          <w:sz w:val="18"/>
          <w:szCs w:val="18"/>
          <w:color w:val="auto"/>
        </w:rPr>
        <w:t xml:space="preserve">After each loan is issued, if the quoted interest rate of the loan market is adjusted during the loan term, the loan interest rate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þ Fixed interest rate without adjustment;</w:t>
      </w:r>
    </w:p>
    <w:p>
      <w:pPr>
        <w:spacing w:after="0" w:line="220" w:lineRule="exact"/>
        <w:rPr>
          <w:sz w:val="20"/>
          <w:szCs w:val="20"/>
          <w:color w:val="auto"/>
        </w:rPr>
      </w:pPr>
    </w:p>
    <w:p>
      <w:pPr>
        <w:jc w:val="both"/>
        <w:ind w:firstLine="327"/>
        <w:spacing w:after="0" w:line="228" w:lineRule="exact"/>
        <w:tabs>
          <w:tab w:leader="none" w:pos="539" w:val="left"/>
        </w:tabs>
        <w:numPr>
          <w:ilvl w:val="0"/>
          <w:numId w:val="190"/>
        </w:numPr>
        <w:rPr>
          <w:rFonts w:ascii="MS PGothic" w:cs="MS PGothic" w:eastAsia="MS PGothic" w:hAnsi="MS PGothic"/>
          <w:sz w:val="18"/>
          <w:szCs w:val="18"/>
          <w:color w:val="auto"/>
        </w:rPr>
      </w:pPr>
      <w:r>
        <w:rPr>
          <w:rFonts w:ascii="Arial" w:cs="Arial" w:eastAsia="Arial" w:hAnsi="Arial"/>
          <w:sz w:val="18"/>
          <w:szCs w:val="18"/>
          <w:color w:val="auto"/>
        </w:rPr>
        <w:t xml:space="preserve">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 :</w:t>
      </w:r>
    </w:p>
    <w:p>
      <w:pPr>
        <w:spacing w:after="0" w:line="170" w:lineRule="exact"/>
        <w:rPr>
          <w:rFonts w:ascii="MS PGothic" w:cs="MS PGothic" w:eastAsia="MS PGothic" w:hAnsi="MS PGothic"/>
          <w:sz w:val="18"/>
          <w:szCs w:val="18"/>
          <w:color w:val="auto"/>
        </w:rPr>
      </w:pPr>
    </w:p>
    <w:p>
      <w:pPr>
        <w:jc w:val="both"/>
        <w:ind w:firstLine="327"/>
        <w:spacing w:after="0" w:line="306" w:lineRule="auto"/>
        <w:tabs>
          <w:tab w:leader="none" w:pos="529"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50" w:lineRule="exact"/>
        <w:rPr>
          <w:rFonts w:ascii="MS PGothic" w:cs="MS PGothic" w:eastAsia="MS PGothic" w:hAnsi="MS PGothic"/>
          <w:sz w:val="16"/>
          <w:szCs w:val="16"/>
          <w:color w:val="auto"/>
        </w:rPr>
      </w:pPr>
    </w:p>
    <w:p>
      <w:pPr>
        <w:ind w:left="520" w:hanging="193"/>
        <w:spacing w:after="0"/>
        <w:tabs>
          <w:tab w:leader="none" w:pos="520" w:val="left"/>
        </w:tabs>
        <w:numPr>
          <w:ilvl w:val="0"/>
          <w:numId w:val="190"/>
        </w:numPr>
        <w:rPr>
          <w:rFonts w:ascii="MS PGothic" w:cs="MS PGothic" w:eastAsia="MS PGothic" w:hAnsi="MS PGothic"/>
          <w:sz w:val="18"/>
          <w:szCs w:val="18"/>
          <w:color w:val="auto"/>
        </w:rPr>
      </w:pPr>
      <w:r>
        <w:rPr>
          <w:rFonts w:ascii="Arial" w:cs="Arial" w:eastAsia="Arial" w:hAnsi="Arial"/>
          <w:sz w:val="18"/>
          <w:szCs w:val="18"/>
          <w:color w:val="auto"/>
        </w:rPr>
        <w:t>Adjust the interest rate according to year, the interest rate adjustment date is January 1 of each year;</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Adjust the interest rate according to the interest settlement date, and the interest rate adjustment day is the next day of the interest settlement date;</w:t>
      </w:r>
    </w:p>
    <w:p>
      <w:pPr>
        <w:spacing w:after="0" w:line="242" w:lineRule="exact"/>
        <w:rPr>
          <w:rFonts w:ascii="MS PGothic" w:cs="MS PGothic" w:eastAsia="MS PGothic" w:hAnsi="MS PGothic"/>
          <w:sz w:val="16"/>
          <w:szCs w:val="16"/>
          <w:color w:val="auto"/>
        </w:rPr>
      </w:pPr>
    </w:p>
    <w:p>
      <w:pPr>
        <w:ind w:left="540" w:hanging="213"/>
        <w:spacing w:after="0"/>
        <w:tabs>
          <w:tab w:leader="none" w:pos="540" w:val="left"/>
        </w:tabs>
        <w:numPr>
          <w:ilvl w:val="0"/>
          <w:numId w:val="190"/>
        </w:numPr>
        <w:rPr>
          <w:rFonts w:ascii="MS PGothic" w:cs="MS PGothic" w:eastAsia="MS PGothic" w:hAnsi="MS PGothic"/>
          <w:sz w:val="18"/>
          <w:szCs w:val="18"/>
          <w:color w:val="auto"/>
        </w:rPr>
      </w:pPr>
      <w:r>
        <w:rPr>
          <w:rFonts w:ascii="Arial" w:cs="Arial" w:eastAsia="Arial" w:hAnsi="Arial"/>
          <w:sz w:val="18"/>
          <w:szCs w:val="18"/>
          <w:color w:val="auto"/>
        </w:rPr>
        <w:t>Quarterly adjustment of interest rate, interest rate adjustment day for the end of each quarter on a monthly basis,;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94" w:name="page295"/>
    <w:bookmarkEnd w:id="294"/>
    <w:p>
      <w:pPr>
        <w:ind w:left="540" w:hanging="213"/>
        <w:spacing w:after="0"/>
        <w:tabs>
          <w:tab w:leader="none" w:pos="540" w:val="left"/>
        </w:tabs>
        <w:numPr>
          <w:ilvl w:val="0"/>
          <w:numId w:val="191"/>
        </w:numPr>
        <w:rPr>
          <w:rFonts w:ascii="MS PGothic" w:cs="MS PGothic" w:eastAsia="MS PGothic" w:hAnsi="MS PGothic"/>
          <w:sz w:val="18"/>
          <w:szCs w:val="18"/>
          <w:color w:val="auto"/>
        </w:rPr>
      </w:pPr>
      <w:r>
        <w:rPr>
          <w:rFonts w:ascii="Arial" w:cs="Arial" w:eastAsia="Arial" w:hAnsi="Arial"/>
          <w:sz w:val="18"/>
          <w:szCs w:val="18"/>
          <w:color w:val="auto"/>
        </w:rPr>
        <w:t>interest rate adjustment day for a monthly/daily</w:t>
      </w:r>
    </w:p>
    <w:p>
      <w:pPr>
        <w:spacing w:after="0" w:line="153" w:lineRule="exact"/>
        <w:rPr>
          <w:rFonts w:ascii="MS PGothic" w:cs="MS PGothic" w:eastAsia="MS PGothic" w:hAnsi="MS PGothic"/>
          <w:sz w:val="18"/>
          <w:szCs w:val="18"/>
          <w:color w:val="auto"/>
        </w:rPr>
      </w:pPr>
    </w:p>
    <w:p>
      <w:pPr>
        <w:ind w:left="540" w:hanging="213"/>
        <w:spacing w:after="0"/>
        <w:tabs>
          <w:tab w:leader="none" w:pos="540" w:val="left"/>
        </w:tabs>
        <w:numPr>
          <w:ilvl w:val="0"/>
          <w:numId w:val="191"/>
        </w:numPr>
        <w:rPr>
          <w:rFonts w:ascii="MS PGothic" w:cs="MS PGothic" w:eastAsia="MS PGothic" w:hAnsi="MS PGothic"/>
          <w:sz w:val="18"/>
          <w:szCs w:val="18"/>
          <w:color w:val="auto"/>
        </w:rPr>
      </w:pPr>
      <w:r>
        <w:rPr>
          <w:rFonts w:ascii="Arial" w:cs="Arial" w:eastAsia="Arial" w:hAnsi="Arial"/>
          <w:sz w:val="18"/>
          <w:szCs w:val="18"/>
          <w:color w:val="auto"/>
        </w:rPr>
        <w:t>other agreement (specific interest rate adjustment day),</w:t>
      </w:r>
    </w:p>
    <w:p>
      <w:pPr>
        <w:spacing w:after="0" w:line="153" w:lineRule="exact"/>
        <w:rPr>
          <w:rFonts w:ascii="MS PGothic" w:cs="MS PGothic" w:eastAsia="MS PGothic" w:hAnsi="MS PGothic"/>
          <w:sz w:val="18"/>
          <w:szCs w:val="18"/>
          <w:color w:val="auto"/>
        </w:rPr>
      </w:pPr>
    </w:p>
    <w:p>
      <w:pPr>
        <w:ind w:left="540" w:hanging="213"/>
        <w:spacing w:after="0"/>
        <w:tabs>
          <w:tab w:leader="none" w:pos="540" w:val="left"/>
        </w:tabs>
        <w:numPr>
          <w:ilvl w:val="0"/>
          <w:numId w:val="191"/>
        </w:numPr>
        <w:rPr>
          <w:rFonts w:ascii="MS PGothic" w:cs="MS PGothic" w:eastAsia="MS PGothic" w:hAnsi="MS PGothic"/>
          <w:sz w:val="18"/>
          <w:szCs w:val="18"/>
          <w:color w:val="auto"/>
        </w:rPr>
      </w:pPr>
      <w:r>
        <w:rPr>
          <w:rFonts w:ascii="Arial" w:cs="Arial" w:eastAsia="Arial" w:hAnsi="Arial"/>
          <w:sz w:val="18"/>
          <w:szCs w:val="18"/>
          <w:color w:val="auto"/>
        </w:rPr>
        <w:t>(2) interest rate of foreign currency loan;</w:t>
      </w:r>
    </w:p>
    <w:p>
      <w:pPr>
        <w:spacing w:after="0" w:line="153" w:lineRule="exact"/>
        <w:rPr>
          <w:sz w:val="20"/>
          <w:szCs w:val="20"/>
          <w:color w:val="auto"/>
        </w:rPr>
      </w:pPr>
    </w:p>
    <w:p>
      <w:pPr>
        <w:ind w:left="320"/>
        <w:spacing w:after="0"/>
        <w:tabs>
          <w:tab w:leader="none" w:pos="4180" w:val="left"/>
        </w:tabs>
        <w:rPr>
          <w:sz w:val="20"/>
          <w:szCs w:val="20"/>
          <w:color w:val="auto"/>
        </w:rPr>
      </w:pPr>
      <w:r>
        <w:rPr>
          <w:rFonts w:ascii="Arial" w:cs="Arial" w:eastAsia="Arial" w:hAnsi="Arial"/>
          <w:sz w:val="18"/>
          <w:szCs w:val="18"/>
          <w:color w:val="auto"/>
        </w:rPr>
        <w:t>1) each loan under this Contract will be issued</w:t>
      </w:r>
      <w:r>
        <w:rPr>
          <w:sz w:val="20"/>
          <w:szCs w:val="20"/>
          <w:color w:val="auto"/>
        </w:rPr>
        <w:tab/>
      </w:r>
      <w:r>
        <w:rPr>
          <w:rFonts w:ascii="Arial" w:cs="Arial" w:eastAsia="Arial" w:hAnsi="Arial"/>
          <w:sz w:val="16"/>
          <w:szCs w:val="16"/>
          <w:color w:val="auto"/>
        </w:rPr>
        <w:t>at the rate of ___(LIBORAHIBORSIBOR) published by the Lender on the date of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-11430</wp:posOffset>
            </wp:positionV>
            <wp:extent cx="1835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plus/BPS. If the benchmark interest rate is less than 0%, the benchmark interest rate will be executed at 0%.</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the issuance of each loan under this contract, the adjustment method of loan interest rate during the loan period is (please select in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7020" w:type="dxa"/>
            <w:vAlign w:val="bottom"/>
          </w:tcPr>
          <w:p>
            <w:pPr>
              <w:spacing w:after="0" w:line="207" w:lineRule="exact"/>
              <w:rPr>
                <w:sz w:val="20"/>
                <w:szCs w:val="20"/>
                <w:color w:val="auto"/>
              </w:rPr>
            </w:pPr>
            <w:r>
              <w:rPr>
                <w:rFonts w:ascii="Arial" w:cs="Arial" w:eastAsia="Arial" w:hAnsi="Arial"/>
                <w:sz w:val="18"/>
                <w:szCs w:val="18"/>
                <w:color w:val="auto"/>
              </w:rPr>
              <w:t xml:space="preserve">box, and mark </w:t>
            </w:r>
            <w:r>
              <w:rPr>
                <w:rFonts w:ascii="MS PGothic" w:cs="MS PGothic" w:eastAsia="MS PGothic" w:hAnsi="MS PGothic"/>
                <w:sz w:val="18"/>
                <w:szCs w:val="18"/>
                <w:color w:val="auto"/>
              </w:rPr>
              <w:t>☒</w:t>
            </w:r>
            <w:r>
              <w:rPr>
                <w:rFonts w:ascii="Arial" w:cs="Arial" w:eastAsia="Arial" w:hAnsi="Arial"/>
                <w:sz w:val="18"/>
                <w:szCs w:val="18"/>
                <w:color w:val="auto"/>
              </w:rPr>
              <w:t xml:space="preserve"> if not selected):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70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After each loan under this joint venture is issued, the loan interest rate shall be adjusted by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09"/>
        </w:trPr>
        <w:tc>
          <w:tcPr>
            <w:tcW w:w="70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Fixed rate, that is, the interest rate is not adjusted.</w:t>
            </w: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104" w:lineRule="exact"/>
        <w:rPr>
          <w:sz w:val="20"/>
          <w:szCs w:val="20"/>
          <w:color w:val="auto"/>
        </w:rPr>
      </w:pPr>
    </w:p>
    <w:p>
      <w:pPr>
        <w:ind w:firstLine="327"/>
        <w:spacing w:after="0" w:line="270" w:lineRule="auto"/>
        <w:tabs>
          <w:tab w:leader="none" w:pos="53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interest rate of foreign currency loan under this contract is detailed in the Foreign Currency Interest Rate Supplementary Contract separately signed by both parties hereto.</w:t>
      </w:r>
    </w:p>
    <w:p>
      <w:pPr>
        <w:spacing w:after="0" w:line="108" w:lineRule="exact"/>
        <w:rPr>
          <w:rFonts w:ascii="Arial" w:cs="Arial" w:eastAsia="Arial" w:hAnsi="Arial"/>
          <w:sz w:val="18"/>
          <w:szCs w:val="18"/>
          <w:color w:val="auto"/>
        </w:rPr>
      </w:pPr>
    </w:p>
    <w:p>
      <w:pPr>
        <w:ind w:left="520" w:hanging="193"/>
        <w:spacing w:after="0"/>
        <w:tabs>
          <w:tab w:leader="none" w:pos="5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interest rate of each loan under this contract is / %, which is a fixed interest rate, and the interest rate during the loan period no adjustment.</w:t>
      </w:r>
    </w:p>
    <w:p>
      <w:pPr>
        <w:spacing w:after="0" w:line="176" w:lineRule="exact"/>
        <w:rPr>
          <w:rFonts w:ascii="Arial" w:cs="Arial" w:eastAsia="Arial" w:hAnsi="Arial"/>
          <w:sz w:val="16"/>
          <w:szCs w:val="16"/>
          <w:color w:val="auto"/>
        </w:rPr>
      </w:pPr>
    </w:p>
    <w:p>
      <w:pPr>
        <w:ind w:left="320" w:right="3480" w:hanging="313"/>
        <w:spacing w:after="0" w:line="308" w:lineRule="exact"/>
        <w:tabs>
          <w:tab w:leader="none" w:pos="3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method of loan settlement under this Contract is (please check the box below/tick X if not selected): </w:t>
      </w:r>
      <w:r>
        <w:rPr>
          <w:rFonts w:ascii="MS PGothic" w:cs="MS PGothic" w:eastAsia="MS PGothic" w:hAnsi="MS PGothic"/>
          <w:sz w:val="17"/>
          <w:szCs w:val="17"/>
          <w:color w:val="auto"/>
        </w:rPr>
        <w:t>☒</w:t>
      </w:r>
      <w:r>
        <w:rPr>
          <w:rFonts w:ascii="Arial" w:cs="Arial" w:eastAsia="Arial" w:hAnsi="Arial"/>
          <w:sz w:val="17"/>
          <w:szCs w:val="17"/>
          <w:color w:val="auto"/>
        </w:rPr>
        <w:t xml:space="preserve"> On a monthly basis, the settlement date is the second +(20th) day of each month;</w:t>
      </w:r>
    </w:p>
    <w:p>
      <w:pPr>
        <w:spacing w:after="0" w:line="104" w:lineRule="exact"/>
        <w:rPr>
          <w:rFonts w:ascii="Arial" w:cs="Arial" w:eastAsia="Arial" w:hAnsi="Arial"/>
          <w:sz w:val="17"/>
          <w:szCs w:val="17"/>
          <w:color w:val="auto"/>
        </w:rPr>
      </w:pPr>
    </w:p>
    <w:p>
      <w:pPr>
        <w:ind w:left="320" w:right="4020"/>
        <w:spacing w:after="0" w:line="308" w:lineRule="exact"/>
        <w:rPr>
          <w:rFonts w:ascii="Arial" w:cs="Arial" w:eastAsia="Arial" w:hAnsi="Arial"/>
          <w:sz w:val="17"/>
          <w:szCs w:val="17"/>
          <w:color w:val="auto"/>
        </w:rPr>
      </w:pPr>
      <w:r>
        <w:rPr>
          <w:rFonts w:ascii="Arial" w:cs="Arial" w:eastAsia="Arial" w:hAnsi="Arial"/>
          <w:sz w:val="18"/>
          <w:szCs w:val="18"/>
          <w:color w:val="auto"/>
        </w:rPr>
        <w:t xml:space="preserve">þ Quarterly, then the settlement date is the twentieth (20th) day of the last month of each quarter: </w:t>
      </w:r>
      <w:r>
        <w:rPr>
          <w:rFonts w:ascii="MS PGothic" w:cs="MS PGothic" w:eastAsia="MS PGothic" w:hAnsi="MS PGothic"/>
          <w:sz w:val="18"/>
          <w:szCs w:val="18"/>
          <w:color w:val="auto"/>
        </w:rPr>
        <w:t>☒</w:t>
      </w:r>
      <w:r>
        <w:rPr>
          <w:rFonts w:ascii="Arial" w:cs="Arial" w:eastAsia="Arial" w:hAnsi="Arial"/>
          <w:sz w:val="18"/>
          <w:szCs w:val="18"/>
          <w:color w:val="auto"/>
        </w:rPr>
        <w:t xml:space="preserve"> Other methods:</w:t>
      </w:r>
    </w:p>
    <w:p>
      <w:pPr>
        <w:spacing w:after="0" w:line="104"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And each repayment interest under this contract is clear with this.</w:t>
      </w:r>
    </w:p>
    <w:p>
      <w:pPr>
        <w:spacing w:after="0" w:line="153" w:lineRule="exact"/>
        <w:rPr>
          <w:rFonts w:ascii="Arial" w:cs="Arial" w:eastAsia="Arial" w:hAnsi="Arial"/>
          <w:sz w:val="17"/>
          <w:szCs w:val="17"/>
          <w:color w:val="auto"/>
        </w:rPr>
      </w:pPr>
    </w:p>
    <w:p>
      <w:pPr>
        <w:ind w:left="320" w:hanging="313"/>
        <w:spacing w:after="0"/>
        <w:tabs>
          <w:tab w:leader="none" w:pos="3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Penalty interest rate under the Contract is:</w:t>
      </w:r>
    </w:p>
    <w:p>
      <w:pPr>
        <w:spacing w:after="0" w:line="15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7"/>
          <w:szCs w:val="17"/>
          <w:color w:val="auto"/>
        </w:rPr>
        <w:t xml:space="preserve">(1)  This overdue penalty interest rate shall be applied at the loan execution rate applicable on the date of penalty interest collection plus </w:t>
      </w:r>
      <w:r>
        <w:rPr>
          <w:rFonts w:ascii="Arial" w:cs="Arial" w:eastAsia="Arial" w:hAnsi="Arial"/>
          <w:sz w:val="17"/>
          <w:szCs w:val="17"/>
          <w:u w:val="single" w:color="auto"/>
          <w:color w:val="auto"/>
        </w:rPr>
        <w:t>30</w:t>
      </w:r>
      <w:r>
        <w:rPr>
          <w:rFonts w:ascii="Arial" w:cs="Arial" w:eastAsia="Arial" w:hAnsi="Arial"/>
          <w:sz w:val="17"/>
          <w:szCs w:val="17"/>
          <w:color w:val="auto"/>
        </w:rPr>
        <w:t xml:space="preserve"> %.</w:t>
      </w:r>
    </w:p>
    <w:p>
      <w:pPr>
        <w:spacing w:after="0" w:line="164" w:lineRule="exact"/>
        <w:rPr>
          <w:rFonts w:ascii="Arial" w:cs="Arial" w:eastAsia="Arial" w:hAnsi="Arial"/>
          <w:sz w:val="18"/>
          <w:szCs w:val="18"/>
          <w:color w:val="auto"/>
        </w:rPr>
      </w:pPr>
    </w:p>
    <w:p>
      <w:pPr>
        <w:ind w:left="640" w:hanging="320"/>
        <w:spacing w:after="0" w:line="270" w:lineRule="auto"/>
        <w:rPr>
          <w:rFonts w:ascii="Arial" w:cs="Arial" w:eastAsia="Arial" w:hAnsi="Arial"/>
          <w:sz w:val="18"/>
          <w:szCs w:val="18"/>
          <w:color w:val="auto"/>
        </w:rPr>
      </w:pPr>
      <w:r>
        <w:rPr>
          <w:rFonts w:ascii="Arial" w:cs="Arial" w:eastAsia="Arial" w:hAnsi="Arial"/>
          <w:sz w:val="18"/>
          <w:szCs w:val="18"/>
          <w:color w:val="auto"/>
        </w:rPr>
        <w:t xml:space="preserve">(2) If the loan is not used in accordance with the purpose agreed herein, the penalty interest rate will be calculated and the loan execution interest rate applied on the penalty interest date shall be charged plus </w:t>
      </w:r>
      <w:r>
        <w:rPr>
          <w:rFonts w:ascii="Arial" w:cs="Arial" w:eastAsia="Arial" w:hAnsi="Arial"/>
          <w:sz w:val="18"/>
          <w:szCs w:val="18"/>
          <w:u w:val="single" w:color="auto"/>
          <w:color w:val="auto"/>
        </w:rPr>
        <w:t>50</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6"/>
          <w:szCs w:val="16"/>
          <w:color w:val="auto"/>
        </w:rPr>
        <w:t>If the loan currency is foreign currency, if there is any other agreement in the foreign currency interest rate supplement contract or foreign currency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change contract signed by both parties hereto, the agreement shall apply.</w:t>
      </w:r>
    </w:p>
    <w:p>
      <w:pPr>
        <w:spacing w:after="0" w:line="14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8</w:t>
      </w:r>
      <w:r>
        <w:rPr>
          <w:rFonts w:ascii="MS PGothic" w:cs="MS PGothic" w:eastAsia="MS PGothic" w:hAnsi="MS PGothic"/>
          <w:sz w:val="16"/>
          <w:szCs w:val="16"/>
          <w:color w:val="auto"/>
        </w:rPr>
        <w:t>．</w:t>
      </w:r>
      <w:r>
        <w:rPr>
          <w:rFonts w:ascii="Arial" w:cs="Arial" w:eastAsia="Arial" w:hAnsi="Arial"/>
          <w:sz w:val="16"/>
          <w:szCs w:val="16"/>
          <w:color w:val="auto"/>
        </w:rPr>
        <w:t xml:space="preserve">The drawdown period of the loan under the Contract is from </w:t>
      </w:r>
      <w:r>
        <w:rPr>
          <w:rFonts w:ascii="Arial" w:cs="Arial" w:eastAsia="Arial" w:hAnsi="Arial"/>
          <w:sz w:val="16"/>
          <w:szCs w:val="16"/>
          <w:u w:val="single" w:color="auto"/>
          <w:color w:val="auto"/>
        </w:rPr>
        <w:t>June 26, 2023</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June 30, 2023</w:t>
      </w:r>
      <w:r>
        <w:rPr>
          <w:rFonts w:ascii="Arial" w:cs="Arial" w:eastAsia="Arial" w:hAnsi="Arial"/>
          <w:sz w:val="16"/>
          <w:szCs w:val="16"/>
          <w:color w:val="auto"/>
        </w:rPr>
        <w:t xml:space="preserve">. The first withdrawal shall be made before </w:t>
      </w:r>
      <w:r>
        <w:rPr>
          <w:rFonts w:ascii="Arial" w:cs="Arial" w:eastAsia="Arial" w:hAnsi="Arial"/>
          <w:sz w:val="16"/>
          <w:szCs w:val="16"/>
          <w:u w:val="single" w:color="auto"/>
          <w:color w:val="auto"/>
        </w:rPr>
        <w:t>June 30, 2023</w:t>
      </w:r>
    </w:p>
    <w:p>
      <w:pPr>
        <w:spacing w:after="0" w:line="132" w:lineRule="exact"/>
        <w:rPr>
          <w:sz w:val="20"/>
          <w:szCs w:val="20"/>
          <w:color w:val="auto"/>
        </w:rPr>
      </w:pPr>
    </w:p>
    <w:p>
      <w:pPr>
        <w:ind w:firstLine="7"/>
        <w:spacing w:after="0" w:line="242" w:lineRule="exact"/>
        <w:tabs>
          <w:tab w:leader="none" w:pos="19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withdrawal plan for the loan under this Contract is as follows (please select þ in the box below, tick </w:t>
      </w:r>
      <w:r>
        <w:rPr>
          <w:rFonts w:ascii="MS PGothic" w:cs="MS PGothic" w:eastAsia="MS PGothic" w:hAnsi="MS PGothic"/>
          <w:sz w:val="18"/>
          <w:szCs w:val="18"/>
          <w:color w:val="auto"/>
        </w:rPr>
        <w:t>☒</w:t>
      </w:r>
      <w:r>
        <w:rPr>
          <w:rFonts w:ascii="Arial" w:cs="Arial" w:eastAsia="Arial" w:hAnsi="Arial"/>
          <w:sz w:val="18"/>
          <w:szCs w:val="18"/>
          <w:color w:val="auto"/>
        </w:rPr>
        <w:t xml:space="preserve"> if you do not select) the withdrawal plan is shown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00" w:type="dxa"/>
            <w:vAlign w:val="bottom"/>
          </w:tcPr>
          <w:p>
            <w:pPr>
              <w:spacing w:after="0"/>
              <w:rPr>
                <w:sz w:val="20"/>
                <w:szCs w:val="20"/>
                <w:color w:val="auto"/>
              </w:rPr>
            </w:pPr>
            <w:r>
              <w:rPr>
                <w:rFonts w:ascii="Arial" w:cs="Arial" w:eastAsia="Arial" w:hAnsi="Arial"/>
                <w:sz w:val="18"/>
                <w:szCs w:val="18"/>
                <w:color w:val="auto"/>
              </w:rPr>
              <w:t>NO</w:t>
            </w:r>
          </w:p>
        </w:tc>
        <w:tc>
          <w:tcPr>
            <w:tcW w:w="4060" w:type="dxa"/>
            <w:vAlign w:val="bottom"/>
            <w:gridSpan w:val="3"/>
          </w:tcPr>
          <w:p>
            <w:pPr>
              <w:ind w:left="240"/>
              <w:spacing w:after="0"/>
              <w:rPr>
                <w:sz w:val="20"/>
                <w:szCs w:val="20"/>
                <w:color w:val="auto"/>
              </w:rPr>
            </w:pPr>
            <w:r>
              <w:rPr>
                <w:rFonts w:ascii="Arial" w:cs="Arial" w:eastAsia="Arial" w:hAnsi="Arial"/>
                <w:sz w:val="18"/>
                <w:szCs w:val="18"/>
                <w:color w:val="auto"/>
              </w:rPr>
              <w:t>The withdrawal date</w:t>
            </w:r>
          </w:p>
        </w:tc>
        <w:tc>
          <w:tcPr>
            <w:tcW w:w="3580" w:type="dxa"/>
            <w:vAlign w:val="bottom"/>
          </w:tcPr>
          <w:p>
            <w:pPr>
              <w:spacing w:after="0"/>
              <w:rPr>
                <w:sz w:val="20"/>
                <w:szCs w:val="20"/>
                <w:color w:val="auto"/>
              </w:rPr>
            </w:pPr>
            <w:r>
              <w:rPr>
                <w:rFonts w:ascii="Arial" w:cs="Arial" w:eastAsia="Arial" w:hAnsi="Arial"/>
                <w:sz w:val="18"/>
                <w:szCs w:val="18"/>
                <w:color w:val="auto"/>
              </w:rPr>
              <w:t>On withdrawals</w:t>
            </w:r>
          </w:p>
        </w:tc>
      </w:tr>
      <w:tr>
        <w:trPr>
          <w:trHeight w:val="226"/>
        </w:trPr>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19" w:lineRule="exact"/>
        <w:rPr>
          <w:sz w:val="20"/>
          <w:szCs w:val="20"/>
          <w:color w:val="auto"/>
        </w:rPr>
      </w:pPr>
    </w:p>
    <w:p>
      <w:pPr>
        <w:ind w:left="460" w:hanging="133"/>
        <w:spacing w:after="0"/>
        <w:tabs>
          <w:tab w:leader="none" w:pos="4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Other withdrawal plans: </w:t>
      </w:r>
      <w:r>
        <w:rPr>
          <w:rFonts w:ascii="Arial" w:cs="Arial" w:eastAsia="Arial" w:hAnsi="Arial"/>
          <w:sz w:val="18"/>
          <w:szCs w:val="18"/>
          <w:u w:val="single" w:color="auto"/>
          <w:color w:val="auto"/>
        </w:rPr>
        <w:t>Lump sum withdrawal .</w:t>
      </w:r>
    </w:p>
    <w:p>
      <w:pPr>
        <w:spacing w:after="0" w:line="108" w:lineRule="exact"/>
        <w:rPr>
          <w:rFonts w:ascii="Arial" w:cs="Arial" w:eastAsia="Arial" w:hAnsi="Arial"/>
          <w:sz w:val="18"/>
          <w:szCs w:val="18"/>
          <w:color w:val="auto"/>
        </w:rPr>
      </w:pPr>
    </w:p>
    <w:p>
      <w:pPr>
        <w:ind w:left="280" w:hanging="273"/>
        <w:spacing w:after="0" w:line="207" w:lineRule="exact"/>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repayment plan of the loan under this Contract is as follows (Please tick þ in the box below, if not, tick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00" w:type="dxa"/>
            <w:vAlign w:val="bottom"/>
          </w:tcPr>
          <w:p>
            <w:pPr>
              <w:spacing w:after="0"/>
              <w:rPr>
                <w:sz w:val="20"/>
                <w:szCs w:val="20"/>
                <w:color w:val="auto"/>
              </w:rPr>
            </w:pPr>
            <w:r>
              <w:rPr>
                <w:rFonts w:ascii="Arial" w:cs="Arial" w:eastAsia="Arial" w:hAnsi="Arial"/>
                <w:sz w:val="18"/>
                <w:szCs w:val="18"/>
                <w:color w:val="auto"/>
              </w:rPr>
              <w:t>NO</w:t>
            </w:r>
          </w:p>
        </w:tc>
        <w:tc>
          <w:tcPr>
            <w:tcW w:w="4060" w:type="dxa"/>
            <w:vAlign w:val="bottom"/>
            <w:gridSpan w:val="3"/>
          </w:tcPr>
          <w:p>
            <w:pPr>
              <w:ind w:left="240"/>
              <w:spacing w:after="0"/>
              <w:rPr>
                <w:sz w:val="20"/>
                <w:szCs w:val="20"/>
                <w:color w:val="auto"/>
              </w:rPr>
            </w:pPr>
            <w:r>
              <w:rPr>
                <w:rFonts w:ascii="Arial" w:cs="Arial" w:eastAsia="Arial" w:hAnsi="Arial"/>
                <w:sz w:val="18"/>
                <w:szCs w:val="18"/>
                <w:color w:val="auto"/>
              </w:rPr>
              <w:t>Repayment date</w:t>
            </w:r>
          </w:p>
        </w:tc>
        <w:tc>
          <w:tcPr>
            <w:tcW w:w="3580" w:type="dxa"/>
            <w:vAlign w:val="bottom"/>
          </w:tcPr>
          <w:p>
            <w:pPr>
              <w:spacing w:after="0"/>
              <w:rPr>
                <w:sz w:val="20"/>
                <w:szCs w:val="20"/>
                <w:color w:val="auto"/>
              </w:rPr>
            </w:pPr>
            <w:r>
              <w:rPr>
                <w:rFonts w:ascii="Arial" w:cs="Arial" w:eastAsia="Arial" w:hAnsi="Arial"/>
                <w:sz w:val="18"/>
                <w:szCs w:val="18"/>
                <w:color w:val="auto"/>
              </w:rPr>
              <w:t>Reimbursement amount</w:t>
            </w:r>
          </w:p>
        </w:tc>
      </w:tr>
      <w:tr>
        <w:trPr>
          <w:trHeight w:val="226"/>
        </w:trPr>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19" w:lineRule="exact"/>
        <w:rPr>
          <w:sz w:val="20"/>
          <w:szCs w:val="20"/>
          <w:color w:val="auto"/>
        </w:rPr>
      </w:pPr>
    </w:p>
    <w:p>
      <w:pPr>
        <w:ind w:left="460" w:hanging="133"/>
        <w:spacing w:after="0"/>
        <w:tabs>
          <w:tab w:leader="none" w:pos="4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Other repayment plans: </w:t>
      </w:r>
      <w:r>
        <w:rPr>
          <w:rFonts w:ascii="Arial" w:cs="Arial" w:eastAsia="Arial" w:hAnsi="Arial"/>
          <w:sz w:val="18"/>
          <w:szCs w:val="18"/>
          <w:u w:val="single" w:color="auto"/>
          <w:color w:val="auto"/>
        </w:rPr>
        <w:t>Lump sum repayment .</w:t>
      </w:r>
    </w:p>
    <w:p>
      <w:pPr>
        <w:spacing w:after="0" w:line="153" w:lineRule="exact"/>
        <w:rPr>
          <w:rFonts w:ascii="Arial" w:cs="Arial" w:eastAsia="Arial" w:hAnsi="Arial"/>
          <w:sz w:val="18"/>
          <w:szCs w:val="18"/>
          <w:color w:val="auto"/>
        </w:rPr>
      </w:pPr>
    </w:p>
    <w:p>
      <w:pPr>
        <w:ind w:left="260" w:hanging="253"/>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Liquidated damages for loan repayment in advance; Equivalent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the actual amount of loan repaid in advance.</w:t>
      </w:r>
    </w:p>
    <w:p>
      <w:pPr>
        <w:spacing w:after="0" w:line="153" w:lineRule="exact"/>
        <w:rPr>
          <w:rFonts w:ascii="Arial" w:cs="Arial" w:eastAsia="Arial" w:hAnsi="Arial"/>
          <w:sz w:val="18"/>
          <w:szCs w:val="18"/>
          <w:color w:val="auto"/>
        </w:rPr>
      </w:pPr>
    </w:p>
    <w:p>
      <w:pPr>
        <w:ind w:left="280" w:hanging="273"/>
        <w:spacing w:after="0"/>
        <w:tabs>
          <w:tab w:leader="none" w:pos="2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principal amount of loan repayment in advance shall not be less than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currency) </w:t>
      </w:r>
      <w:r>
        <w:rPr>
          <w:rFonts w:ascii="Arial" w:cs="Arial" w:eastAsia="Arial" w:hAnsi="Arial"/>
          <w:sz w:val="18"/>
          <w:szCs w:val="18"/>
          <w:u w:val="single" w:color="auto"/>
          <w:color w:val="auto"/>
        </w:rPr>
        <w:t>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5" w:name="page296"/>
    <w:bookmarkEnd w:id="295"/>
    <w:p>
      <w:pPr>
        <w:ind w:firstLine="7"/>
        <w:spacing w:after="0" w:line="242" w:lineRule="exact"/>
        <w:tabs>
          <w:tab w:leader="none" w:pos="27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Account opening (select one of the following modes for RMB loans, select the special account mode for foreign currency loans, and mark </w:t>
      </w:r>
      <w:r>
        <w:rPr>
          <w:rFonts w:ascii="MS PGothic" w:cs="MS PGothic" w:eastAsia="MS PGothic" w:hAnsi="MS PGothic"/>
          <w:sz w:val="18"/>
          <w:szCs w:val="18"/>
          <w:color w:val="auto"/>
        </w:rPr>
        <w:t>☒</w:t>
      </w:r>
      <w:r>
        <w:rPr>
          <w:rFonts w:ascii="Arial" w:cs="Arial" w:eastAsia="Arial" w:hAnsi="Arial"/>
          <w:sz w:val="18"/>
          <w:szCs w:val="18"/>
          <w:color w:val="auto"/>
        </w:rPr>
        <w:t xml:space="preserve"> for those not selected)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þ Unsegregated account mode:</w:t>
      </w:r>
    </w:p>
    <w:p>
      <w:pPr>
        <w:spacing w:after="0" w:line="220" w:lineRule="exact"/>
        <w:rPr>
          <w:sz w:val="20"/>
          <w:szCs w:val="20"/>
          <w:color w:val="auto"/>
        </w:rPr>
      </w:pPr>
    </w:p>
    <w:p>
      <w:pPr>
        <w:ind w:left="320" w:right="5640" w:hanging="313"/>
        <w:spacing w:after="0" w:line="556" w:lineRule="auto"/>
        <w:tabs>
          <w:tab w:leader="none" w:pos="3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general settlement account opened by the borrower with the lender is: Bank: </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 </w:t>
      </w:r>
      <w:r>
        <w:rPr>
          <w:rFonts w:ascii="Arial" w:cs="Arial" w:eastAsia="Arial" w:hAnsi="Arial"/>
          <w:sz w:val="16"/>
          <w:szCs w:val="16"/>
          <w:u w:val="single" w:color="auto"/>
          <w:color w:val="auto"/>
        </w:rPr>
        <w:t>ChinaLink Professional Services Co., Ltd.</w:t>
      </w:r>
    </w:p>
    <w:p>
      <w:pPr>
        <w:spacing w:after="0" w:line="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 xml:space="preserve">Bank account number: </w:t>
      </w:r>
      <w:r>
        <w:rPr>
          <w:rFonts w:ascii="Arial" w:cs="Arial" w:eastAsia="Arial" w:hAnsi="Arial"/>
          <w:sz w:val="18"/>
          <w:szCs w:val="18"/>
          <w:u w:val="single" w:color="auto"/>
          <w:color w:val="auto"/>
        </w:rPr>
        <w:t>98840078801600002917</w:t>
      </w:r>
    </w:p>
    <w:p>
      <w:pPr>
        <w:spacing w:after="0" w:line="219" w:lineRule="exact"/>
        <w:rPr>
          <w:rFonts w:ascii="Arial" w:cs="Arial" w:eastAsia="Arial" w:hAnsi="Arial"/>
          <w:sz w:val="16"/>
          <w:szCs w:val="16"/>
          <w:color w:val="auto"/>
        </w:rPr>
      </w:pPr>
    </w:p>
    <w:p>
      <w:pPr>
        <w:ind w:left="320" w:right="5940" w:hanging="313"/>
        <w:spacing w:after="0" w:line="556" w:lineRule="auto"/>
        <w:tabs>
          <w:tab w:leader="none" w:pos="3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borrower’s fund recovery account opened with the lender is: Bank:</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 </w:t>
      </w:r>
      <w:r>
        <w:rPr>
          <w:rFonts w:ascii="Arial" w:cs="Arial" w:eastAsia="Arial" w:hAnsi="Arial"/>
          <w:sz w:val="16"/>
          <w:szCs w:val="16"/>
          <w:u w:val="single" w:color="auto"/>
          <w:color w:val="auto"/>
        </w:rPr>
        <w:t>ChinaLink Professional Services Co., Ltd.</w:t>
      </w:r>
    </w:p>
    <w:p>
      <w:pPr>
        <w:spacing w:after="0" w:line="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 xml:space="preserve">Bank account number: </w:t>
      </w:r>
      <w:r>
        <w:rPr>
          <w:rFonts w:ascii="Arial" w:cs="Arial" w:eastAsia="Arial" w:hAnsi="Arial"/>
          <w:sz w:val="18"/>
          <w:szCs w:val="18"/>
          <w:u w:val="single" w:color="auto"/>
          <w:color w:val="auto"/>
        </w:rPr>
        <w:t>98840078801600002917</w:t>
      </w:r>
    </w:p>
    <w:p>
      <w:pPr>
        <w:spacing w:after="0" w:line="175" w:lineRule="exact"/>
        <w:rPr>
          <w:sz w:val="20"/>
          <w:szCs w:val="20"/>
          <w:color w:val="auto"/>
        </w:rPr>
      </w:pPr>
    </w:p>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Special Account mode</w:t>
      </w:r>
    </w:p>
    <w:p>
      <w:pPr>
        <w:spacing w:after="0" w:line="264" w:lineRule="exact"/>
        <w:rPr>
          <w:sz w:val="20"/>
          <w:szCs w:val="20"/>
          <w:color w:val="auto"/>
        </w:rPr>
      </w:pPr>
    </w:p>
    <w:p>
      <w:pPr>
        <w:ind w:left="320" w:hanging="313"/>
        <w:spacing w:after="0"/>
        <w:tabs>
          <w:tab w:leader="none" w:pos="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special account for working capital loan opened by the borrower with the lender is: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Arial" w:cs="Arial" w:eastAsia="Arial" w:hAnsi="Arial"/>
                <w:sz w:val="18"/>
                <w:szCs w:val="18"/>
                <w:color w:val="auto"/>
              </w:rPr>
              <w:t>Bank:___________ /</w:t>
            </w:r>
          </w:p>
        </w:tc>
        <w:tc>
          <w:tcPr>
            <w:tcW w:w="560" w:type="dxa"/>
            <w:vAlign w:val="bottom"/>
          </w:tcPr>
          <w:p>
            <w:pPr>
              <w:jc w:val="right"/>
              <w:ind w:right="411"/>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7"/>
        </w:trPr>
        <w:tc>
          <w:tcPr>
            <w:tcW w:w="2680" w:type="dxa"/>
            <w:vAlign w:val="bottom"/>
            <w:gridSpan w:val="3"/>
          </w:tcPr>
          <w:p>
            <w:pPr>
              <w:spacing w:after="0"/>
              <w:rPr>
                <w:sz w:val="20"/>
                <w:szCs w:val="20"/>
                <w:color w:val="auto"/>
              </w:rPr>
            </w:pPr>
            <w:r>
              <w:rPr>
                <w:rFonts w:ascii="Arial" w:cs="Arial" w:eastAsia="Arial" w:hAnsi="Arial"/>
                <w:sz w:val="18"/>
                <w:szCs w:val="18"/>
                <w:color w:val="auto"/>
                <w:w w:val="92"/>
              </w:rPr>
              <w:t>Bank account name:___________ /</w:t>
            </w:r>
          </w:p>
        </w:tc>
        <w:tc>
          <w:tcPr>
            <w:tcW w:w="5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4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7"/>
        </w:trPr>
        <w:tc>
          <w:tcPr>
            <w:tcW w:w="3240" w:type="dxa"/>
            <w:vAlign w:val="bottom"/>
            <w:gridSpan w:val="4"/>
          </w:tcPr>
          <w:p>
            <w:pPr>
              <w:spacing w:after="0"/>
              <w:rPr>
                <w:sz w:val="20"/>
                <w:szCs w:val="20"/>
                <w:color w:val="auto"/>
              </w:rPr>
            </w:pPr>
            <w:r>
              <w:rPr>
                <w:rFonts w:ascii="Arial" w:cs="Arial" w:eastAsia="Arial" w:hAnsi="Arial"/>
                <w:sz w:val="18"/>
                <w:szCs w:val="18"/>
                <w:color w:val="auto"/>
              </w:rPr>
              <w:t>Bank account number: ___________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5320" w:type="dxa"/>
            <w:vAlign w:val="bottom"/>
            <w:gridSpan w:val="7"/>
          </w:tcPr>
          <w:p>
            <w:pPr>
              <w:ind w:left="40"/>
              <w:spacing w:after="0"/>
              <w:rPr>
                <w:sz w:val="20"/>
                <w:szCs w:val="20"/>
                <w:color w:val="auto"/>
              </w:rPr>
            </w:pPr>
            <w:r>
              <w:rPr>
                <w:rFonts w:ascii="Arial" w:cs="Arial" w:eastAsia="Arial" w:hAnsi="Arial"/>
                <w:sz w:val="18"/>
                <w:szCs w:val="18"/>
                <w:color w:val="auto"/>
                <w:w w:val="88"/>
              </w:rPr>
              <w:t>The general settlement account opened by the borrower with the lender is:</w:t>
            </w:r>
          </w:p>
        </w:tc>
      </w:tr>
      <w:tr>
        <w:trPr>
          <w:trHeight w:val="388"/>
        </w:trPr>
        <w:tc>
          <w:tcPr>
            <w:tcW w:w="280" w:type="dxa"/>
            <w:vAlign w:val="bottom"/>
          </w:tcPr>
          <w:p>
            <w:pPr>
              <w:spacing w:after="0"/>
              <w:rPr>
                <w:sz w:val="24"/>
                <w:szCs w:val="24"/>
                <w:color w:val="auto"/>
              </w:rPr>
            </w:pPr>
          </w:p>
        </w:tc>
        <w:tc>
          <w:tcPr>
            <w:tcW w:w="2720" w:type="dxa"/>
            <w:vAlign w:val="bottom"/>
            <w:gridSpan w:val="3"/>
          </w:tcPr>
          <w:p>
            <w:pPr>
              <w:ind w:left="40"/>
              <w:spacing w:after="0"/>
              <w:rPr>
                <w:sz w:val="20"/>
                <w:szCs w:val="20"/>
                <w:color w:val="auto"/>
              </w:rPr>
            </w:pPr>
            <w:r>
              <w:rPr>
                <w:rFonts w:ascii="Arial" w:cs="Arial" w:eastAsia="Arial" w:hAnsi="Arial"/>
                <w:sz w:val="18"/>
                <w:szCs w:val="18"/>
                <w:color w:val="auto"/>
              </w:rPr>
              <w:t>Bank:___________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2720" w:type="dxa"/>
            <w:vAlign w:val="bottom"/>
            <w:gridSpan w:val="3"/>
          </w:tcPr>
          <w:p>
            <w:pPr>
              <w:ind w:left="40"/>
              <w:spacing w:after="0"/>
              <w:rPr>
                <w:sz w:val="20"/>
                <w:szCs w:val="20"/>
                <w:color w:val="auto"/>
              </w:rPr>
            </w:pPr>
            <w:r>
              <w:rPr>
                <w:rFonts w:ascii="Arial" w:cs="Arial" w:eastAsia="Arial" w:hAnsi="Arial"/>
                <w:sz w:val="18"/>
                <w:szCs w:val="18"/>
                <w:color w:val="auto"/>
                <w:w w:val="93"/>
              </w:rPr>
              <w:t>Bank account name:___________ /</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ind w:right="111"/>
              <w:spacing w:after="0"/>
              <w:rPr>
                <w:sz w:val="20"/>
                <w:szCs w:val="20"/>
                <w:color w:val="auto"/>
              </w:rPr>
            </w:pPr>
            <w:r>
              <w:rPr>
                <w:rFonts w:ascii="Arial" w:cs="Arial" w:eastAsia="Arial" w:hAnsi="Arial"/>
                <w:sz w:val="18"/>
                <w:szCs w:val="18"/>
                <w:color w:val="auto"/>
                <w:w w:val="78"/>
              </w:rPr>
              <w:t>.</w:t>
            </w:r>
          </w:p>
        </w:tc>
        <w:tc>
          <w:tcPr>
            <w:tcW w:w="13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3760" w:type="dxa"/>
            <w:vAlign w:val="bottom"/>
            <w:gridSpan w:val="5"/>
          </w:tcPr>
          <w:p>
            <w:pPr>
              <w:ind w:left="40"/>
              <w:spacing w:after="0"/>
              <w:rPr>
                <w:sz w:val="20"/>
                <w:szCs w:val="20"/>
                <w:color w:val="auto"/>
              </w:rPr>
            </w:pPr>
            <w:r>
              <w:rPr>
                <w:rFonts w:ascii="Arial" w:cs="Arial" w:eastAsia="Arial" w:hAnsi="Arial"/>
                <w:sz w:val="18"/>
                <w:szCs w:val="18"/>
                <w:color w:val="auto"/>
              </w:rPr>
              <w:t>Bank account number: ___________ /</w:t>
            </w:r>
          </w:p>
        </w:tc>
        <w:tc>
          <w:tcPr>
            <w:tcW w:w="156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6"/>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5320" w:type="dxa"/>
            <w:vAlign w:val="bottom"/>
            <w:gridSpan w:val="7"/>
          </w:tcPr>
          <w:p>
            <w:pPr>
              <w:ind w:left="40"/>
              <w:spacing w:after="0"/>
              <w:rPr>
                <w:sz w:val="20"/>
                <w:szCs w:val="20"/>
                <w:color w:val="auto"/>
              </w:rPr>
            </w:pPr>
            <w:r>
              <w:rPr>
                <w:rFonts w:ascii="Arial" w:cs="Arial" w:eastAsia="Arial" w:hAnsi="Arial"/>
                <w:sz w:val="18"/>
                <w:szCs w:val="18"/>
                <w:color w:val="auto"/>
              </w:rPr>
              <w:t>The Borrower’s fund recovery account opened with the Lender is:</w:t>
            </w:r>
          </w:p>
        </w:tc>
      </w:tr>
      <w:tr>
        <w:trPr>
          <w:trHeight w:val="388"/>
        </w:trPr>
        <w:tc>
          <w:tcPr>
            <w:tcW w:w="280" w:type="dxa"/>
            <w:vAlign w:val="bottom"/>
          </w:tcPr>
          <w:p>
            <w:pPr>
              <w:spacing w:after="0"/>
              <w:rPr>
                <w:sz w:val="24"/>
                <w:szCs w:val="24"/>
                <w:color w:val="auto"/>
              </w:rPr>
            </w:pPr>
          </w:p>
        </w:tc>
        <w:tc>
          <w:tcPr>
            <w:tcW w:w="2720" w:type="dxa"/>
            <w:vAlign w:val="bottom"/>
            <w:gridSpan w:val="3"/>
          </w:tcPr>
          <w:p>
            <w:pPr>
              <w:ind w:left="40"/>
              <w:spacing w:after="0"/>
              <w:rPr>
                <w:sz w:val="20"/>
                <w:szCs w:val="20"/>
                <w:color w:val="auto"/>
              </w:rPr>
            </w:pPr>
            <w:r>
              <w:rPr>
                <w:rFonts w:ascii="Arial" w:cs="Arial" w:eastAsia="Arial" w:hAnsi="Arial"/>
                <w:sz w:val="18"/>
                <w:szCs w:val="18"/>
                <w:color w:val="auto"/>
              </w:rPr>
              <w:t>Bank:___________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6"/>
        </w:trPr>
        <w:tc>
          <w:tcPr>
            <w:tcW w:w="280" w:type="dxa"/>
            <w:vAlign w:val="bottom"/>
          </w:tcPr>
          <w:p>
            <w:pPr>
              <w:spacing w:after="0"/>
              <w:rPr>
                <w:sz w:val="24"/>
                <w:szCs w:val="24"/>
                <w:color w:val="auto"/>
              </w:rPr>
            </w:pPr>
          </w:p>
        </w:tc>
        <w:tc>
          <w:tcPr>
            <w:tcW w:w="3760" w:type="dxa"/>
            <w:vAlign w:val="bottom"/>
            <w:gridSpan w:val="5"/>
          </w:tcPr>
          <w:p>
            <w:pPr>
              <w:ind w:left="40"/>
              <w:spacing w:after="0"/>
              <w:rPr>
                <w:sz w:val="20"/>
                <w:szCs w:val="20"/>
                <w:color w:val="auto"/>
              </w:rPr>
            </w:pPr>
            <w:r>
              <w:rPr>
                <w:rFonts w:ascii="Arial" w:cs="Arial" w:eastAsia="Arial" w:hAnsi="Arial"/>
                <w:sz w:val="18"/>
                <w:szCs w:val="18"/>
                <w:color w:val="auto"/>
                <w:w w:val="88"/>
              </w:rPr>
              <w:t>Bank account name: ___________ /____________.</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7"/>
        </w:trPr>
        <w:tc>
          <w:tcPr>
            <w:tcW w:w="280" w:type="dxa"/>
            <w:vAlign w:val="bottom"/>
          </w:tcPr>
          <w:p>
            <w:pPr>
              <w:spacing w:after="0"/>
              <w:rPr>
                <w:sz w:val="24"/>
                <w:szCs w:val="24"/>
                <w:color w:val="auto"/>
              </w:rPr>
            </w:pPr>
          </w:p>
        </w:tc>
        <w:tc>
          <w:tcPr>
            <w:tcW w:w="3760" w:type="dxa"/>
            <w:vAlign w:val="bottom"/>
            <w:gridSpan w:val="5"/>
          </w:tcPr>
          <w:p>
            <w:pPr>
              <w:ind w:left="40"/>
              <w:spacing w:after="0"/>
              <w:rPr>
                <w:sz w:val="20"/>
                <w:szCs w:val="20"/>
                <w:color w:val="auto"/>
              </w:rPr>
            </w:pPr>
            <w:r>
              <w:rPr>
                <w:rFonts w:ascii="Arial" w:cs="Arial" w:eastAsia="Arial" w:hAnsi="Arial"/>
                <w:sz w:val="18"/>
                <w:szCs w:val="18"/>
                <w:color w:val="auto"/>
                <w:w w:val="88"/>
              </w:rPr>
              <w:t>Bank account number:___________ /___________.</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0" w:lineRule="exact"/>
        <w:rPr>
          <w:sz w:val="20"/>
          <w:szCs w:val="20"/>
          <w:color w:val="auto"/>
        </w:rPr>
      </w:pPr>
    </w:p>
    <w:p>
      <w:pPr>
        <w:ind w:right="20" w:firstLine="7"/>
        <w:spacing w:after="0" w:line="270" w:lineRule="auto"/>
        <w:tabs>
          <w:tab w:leader="none" w:pos="27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Entrusted Payment by the Lender: if the payment object is clear and the single managed payment amount exceeds (currency amount) </w:t>
      </w:r>
      <w:r>
        <w:rPr>
          <w:rFonts w:ascii="Arial" w:cs="Arial" w:eastAsia="Arial" w:hAnsi="Arial"/>
          <w:sz w:val="18"/>
          <w:szCs w:val="18"/>
          <w:u w:val="single" w:color="auto"/>
          <w:color w:val="auto"/>
        </w:rPr>
        <w:t>RMB 5 million</w:t>
      </w:r>
      <w:r>
        <w:rPr>
          <w:rFonts w:ascii="Arial" w:cs="Arial" w:eastAsia="Arial" w:hAnsi="Arial"/>
          <w:sz w:val="18"/>
          <w:szCs w:val="18"/>
          <w:color w:val="auto"/>
        </w:rPr>
        <w:t xml:space="preserve"> the loan fund payment, the entrusted payment method of the Lender shall be</w:t>
      </w:r>
    </w:p>
    <w:p>
      <w:pPr>
        <w:spacing w:after="0" w:line="174" w:lineRule="exact"/>
        <w:rPr>
          <w:rFonts w:ascii="Arial" w:cs="Arial" w:eastAsia="Arial" w:hAnsi="Arial"/>
          <w:sz w:val="18"/>
          <w:szCs w:val="18"/>
          <w:color w:val="auto"/>
        </w:rPr>
      </w:pPr>
    </w:p>
    <w:p>
      <w:pPr>
        <w:ind w:left="280" w:hanging="273"/>
        <w:spacing w:after="0"/>
        <w:tabs>
          <w:tab w:leader="none" w:pos="2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guarantors and security contracts providing security for the debt hereunder include but are not limited to:</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90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guarantor ___________ /</w:t>
            </w:r>
          </w:p>
        </w:tc>
        <w:tc>
          <w:tcPr>
            <w:tcW w:w="140" w:type="dxa"/>
            <w:vAlign w:val="bottom"/>
          </w:tcPr>
          <w:p>
            <w:pPr>
              <w:spacing w:after="0"/>
              <w:rPr>
                <w:sz w:val="20"/>
                <w:szCs w:val="20"/>
                <w:color w:val="auto"/>
              </w:rPr>
            </w:pPr>
          </w:p>
        </w:tc>
        <w:tc>
          <w:tcPr>
            <w:tcW w:w="1840" w:type="dxa"/>
            <w:vAlign w:val="bottom"/>
            <w:gridSpan w:val="3"/>
          </w:tcPr>
          <w:p>
            <w:pPr>
              <w:jc w:val="right"/>
              <w:ind w:right="120"/>
              <w:spacing w:after="0" w:line="219" w:lineRule="exact"/>
              <w:rPr>
                <w:sz w:val="20"/>
                <w:szCs w:val="20"/>
                <w:color w:val="auto"/>
              </w:rPr>
            </w:pPr>
            <w:r>
              <w:rPr>
                <w:rFonts w:ascii="SimSun" w:cs="SimSun" w:eastAsia="SimSun" w:hAnsi="SimSun"/>
                <w:sz w:val="18"/>
                <w:szCs w:val="18"/>
                <w:b w:val="1"/>
                <w:bCs w:val="1"/>
                <w:color w:val="auto"/>
                <w:w w:val="82"/>
              </w:rPr>
              <w:t>《</w:t>
            </w:r>
            <w:r>
              <w:rPr>
                <w:rFonts w:ascii="Arial" w:cs="Arial" w:eastAsia="Arial" w:hAnsi="Arial"/>
                <w:sz w:val="18"/>
                <w:szCs w:val="18"/>
                <w:color w:val="auto"/>
                <w:w w:val="82"/>
              </w:rPr>
              <w:t>guaranty contract</w:t>
            </w:r>
            <w:r>
              <w:rPr>
                <w:rFonts w:ascii="SimSun" w:cs="SimSun" w:eastAsia="SimSun" w:hAnsi="SimSun"/>
                <w:sz w:val="18"/>
                <w:szCs w:val="18"/>
                <w:b w:val="1"/>
                <w:bCs w:val="1"/>
                <w:color w:val="auto"/>
                <w:w w:val="82"/>
              </w:rPr>
              <w:t>》</w:t>
            </w:r>
            <w:r>
              <w:rPr>
                <w:rFonts w:ascii="Arial" w:cs="Arial" w:eastAsia="Arial" w:hAnsi="Arial"/>
                <w:sz w:val="18"/>
                <w:szCs w:val="18"/>
                <w:color w:val="auto"/>
                <w:w w:val="82"/>
              </w:rPr>
              <w:t>NO[</w:t>
            </w:r>
          </w:p>
        </w:tc>
        <w:tc>
          <w:tcPr>
            <w:tcW w:w="200" w:type="dxa"/>
            <w:vAlign w:val="bottom"/>
          </w:tcPr>
          <w:p>
            <w:pPr>
              <w:jc w:val="right"/>
              <w:ind w:right="51"/>
              <w:spacing w:after="0"/>
              <w:rPr>
                <w:sz w:val="20"/>
                <w:szCs w:val="20"/>
                <w:color w:val="auto"/>
              </w:rPr>
            </w:pPr>
            <w:r>
              <w:rPr>
                <w:rFonts w:ascii="Arial" w:cs="Arial" w:eastAsia="Arial" w:hAnsi="Arial"/>
                <w:sz w:val="18"/>
                <w:szCs w:val="18"/>
                <w:color w:val="auto"/>
                <w:w w:val="78"/>
              </w:rPr>
              <w:t>]</w:t>
            </w:r>
          </w:p>
        </w:tc>
      </w:tr>
      <w:tr>
        <w:trPr>
          <w:trHeight w:val="20"/>
        </w:trPr>
        <w:tc>
          <w:tcPr>
            <w:tcW w:w="2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4"/>
        </w:trPr>
        <w:tc>
          <w:tcPr>
            <w:tcW w:w="290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mortgagor ___________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2"/>
          </w:tcPr>
          <w:p>
            <w:pPr>
              <w:jc w:val="right"/>
              <w:spacing w:after="0" w:line="219" w:lineRule="exact"/>
              <w:rPr>
                <w:sz w:val="20"/>
                <w:szCs w:val="20"/>
                <w:color w:val="auto"/>
              </w:rPr>
            </w:pPr>
            <w:r>
              <w:rPr>
                <w:rFonts w:ascii="SimSun" w:cs="SimSun" w:eastAsia="SimSun" w:hAnsi="SimSun"/>
                <w:sz w:val="18"/>
                <w:szCs w:val="18"/>
                <w:b w:val="1"/>
                <w:bCs w:val="1"/>
                <w:color w:val="auto"/>
                <w:w w:val="82"/>
              </w:rPr>
              <w:t>《</w:t>
            </w:r>
            <w:r>
              <w:rPr>
                <w:rFonts w:ascii="Arial" w:cs="Arial" w:eastAsia="Arial" w:hAnsi="Arial"/>
                <w:sz w:val="18"/>
                <w:szCs w:val="18"/>
                <w:color w:val="auto"/>
                <w:w w:val="82"/>
              </w:rPr>
              <w:t>Mortgage contract</w:t>
            </w:r>
            <w:r>
              <w:rPr>
                <w:rFonts w:ascii="SimSun" w:cs="SimSun" w:eastAsia="SimSun" w:hAnsi="SimSun"/>
                <w:sz w:val="18"/>
                <w:szCs w:val="18"/>
                <w:b w:val="1"/>
                <w:bCs w:val="1"/>
                <w:color w:val="auto"/>
                <w:w w:val="82"/>
              </w:rPr>
              <w:t>》</w:t>
            </w:r>
            <w:r>
              <w:rPr>
                <w:rFonts w:ascii="Arial" w:cs="Arial" w:eastAsia="Arial" w:hAnsi="Arial"/>
                <w:sz w:val="18"/>
                <w:szCs w:val="18"/>
                <w:color w:val="auto"/>
                <w:w w:val="82"/>
              </w:rPr>
              <w:t>NO[</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4"/>
        </w:trPr>
        <w:tc>
          <w:tcPr>
            <w:tcW w:w="23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The pledger ___________ /</w:t>
            </w:r>
          </w:p>
        </w:tc>
        <w:tc>
          <w:tcPr>
            <w:tcW w:w="560" w:type="dxa"/>
            <w:vAlign w:val="bottom"/>
            <w:gridSpan w:val="2"/>
          </w:tcPr>
          <w:p>
            <w:pPr>
              <w:spacing w:after="0"/>
              <w:rPr>
                <w:sz w:val="24"/>
                <w:szCs w:val="24"/>
                <w:color w:val="auto"/>
              </w:rPr>
            </w:pPr>
          </w:p>
        </w:tc>
        <w:tc>
          <w:tcPr>
            <w:tcW w:w="1980" w:type="dxa"/>
            <w:vAlign w:val="bottom"/>
            <w:gridSpan w:val="4"/>
          </w:tcPr>
          <w:p>
            <w:pPr>
              <w:jc w:val="right"/>
              <w:ind w:right="160"/>
              <w:spacing w:after="0" w:line="219" w:lineRule="exact"/>
              <w:rPr>
                <w:sz w:val="20"/>
                <w:szCs w:val="20"/>
                <w:color w:val="auto"/>
              </w:rPr>
            </w:pPr>
            <w:r>
              <w:rPr>
                <w:rFonts w:ascii="SimSun" w:cs="SimSun" w:eastAsia="SimSun" w:hAnsi="SimSun"/>
                <w:sz w:val="18"/>
                <w:szCs w:val="18"/>
                <w:b w:val="1"/>
                <w:bCs w:val="1"/>
                <w:color w:val="auto"/>
                <w:w w:val="84"/>
              </w:rPr>
              <w:t>《</w:t>
            </w:r>
            <w:r>
              <w:rPr>
                <w:rFonts w:ascii="Arial" w:cs="Arial" w:eastAsia="Arial" w:hAnsi="Arial"/>
                <w:sz w:val="18"/>
                <w:szCs w:val="18"/>
                <w:color w:val="auto"/>
                <w:w w:val="84"/>
              </w:rPr>
              <w:t>Pledger contract</w:t>
            </w:r>
            <w:r>
              <w:rPr>
                <w:rFonts w:ascii="SimSun" w:cs="SimSun" w:eastAsia="SimSun" w:hAnsi="SimSun"/>
                <w:sz w:val="18"/>
                <w:szCs w:val="18"/>
                <w:b w:val="1"/>
                <w:bCs w:val="1"/>
                <w:color w:val="auto"/>
                <w:w w:val="84"/>
              </w:rPr>
              <w:t>》</w:t>
            </w:r>
            <w:r>
              <w:rPr>
                <w:rFonts w:ascii="Arial" w:cs="Arial" w:eastAsia="Arial" w:hAnsi="Arial"/>
                <w:sz w:val="18"/>
                <w:szCs w:val="18"/>
                <w:color w:val="auto"/>
                <w:w w:val="84"/>
              </w:rPr>
              <w:t>NO[  ]</w:t>
            </w:r>
          </w:p>
        </w:tc>
        <w:tc>
          <w:tcPr>
            <w:tcW w:w="2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7"/>
        </w:trPr>
        <w:tc>
          <w:tcPr>
            <w:tcW w:w="290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guarantee ___________ /</w:t>
            </w:r>
          </w:p>
        </w:tc>
        <w:tc>
          <w:tcPr>
            <w:tcW w:w="1980" w:type="dxa"/>
            <w:vAlign w:val="bottom"/>
            <w:gridSpan w:val="4"/>
          </w:tcPr>
          <w:p>
            <w:pPr>
              <w:jc w:val="right"/>
              <w:ind w:right="1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6" w:name="page297"/>
    <w:bookmarkEnd w:id="296"/>
    <w:p>
      <w:pPr>
        <w:spacing w:after="0"/>
        <w:tabs>
          <w:tab w:leader="none" w:pos="9700" w:val="left"/>
        </w:tabs>
        <w:rPr>
          <w:sz w:val="20"/>
          <w:szCs w:val="20"/>
          <w:color w:val="auto"/>
        </w:rPr>
      </w:pPr>
      <w:r>
        <w:rPr>
          <w:rFonts w:ascii="Arial" w:cs="Arial" w:eastAsia="Arial" w:hAnsi="Arial"/>
          <w:sz w:val="17"/>
          <w:szCs w:val="17"/>
          <w:color w:val="auto"/>
        </w:rPr>
        <w:t xml:space="preserve">16. Breach of contract liquidated damages. It is equivalent to </w:t>
      </w:r>
      <w:r>
        <w:rPr>
          <w:rFonts w:ascii="Arial" w:cs="Arial" w:eastAsia="Arial" w:hAnsi="Arial"/>
          <w:sz w:val="17"/>
          <w:szCs w:val="17"/>
          <w:u w:val="single" w:color="auto"/>
          <w:color w:val="auto"/>
        </w:rPr>
        <w:t>zero</w:t>
      </w:r>
      <w:r>
        <w:rPr>
          <w:rFonts w:ascii="Arial" w:cs="Arial" w:eastAsia="Arial" w:hAnsi="Arial"/>
          <w:sz w:val="17"/>
          <w:szCs w:val="17"/>
          <w:color w:val="auto"/>
        </w:rPr>
        <w:t xml:space="preserve"> percent of the principal amount borrowed or ___________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-4445</wp:posOffset>
            </wp:positionV>
            <wp:extent cx="5397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11" w:lineRule="exact"/>
        <w:rPr>
          <w:sz w:val="20"/>
          <w:szCs w:val="20"/>
          <w:color w:val="auto"/>
        </w:rPr>
      </w:pPr>
    </w:p>
    <w:p>
      <w:pPr>
        <w:ind w:left="260" w:hanging="253"/>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Annexes to this contract include:</w:t>
      </w:r>
    </w:p>
    <w:p>
      <w:pPr>
        <w:spacing w:after="0" w:line="231"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Application for withdrawal</w:t>
      </w:r>
      <w:r>
        <w:rPr>
          <w:rFonts w:ascii="SimSun" w:cs="SimSun" w:eastAsia="SimSun" w:hAnsi="SimSun"/>
          <w:sz w:val="18"/>
          <w:szCs w:val="18"/>
          <w:b w:val="1"/>
          <w:bCs w:val="1"/>
          <w:color w:val="auto"/>
        </w:rPr>
        <w:t>》</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7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2</w:t>
            </w:r>
            <w:r>
              <w:rPr>
                <w:rFonts w:ascii="MS PGothic" w:cs="MS PGothic" w:eastAsia="MS PGothic" w:hAnsi="MS PGothic"/>
                <w:sz w:val="18"/>
                <w:szCs w:val="18"/>
                <w:color w:val="auto"/>
              </w:rPr>
              <w:t>）《</w:t>
            </w:r>
            <w:r>
              <w:rPr>
                <w:rFonts w:ascii="Arial" w:cs="Arial" w:eastAsia="Arial" w:hAnsi="Arial"/>
                <w:sz w:val="18"/>
                <w:szCs w:val="18"/>
                <w:color w:val="auto"/>
              </w:rPr>
              <w:t>___________/</w:t>
            </w:r>
          </w:p>
        </w:tc>
        <w:tc>
          <w:tcPr>
            <w:tcW w:w="80" w:type="dxa"/>
            <w:vAlign w:val="bottom"/>
          </w:tcPr>
          <w:p>
            <w:pPr>
              <w:spacing w:after="0" w:line="92" w:lineRule="exact"/>
              <w:rPr>
                <w:sz w:val="20"/>
                <w:szCs w:val="20"/>
                <w:color w:val="auto"/>
              </w:rPr>
            </w:pPr>
            <w:r>
              <w:rPr>
                <w:rFonts w:ascii="SimSun" w:cs="SimSun" w:eastAsia="SimSun" w:hAnsi="SimSun"/>
                <w:sz w:val="8"/>
                <w:szCs w:val="8"/>
                <w:b w:val="1"/>
                <w:bCs w:val="1"/>
                <w:color w:val="auto"/>
                <w:w w:val="74"/>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92" w:lineRule="exact"/>
              <w:rPr>
                <w:sz w:val="20"/>
                <w:szCs w:val="20"/>
                <w:color w:val="auto"/>
              </w:rPr>
            </w:pPr>
            <w:r>
              <w:rPr>
                <w:rFonts w:ascii="SimSun" w:cs="SimSun" w:eastAsia="SimSun" w:hAnsi="SimSun"/>
                <w:sz w:val="8"/>
                <w:szCs w:val="8"/>
                <w:b w:val="1"/>
                <w:bCs w:val="1"/>
                <w:color w:val="auto"/>
                <w:w w:val="74"/>
              </w:rPr>
              <w:t>》</w:t>
            </w:r>
          </w:p>
        </w:tc>
        <w:tc>
          <w:tcPr>
            <w:tcW w:w="0" w:type="dxa"/>
            <w:vAlign w:val="bottom"/>
          </w:tcPr>
          <w:p>
            <w:pPr>
              <w:spacing w:after="0" w:line="20" w:lineRule="exact"/>
              <w:rPr>
                <w:sz w:val="1"/>
                <w:szCs w:val="1"/>
                <w:color w:val="auto"/>
              </w:rPr>
            </w:pPr>
          </w:p>
        </w:tc>
      </w:tr>
      <w:tr>
        <w:trPr>
          <w:trHeight w:val="434"/>
        </w:trPr>
        <w:tc>
          <w:tcPr>
            <w:tcW w:w="27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3</w:t>
            </w:r>
            <w:r>
              <w:rPr>
                <w:rFonts w:ascii="MS PGothic" w:cs="MS PGothic" w:eastAsia="MS PGothic" w:hAnsi="MS PGothic"/>
                <w:sz w:val="18"/>
                <w:szCs w:val="18"/>
                <w:color w:val="auto"/>
              </w:rPr>
              <w:t>）《</w:t>
            </w:r>
            <w:r>
              <w:rPr>
                <w:rFonts w:ascii="Arial" w:cs="Arial" w:eastAsia="Arial" w:hAnsi="Arial"/>
                <w:sz w:val="18"/>
                <w:szCs w:val="18"/>
                <w:color w:val="auto"/>
              </w:rPr>
              <w:t>___________/</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92" w:lineRule="exact"/>
              <w:rPr>
                <w:sz w:val="20"/>
                <w:szCs w:val="20"/>
                <w:color w:val="auto"/>
              </w:rPr>
            </w:pPr>
            <w:r>
              <w:rPr>
                <w:rFonts w:ascii="SimSun" w:cs="SimSun" w:eastAsia="SimSun" w:hAnsi="SimSun"/>
                <w:sz w:val="8"/>
                <w:szCs w:val="8"/>
                <w:b w:val="1"/>
                <w:bCs w:val="1"/>
                <w:color w:val="auto"/>
                <w:w w:val="74"/>
              </w:rPr>
              <w:t>》</w:t>
            </w:r>
          </w:p>
        </w:tc>
        <w:tc>
          <w:tcPr>
            <w:tcW w:w="0" w:type="dxa"/>
            <w:vAlign w:val="bottom"/>
          </w:tcPr>
          <w:p>
            <w:pPr>
              <w:spacing w:after="0" w:line="20" w:lineRule="exact"/>
              <w:rPr>
                <w:sz w:val="1"/>
                <w:szCs w:val="1"/>
                <w:color w:val="auto"/>
              </w:rPr>
            </w:pPr>
          </w:p>
        </w:tc>
      </w:tr>
      <w:tr>
        <w:trPr>
          <w:trHeight w:val="434"/>
        </w:trPr>
        <w:tc>
          <w:tcPr>
            <w:tcW w:w="27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4</w:t>
            </w:r>
            <w:r>
              <w:rPr>
                <w:rFonts w:ascii="MS PGothic" w:cs="MS PGothic" w:eastAsia="MS PGothic" w:hAnsi="MS PGothic"/>
                <w:sz w:val="18"/>
                <w:szCs w:val="18"/>
                <w:color w:val="auto"/>
              </w:rPr>
              <w:t>）《</w:t>
            </w:r>
            <w:r>
              <w:rPr>
                <w:rFonts w:ascii="Arial" w:cs="Arial" w:eastAsia="Arial" w:hAnsi="Arial"/>
                <w:sz w:val="18"/>
                <w:szCs w:val="18"/>
                <w:color w:val="auto"/>
              </w:rPr>
              <w:t>___________/</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92" w:lineRule="exact"/>
              <w:rPr>
                <w:sz w:val="20"/>
                <w:szCs w:val="20"/>
                <w:color w:val="auto"/>
              </w:rPr>
            </w:pPr>
            <w:r>
              <w:rPr>
                <w:rFonts w:ascii="SimSun" w:cs="SimSun" w:eastAsia="SimSun" w:hAnsi="SimSun"/>
                <w:sz w:val="8"/>
                <w:szCs w:val="8"/>
                <w:b w:val="1"/>
                <w:bCs w:val="1"/>
                <w:color w:val="auto"/>
                <w:w w:val="74"/>
              </w:rPr>
              <w:t>》</w:t>
            </w:r>
          </w:p>
        </w:tc>
        <w:tc>
          <w:tcPr>
            <w:tcW w:w="0" w:type="dxa"/>
            <w:vAlign w:val="bottom"/>
          </w:tcPr>
          <w:p>
            <w:pPr>
              <w:spacing w:after="0" w:line="20" w:lineRule="exact"/>
              <w:rPr>
                <w:sz w:val="1"/>
                <w:szCs w:val="1"/>
                <w:color w:val="auto"/>
              </w:rPr>
            </w:pPr>
          </w:p>
        </w:tc>
      </w:tr>
      <w:tr>
        <w:trPr>
          <w:trHeight w:val="434"/>
        </w:trPr>
        <w:tc>
          <w:tcPr>
            <w:tcW w:w="27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5</w:t>
            </w:r>
            <w:r>
              <w:rPr>
                <w:rFonts w:ascii="MS PGothic" w:cs="MS PGothic" w:eastAsia="MS PGothic" w:hAnsi="MS PGothic"/>
                <w:sz w:val="18"/>
                <w:szCs w:val="18"/>
                <w:color w:val="auto"/>
              </w:rPr>
              <w:t>）《</w:t>
            </w:r>
            <w:r>
              <w:rPr>
                <w:rFonts w:ascii="Arial" w:cs="Arial" w:eastAsia="Arial" w:hAnsi="Arial"/>
                <w:sz w:val="18"/>
                <w:szCs w:val="18"/>
                <w:color w:val="auto"/>
              </w:rPr>
              <w:t>___________/</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80" w:hanging="273"/>
        <w:spacing w:after="0"/>
        <w:tabs>
          <w:tab w:leader="none" w:pos="2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Other matters agreed upon by both parties</w:t>
      </w:r>
    </w:p>
    <w:p>
      <w:pPr>
        <w:spacing w:after="0" w:line="2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None/____________</w:t>
      </w:r>
      <w:r>
        <w:rPr>
          <w:rFonts w:ascii="Arial" w:cs="Arial" w:eastAsia="Arial" w:hAnsi="Arial"/>
          <w:sz w:val="18"/>
          <w:szCs w:val="18"/>
          <w:color w:val="auto"/>
        </w:rPr>
        <w:t xml:space="preserve"> .</w:t>
      </w:r>
    </w:p>
    <w:p>
      <w:pPr>
        <w:spacing w:after="0" w:line="219" w:lineRule="exact"/>
        <w:rPr>
          <w:rFonts w:ascii="Arial" w:cs="Arial" w:eastAsia="Arial" w:hAnsi="Arial"/>
          <w:sz w:val="18"/>
          <w:szCs w:val="18"/>
          <w:color w:val="auto"/>
        </w:rPr>
      </w:pPr>
    </w:p>
    <w:p>
      <w:pPr>
        <w:ind w:left="320" w:right="339" w:hanging="313"/>
        <w:spacing w:after="0" w:line="517" w:lineRule="auto"/>
        <w:tabs>
          <w:tab w:leader="none" w:pos="26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This Contract is made in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originals,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held by the borrower and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held by the lender, each of which has the same legal effect. (End of Part I)</w:t>
      </w:r>
    </w:p>
    <w:p>
      <w:pPr>
        <w:spacing w:after="0" w:line="1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t>The Part Two General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borrowing</w:t>
      </w:r>
    </w:p>
    <w:p>
      <w:pPr>
        <w:spacing w:after="0" w:line="224" w:lineRule="exact"/>
        <w:rPr>
          <w:sz w:val="20"/>
          <w:szCs w:val="20"/>
          <w:color w:val="auto"/>
        </w:rPr>
      </w:pPr>
    </w:p>
    <w:p>
      <w:pPr>
        <w:jc w:val="both"/>
        <w:ind w:firstLine="7"/>
        <w:spacing w:after="0" w:line="274" w:lineRule="auto"/>
        <w:tabs>
          <w:tab w:leader="none" w:pos="19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74" w:lineRule="exact"/>
        <w:rPr>
          <w:rFonts w:ascii="Arial" w:cs="Arial" w:eastAsia="Arial" w:hAnsi="Arial"/>
          <w:sz w:val="17"/>
          <w:szCs w:val="17"/>
          <w:color w:val="auto"/>
        </w:rPr>
      </w:pPr>
    </w:p>
    <w:p>
      <w:pPr>
        <w:jc w:val="both"/>
        <w:ind w:firstLine="7"/>
        <w:spacing w:after="0" w:line="258" w:lineRule="auto"/>
        <w:tabs>
          <w:tab w:leader="none" w:pos="18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borrowing rate and interest calculation method</w:t>
      </w:r>
    </w:p>
    <w:p>
      <w:pPr>
        <w:spacing w:after="0" w:line="224" w:lineRule="exact"/>
        <w:rPr>
          <w:sz w:val="20"/>
          <w:szCs w:val="20"/>
          <w:color w:val="auto"/>
        </w:rPr>
      </w:pPr>
    </w:p>
    <w:p>
      <w:pPr>
        <w:jc w:val="both"/>
        <w:ind w:left="640" w:hanging="313"/>
        <w:spacing w:after="0" w:line="274" w:lineRule="auto"/>
        <w:tabs>
          <w:tab w:leader="none" w:pos="6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12,Daily interest rate = annual interest rate /360. But the daily interest rate = annual interest rate /365 when the loan currency is sterling, Hong Kong dollars and Singapore dollars.</w:t>
      </w:r>
    </w:p>
    <w:p>
      <w:pPr>
        <w:spacing w:after="0" w:line="174" w:lineRule="exact"/>
        <w:rPr>
          <w:rFonts w:ascii="Arial" w:cs="Arial" w:eastAsia="Arial" w:hAnsi="Arial"/>
          <w:sz w:val="17"/>
          <w:szCs w:val="17"/>
          <w:color w:val="auto"/>
        </w:rPr>
      </w:pPr>
    </w:p>
    <w:p>
      <w:pPr>
        <w:jc w:val="both"/>
        <w:ind w:left="640" w:hanging="313"/>
        <w:spacing w:after="0" w:line="306" w:lineRule="auto"/>
        <w:tabs>
          <w:tab w:leader="none" w:pos="6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50" w:lineRule="exact"/>
        <w:rPr>
          <w:rFonts w:ascii="Arial" w:cs="Arial" w:eastAsia="Arial" w:hAnsi="Arial"/>
          <w:sz w:val="16"/>
          <w:szCs w:val="16"/>
          <w:color w:val="auto"/>
        </w:rPr>
      </w:pPr>
    </w:p>
    <w:p>
      <w:pPr>
        <w:jc w:val="both"/>
        <w:ind w:left="640" w:hanging="313"/>
        <w:spacing w:after="0" w:line="258" w:lineRule="auto"/>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86"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Unless otherwise agreed by both parties, the calculation method of loan interest rate under this contract is “simple interest method”. The interest rate calculation method can be found on the website of China People’s Bank.</w:t>
      </w:r>
    </w:p>
    <w:p>
      <w:pPr>
        <w:spacing w:after="0" w:line="174" w:lineRule="exact"/>
        <w:rPr>
          <w:rFonts w:ascii="Arial" w:cs="Arial" w:eastAsia="Arial" w:hAnsi="Arial"/>
          <w:sz w:val="18"/>
          <w:szCs w:val="18"/>
          <w:color w:val="auto"/>
        </w:rPr>
      </w:pPr>
    </w:p>
    <w:p>
      <w:pPr>
        <w:jc w:val="both"/>
        <w:ind w:left="640" w:hanging="313"/>
        <w:spacing w:after="0" w:line="253" w:lineRule="auto"/>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Interest rate market paralysis 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8" w:name="page299"/>
    <w:bookmarkEnd w:id="298"/>
    <w:p>
      <w:pPr>
        <w:ind w:left="4840"/>
        <w:spacing w:after="0"/>
        <w:rPr>
          <w:sz w:val="20"/>
          <w:szCs w:val="20"/>
          <w:color w:val="auto"/>
        </w:rPr>
      </w:pPr>
      <w:r>
        <w:rPr>
          <w:rFonts w:ascii="Arial" w:cs="Arial" w:eastAsia="Arial" w:hAnsi="Arial"/>
          <w:sz w:val="18"/>
          <w:szCs w:val="18"/>
          <w:b w:val="1"/>
          <w:bCs w:val="1"/>
          <w:color w:val="auto"/>
        </w:rPr>
        <w:t>Article 3 withdrawal</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before the first withdrawal, the borrower shall meet the following conditions:</w:t>
      </w:r>
    </w:p>
    <w:p>
      <w:pPr>
        <w:spacing w:after="0" w:line="220" w:lineRule="exact"/>
        <w:rPr>
          <w:sz w:val="20"/>
          <w:szCs w:val="20"/>
          <w:color w:val="auto"/>
        </w:rPr>
      </w:pPr>
    </w:p>
    <w:p>
      <w:pPr>
        <w:ind w:left="640" w:right="20" w:hanging="313"/>
        <w:spacing w:after="0" w:line="270" w:lineRule="auto"/>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contract and the corresponding guarantee contract (if any) have been signed and remain valid, and the security right has been effectively established;</w:t>
      </w:r>
    </w:p>
    <w:p>
      <w:pPr>
        <w:spacing w:after="0" w:line="174" w:lineRule="exact"/>
        <w:rPr>
          <w:rFonts w:ascii="Arial" w:cs="Arial" w:eastAsia="Arial" w:hAnsi="Arial"/>
          <w:sz w:val="18"/>
          <w:szCs w:val="18"/>
          <w:color w:val="auto"/>
        </w:rPr>
      </w:pPr>
    </w:p>
    <w:p>
      <w:pPr>
        <w:ind w:left="640" w:hanging="313"/>
        <w:spacing w:after="0" w:line="300" w:lineRule="auto"/>
        <w:tabs>
          <w:tab w:leader="none" w:pos="6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51" w:lineRule="exact"/>
        <w:rPr>
          <w:rFonts w:ascii="Arial" w:cs="Arial" w:eastAsia="Arial" w:hAnsi="Arial"/>
          <w:sz w:val="17"/>
          <w:szCs w:val="17"/>
          <w:color w:val="auto"/>
        </w:rPr>
      </w:pPr>
    </w:p>
    <w:p>
      <w:pPr>
        <w:jc w:val="both"/>
        <w:ind w:left="640" w:hanging="313"/>
        <w:spacing w:after="0" w:line="258" w:lineRule="auto"/>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86" w:lineRule="exact"/>
        <w:rPr>
          <w:rFonts w:ascii="Arial" w:cs="Arial" w:eastAsia="Arial" w:hAnsi="Arial"/>
          <w:sz w:val="18"/>
          <w:szCs w:val="18"/>
          <w:color w:val="auto"/>
        </w:rPr>
      </w:pPr>
    </w:p>
    <w:p>
      <w:pPr>
        <w:ind w:left="640" w:hanging="313"/>
        <w:spacing w:after="0"/>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borrower has opened relevant accounts with the lender according to the lender’s requirements;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except for the first withdrawal, the borrower shall meet the following conditions before each withdrawal:</w:t>
      </w:r>
    </w:p>
    <w:p>
      <w:pPr>
        <w:spacing w:after="0" w:line="220" w:lineRule="exact"/>
        <w:rPr>
          <w:sz w:val="20"/>
          <w:szCs w:val="20"/>
          <w:color w:val="auto"/>
        </w:rPr>
      </w:pPr>
    </w:p>
    <w:p>
      <w:pPr>
        <w:ind w:left="640" w:right="20" w:hanging="313"/>
        <w:spacing w:after="0" w:line="270" w:lineRule="auto"/>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shall remain valid;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withdrawal</w:t>
      </w:r>
    </w:p>
    <w:p>
      <w:pPr>
        <w:spacing w:after="0" w:line="220" w:lineRule="exact"/>
        <w:rPr>
          <w:sz w:val="20"/>
          <w:szCs w:val="20"/>
          <w:color w:val="auto"/>
        </w:rPr>
      </w:pPr>
    </w:p>
    <w:p>
      <w:pPr>
        <w:jc w:val="both"/>
        <w:ind w:firstLine="327"/>
        <w:spacing w:after="0" w:line="258" w:lineRule="auto"/>
        <w:tabs>
          <w:tab w:leader="none" w:pos="57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86" w:lineRule="exact"/>
        <w:rPr>
          <w:rFonts w:ascii="Arial" w:cs="Arial" w:eastAsia="Arial" w:hAnsi="Arial"/>
          <w:sz w:val="18"/>
          <w:szCs w:val="18"/>
          <w:color w:val="auto"/>
        </w:rPr>
      </w:pPr>
    </w:p>
    <w:p>
      <w:pPr>
        <w:jc w:val="both"/>
        <w:ind w:firstLine="327"/>
        <w:spacing w:after="0" w:line="258" w:lineRule="auto"/>
        <w:tabs>
          <w:tab w:leader="none" w:pos="57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86" w:lineRule="exact"/>
        <w:rPr>
          <w:rFonts w:ascii="Arial" w:cs="Arial" w:eastAsia="Arial" w:hAnsi="Arial"/>
          <w:sz w:val="18"/>
          <w:szCs w:val="18"/>
          <w:color w:val="auto"/>
        </w:rPr>
      </w:pPr>
    </w:p>
    <w:p>
      <w:pPr>
        <w:ind w:firstLine="327"/>
        <w:spacing w:after="0" w:line="333" w:lineRule="auto"/>
        <w:tabs>
          <w:tab w:leader="none" w:pos="5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29" w:lineRule="exact"/>
        <w:rPr>
          <w:rFonts w:ascii="Arial" w:cs="Arial" w:eastAsia="Arial" w:hAnsi="Arial"/>
          <w:sz w:val="16"/>
          <w:szCs w:val="16"/>
          <w:color w:val="auto"/>
        </w:rPr>
      </w:pPr>
    </w:p>
    <w:p>
      <w:pPr>
        <w:ind w:firstLine="327"/>
        <w:spacing w:after="0" w:line="270" w:lineRule="auto"/>
        <w:tabs>
          <w:tab w:leader="none" w:pos="61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lender has the right to waive one or more of the above withdrawal conditions without affecting any right enjoyed by the Lender under this contract.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t>Article 4 account opening and management</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 .When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86" w:lineRule="exact"/>
        <w:rPr>
          <w:sz w:val="20"/>
          <w:szCs w:val="20"/>
          <w:color w:val="auto"/>
        </w:rPr>
      </w:pPr>
    </w:p>
    <w:p>
      <w:pPr>
        <w:ind w:firstLine="327"/>
        <w:spacing w:after="0" w:line="270" w:lineRule="auto"/>
        <w:tabs>
          <w:tab w:leader="none" w:pos="50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no special working capital loan account is opened, the general settlement account is used to calculate the loan fund issuance and loan fund payment applied by the borrower at the lender.</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Without the written consent of the lender, the borrower shall not change the reserved seal of the special working capital loan account at will.</w:t>
      </w:r>
    </w:p>
    <w:p>
      <w:pPr>
        <w:spacing w:after="0" w:line="231" w:lineRule="exact"/>
        <w:rPr>
          <w:sz w:val="20"/>
          <w:szCs w:val="20"/>
          <w:color w:val="auto"/>
        </w:rPr>
      </w:pPr>
    </w:p>
    <w:p>
      <w:pPr>
        <w:ind w:right="160" w:firstLine="327"/>
        <w:spacing w:after="0" w:line="270" w:lineRule="auto"/>
        <w:tabs>
          <w:tab w:leader="none" w:pos="4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75"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 supervision</w:t>
      </w:r>
    </w:p>
    <w:p>
      <w:pPr>
        <w:spacing w:after="0" w:line="224"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1 .The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3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75"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52" w:lineRule="exact"/>
        <w:rPr>
          <w:sz w:val="20"/>
          <w:szCs w:val="20"/>
          <w:color w:val="auto"/>
        </w:rPr>
      </w:pPr>
    </w:p>
    <w:p>
      <w:pPr>
        <w:jc w:val="both"/>
        <w:ind w:firstLine="327"/>
        <w:spacing w:after="0" w:line="258" w:lineRule="auto"/>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0" w:name="page301"/>
    <w:bookmarkEnd w:id="300"/>
    <w:p>
      <w:pPr>
        <w:jc w:val="both"/>
        <w:ind w:firstLine="320"/>
        <w:spacing w:after="0" w:line="258" w:lineRule="auto"/>
        <w:rPr>
          <w:sz w:val="20"/>
          <w:szCs w:val="20"/>
          <w:color w:val="auto"/>
        </w:rPr>
      </w:pPr>
      <w:r>
        <w:rPr>
          <w:rFonts w:ascii="Arial" w:cs="Arial" w:eastAsia="Arial" w:hAnsi="Arial"/>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approval, the lender shall pay the loan funds to the borrower’s trading partner through the borrower’s account.</w:t>
      </w:r>
    </w:p>
    <w:p>
      <w:pPr>
        <w:spacing w:after="0" w:line="220" w:lineRule="exact"/>
        <w:rPr>
          <w:sz w:val="20"/>
          <w:szCs w:val="20"/>
          <w:color w:val="auto"/>
        </w:rPr>
      </w:pPr>
    </w:p>
    <w:p>
      <w:pPr>
        <w:ind w:firstLine="327"/>
        <w:spacing w:after="0" w:line="270" w:lineRule="auto"/>
        <w:tabs>
          <w:tab w:leader="none" w:pos="51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When applying to the lender for external payment of loan funds, the borrower shall submit supporting materials meeting the lender’s requirements, including but not limited to:</w:t>
      </w:r>
    </w:p>
    <w:p>
      <w:pPr>
        <w:spacing w:after="0" w:line="175" w:lineRule="exact"/>
        <w:rPr>
          <w:sz w:val="20"/>
          <w:szCs w:val="20"/>
          <w:color w:val="auto"/>
        </w:rPr>
      </w:pPr>
    </w:p>
    <w:p>
      <w:pPr>
        <w:ind w:left="580" w:hanging="253"/>
        <w:spacing w:after="0"/>
        <w:tabs>
          <w:tab w:leader="none" w:pos="5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documents certifying that the purpose of payment is in accordance with the purpose agreed in the contract:</w:t>
      </w:r>
    </w:p>
    <w:p>
      <w:pPr>
        <w:spacing w:after="0" w:line="219" w:lineRule="exact"/>
        <w:rPr>
          <w:rFonts w:ascii="Arial" w:cs="Arial" w:eastAsia="Arial" w:hAnsi="Arial"/>
          <w:sz w:val="18"/>
          <w:szCs w:val="18"/>
          <w:color w:val="auto"/>
        </w:rPr>
      </w:pPr>
    </w:p>
    <w:p>
      <w:pPr>
        <w:ind w:firstLine="327"/>
        <w:spacing w:after="0" w:line="270" w:lineRule="auto"/>
        <w:tabs>
          <w:tab w:leader="none" w:pos="58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74" w:lineRule="exact"/>
        <w:rPr>
          <w:rFonts w:ascii="Arial" w:cs="Arial" w:eastAsia="Arial" w:hAnsi="Arial"/>
          <w:sz w:val="18"/>
          <w:szCs w:val="18"/>
          <w:color w:val="auto"/>
        </w:rPr>
      </w:pPr>
    </w:p>
    <w:p>
      <w:pPr>
        <w:ind w:firstLine="327"/>
        <w:spacing w:after="0" w:line="270" w:lineRule="auto"/>
        <w:tabs>
          <w:tab w:leader="none" w:pos="6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Legal and valid payment voucher: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Other documents required by the lender.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lender has the right to waive one or more of the above supporting materials without affecting any rights enjoyed by the Lender under this contract</w:t>
      </w:r>
    </w:p>
    <w:p>
      <w:pPr>
        <w:spacing w:after="0" w:line="243" w:lineRule="exact"/>
        <w:rPr>
          <w:sz w:val="20"/>
          <w:szCs w:val="20"/>
          <w:color w:val="auto"/>
        </w:rPr>
      </w:pPr>
    </w:p>
    <w:p>
      <w:pPr>
        <w:jc w:val="both"/>
        <w:ind w:firstLine="327"/>
        <w:spacing w:after="0" w:line="296" w:lineRule="auto"/>
        <w:tabs>
          <w:tab w:leader="none" w:pos="5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6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82" w:lineRule="exact"/>
        <w:rPr>
          <w:sz w:val="20"/>
          <w:szCs w:val="20"/>
          <w:color w:val="auto"/>
        </w:rPr>
      </w:pPr>
    </w:p>
    <w:p>
      <w:pPr>
        <w:jc w:val="both"/>
        <w:ind w:firstLine="327"/>
        <w:spacing w:after="0" w:line="258" w:lineRule="auto"/>
        <w:tabs>
          <w:tab w:leader="none" w:pos="5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1" w:name="page302"/>
    <w:bookmarkEnd w:id="301"/>
    <w:p>
      <w:pPr>
        <w:ind w:firstLine="327"/>
        <w:spacing w:after="0" w:line="270" w:lineRule="auto"/>
        <w:tabs>
          <w:tab w:leader="none" w:pos="50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confirms that it shall pay to the lender the remittance fee arising from the payment of funds. When the remittance fee occurs, the lender has the right to deduct it directly according to the actual amount.</w:t>
      </w:r>
    </w:p>
    <w:p>
      <w:pPr>
        <w:spacing w:after="0" w:line="174" w:lineRule="exact"/>
        <w:rPr>
          <w:rFonts w:ascii="Arial" w:cs="Arial" w:eastAsia="Arial" w:hAnsi="Arial"/>
          <w:sz w:val="18"/>
          <w:szCs w:val="18"/>
          <w:color w:val="auto"/>
        </w:rPr>
      </w:pPr>
    </w:p>
    <w:p>
      <w:pPr>
        <w:jc w:val="both"/>
        <w:ind w:firstLine="327"/>
        <w:spacing w:after="0" w:line="258" w:lineRule="auto"/>
        <w:tabs>
          <w:tab w:leader="none" w:pos="51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86" w:lineRule="exact"/>
        <w:rPr>
          <w:sz w:val="20"/>
          <w:szCs w:val="20"/>
          <w:color w:val="auto"/>
        </w:rPr>
      </w:pPr>
    </w:p>
    <w:p>
      <w:pPr>
        <w:ind w:left="580" w:hanging="253"/>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declining credit status;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profitability of main business is not strong;</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Abnormal use of loan funds.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repayment</w:t>
      </w:r>
    </w:p>
    <w:p>
      <w:pPr>
        <w:spacing w:after="0" w:line="224" w:lineRule="exact"/>
        <w:rPr>
          <w:sz w:val="20"/>
          <w:szCs w:val="20"/>
          <w:color w:val="auto"/>
        </w:rPr>
      </w:pPr>
    </w:p>
    <w:p>
      <w:pPr>
        <w:jc w:val="both"/>
        <w:ind w:firstLine="327"/>
        <w:spacing w:after="0" w:line="281" w:lineRule="auto"/>
        <w:tabs>
          <w:tab w:leader="none" w:pos="52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67" w:lineRule="exact"/>
        <w:rPr>
          <w:rFonts w:ascii="Arial" w:cs="Arial" w:eastAsia="Arial" w:hAnsi="Arial"/>
          <w:sz w:val="17"/>
          <w:szCs w:val="17"/>
          <w:color w:val="auto"/>
        </w:rPr>
      </w:pPr>
    </w:p>
    <w:p>
      <w:pPr>
        <w:jc w:val="both"/>
        <w:ind w:firstLine="327"/>
        <w:spacing w:after="0" w:line="258" w:lineRule="auto"/>
        <w:tabs>
          <w:tab w:leader="none" w:pos="50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86" w:lineRule="exact"/>
        <w:rPr>
          <w:sz w:val="20"/>
          <w:szCs w:val="20"/>
          <w:color w:val="auto"/>
        </w:rPr>
      </w:pPr>
    </w:p>
    <w:p>
      <w:pPr>
        <w:jc w:val="both"/>
        <w:ind w:firstLine="327"/>
        <w:spacing w:after="0" w:line="271" w:lineRule="auto"/>
        <w:tabs>
          <w:tab w:leader="none" w:pos="50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77" w:lineRule="exact"/>
        <w:rPr>
          <w:rFonts w:ascii="Arial" w:cs="Arial" w:eastAsia="Arial" w:hAnsi="Arial"/>
          <w:sz w:val="17"/>
          <w:szCs w:val="17"/>
          <w:color w:val="auto"/>
        </w:rPr>
      </w:pPr>
    </w:p>
    <w:p>
      <w:pPr>
        <w:ind w:left="500" w:hanging="173"/>
        <w:spacing w:after="0"/>
        <w:tabs>
          <w:tab w:leader="none" w:pos="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borrower shall not withdraw any returned loan funds again.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The borrower makes the following representations and warranties to the lender, which are made at the time of signing this contract and remain valid during the validity of this contract.</w:t>
      </w:r>
    </w:p>
    <w:p>
      <w:pPr>
        <w:spacing w:after="0" w:line="175" w:lineRule="exact"/>
        <w:rPr>
          <w:sz w:val="20"/>
          <w:szCs w:val="20"/>
          <w:color w:val="auto"/>
        </w:rPr>
      </w:pPr>
    </w:p>
    <w:p>
      <w:pPr>
        <w:ind w:firstLine="327"/>
        <w:spacing w:after="0" w:line="333" w:lineRule="auto"/>
        <w:tabs>
          <w:tab w:leader="none" w:pos="52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29" w:lineRule="exact"/>
        <w:rPr>
          <w:rFonts w:ascii="Arial" w:cs="Arial" w:eastAsia="Arial" w:hAnsi="Arial"/>
          <w:sz w:val="16"/>
          <w:szCs w:val="16"/>
          <w:color w:val="auto"/>
        </w:rPr>
      </w:pPr>
    </w:p>
    <w:p>
      <w:pPr>
        <w:jc w:val="both"/>
        <w:ind w:firstLine="327"/>
        <w:spacing w:after="0" w:line="258" w:lineRule="auto"/>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86" w:lineRule="exact"/>
        <w:rPr>
          <w:rFonts w:ascii="Arial" w:cs="Arial" w:eastAsia="Arial" w:hAnsi="Arial"/>
          <w:sz w:val="18"/>
          <w:szCs w:val="18"/>
          <w:color w:val="auto"/>
        </w:rPr>
      </w:pPr>
    </w:p>
    <w:p>
      <w:pPr>
        <w:jc w:val="both"/>
        <w:ind w:firstLine="327"/>
        <w:spacing w:after="0" w:line="306" w:lineRule="auto"/>
        <w:tabs>
          <w:tab w:leader="none" w:pos="50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50" w:lineRule="exact"/>
        <w:rPr>
          <w:rFonts w:ascii="Arial" w:cs="Arial" w:eastAsia="Arial" w:hAnsi="Arial"/>
          <w:sz w:val="16"/>
          <w:szCs w:val="16"/>
          <w:color w:val="auto"/>
        </w:rPr>
      </w:pPr>
    </w:p>
    <w:p>
      <w:pPr>
        <w:ind w:firstLine="327"/>
        <w:spacing w:after="0" w:line="270" w:lineRule="auto"/>
        <w:tabs>
          <w:tab w:leader="none" w:pos="50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74" w:lineRule="exact"/>
        <w:rPr>
          <w:rFonts w:ascii="Arial" w:cs="Arial" w:eastAsia="Arial" w:hAnsi="Arial"/>
          <w:sz w:val="18"/>
          <w:szCs w:val="18"/>
          <w:color w:val="auto"/>
        </w:rPr>
      </w:pPr>
    </w:p>
    <w:p>
      <w:pPr>
        <w:jc w:val="both"/>
        <w:ind w:firstLine="327"/>
        <w:spacing w:after="0" w:line="255" w:lineRule="auto"/>
        <w:tabs>
          <w:tab w:leader="none" w:pos="53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87" w:lineRule="exact"/>
        <w:rPr>
          <w:rFonts w:ascii="Arial" w:cs="Arial" w:eastAsia="Arial" w:hAnsi="Arial"/>
          <w:sz w:val="18"/>
          <w:szCs w:val="18"/>
          <w:color w:val="auto"/>
        </w:rPr>
      </w:pPr>
    </w:p>
    <w:p>
      <w:pPr>
        <w:ind w:left="500" w:hanging="173"/>
        <w:spacing w:after="0"/>
        <w:tabs>
          <w:tab w:leader="none" w:pos="5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borrower guarantees to complete the filing, registration or other procedures required for the effectiveness and legal performance of this contract.</w:t>
      </w:r>
    </w:p>
    <w:p>
      <w:pPr>
        <w:spacing w:after="0" w:line="242" w:lineRule="exact"/>
        <w:rPr>
          <w:rFonts w:ascii="Arial" w:cs="Arial" w:eastAsia="Arial" w:hAnsi="Arial"/>
          <w:sz w:val="16"/>
          <w:szCs w:val="16"/>
          <w:color w:val="auto"/>
        </w:rPr>
      </w:pPr>
    </w:p>
    <w:p>
      <w:pPr>
        <w:ind w:firstLine="327"/>
        <w:spacing w:after="0" w:line="270" w:lineRule="auto"/>
        <w:tabs>
          <w:tab w:leader="none" w:pos="51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Since the issuance of the latest audited financial statements, there has been no significant adverse change in the borrower’s operating and financial conditions.</w:t>
      </w:r>
    </w:p>
    <w:p>
      <w:pPr>
        <w:spacing w:after="0" w:line="174" w:lineRule="exact"/>
        <w:rPr>
          <w:rFonts w:ascii="Arial" w:cs="Arial" w:eastAsia="Arial" w:hAnsi="Arial"/>
          <w:sz w:val="18"/>
          <w:szCs w:val="18"/>
          <w:color w:val="auto"/>
        </w:rPr>
      </w:pPr>
    </w:p>
    <w:p>
      <w:pPr>
        <w:jc w:val="both"/>
        <w:ind w:firstLine="327"/>
        <w:spacing w:after="0" w:line="281" w:lineRule="auto"/>
        <w:tabs>
          <w:tab w:leader="none" w:pos="51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67" w:lineRule="exact"/>
        <w:rPr>
          <w:rFonts w:ascii="Arial" w:cs="Arial" w:eastAsia="Arial" w:hAnsi="Arial"/>
          <w:sz w:val="17"/>
          <w:szCs w:val="17"/>
          <w:color w:val="auto"/>
        </w:rPr>
      </w:pPr>
    </w:p>
    <w:p>
      <w:pPr>
        <w:ind w:left="500" w:hanging="173"/>
        <w:spacing w:after="0"/>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Do not give up any due creditor’s rights, nor dispose of the existing main property free of charge or in other inappropriate ways.</w:t>
      </w:r>
    </w:p>
    <w:p>
      <w:pPr>
        <w:spacing w:after="0" w:line="219" w:lineRule="exact"/>
        <w:rPr>
          <w:rFonts w:ascii="Arial" w:cs="Arial" w:eastAsia="Arial" w:hAnsi="Arial"/>
          <w:sz w:val="18"/>
          <w:szCs w:val="18"/>
          <w:color w:val="auto"/>
        </w:rPr>
      </w:pPr>
    </w:p>
    <w:p>
      <w:pPr>
        <w:ind w:left="600" w:hanging="273"/>
        <w:spacing w:after="0"/>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borrower has disclosed to the lender what it knows or should know and decided whether to grant the loan under this contract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 facts and conditions (including but not limited to business status, financial status, external guarantee, etc.).</w:t>
      </w:r>
    </w:p>
    <w:p>
      <w:pPr>
        <w:spacing w:after="0" w:line="220" w:lineRule="exact"/>
        <w:rPr>
          <w:sz w:val="20"/>
          <w:szCs w:val="20"/>
          <w:color w:val="auto"/>
        </w:rPr>
      </w:pPr>
    </w:p>
    <w:p>
      <w:pPr>
        <w:ind w:left="580" w:hanging="253"/>
        <w:spacing w:after="0"/>
        <w:tabs>
          <w:tab w:leader="none" w:pos="5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guarantees that it is in good credit condition and has no major bad record.</w:t>
      </w:r>
    </w:p>
    <w:p>
      <w:pPr>
        <w:spacing w:after="0" w:line="219" w:lineRule="exact"/>
        <w:rPr>
          <w:rFonts w:ascii="Arial" w:cs="Arial" w:eastAsia="Arial" w:hAnsi="Arial"/>
          <w:sz w:val="18"/>
          <w:szCs w:val="18"/>
          <w:color w:val="auto"/>
        </w:rPr>
      </w:pPr>
    </w:p>
    <w:p>
      <w:pPr>
        <w:ind w:firstLine="327"/>
        <w:spacing w:after="0" w:line="270" w:lineRule="auto"/>
        <w:tabs>
          <w:tab w:leader="none" w:pos="61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guarantees that there are no other circumstances or events that have or may have a material adverse impact on the borrower’s performance 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t>Article 8 covenants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borrower and the lender agree as follows:</w:t>
      </w:r>
    </w:p>
    <w:p>
      <w:pPr>
        <w:spacing w:after="0" w:line="220" w:lineRule="exact"/>
        <w:rPr>
          <w:sz w:val="20"/>
          <w:szCs w:val="20"/>
          <w:color w:val="auto"/>
        </w:rPr>
      </w:pPr>
    </w:p>
    <w:p>
      <w:pPr>
        <w:jc w:val="both"/>
        <w:ind w:firstLine="327"/>
        <w:spacing w:after="0" w:line="255" w:lineRule="auto"/>
        <w:tabs>
          <w:tab w:leader="none" w:pos="5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87" w:lineRule="exact"/>
        <w:rPr>
          <w:rFonts w:ascii="Arial" w:cs="Arial" w:eastAsia="Arial" w:hAnsi="Arial"/>
          <w:sz w:val="18"/>
          <w:szCs w:val="18"/>
          <w:color w:val="auto"/>
        </w:rPr>
      </w:pPr>
    </w:p>
    <w:p>
      <w:pPr>
        <w:ind w:firstLine="327"/>
        <w:spacing w:after="0" w:line="270" w:lineRule="auto"/>
        <w:tabs>
          <w:tab w:leader="none" w:pos="50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74" w:lineRule="exact"/>
        <w:rPr>
          <w:rFonts w:ascii="Arial" w:cs="Arial" w:eastAsia="Arial" w:hAnsi="Arial"/>
          <w:sz w:val="18"/>
          <w:szCs w:val="18"/>
          <w:color w:val="auto"/>
        </w:rPr>
      </w:pPr>
    </w:p>
    <w:p>
      <w:pPr>
        <w:ind w:firstLine="327"/>
        <w:spacing w:after="0" w:line="300" w:lineRule="auto"/>
        <w:tabs>
          <w:tab w:leader="none" w:pos="50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51" w:lineRule="exact"/>
        <w:rPr>
          <w:rFonts w:ascii="Arial" w:cs="Arial" w:eastAsia="Arial" w:hAnsi="Arial"/>
          <w:sz w:val="17"/>
          <w:szCs w:val="17"/>
          <w:color w:val="auto"/>
        </w:rPr>
      </w:pPr>
    </w:p>
    <w:p>
      <w:pPr>
        <w:ind w:left="500" w:hanging="173"/>
        <w:spacing w:after="0"/>
        <w:tabs>
          <w:tab w:leader="none" w:pos="5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promises that the borrower will not take the following actions without the written consent of the lender:</w:t>
      </w:r>
    </w:p>
    <w:p>
      <w:pPr>
        <w:spacing w:after="0" w:line="220" w:lineRule="exact"/>
        <w:rPr>
          <w:sz w:val="20"/>
          <w:szCs w:val="20"/>
          <w:color w:val="auto"/>
        </w:rPr>
      </w:pPr>
    </w:p>
    <w:p>
      <w:pPr>
        <w:ind w:left="580" w:hanging="253"/>
        <w:spacing w:after="0"/>
        <w:tabs>
          <w:tab w:leader="none" w:pos="5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Transfer (including sale, gift, debt repayment, exchange, etc.), mortgage, pledge or otherwise dispose of all or most of its major assets;</w:t>
      </w:r>
    </w:p>
    <w:p>
      <w:pPr>
        <w:spacing w:after="0" w:line="231" w:lineRule="exact"/>
        <w:rPr>
          <w:rFonts w:ascii="Arial" w:cs="Arial" w:eastAsia="Arial" w:hAnsi="Arial"/>
          <w:sz w:val="17"/>
          <w:szCs w:val="17"/>
          <w:color w:val="auto"/>
        </w:rPr>
      </w:pPr>
    </w:p>
    <w:p>
      <w:pPr>
        <w:jc w:val="both"/>
        <w:ind w:firstLine="327"/>
        <w:spacing w:after="0" w:line="255" w:lineRule="auto"/>
        <w:tabs>
          <w:tab w:leader="none" w:pos="5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87" w:lineRule="exact"/>
        <w:rPr>
          <w:rFonts w:ascii="Arial" w:cs="Arial" w:eastAsia="Arial" w:hAnsi="Arial"/>
          <w:sz w:val="18"/>
          <w:szCs w:val="18"/>
          <w:color w:val="auto"/>
        </w:rPr>
      </w:pPr>
    </w:p>
    <w:p>
      <w:pPr>
        <w:ind w:firstLine="327"/>
        <w:spacing w:after="0" w:line="270" w:lineRule="auto"/>
        <w:tabs>
          <w:tab w:leader="none" w:pos="5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Provide the third party with a guarantee sufficient to have a material adverse impact on its financial condition or its ability to perform its obligations under the contract;</w:t>
      </w:r>
    </w:p>
    <w:p>
      <w:pPr>
        <w:spacing w:after="0" w:line="174" w:lineRule="exact"/>
        <w:rPr>
          <w:rFonts w:ascii="Arial" w:cs="Arial" w:eastAsia="Arial" w:hAnsi="Arial"/>
          <w:sz w:val="18"/>
          <w:szCs w:val="18"/>
          <w:color w:val="auto"/>
        </w:rPr>
      </w:pPr>
    </w:p>
    <w:p>
      <w:pPr>
        <w:ind w:right="20" w:firstLine="327"/>
        <w:spacing w:after="0" w:line="270" w:lineRule="auto"/>
        <w:tabs>
          <w:tab w:leader="none" w:pos="5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Paying off other long-term debts in advance and may have a significant adverse impact on the borrower’s ability to perform its obligations under the contract;</w:t>
      </w:r>
    </w:p>
    <w:p>
      <w:pPr>
        <w:spacing w:after="0" w:line="174" w:lineRule="exact"/>
        <w:rPr>
          <w:rFonts w:ascii="Arial" w:cs="Arial" w:eastAsia="Arial" w:hAnsi="Arial"/>
          <w:sz w:val="18"/>
          <w:szCs w:val="18"/>
          <w:color w:val="auto"/>
        </w:rPr>
      </w:pPr>
    </w:p>
    <w:p>
      <w:pPr>
        <w:ind w:firstLine="327"/>
        <w:spacing w:after="0" w:line="270" w:lineRule="auto"/>
        <w:tabs>
          <w:tab w:leader="none" w:pos="6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Sign contracts / agreements or undertake relevant obligations that have a significant adverse impact on the borrower’s ability to perform its obligations under the contract.</w:t>
      </w:r>
    </w:p>
    <w:p>
      <w:pPr>
        <w:spacing w:after="0" w:line="175" w:lineRule="exact"/>
        <w:rPr>
          <w:sz w:val="20"/>
          <w:szCs w:val="20"/>
          <w:color w:val="auto"/>
        </w:rPr>
      </w:pPr>
    </w:p>
    <w:p>
      <w:pPr>
        <w:ind w:firstLine="327"/>
        <w:spacing w:after="0" w:line="270" w:lineRule="auto"/>
        <w:tabs>
          <w:tab w:leader="none" w:pos="50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75" w:lineRule="exact"/>
        <w:rPr>
          <w:sz w:val="20"/>
          <w:szCs w:val="20"/>
          <w:color w:val="auto"/>
        </w:rPr>
      </w:pPr>
    </w:p>
    <w:p>
      <w:pPr>
        <w:ind w:left="580" w:hanging="253"/>
        <w:spacing w:after="0"/>
        <w:tabs>
          <w:tab w:leader="none" w:pos="5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occurrence of relevant events makes the representations and warranties made by the borrower in this contract untrue, inaccurate or invalid.</w:t>
      </w:r>
    </w:p>
    <w:p>
      <w:pPr>
        <w:spacing w:after="0" w:line="242" w:lineRule="exact"/>
        <w:rPr>
          <w:rFonts w:ascii="Arial" w:cs="Arial" w:eastAsia="Arial" w:hAnsi="Arial"/>
          <w:sz w:val="16"/>
          <w:szCs w:val="16"/>
          <w:color w:val="auto"/>
        </w:rPr>
      </w:pPr>
    </w:p>
    <w:p>
      <w:pPr>
        <w:jc w:val="both"/>
        <w:ind w:firstLine="327"/>
        <w:spacing w:after="0" w:line="258" w:lineRule="auto"/>
        <w:tabs>
          <w:tab w:leader="none" w:pos="58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86" w:lineRule="exact"/>
        <w:rPr>
          <w:rFonts w:ascii="Arial" w:cs="Arial" w:eastAsia="Arial" w:hAnsi="Arial"/>
          <w:sz w:val="18"/>
          <w:szCs w:val="18"/>
          <w:color w:val="auto"/>
        </w:rPr>
      </w:pPr>
    </w:p>
    <w:p>
      <w:pPr>
        <w:ind w:firstLine="327"/>
        <w:spacing w:after="0" w:line="270" w:lineRule="auto"/>
        <w:tabs>
          <w:tab w:leader="none" w:pos="58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borrower’s legal representative or its authorized agent, principal, main financial principal, mailing address, enterprise name, office space and other matters are changed;</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Being applied for reorganization or bankruptcy by other creditors or being revoked by the superior competent authority;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4" w:name="page305"/>
    <w:bookmarkEnd w:id="304"/>
    <w:p>
      <w:pPr>
        <w:ind w:left="320"/>
        <w:spacing w:after="0"/>
        <w:rPr>
          <w:sz w:val="20"/>
          <w:szCs w:val="20"/>
          <w:color w:val="auto"/>
        </w:rPr>
      </w:pPr>
      <w:r>
        <w:rPr>
          <w:rFonts w:ascii="Arial" w:cs="Arial" w:eastAsia="Arial" w:hAnsi="Arial"/>
          <w:sz w:val="18"/>
          <w:szCs w:val="18"/>
          <w:color w:val="auto"/>
        </w:rPr>
        <w:t>(5) other major adverse events that may affect the borrower’s solvency.</w:t>
      </w:r>
    </w:p>
    <w:p>
      <w:pPr>
        <w:spacing w:after="0" w:line="220" w:lineRule="exact"/>
        <w:rPr>
          <w:sz w:val="20"/>
          <w:szCs w:val="20"/>
          <w:color w:val="auto"/>
        </w:rPr>
      </w:pPr>
    </w:p>
    <w:p>
      <w:pPr>
        <w:ind w:firstLine="327"/>
        <w:spacing w:after="0" w:line="270" w:lineRule="auto"/>
        <w:tabs>
          <w:tab w:leader="none" w:pos="50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174" w:lineRule="exact"/>
        <w:rPr>
          <w:rFonts w:ascii="Arial" w:cs="Arial" w:eastAsia="Arial" w:hAnsi="Arial"/>
          <w:sz w:val="18"/>
          <w:szCs w:val="18"/>
          <w:color w:val="auto"/>
        </w:rPr>
      </w:pPr>
    </w:p>
    <w:p>
      <w:pPr>
        <w:jc w:val="both"/>
        <w:ind w:firstLine="327"/>
        <w:spacing w:after="0" w:line="296" w:lineRule="auto"/>
        <w:tabs>
          <w:tab w:leader="none" w:pos="51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59" w:lineRule="exact"/>
        <w:rPr>
          <w:rFonts w:ascii="Arial" w:cs="Arial" w:eastAsia="Arial" w:hAnsi="Arial"/>
          <w:sz w:val="16"/>
          <w:szCs w:val="16"/>
          <w:color w:val="auto"/>
        </w:rPr>
      </w:pPr>
    </w:p>
    <w:p>
      <w:pPr>
        <w:jc w:val="both"/>
        <w:ind w:firstLine="327"/>
        <w:spacing w:after="0" w:line="289" w:lineRule="auto"/>
        <w:tabs>
          <w:tab w:leader="none" w:pos="5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65" w:lineRule="exact"/>
        <w:rPr>
          <w:rFonts w:ascii="Arial" w:cs="Arial" w:eastAsia="Arial" w:hAnsi="Arial"/>
          <w:sz w:val="16"/>
          <w:szCs w:val="16"/>
          <w:color w:val="auto"/>
        </w:rPr>
      </w:pPr>
    </w:p>
    <w:p>
      <w:pPr>
        <w:jc w:val="both"/>
        <w:ind w:firstLine="327"/>
        <w:spacing w:after="0" w:line="258" w:lineRule="auto"/>
        <w:tabs>
          <w:tab w:leader="none" w:pos="5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86" w:lineRule="exact"/>
        <w:rPr>
          <w:rFonts w:ascii="Arial" w:cs="Arial" w:eastAsia="Arial" w:hAnsi="Arial"/>
          <w:sz w:val="18"/>
          <w:szCs w:val="18"/>
          <w:color w:val="auto"/>
        </w:rPr>
      </w:pPr>
    </w:p>
    <w:p>
      <w:pPr>
        <w:ind w:left="600" w:hanging="273"/>
        <w:spacing w:after="0"/>
        <w:tabs>
          <w:tab w:leader="none" w:pos="6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lender has the right to recover the loan funds under this contract in advance according to the withdrawal of the borrower’s funds.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special agreements on group customers (applicable to group customers).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borrower of this contract is a group customer, the borrower hereby undertakes:</w:t>
      </w:r>
    </w:p>
    <w:p>
      <w:pPr>
        <w:spacing w:after="0" w:line="175" w:lineRule="exact"/>
        <w:rPr>
          <w:sz w:val="20"/>
          <w:szCs w:val="20"/>
          <w:color w:val="auto"/>
        </w:rPr>
      </w:pPr>
    </w:p>
    <w:p>
      <w:pPr>
        <w:jc w:val="both"/>
        <w:ind w:firstLine="327"/>
        <w:spacing w:after="0" w:line="232" w:lineRule="exact"/>
        <w:tabs>
          <w:tab w:leader="none" w:pos="57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the borrower shall timely report the related party transactions of more than 10% of the net assets of the actual trustee, including: </w:t>
      </w:r>
      <w:r>
        <w:rPr>
          <w:rFonts w:ascii="MS PGothic" w:cs="MS PGothic" w:eastAsia="MS PGothic" w:hAnsi="MS PGothic"/>
          <w:sz w:val="18"/>
          <w:szCs w:val="18"/>
          <w:color w:val="auto"/>
        </w:rPr>
        <w:t>①</w:t>
      </w:r>
      <w:r>
        <w:rPr>
          <w:rFonts w:ascii="Arial" w:cs="Arial" w:eastAsia="Arial" w:hAnsi="Arial"/>
          <w:sz w:val="18"/>
          <w:szCs w:val="18"/>
          <w:color w:val="auto"/>
        </w:rPr>
        <w:t xml:space="preserve"> the related party relationships of all parties to the transaction </w:t>
      </w:r>
      <w:r>
        <w:rPr>
          <w:rFonts w:ascii="MS PGothic" w:cs="MS PGothic" w:eastAsia="MS PGothic" w:hAnsi="MS PGothic"/>
          <w:sz w:val="18"/>
          <w:szCs w:val="18"/>
          <w:color w:val="auto"/>
        </w:rPr>
        <w:t>②</w:t>
      </w:r>
      <w:r>
        <w:rPr>
          <w:rFonts w:ascii="Arial" w:cs="Arial" w:eastAsia="Arial" w:hAnsi="Arial"/>
          <w:sz w:val="18"/>
          <w:szCs w:val="18"/>
          <w:color w:val="auto"/>
        </w:rPr>
        <w:t xml:space="preserve"> Transaction items and nature </w:t>
      </w:r>
      <w:r>
        <w:rPr>
          <w:rFonts w:ascii="MS PGothic" w:cs="MS PGothic" w:eastAsia="MS PGothic" w:hAnsi="MS PGothic"/>
          <w:sz w:val="18"/>
          <w:szCs w:val="18"/>
          <w:color w:val="auto"/>
        </w:rPr>
        <w:t>③</w:t>
      </w:r>
      <w:r>
        <w:rPr>
          <w:rFonts w:ascii="Arial" w:cs="Arial" w:eastAsia="Arial" w:hAnsi="Arial"/>
          <w:sz w:val="18"/>
          <w:szCs w:val="18"/>
          <w:color w:val="auto"/>
        </w:rPr>
        <w:t xml:space="preserve"> The amount of the transaction or the corresponding proportion </w:t>
      </w:r>
      <w:r>
        <w:rPr>
          <w:rFonts w:ascii="MS PGothic" w:cs="MS PGothic" w:eastAsia="MS PGothic" w:hAnsi="MS PGothic"/>
          <w:sz w:val="18"/>
          <w:szCs w:val="18"/>
          <w:color w:val="auto"/>
        </w:rPr>
        <w:t>④</w:t>
      </w:r>
      <w:r>
        <w:rPr>
          <w:rFonts w:ascii="Arial" w:cs="Arial" w:eastAsia="Arial" w:hAnsi="Arial"/>
          <w:sz w:val="18"/>
          <w:szCs w:val="18"/>
          <w:color w:val="auto"/>
        </w:rPr>
        <w:t xml:space="preserve"> Pricing policy (including transactions with no amount or only symbolic amount).</w:t>
      </w:r>
    </w:p>
    <w:p>
      <w:pPr>
        <w:spacing w:after="0" w:line="202" w:lineRule="exact"/>
        <w:rPr>
          <w:rFonts w:ascii="Arial" w:cs="Arial" w:eastAsia="Arial" w:hAnsi="Arial"/>
          <w:sz w:val="18"/>
          <w:szCs w:val="18"/>
          <w:color w:val="auto"/>
        </w:rPr>
      </w:pPr>
    </w:p>
    <w:p>
      <w:pPr>
        <w:jc w:val="both"/>
        <w:ind w:firstLine="327"/>
        <w:spacing w:after="0" w:line="286" w:lineRule="auto"/>
        <w:tabs>
          <w:tab w:leader="none" w:pos="582"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w:t>
      </w:r>
    </w:p>
    <w:p>
      <w:pPr>
        <w:spacing w:after="0" w:line="1" w:lineRule="exact"/>
        <w:rPr>
          <w:rFonts w:ascii="Arial" w:cs="Arial" w:eastAsia="Arial" w:hAnsi="Arial"/>
          <w:sz w:val="16"/>
          <w:szCs w:val="16"/>
          <w:color w:val="auto"/>
        </w:rPr>
      </w:pPr>
    </w:p>
    <w:p>
      <w:pPr>
        <w:jc w:val="both"/>
        <w:ind w:firstLine="7"/>
        <w:spacing w:after="0" w:line="214" w:lineRule="exact"/>
        <w:tabs>
          <w:tab w:leader="none" w:pos="249" w:val="left"/>
        </w:tabs>
        <w:numPr>
          <w:ilvl w:val="0"/>
          <w:numId w:val="226"/>
        </w:numPr>
        <w:rPr>
          <w:rFonts w:ascii="MS PGothic" w:cs="MS PGothic" w:eastAsia="MS PGothic" w:hAnsi="MS PGothic"/>
          <w:sz w:val="18"/>
          <w:szCs w:val="18"/>
          <w:color w:val="auto"/>
        </w:rPr>
      </w:pPr>
      <w:r>
        <w:rPr>
          <w:rFonts w:ascii="Arial" w:cs="Arial" w:eastAsia="Arial" w:hAnsi="Arial"/>
          <w:sz w:val="18"/>
          <w:szCs w:val="18"/>
          <w:color w:val="auto"/>
        </w:rPr>
        <w:t xml:space="preserve">providing false materials or concealing important business financial facts </w:t>
      </w:r>
      <w:r>
        <w:rPr>
          <w:rFonts w:ascii="MS PGothic" w:cs="MS PGothic" w:eastAsia="MS PGothic" w:hAnsi="MS PGothic"/>
          <w:sz w:val="18"/>
          <w:szCs w:val="18"/>
          <w:color w:val="auto"/>
        </w:rPr>
        <w:t>②</w:t>
      </w:r>
      <w:r>
        <w:rPr>
          <w:rFonts w:ascii="Arial" w:cs="Arial" w:eastAsia="Arial" w:hAnsi="Arial"/>
          <w:sz w:val="18"/>
          <w:szCs w:val="18"/>
          <w:color w:val="auto"/>
        </w:rPr>
        <w:t xml:space="preserve"> Changing the original purpose of the credit without the consent of the lender, misappropriating the credit or using the bank credit to engage in illegal and illegal transactions </w:t>
      </w:r>
      <w:r>
        <w:rPr>
          <w:rFonts w:ascii="MS PGothic" w:cs="MS PGothic" w:eastAsia="MS PGothic" w:hAnsi="MS PGothic"/>
          <w:sz w:val="18"/>
          <w:szCs w:val="18"/>
          <w:color w:val="auto"/>
        </w:rPr>
        <w:t>③</w:t>
      </w:r>
      <w:r>
        <w:rPr>
          <w:rFonts w:ascii="Arial" w:cs="Arial" w:eastAsia="Arial" w:hAnsi="Arial"/>
          <w:sz w:val="18"/>
          <w:szCs w:val="18"/>
          <w:color w:val="auto"/>
        </w:rPr>
        <w:t xml:space="preserve"> Taking advantage of false contracts with related parties to obtain bank funds or credit by discounting or pledging creditor’s rights such as notes receivable and accounts receivable without actual trade background </w:t>
      </w:r>
      <w:r>
        <w:rPr>
          <w:rFonts w:ascii="MS PGothic" w:cs="MS PGothic" w:eastAsia="MS PGothic" w:hAnsi="MS PGothic"/>
          <w:sz w:val="18"/>
          <w:szCs w:val="18"/>
          <w:color w:val="auto"/>
        </w:rPr>
        <w:t>④</w:t>
      </w:r>
      <w:r>
        <w:rPr>
          <w:rFonts w:ascii="Arial" w:cs="Arial" w:eastAsia="Arial" w:hAnsi="Arial"/>
          <w:sz w:val="18"/>
          <w:szCs w:val="18"/>
          <w:color w:val="auto"/>
        </w:rPr>
        <w:t xml:space="preserve"> refusing to accept the lender’s supervision and inspection of its use of credit funds and relevant business and financial activities </w:t>
      </w:r>
      <w:r>
        <w:rPr>
          <w:rFonts w:ascii="MS PGothic" w:cs="MS PGothic" w:eastAsia="MS PGothic" w:hAnsi="MS PGothic"/>
          <w:sz w:val="18"/>
          <w:szCs w:val="18"/>
          <w:color w:val="auto"/>
        </w:rPr>
        <w:t>⑤</w:t>
      </w:r>
      <w:r>
        <w:rPr>
          <w:rFonts w:ascii="Arial" w:cs="Arial" w:eastAsia="Arial" w:hAnsi="Arial"/>
          <w:sz w:val="18"/>
          <w:szCs w:val="18"/>
          <w:color w:val="auto"/>
        </w:rPr>
        <w:t xml:space="preserve"> In case of major merger, acquisition and reorganization, the lender believes that it may affect the credit security </w:t>
      </w:r>
      <w:r>
        <w:rPr>
          <w:rFonts w:ascii="MS PGothic" w:cs="MS PGothic" w:eastAsia="MS PGothic" w:hAnsi="MS PGothic"/>
          <w:sz w:val="18"/>
          <w:szCs w:val="18"/>
          <w:color w:val="auto"/>
        </w:rPr>
        <w:t>⑥</w:t>
      </w:r>
      <w:r>
        <w:rPr>
          <w:rFonts w:ascii="Arial" w:cs="Arial" w:eastAsia="Arial" w:hAnsi="Arial"/>
          <w:sz w:val="18"/>
          <w:szCs w:val="18"/>
          <w:color w:val="auto"/>
        </w:rPr>
        <w:t xml:space="preserve"> Intentionally evading bank creditor’s rights through related party transactions.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5" w:name="page306"/>
    <w:bookmarkEnd w:id="305"/>
    <w:p>
      <w:pPr>
        <w:jc w:val="both"/>
        <w:ind w:firstLine="327"/>
        <w:spacing w:after="0" w:line="271" w:lineRule="auto"/>
        <w:tabs>
          <w:tab w:leader="none" w:pos="59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30" w:lineRule="exact"/>
        <w:rPr>
          <w:sz w:val="20"/>
          <w:szCs w:val="20"/>
          <w:color w:val="auto"/>
        </w:rPr>
      </w:pPr>
    </w:p>
    <w:p>
      <w:pPr>
        <w:jc w:val="both"/>
        <w:ind w:firstLine="320"/>
        <w:spacing w:after="0" w:line="284" w:lineRule="exact"/>
        <w:rPr>
          <w:sz w:val="20"/>
          <w:szCs w:val="20"/>
          <w:color w:val="auto"/>
        </w:rPr>
      </w:pPr>
      <w:r>
        <w:rPr>
          <w:rFonts w:ascii="Arial" w:cs="Arial" w:eastAsia="Arial" w:hAnsi="Arial"/>
          <w:sz w:val="20"/>
          <w:szCs w:val="20"/>
          <w:color w:val="auto"/>
        </w:rPr>
        <w:t xml:space="preserve">(1) the borrower declares and guarantees that the management of environmental and social risks, including: </w:t>
      </w:r>
      <w:r>
        <w:rPr>
          <w:rFonts w:ascii="MS PGothic" w:cs="MS PGothic" w:eastAsia="MS PGothic" w:hAnsi="MS PGothic"/>
          <w:sz w:val="20"/>
          <w:szCs w:val="20"/>
          <w:color w:val="auto"/>
        </w:rPr>
        <w:t>①</w:t>
      </w:r>
      <w:r>
        <w:rPr>
          <w:rFonts w:ascii="Arial" w:cs="Arial" w:eastAsia="Arial" w:hAnsi="Arial"/>
          <w:sz w:val="20"/>
          <w:szCs w:val="20"/>
          <w:color w:val="auto"/>
        </w:rPr>
        <w:t xml:space="preserve"> the internal management documents related to environmental and social risks comply with the requirements of laws and regulations and are effectively implemented; </w:t>
      </w:r>
      <w:r>
        <w:rPr>
          <w:rFonts w:ascii="MS PGothic" w:cs="MS PGothic" w:eastAsia="MS PGothic" w:hAnsi="MS PGothic"/>
          <w:sz w:val="20"/>
          <w:szCs w:val="20"/>
          <w:color w:val="auto"/>
        </w:rPr>
        <w:t>②</w:t>
      </w:r>
      <w:r>
        <w:rPr>
          <w:rFonts w:ascii="Arial" w:cs="Arial" w:eastAsia="Arial" w:hAnsi="Arial"/>
          <w:sz w:val="20"/>
          <w:szCs w:val="20"/>
          <w:color w:val="auto"/>
        </w:rPr>
        <w:t xml:space="preserve"> there are no major litigation cases involving environmental and social risks;</w:t>
      </w:r>
    </w:p>
    <w:p>
      <w:pPr>
        <w:spacing w:after="0" w:line="113" w:lineRule="exact"/>
        <w:rPr>
          <w:sz w:val="20"/>
          <w:szCs w:val="20"/>
          <w:color w:val="auto"/>
        </w:rPr>
      </w:pPr>
    </w:p>
    <w:p>
      <w:pPr>
        <w:jc w:val="both"/>
        <w:ind w:firstLine="327"/>
        <w:spacing w:after="0" w:line="224" w:lineRule="exact"/>
        <w:tabs>
          <w:tab w:leader="none" w:pos="57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The borrower promises to accept the supervision of the lender and strengthen environmental and social risk management, including: </w:t>
      </w:r>
      <w:r>
        <w:rPr>
          <w:rFonts w:ascii="MS PGothic" w:cs="MS PGothic" w:eastAsia="MS PGothic" w:hAnsi="MS PGothic"/>
          <w:sz w:val="16"/>
          <w:szCs w:val="16"/>
          <w:color w:val="auto"/>
        </w:rPr>
        <w:t>①</w:t>
      </w:r>
      <w:r>
        <w:rPr>
          <w:rFonts w:ascii="Arial" w:cs="Arial" w:eastAsia="Arial" w:hAnsi="Arial"/>
          <w:sz w:val="16"/>
          <w:szCs w:val="16"/>
          <w:color w:val="auto"/>
        </w:rPr>
        <w:t xml:space="preserve"> commitment to compliance of all behaviors and performances related to environmental and social risks </w:t>
      </w:r>
      <w:r>
        <w:rPr>
          <w:rFonts w:ascii="MS PGothic" w:cs="MS PGothic" w:eastAsia="MS PGothic" w:hAnsi="MS PGothic"/>
          <w:sz w:val="16"/>
          <w:szCs w:val="16"/>
          <w:color w:val="auto"/>
        </w:rPr>
        <w:t>②</w:t>
      </w:r>
      <w:r>
        <w:rPr>
          <w:rFonts w:ascii="Arial" w:cs="Arial" w:eastAsia="Arial" w:hAnsi="Arial"/>
          <w:sz w:val="16"/>
          <w:szCs w:val="16"/>
          <w:color w:val="auto"/>
        </w:rPr>
        <w:t xml:space="preserve"> Commit to establish and improve the internal management system of environmental and social risks, and specify the responsibilities, obligations and punishment measures of relevant responsible personnel of the borrower </w:t>
      </w:r>
      <w:r>
        <w:rPr>
          <w:rFonts w:ascii="MS PGothic" w:cs="MS PGothic" w:eastAsia="MS PGothic" w:hAnsi="MS PGothic"/>
          <w:sz w:val="16"/>
          <w:szCs w:val="16"/>
          <w:color w:val="auto"/>
        </w:rPr>
        <w:t>③</w:t>
      </w:r>
      <w:r>
        <w:rPr>
          <w:rFonts w:ascii="Arial" w:cs="Arial" w:eastAsia="Arial" w:hAnsi="Arial"/>
          <w:sz w:val="16"/>
          <w:szCs w:val="16"/>
          <w:color w:val="auto"/>
        </w:rPr>
        <w:t xml:space="preserve"> Commit to establish and improve the emergency mechanism and measures for environmental and social risk emergencies </w:t>
      </w:r>
      <w:r>
        <w:rPr>
          <w:rFonts w:ascii="MS PGothic" w:cs="MS PGothic" w:eastAsia="MS PGothic" w:hAnsi="MS PGothic"/>
          <w:sz w:val="16"/>
          <w:szCs w:val="16"/>
          <w:color w:val="auto"/>
        </w:rPr>
        <w:t>④</w:t>
      </w:r>
      <w:r>
        <w:rPr>
          <w:rFonts w:ascii="Arial" w:cs="Arial" w:eastAsia="Arial" w:hAnsi="Arial"/>
          <w:sz w:val="16"/>
          <w:szCs w:val="16"/>
          <w:color w:val="auto"/>
        </w:rPr>
        <w:t xml:space="preserve"> Commit to establish special departments and / or designate special personnel to be responsible for environmental and social risks </w:t>
      </w:r>
      <w:r>
        <w:rPr>
          <w:rFonts w:ascii="MS PGothic" w:cs="MS PGothic" w:eastAsia="MS PGothic" w:hAnsi="MS PGothic"/>
          <w:sz w:val="16"/>
          <w:szCs w:val="16"/>
          <w:color w:val="auto"/>
        </w:rPr>
        <w:t>⑤</w:t>
      </w:r>
      <w:r>
        <w:rPr>
          <w:rFonts w:ascii="Arial" w:cs="Arial" w:eastAsia="Arial" w:hAnsi="Arial"/>
          <w:sz w:val="16"/>
          <w:szCs w:val="16"/>
          <w:color w:val="auto"/>
        </w:rPr>
        <w:t xml:space="preserve"> Promise to cooperate with the lender or its recognized third party in the assessment and inspection of the borrower’s environmental and social risks </w:t>
      </w:r>
      <w:r>
        <w:rPr>
          <w:rFonts w:ascii="MS PGothic" w:cs="MS PGothic" w:eastAsia="MS PGothic" w:hAnsi="MS PGothic"/>
          <w:sz w:val="16"/>
          <w:szCs w:val="16"/>
          <w:color w:val="auto"/>
        </w:rPr>
        <w:t>⑥</w:t>
      </w:r>
      <w:r>
        <w:rPr>
          <w:rFonts w:ascii="Arial" w:cs="Arial" w:eastAsia="Arial" w:hAnsi="Arial"/>
          <w:sz w:val="16"/>
          <w:szCs w:val="16"/>
          <w:color w:val="auto"/>
        </w:rPr>
        <w:t xml:space="preserve"> in the face of strong doubts from the public or other stakeholders about the borrower’s performance in controlling environmental and social risks, promise to respond appropriately or take other necessary actions </w:t>
      </w:r>
      <w:r>
        <w:rPr>
          <w:rFonts w:ascii="MS PGothic" w:cs="MS PGothic" w:eastAsia="MS PGothic" w:hAnsi="MS PGothic"/>
          <w:sz w:val="16"/>
          <w:szCs w:val="16"/>
          <w:color w:val="auto"/>
        </w:rPr>
        <w:t>⑦</w:t>
      </w:r>
      <w:r>
        <w:rPr>
          <w:rFonts w:ascii="Arial" w:cs="Arial" w:eastAsia="Arial" w:hAnsi="Arial"/>
          <w:sz w:val="16"/>
          <w:szCs w:val="16"/>
          <w:color w:val="auto"/>
        </w:rPr>
        <w:t xml:space="preserve"> undertake to urge the borrower’s vital related parties to strengthen management and prevent the environmental and social risks of related parties from infecting the borrower </w:t>
      </w:r>
      <w:r>
        <w:rPr>
          <w:rFonts w:ascii="MS PGothic" w:cs="MS PGothic" w:eastAsia="MS PGothic" w:hAnsi="MS PGothic"/>
          <w:sz w:val="16"/>
          <w:szCs w:val="16"/>
          <w:color w:val="auto"/>
        </w:rPr>
        <w:t>⑧</w:t>
      </w:r>
      <w:r>
        <w:rPr>
          <w:rFonts w:ascii="Arial" w:cs="Arial" w:eastAsia="Arial" w:hAnsi="Arial"/>
          <w:sz w:val="16"/>
          <w:szCs w:val="16"/>
          <w:color w:val="auto"/>
        </w:rPr>
        <w:t xml:space="preserve"> undertake to perform other matters that the lender considers relevant to controlling environmental and social risks;</w:t>
      </w:r>
    </w:p>
    <w:p>
      <w:pPr>
        <w:spacing w:after="0" w:line="127" w:lineRule="exact"/>
        <w:rPr>
          <w:rFonts w:ascii="Arial" w:cs="Arial" w:eastAsia="Arial" w:hAnsi="Arial"/>
          <w:sz w:val="16"/>
          <w:szCs w:val="16"/>
          <w:color w:val="auto"/>
        </w:rPr>
      </w:pPr>
    </w:p>
    <w:p>
      <w:pPr>
        <w:jc w:val="both"/>
        <w:ind w:firstLine="327"/>
        <w:spacing w:after="0" w:line="223" w:lineRule="exact"/>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borrower promises to timely and fully inform the lender of various permits </w:t>
      </w:r>
      <w:r>
        <w:rPr>
          <w:rFonts w:ascii="MS PGothic" w:cs="MS PGothic" w:eastAsia="MS PGothic" w:hAnsi="MS PGothic"/>
          <w:sz w:val="18"/>
          <w:szCs w:val="18"/>
          <w:color w:val="auto"/>
        </w:rPr>
        <w:t>①</w:t>
      </w:r>
      <w:r>
        <w:rPr>
          <w:rFonts w:ascii="Arial" w:cs="Arial" w:eastAsia="Arial" w:hAnsi="Arial"/>
          <w:sz w:val="18"/>
          <w:szCs w:val="18"/>
          <w:color w:val="auto"/>
        </w:rPr>
        <w:t xml:space="preserve"> approvals and approvals related to environmental and social risks in the process of commencement, construction, operation and shutdown </w:t>
      </w:r>
      <w:r>
        <w:rPr>
          <w:rFonts w:ascii="MS PGothic" w:cs="MS PGothic" w:eastAsia="MS PGothic" w:hAnsi="MS PGothic"/>
          <w:sz w:val="18"/>
          <w:szCs w:val="18"/>
          <w:color w:val="auto"/>
        </w:rPr>
        <w:t>②</w:t>
      </w:r>
      <w:r>
        <w:rPr>
          <w:rFonts w:ascii="Arial" w:cs="Arial" w:eastAsia="Arial" w:hAnsi="Arial"/>
          <w:sz w:val="18"/>
          <w:szCs w:val="18"/>
          <w:color w:val="auto"/>
        </w:rPr>
        <w:t xml:space="preserve"> Assessment and inspection of the borrower’s environmental and social risks by the environmental and social risk regulatory authority or its recognized institutions </w:t>
      </w:r>
      <w:r>
        <w:rPr>
          <w:rFonts w:ascii="MS PGothic" w:cs="MS PGothic" w:eastAsia="MS PGothic" w:hAnsi="MS PGothic"/>
          <w:sz w:val="18"/>
          <w:szCs w:val="18"/>
          <w:color w:val="auto"/>
        </w:rPr>
        <w:t>③</w:t>
      </w:r>
      <w:r>
        <w:rPr>
          <w:rFonts w:ascii="Arial" w:cs="Arial" w:eastAsia="Arial" w:hAnsi="Arial"/>
          <w:sz w:val="18"/>
          <w:szCs w:val="18"/>
          <w:color w:val="auto"/>
        </w:rPr>
        <w:t xml:space="preserve"> supporting construction and operation of environmental facilities </w:t>
      </w:r>
      <w:r>
        <w:rPr>
          <w:rFonts w:ascii="MS PGothic" w:cs="MS PGothic" w:eastAsia="MS PGothic" w:hAnsi="MS PGothic"/>
          <w:sz w:val="18"/>
          <w:szCs w:val="18"/>
          <w:color w:val="auto"/>
        </w:rPr>
        <w:t>④</w:t>
      </w:r>
      <w:r>
        <w:rPr>
          <w:rFonts w:ascii="Arial" w:cs="Arial" w:eastAsia="Arial" w:hAnsi="Arial"/>
          <w:sz w:val="18"/>
          <w:szCs w:val="18"/>
          <w:color w:val="auto"/>
        </w:rPr>
        <w:t xml:space="preserve"> Discharge and compliance of pollutants </w:t>
      </w:r>
      <w:r>
        <w:rPr>
          <w:rFonts w:ascii="MS PGothic" w:cs="MS PGothic" w:eastAsia="MS PGothic" w:hAnsi="MS PGothic"/>
          <w:sz w:val="18"/>
          <w:szCs w:val="18"/>
          <w:color w:val="auto"/>
        </w:rPr>
        <w:t>⑤</w:t>
      </w:r>
      <w:r>
        <w:rPr>
          <w:rFonts w:ascii="Arial" w:cs="Arial" w:eastAsia="Arial" w:hAnsi="Arial"/>
          <w:sz w:val="18"/>
          <w:szCs w:val="18"/>
          <w:color w:val="auto"/>
        </w:rPr>
        <w:t xml:space="preserve"> Safety and health of employees </w:t>
      </w:r>
      <w:r>
        <w:rPr>
          <w:rFonts w:ascii="MS PGothic" w:cs="MS PGothic" w:eastAsia="MS PGothic" w:hAnsi="MS PGothic"/>
          <w:sz w:val="18"/>
          <w:szCs w:val="18"/>
          <w:color w:val="auto"/>
        </w:rPr>
        <w:t>⑥</w:t>
      </w:r>
      <w:r>
        <w:rPr>
          <w:rFonts w:ascii="Arial" w:cs="Arial" w:eastAsia="Arial" w:hAnsi="Arial"/>
          <w:sz w:val="18"/>
          <w:szCs w:val="18"/>
          <w:color w:val="auto"/>
        </w:rPr>
        <w:t xml:space="preserve"> neighboring communities for the borrower Major complaints and protests </w:t>
      </w:r>
      <w:r>
        <w:rPr>
          <w:rFonts w:ascii="MS PGothic" w:cs="MS PGothic" w:eastAsia="MS PGothic" w:hAnsi="MS PGothic"/>
          <w:sz w:val="18"/>
          <w:szCs w:val="18"/>
          <w:color w:val="auto"/>
        </w:rPr>
        <w:t>⑦</w:t>
      </w:r>
      <w:r>
        <w:rPr>
          <w:rFonts w:ascii="Arial" w:cs="Arial" w:eastAsia="Arial" w:hAnsi="Arial"/>
          <w:sz w:val="18"/>
          <w:szCs w:val="18"/>
          <w:color w:val="auto"/>
        </w:rPr>
        <w:t xml:space="preserve"> Major environmental and social claims </w:t>
      </w:r>
      <w:r>
        <w:rPr>
          <w:rFonts w:ascii="MS PGothic" w:cs="MS PGothic" w:eastAsia="MS PGothic" w:hAnsi="MS PGothic"/>
          <w:sz w:val="18"/>
          <w:szCs w:val="18"/>
          <w:color w:val="auto"/>
        </w:rPr>
        <w:t>⑧</w:t>
      </w:r>
      <w:r>
        <w:rPr>
          <w:rFonts w:ascii="Arial" w:cs="Arial" w:eastAsia="Arial" w:hAnsi="Arial"/>
          <w:sz w:val="18"/>
          <w:szCs w:val="18"/>
          <w:color w:val="auto"/>
        </w:rPr>
        <w:t xml:space="preserve"> Other lenders believe that it is related to environmental and social winds Skillfully Major information related to insurance;</w:t>
      </w:r>
    </w:p>
    <w:p>
      <w:pPr>
        <w:spacing w:after="0" w:line="203" w:lineRule="exact"/>
        <w:rPr>
          <w:rFonts w:ascii="Arial" w:cs="Arial" w:eastAsia="Arial" w:hAnsi="Arial"/>
          <w:sz w:val="18"/>
          <w:szCs w:val="18"/>
          <w:color w:val="auto"/>
        </w:rPr>
      </w:pPr>
    </w:p>
    <w:p>
      <w:pPr>
        <w:jc w:val="both"/>
        <w:ind w:firstLine="327"/>
        <w:spacing w:after="0" w:line="216" w:lineRule="exact"/>
        <w:tabs>
          <w:tab w:leader="none" w:pos="57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If the borrower and the actual Credit Lender have the following circumstances, it shall be deemed that the borrower has an event of default under this Contract: </w:t>
      </w:r>
      <w:r>
        <w:rPr>
          <w:rFonts w:ascii="MS PGothic" w:cs="MS PGothic" w:eastAsia="MS PGothic" w:hAnsi="MS PGothic"/>
          <w:sz w:val="17"/>
          <w:szCs w:val="17"/>
          <w:color w:val="auto"/>
        </w:rPr>
        <w:t>①</w:t>
      </w:r>
      <w:r>
        <w:rPr>
          <w:rFonts w:ascii="Arial" w:cs="Arial" w:eastAsia="Arial" w:hAnsi="Arial"/>
          <w:sz w:val="17"/>
          <w:szCs w:val="17"/>
          <w:color w:val="auto"/>
        </w:rPr>
        <w:t xml:space="preserve"> the borrower’s statement, guarantee and commitment on environmental and social risk management have not been seriously fulfilled </w:t>
      </w:r>
      <w:r>
        <w:rPr>
          <w:rFonts w:ascii="MS PGothic" w:cs="MS PGothic" w:eastAsia="MS PGothic" w:hAnsi="MS PGothic"/>
          <w:sz w:val="17"/>
          <w:szCs w:val="17"/>
          <w:color w:val="auto"/>
        </w:rPr>
        <w:t>②</w:t>
      </w:r>
      <w:r>
        <w:rPr>
          <w:rFonts w:ascii="Arial" w:cs="Arial" w:eastAsia="Arial" w:hAnsi="Arial"/>
          <w:sz w:val="17"/>
          <w:szCs w:val="17"/>
          <w:color w:val="auto"/>
        </w:rPr>
        <w:t xml:space="preserve"> The borrower is punished by relevant government departments due to poor environmental and social risk management </w:t>
      </w:r>
      <w:r>
        <w:rPr>
          <w:rFonts w:ascii="MS PGothic" w:cs="MS PGothic" w:eastAsia="MS PGothic" w:hAnsi="MS PGothic"/>
          <w:sz w:val="17"/>
          <w:szCs w:val="17"/>
          <w:color w:val="auto"/>
        </w:rPr>
        <w:t>③</w:t>
      </w:r>
      <w:r>
        <w:rPr>
          <w:rFonts w:ascii="Arial" w:cs="Arial" w:eastAsia="Arial" w:hAnsi="Arial"/>
          <w:sz w:val="17"/>
          <w:szCs w:val="17"/>
          <w:color w:val="auto"/>
        </w:rPr>
        <w:t xml:space="preserve"> the borrower is strongly questioned by the public and / or the media due to poor environmental and social risk management </w:t>
      </w:r>
      <w:r>
        <w:rPr>
          <w:rFonts w:ascii="MS PGothic" w:cs="MS PGothic" w:eastAsia="MS PGothic" w:hAnsi="MS PGothic"/>
          <w:sz w:val="17"/>
          <w:szCs w:val="17"/>
          <w:color w:val="auto"/>
        </w:rPr>
        <w:t>④</w:t>
      </w:r>
      <w:r>
        <w:rPr>
          <w:rFonts w:ascii="Arial" w:cs="Arial" w:eastAsia="Arial" w:hAnsi="Arial"/>
          <w:sz w:val="17"/>
          <w:szCs w:val="17"/>
          <w:color w:val="auto"/>
        </w:rPr>
        <w:t xml:space="preserve"> Other events of default related to environmental and social risk management agreed between the lender and the borrower, including cross events of default;</w:t>
      </w:r>
    </w:p>
    <w:p>
      <w:pPr>
        <w:spacing w:after="0" w:line="157" w:lineRule="exact"/>
        <w:rPr>
          <w:sz w:val="20"/>
          <w:szCs w:val="20"/>
          <w:color w:val="auto"/>
        </w:rPr>
      </w:pPr>
    </w:p>
    <w:p>
      <w:pPr>
        <w:jc w:val="both"/>
        <w:ind w:firstLine="320"/>
        <w:spacing w:after="0" w:line="228" w:lineRule="exact"/>
        <w:rPr>
          <w:sz w:val="20"/>
          <w:szCs w:val="20"/>
          <w:color w:val="auto"/>
        </w:rPr>
      </w:pPr>
      <w:r>
        <w:rPr>
          <w:rFonts w:ascii="Arial" w:cs="Arial" w:eastAsia="Arial" w:hAnsi="Arial"/>
          <w:sz w:val="18"/>
          <w:szCs w:val="18"/>
          <w:color w:val="auto"/>
        </w:rPr>
        <w:t xml:space="preserve">In case of the above events of default of the borrower, the lender has the right to unilaterally decide: </w:t>
      </w:r>
      <w:r>
        <w:rPr>
          <w:rFonts w:ascii="MS PGothic" w:cs="MS PGothic" w:eastAsia="MS PGothic" w:hAnsi="MS PGothic"/>
          <w:sz w:val="18"/>
          <w:szCs w:val="18"/>
          <w:color w:val="auto"/>
        </w:rPr>
        <w:t>①</w:t>
      </w:r>
      <w:r>
        <w:rPr>
          <w:rFonts w:ascii="Arial" w:cs="Arial" w:eastAsia="Arial" w:hAnsi="Arial"/>
          <w:sz w:val="18"/>
          <w:szCs w:val="18"/>
          <w:color w:val="auto"/>
        </w:rPr>
        <w:t xml:space="preserve"> cancel the credit commitment already made </w:t>
      </w:r>
      <w:r>
        <w:rPr>
          <w:rFonts w:ascii="MS PGothic" w:cs="MS PGothic" w:eastAsia="MS PGothic" w:hAnsi="MS PGothic"/>
          <w:sz w:val="18"/>
          <w:szCs w:val="18"/>
          <w:color w:val="auto"/>
        </w:rPr>
        <w:t>②</w:t>
      </w:r>
      <w:r>
        <w:rPr>
          <w:rFonts w:ascii="Arial" w:cs="Arial" w:eastAsia="Arial" w:hAnsi="Arial"/>
          <w:sz w:val="18"/>
          <w:szCs w:val="18"/>
          <w:color w:val="auto"/>
        </w:rPr>
        <w:t xml:space="preserve"> Suspend the disbursement of the loan until the borrower takes rescue measures satisfactory to the lender </w:t>
      </w:r>
      <w:r>
        <w:rPr>
          <w:rFonts w:ascii="MS PGothic" w:cs="MS PGothic" w:eastAsia="MS PGothic" w:hAnsi="MS PGothic"/>
          <w:sz w:val="18"/>
          <w:szCs w:val="18"/>
          <w:color w:val="auto"/>
        </w:rPr>
        <w:t>③</w:t>
      </w:r>
      <w:r>
        <w:rPr>
          <w:rFonts w:ascii="Arial" w:cs="Arial" w:eastAsia="Arial" w:hAnsi="Arial"/>
          <w:sz w:val="18"/>
          <w:szCs w:val="18"/>
          <w:color w:val="auto"/>
        </w:rPr>
        <w:t xml:space="preserve"> recover the allocated loan in advance </w:t>
      </w:r>
      <w:r>
        <w:rPr>
          <w:rFonts w:ascii="MS PGothic" w:cs="MS PGothic" w:eastAsia="MS PGothic" w:hAnsi="MS PGothic"/>
          <w:sz w:val="18"/>
          <w:szCs w:val="18"/>
          <w:color w:val="auto"/>
        </w:rPr>
        <w:t>④</w:t>
      </w:r>
      <w:r>
        <w:rPr>
          <w:rFonts w:ascii="Arial" w:cs="Arial" w:eastAsia="Arial" w:hAnsi="Arial"/>
          <w:sz w:val="18"/>
          <w:szCs w:val="18"/>
          <w:color w:val="auto"/>
        </w:rPr>
        <w:t xml:space="preserve"> When the loan cannot be repaid, relevant mortgage and pledge rights and other punishment measures shall be exercised in advance </w:t>
      </w:r>
      <w:r>
        <w:rPr>
          <w:rFonts w:ascii="MS PGothic" w:cs="MS PGothic" w:eastAsia="MS PGothic" w:hAnsi="MS PGothic"/>
          <w:sz w:val="18"/>
          <w:szCs w:val="18"/>
          <w:color w:val="auto"/>
        </w:rPr>
        <w:t>⑤</w:t>
      </w:r>
      <w:r>
        <w:rPr>
          <w:rFonts w:ascii="Arial" w:cs="Arial" w:eastAsia="Arial" w:hAnsi="Arial"/>
          <w:sz w:val="18"/>
          <w:szCs w:val="18"/>
          <w:color w:val="auto"/>
        </w:rPr>
        <w:t xml:space="preserve"> other punishment measures agreed by the lender and the borrower.</w:t>
      </w:r>
    </w:p>
    <w:p>
      <w:pPr>
        <w:spacing w:after="0" w:line="20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13 .The borrower promises not to illegally increase the implicit debt of the local government, otherwise the lender has the right to immediately suspend/terminate the borrower’s withdrawal, and has the right to announce that part or all of the loans already issued are due in advance. At the same time, the lender has the right to report the relevant situation to the relevant regulatory authorities.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6" w:name="page307"/>
    <w:bookmarkEnd w:id="306"/>
    <w:p>
      <w:pPr>
        <w:jc w:val="both"/>
        <w:ind w:firstLine="327"/>
        <w:spacing w:after="0" w:line="286" w:lineRule="auto"/>
        <w:tabs>
          <w:tab w:leader="none" w:pos="613"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67" w:lineRule="exact"/>
        <w:rPr>
          <w:rFonts w:ascii="Arial" w:cs="Arial" w:eastAsia="Arial" w:hAnsi="Arial"/>
          <w:sz w:val="16"/>
          <w:szCs w:val="16"/>
          <w:color w:val="auto"/>
        </w:rPr>
      </w:pPr>
    </w:p>
    <w:p>
      <w:pPr>
        <w:jc w:val="both"/>
        <w:ind w:firstLine="327"/>
        <w:spacing w:after="0" w:line="286" w:lineRule="auto"/>
        <w:tabs>
          <w:tab w:leader="none" w:pos="58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67" w:lineRule="exact"/>
        <w:rPr>
          <w:rFonts w:ascii="Arial" w:cs="Arial" w:eastAsia="Arial" w:hAnsi="Arial"/>
          <w:sz w:val="16"/>
          <w:szCs w:val="16"/>
          <w:color w:val="auto"/>
        </w:rPr>
      </w:pPr>
    </w:p>
    <w:p>
      <w:pPr>
        <w:jc w:val="both"/>
        <w:ind w:firstLine="327"/>
        <w:spacing w:after="0" w:line="255" w:lineRule="auto"/>
        <w:tabs>
          <w:tab w:leader="none" w:pos="5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deduction agreement</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8" w:lineRule="exact"/>
        <w:rPr>
          <w:sz w:val="20"/>
          <w:szCs w:val="20"/>
          <w:color w:val="auto"/>
        </w:rPr>
      </w:pPr>
    </w:p>
    <w:p>
      <w:pPr>
        <w:ind w:firstLine="327"/>
        <w:spacing w:after="0" w:line="270" w:lineRule="auto"/>
        <w:tabs>
          <w:tab w:leader="none" w:pos="49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07" w:name="page308"/>
    <w:bookmarkEnd w:id="307"/>
    <w:p>
      <w:pPr>
        <w:ind w:left="320"/>
        <w:spacing w:after="0"/>
        <w:rPr>
          <w:sz w:val="20"/>
          <w:szCs w:val="20"/>
          <w:color w:val="auto"/>
        </w:rPr>
      </w:pPr>
      <w:r>
        <w:rPr>
          <w:rFonts w:ascii="Arial" w:cs="Arial" w:eastAsia="Arial" w:hAnsi="Arial"/>
          <w:sz w:val="18"/>
          <w:szCs w:val="18"/>
          <w:color w:val="auto"/>
        </w:rPr>
        <w:t>3. if the deducted income is inconsistent with the currency to be repaid, it shall be handled in the following ways:</w:t>
      </w:r>
    </w:p>
    <w:p>
      <w:pPr>
        <w:spacing w:after="0" w:line="220" w:lineRule="exact"/>
        <w:rPr>
          <w:sz w:val="20"/>
          <w:szCs w:val="20"/>
          <w:color w:val="auto"/>
        </w:rPr>
      </w:pPr>
    </w:p>
    <w:p>
      <w:pPr>
        <w:ind w:firstLine="327"/>
        <w:spacing w:after="0" w:line="300" w:lineRule="auto"/>
        <w:tabs>
          <w:tab w:leader="none" w:pos="5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51" w:lineRule="exact"/>
        <w:rPr>
          <w:rFonts w:ascii="Arial" w:cs="Arial" w:eastAsia="Arial" w:hAnsi="Arial"/>
          <w:sz w:val="17"/>
          <w:szCs w:val="17"/>
          <w:color w:val="auto"/>
        </w:rPr>
      </w:pPr>
    </w:p>
    <w:p>
      <w:pPr>
        <w:jc w:val="both"/>
        <w:ind w:firstLine="327"/>
        <w:spacing w:after="0" w:line="258" w:lineRule="auto"/>
        <w:tabs>
          <w:tab w:leader="none" w:pos="57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186" w:lineRule="exact"/>
        <w:rPr>
          <w:rFonts w:ascii="Arial" w:cs="Arial" w:eastAsia="Arial" w:hAnsi="Arial"/>
          <w:sz w:val="18"/>
          <w:szCs w:val="18"/>
          <w:color w:val="auto"/>
        </w:rPr>
      </w:pPr>
    </w:p>
    <w:p>
      <w:pPr>
        <w:jc w:val="both"/>
        <w:ind w:firstLine="327"/>
        <w:spacing w:after="0" w:line="255" w:lineRule="auto"/>
        <w:tabs>
          <w:tab w:leader="none" w:pos="5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proof of creditor’s rights</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agreed service address</w:t>
      </w:r>
    </w:p>
    <w:p>
      <w:pPr>
        <w:spacing w:after="0" w:line="224" w:lineRule="exact"/>
        <w:rPr>
          <w:sz w:val="20"/>
          <w:szCs w:val="20"/>
          <w:color w:val="auto"/>
        </w:rPr>
      </w:pPr>
    </w:p>
    <w:p>
      <w:pPr>
        <w:jc w:val="both"/>
        <w:ind w:firstLine="327"/>
        <w:spacing w:after="0" w:line="306" w:lineRule="auto"/>
        <w:tabs>
          <w:tab w:leader="none" w:pos="51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50" w:lineRule="exact"/>
        <w:rPr>
          <w:rFonts w:ascii="Arial" w:cs="Arial" w:eastAsia="Arial" w:hAnsi="Arial"/>
          <w:sz w:val="16"/>
          <w:szCs w:val="16"/>
          <w:color w:val="auto"/>
        </w:rPr>
      </w:pPr>
    </w:p>
    <w:p>
      <w:pPr>
        <w:jc w:val="both"/>
        <w:ind w:firstLine="327"/>
        <w:spacing w:after="0" w:line="268" w:lineRule="auto"/>
        <w:tabs>
          <w:tab w:leader="none" w:pos="51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8" w:name="page309"/>
    <w:bookmarkEnd w:id="308"/>
    <w:p>
      <w:pPr>
        <w:jc w:val="center"/>
        <w:ind w:right="320"/>
        <w:spacing w:after="0"/>
        <w:rPr>
          <w:sz w:val="20"/>
          <w:szCs w:val="20"/>
          <w:color w:val="auto"/>
        </w:rPr>
      </w:pPr>
      <w:r>
        <w:rPr>
          <w:rFonts w:ascii="Arial" w:cs="Arial" w:eastAsia="Arial" w:hAnsi="Arial"/>
          <w:sz w:val="18"/>
          <w:szCs w:val="18"/>
          <w:b w:val="1"/>
          <w:bCs w:val="1"/>
          <w:color w:val="auto"/>
        </w:rPr>
        <w:t>Article 12 events of default and handling</w:t>
      </w:r>
    </w:p>
    <w:p>
      <w:pPr>
        <w:spacing w:after="0" w:line="224" w:lineRule="exact"/>
        <w:rPr>
          <w:sz w:val="20"/>
          <w:szCs w:val="20"/>
          <w:color w:val="auto"/>
        </w:rPr>
      </w:pPr>
    </w:p>
    <w:p>
      <w:pPr>
        <w:ind w:left="320" w:hanging="313"/>
        <w:spacing w:after="0"/>
        <w:tabs>
          <w:tab w:leader="none" w:pos="3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Event of default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Any of the following circumstances shall constitute a breach of contract by the borrower against the lender:</w:t>
      </w:r>
    </w:p>
    <w:p>
      <w:pPr>
        <w:spacing w:after="0" w:line="220" w:lineRule="exact"/>
        <w:rPr>
          <w:sz w:val="20"/>
          <w:szCs w:val="20"/>
          <w:color w:val="auto"/>
        </w:rPr>
      </w:pPr>
    </w:p>
    <w:p>
      <w:pPr>
        <w:jc w:val="both"/>
        <w:ind w:left="320" w:hanging="313"/>
        <w:spacing w:after="0" w:line="258" w:lineRule="auto"/>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borrower has violated “other matters agreed by both parties” (if any) in part I of the contract or any agreed matter in Article 8 of Part II.</w:t>
      </w:r>
    </w:p>
    <w:p>
      <w:pPr>
        <w:spacing w:after="0" w:line="231" w:lineRule="exact"/>
        <w:rPr>
          <w:rFonts w:ascii="Arial" w:cs="Arial" w:eastAsia="Arial" w:hAnsi="Arial"/>
          <w:sz w:val="17"/>
          <w:szCs w:val="17"/>
          <w:color w:val="auto"/>
        </w:rPr>
      </w:pPr>
    </w:p>
    <w:p>
      <w:pPr>
        <w:ind w:left="320" w:hanging="313"/>
        <w:spacing w:after="0" w:line="270" w:lineRule="auto"/>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borrower’s investors withdraw funds, transfer assets or transfer equity without authorization.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guarantor has or will no longer have the ability to provide guarantee corresponding to the loan, or violates the guarantee documents signed by it.</w:t>
      </w:r>
    </w:p>
    <w:p>
      <w:pPr>
        <w:spacing w:after="0" w:line="242" w:lineRule="exact"/>
        <w:rPr>
          <w:rFonts w:ascii="Arial" w:cs="Arial" w:eastAsia="Arial" w:hAnsi="Arial"/>
          <w:sz w:val="16"/>
          <w:szCs w:val="16"/>
          <w:color w:val="auto"/>
        </w:rPr>
      </w:pPr>
    </w:p>
    <w:p>
      <w:pPr>
        <w:ind w:left="320" w:hanging="313"/>
        <w:spacing w:after="0" w:line="270" w:lineRule="auto"/>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74" w:lineRule="exact"/>
        <w:rPr>
          <w:rFonts w:ascii="Arial" w:cs="Arial" w:eastAsia="Arial" w:hAnsi="Arial"/>
          <w:sz w:val="18"/>
          <w:szCs w:val="18"/>
          <w:color w:val="auto"/>
        </w:rPr>
      </w:pPr>
    </w:p>
    <w:p>
      <w:pPr>
        <w:jc w:val="both"/>
        <w:ind w:left="320" w:hanging="313"/>
        <w:spacing w:after="0" w:line="281" w:lineRule="auto"/>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67" w:lineRule="exact"/>
        <w:rPr>
          <w:rFonts w:ascii="Arial" w:cs="Arial" w:eastAsia="Arial" w:hAnsi="Arial"/>
          <w:sz w:val="17"/>
          <w:szCs w:val="17"/>
          <w:color w:val="auto"/>
        </w:rPr>
      </w:pPr>
    </w:p>
    <w:p>
      <w:pPr>
        <w:ind w:left="320" w:hanging="313"/>
        <w:spacing w:after="0"/>
        <w:tabs>
          <w:tab w:leader="none" w:pos="3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Failure to repay the principal and interest on schedule or use the loan for the agreed purpose.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loan funds are not paid in the agreed manner.</w:t>
      </w:r>
    </w:p>
    <w:p>
      <w:pPr>
        <w:spacing w:after="0" w:line="231" w:lineRule="exact"/>
        <w:rPr>
          <w:rFonts w:ascii="Arial" w:cs="Arial" w:eastAsia="Arial" w:hAnsi="Arial"/>
          <w:sz w:val="17"/>
          <w:szCs w:val="17"/>
          <w:color w:val="auto"/>
        </w:rPr>
      </w:pPr>
    </w:p>
    <w:p>
      <w:pPr>
        <w:ind w:left="320" w:hanging="313"/>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documents and information submitted for loan application are false and incorrect.</w:t>
      </w:r>
    </w:p>
    <w:p>
      <w:pPr>
        <w:spacing w:after="0" w:line="231" w:lineRule="exact"/>
        <w:rPr>
          <w:rFonts w:ascii="Arial" w:cs="Arial" w:eastAsia="Arial" w:hAnsi="Arial"/>
          <w:sz w:val="17"/>
          <w:szCs w:val="17"/>
          <w:color w:val="auto"/>
        </w:rPr>
      </w:pPr>
    </w:p>
    <w:p>
      <w:pPr>
        <w:ind w:left="320" w:hanging="313"/>
        <w:spacing w:after="0"/>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It does not meet or exceed the constraints of relevant financial indicators agreed in the contract.</w:t>
      </w:r>
    </w:p>
    <w:p>
      <w:pPr>
        <w:spacing w:after="0" w:line="231" w:lineRule="exact"/>
        <w:rPr>
          <w:rFonts w:ascii="Arial" w:cs="Arial" w:eastAsia="Arial" w:hAnsi="Arial"/>
          <w:sz w:val="17"/>
          <w:szCs w:val="17"/>
          <w:color w:val="auto"/>
        </w:rPr>
      </w:pPr>
    </w:p>
    <w:p>
      <w:pPr>
        <w:ind w:left="320" w:hanging="313"/>
        <w:spacing w:after="0" w:line="300" w:lineRule="auto"/>
        <w:tabs>
          <w:tab w:leader="none" w:pos="3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36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309" w:name="page310"/>
    <w:bookmarkEnd w:id="309"/>
    <w:p>
      <w:pPr>
        <w:ind w:left="640" w:hanging="313"/>
        <w:spacing w:after="0"/>
        <w:tabs>
          <w:tab w:leader="none" w:pos="6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capital flow in the general settlement account / capital return account is abnormal.</w:t>
      </w:r>
    </w:p>
    <w:p>
      <w:pPr>
        <w:spacing w:after="0" w:line="231" w:lineRule="exact"/>
        <w:rPr>
          <w:rFonts w:ascii="Arial" w:cs="Arial" w:eastAsia="Arial" w:hAnsi="Arial"/>
          <w:sz w:val="17"/>
          <w:szCs w:val="17"/>
          <w:color w:val="auto"/>
        </w:rPr>
      </w:pPr>
    </w:p>
    <w:p>
      <w:pPr>
        <w:ind w:left="640" w:hanging="313"/>
        <w:spacing w:after="0" w:line="300" w:lineRule="auto"/>
        <w:tabs>
          <w:tab w:leader="none" w:pos="6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borrower is suspected of participating in money laundering, sanctions, terrorist financing or WMD proliferation financing, export control, tax evasion and other illegal acts.</w:t>
      </w:r>
    </w:p>
    <w:p>
      <w:pPr>
        <w:spacing w:after="0" w:line="151" w:lineRule="exact"/>
        <w:rPr>
          <w:rFonts w:ascii="Arial" w:cs="Arial" w:eastAsia="Arial" w:hAnsi="Arial"/>
          <w:sz w:val="17"/>
          <w:szCs w:val="17"/>
          <w:color w:val="auto"/>
        </w:rPr>
      </w:pPr>
    </w:p>
    <w:p>
      <w:pPr>
        <w:ind w:left="640" w:hanging="313"/>
        <w:spacing w:after="0"/>
        <w:tabs>
          <w:tab w:leader="none" w:pos="6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borrower illegally increases the implicit debt of the local government.</w:t>
      </w:r>
    </w:p>
    <w:p>
      <w:pPr>
        <w:spacing w:after="0" w:line="231" w:lineRule="exact"/>
        <w:rPr>
          <w:rFonts w:ascii="Arial" w:cs="Arial" w:eastAsia="Arial" w:hAnsi="Arial"/>
          <w:sz w:val="17"/>
          <w:szCs w:val="17"/>
          <w:color w:val="auto"/>
        </w:rPr>
      </w:pPr>
    </w:p>
    <w:p>
      <w:pPr>
        <w:ind w:left="640" w:hanging="313"/>
        <w:spacing w:after="0" w:line="300" w:lineRule="auto"/>
        <w:tabs>
          <w:tab w:leader="none" w:pos="6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borrower has other acts in violation of this contract that are sufficient to hinder the normal performance of this contract, or other acts that damage the legitimate interests of the lender.</w:t>
      </w:r>
    </w:p>
    <w:p>
      <w:pPr>
        <w:spacing w:after="0" w:line="152" w:lineRule="exact"/>
        <w:rPr>
          <w:sz w:val="20"/>
          <w:szCs w:val="20"/>
          <w:color w:val="auto"/>
        </w:rPr>
      </w:pPr>
    </w:p>
    <w:p>
      <w:pPr>
        <w:ind w:left="640" w:hanging="313"/>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Handling of breach of contract</w:t>
      </w:r>
    </w:p>
    <w:p>
      <w:pPr>
        <w:spacing w:after="0" w:line="220" w:lineRule="exact"/>
        <w:rPr>
          <w:sz w:val="20"/>
          <w:szCs w:val="20"/>
          <w:color w:val="auto"/>
        </w:rPr>
      </w:pPr>
    </w:p>
    <w:p>
      <w:pPr>
        <w:ind w:left="640" w:hanging="313"/>
        <w:spacing w:after="0" w:line="270" w:lineRule="auto"/>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when one or more of the default circumstances listed in the current paragraph occur, the lender may take one or more of the following measures at its discretion:</w:t>
      </w:r>
    </w:p>
    <w:p>
      <w:pPr>
        <w:spacing w:after="0" w:line="175" w:lineRule="exact"/>
        <w:rPr>
          <w:sz w:val="20"/>
          <w:szCs w:val="20"/>
          <w:color w:val="auto"/>
        </w:rPr>
      </w:pPr>
    </w:p>
    <w:p>
      <w:pPr>
        <w:ind w:left="640" w:hanging="313"/>
        <w:spacing w:after="0"/>
        <w:tabs>
          <w:tab w:leader="none" w:pos="640"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require the borrower to correct within a time limit.</w:t>
      </w:r>
    </w:p>
    <w:p>
      <w:pPr>
        <w:spacing w:after="0" w:line="220" w:lineRule="exact"/>
        <w:rPr>
          <w:sz w:val="20"/>
          <w:szCs w:val="20"/>
          <w:color w:val="auto"/>
        </w:rPr>
      </w:pPr>
    </w:p>
    <w:p>
      <w:pPr>
        <w:ind w:left="640" w:hanging="313"/>
        <w:spacing w:after="0"/>
        <w:tabs>
          <w:tab w:leader="none" w:pos="640" w:val="left"/>
        </w:tabs>
        <w:numPr>
          <w:ilvl w:val="0"/>
          <w:numId w:val="239"/>
        </w:numPr>
        <w:rPr>
          <w:rFonts w:ascii="MS PGothic" w:cs="MS PGothic" w:eastAsia="MS PGothic" w:hAnsi="MS PGothic"/>
          <w:sz w:val="18"/>
          <w:szCs w:val="18"/>
          <w:color w:val="auto"/>
        </w:rPr>
      </w:pPr>
      <w:r>
        <w:rPr>
          <w:rFonts w:ascii="Arial" w:cs="Arial" w:eastAsia="Arial" w:hAnsi="Arial"/>
          <w:sz w:val="18"/>
          <w:szCs w:val="18"/>
          <w:color w:val="auto"/>
        </w:rPr>
        <w:t>cancel the unused loan of the borrower and stop issuing and paying the unused loan of the borrower.</w:t>
      </w:r>
    </w:p>
    <w:p>
      <w:pPr>
        <w:spacing w:after="0" w:line="220" w:lineRule="exact"/>
        <w:rPr>
          <w:sz w:val="20"/>
          <w:szCs w:val="20"/>
          <w:color w:val="auto"/>
        </w:rPr>
      </w:pPr>
    </w:p>
    <w:p>
      <w:pPr>
        <w:ind w:left="640" w:hanging="313"/>
        <w:spacing w:after="0" w:line="300" w:lineRule="auto"/>
        <w:tabs>
          <w:tab w:leader="none" w:pos="640" w:val="left"/>
        </w:tabs>
        <w:numPr>
          <w:ilvl w:val="0"/>
          <w:numId w:val="240"/>
        </w:numPr>
        <w:rPr>
          <w:rFonts w:ascii="MS PGothic" w:cs="MS PGothic" w:eastAsia="MS PGothic" w:hAnsi="MS PGothic"/>
          <w:sz w:val="17"/>
          <w:szCs w:val="17"/>
          <w:color w:val="auto"/>
        </w:rPr>
      </w:pPr>
      <w:r>
        <w:rPr>
          <w:rFonts w:ascii="Arial" w:cs="Arial" w:eastAsia="Arial" w:hAnsi="Arial"/>
          <w:sz w:val="17"/>
          <w:szCs w:val="17"/>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52" w:lineRule="exact"/>
        <w:rPr>
          <w:sz w:val="20"/>
          <w:szCs w:val="20"/>
          <w:color w:val="auto"/>
        </w:rPr>
      </w:pPr>
    </w:p>
    <w:p>
      <w:pPr>
        <w:ind w:left="640" w:hanging="313"/>
        <w:spacing w:after="0"/>
        <w:tabs>
          <w:tab w:leader="none" w:pos="640" w:val="left"/>
        </w:tabs>
        <w:numPr>
          <w:ilvl w:val="0"/>
          <w:numId w:val="241"/>
        </w:numPr>
        <w:rPr>
          <w:rFonts w:ascii="MS PGothic" w:cs="MS PGothic" w:eastAsia="MS PGothic" w:hAnsi="MS PGothic"/>
          <w:sz w:val="18"/>
          <w:szCs w:val="18"/>
          <w:color w:val="auto"/>
        </w:rPr>
      </w:pPr>
      <w:r>
        <w:rPr>
          <w:rFonts w:ascii="Arial" w:cs="Arial" w:eastAsia="Arial" w:hAnsi="Arial"/>
          <w:sz w:val="18"/>
          <w:szCs w:val="18"/>
          <w:color w:val="auto"/>
        </w:rPr>
        <w:t>Penalty interest and compound interest shall be charged for overdue loans and misappropriated loans.</w:t>
      </w:r>
    </w:p>
    <w:p>
      <w:pPr>
        <w:spacing w:after="0" w:line="220" w:lineRule="exact"/>
        <w:rPr>
          <w:sz w:val="20"/>
          <w:szCs w:val="20"/>
          <w:color w:val="auto"/>
        </w:rPr>
      </w:pPr>
    </w:p>
    <w:p>
      <w:pPr>
        <w:ind w:left="640" w:hanging="313"/>
        <w:spacing w:after="0"/>
        <w:tabs>
          <w:tab w:leader="none" w:pos="640" w:val="left"/>
        </w:tabs>
        <w:numPr>
          <w:ilvl w:val="0"/>
          <w:numId w:val="242"/>
        </w:numPr>
        <w:rPr>
          <w:rFonts w:ascii="MS PGothic" w:cs="MS PGothic" w:eastAsia="MS PGothic" w:hAnsi="MS PGothic"/>
          <w:sz w:val="18"/>
          <w:szCs w:val="18"/>
          <w:color w:val="auto"/>
        </w:rPr>
      </w:pPr>
      <w:r>
        <w:rPr>
          <w:rFonts w:ascii="Arial" w:cs="Arial" w:eastAsia="Arial" w:hAnsi="Arial"/>
          <w:sz w:val="18"/>
          <w:szCs w:val="18"/>
          <w:color w:val="auto"/>
        </w:rPr>
        <w:t>Deduct from any account opened by the borrower in each branch of Shanghai Pudong Development Bank Co., Ltd</w:t>
      </w:r>
    </w:p>
    <w:p>
      <w:pPr>
        <w:spacing w:after="0" w:line="220" w:lineRule="exact"/>
        <w:rPr>
          <w:sz w:val="20"/>
          <w:szCs w:val="20"/>
          <w:color w:val="auto"/>
        </w:rPr>
      </w:pPr>
    </w:p>
    <w:p>
      <w:pPr>
        <w:ind w:left="640" w:hanging="313"/>
        <w:spacing w:after="0"/>
        <w:tabs>
          <w:tab w:leader="none" w:pos="640" w:val="left"/>
        </w:tabs>
        <w:numPr>
          <w:ilvl w:val="0"/>
          <w:numId w:val="243"/>
        </w:numPr>
        <w:rPr>
          <w:rFonts w:ascii="MS PGothic" w:cs="MS PGothic" w:eastAsia="MS PGothic" w:hAnsi="MS PGothic"/>
          <w:sz w:val="18"/>
          <w:szCs w:val="18"/>
          <w:color w:val="auto"/>
        </w:rPr>
      </w:pPr>
      <w:r>
        <w:rPr>
          <w:rFonts w:ascii="Arial" w:cs="Arial" w:eastAsia="Arial" w:hAnsi="Arial"/>
          <w:sz w:val="18"/>
          <w:szCs w:val="18"/>
          <w:color w:val="auto"/>
        </w:rPr>
        <w:t>Require the borrower to supplement the loan issuance and payment conditions, or change the loan payment method.</w:t>
      </w:r>
    </w:p>
    <w:p>
      <w:pPr>
        <w:spacing w:after="0" w:line="220" w:lineRule="exact"/>
        <w:rPr>
          <w:sz w:val="20"/>
          <w:szCs w:val="20"/>
          <w:color w:val="auto"/>
        </w:rPr>
      </w:pPr>
    </w:p>
    <w:p>
      <w:pPr>
        <w:ind w:left="640" w:hanging="313"/>
        <w:spacing w:after="0"/>
        <w:tabs>
          <w:tab w:leader="none" w:pos="640" w:val="left"/>
        </w:tabs>
        <w:numPr>
          <w:ilvl w:val="0"/>
          <w:numId w:val="244"/>
        </w:numPr>
        <w:rPr>
          <w:rFonts w:ascii="MS PGothic" w:cs="MS PGothic" w:eastAsia="MS PGothic" w:hAnsi="MS PGothic"/>
          <w:sz w:val="18"/>
          <w:szCs w:val="18"/>
          <w:color w:val="auto"/>
        </w:rPr>
      </w:pPr>
      <w:r>
        <w:rPr>
          <w:rFonts w:ascii="Arial" w:cs="Arial" w:eastAsia="Arial" w:hAnsi="Arial"/>
          <w:sz w:val="18"/>
          <w:szCs w:val="18"/>
          <w:color w:val="auto"/>
        </w:rPr>
        <w:t>require the borrower to provide other guarantees approved by the lender.</w:t>
      </w:r>
    </w:p>
    <w:p>
      <w:pPr>
        <w:spacing w:after="0" w:line="220" w:lineRule="exact"/>
        <w:rPr>
          <w:sz w:val="20"/>
          <w:szCs w:val="20"/>
          <w:color w:val="auto"/>
        </w:rPr>
      </w:pPr>
    </w:p>
    <w:p>
      <w:pPr>
        <w:ind w:left="640" w:hanging="313"/>
        <w:spacing w:after="0"/>
        <w:tabs>
          <w:tab w:leader="none" w:pos="640" w:val="left"/>
        </w:tabs>
        <w:numPr>
          <w:ilvl w:val="0"/>
          <w:numId w:val="245"/>
        </w:numPr>
        <w:rPr>
          <w:rFonts w:ascii="MS PGothic" w:cs="MS PGothic" w:eastAsia="MS PGothic" w:hAnsi="MS PGothic"/>
          <w:sz w:val="18"/>
          <w:szCs w:val="18"/>
          <w:color w:val="auto"/>
        </w:rPr>
      </w:pPr>
      <w:r>
        <w:rPr>
          <w:rFonts w:ascii="Arial" w:cs="Arial" w:eastAsia="Arial" w:hAnsi="Arial"/>
          <w:sz w:val="18"/>
          <w:szCs w:val="18"/>
          <w:color w:val="auto"/>
        </w:rPr>
        <w:t>other necessary measures stipulated by law.</w:t>
      </w:r>
    </w:p>
    <w:p>
      <w:pPr>
        <w:spacing w:after="0" w:line="220" w:lineRule="exact"/>
        <w:rPr>
          <w:sz w:val="20"/>
          <w:szCs w:val="20"/>
          <w:color w:val="auto"/>
        </w:rPr>
      </w:pPr>
    </w:p>
    <w:p>
      <w:pPr>
        <w:jc w:val="both"/>
        <w:ind w:firstLine="327"/>
        <w:spacing w:after="0" w:line="258"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86" w:lineRule="exact"/>
        <w:rPr>
          <w:rFonts w:ascii="Arial" w:cs="Arial" w:eastAsia="Arial" w:hAnsi="Arial"/>
          <w:sz w:val="18"/>
          <w:szCs w:val="18"/>
          <w:color w:val="auto"/>
        </w:rPr>
      </w:pPr>
    </w:p>
    <w:p>
      <w:pPr>
        <w:jc w:val="both"/>
        <w:ind w:firstLine="327"/>
        <w:spacing w:after="0" w:line="258" w:lineRule="auto"/>
        <w:tabs>
          <w:tab w:leader="none" w:pos="5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color w:val="auto"/>
        </w:rPr>
        <w:t>Article 13 effectiveness, alteration and dissolution</w:t>
      </w:r>
    </w:p>
    <w:p>
      <w:pPr>
        <w:spacing w:after="0" w:line="224" w:lineRule="exact"/>
        <w:rPr>
          <w:sz w:val="20"/>
          <w:szCs w:val="20"/>
          <w:color w:val="auto"/>
        </w:rPr>
      </w:pPr>
    </w:p>
    <w:p>
      <w:pPr>
        <w:jc w:val="both"/>
        <w:ind w:firstLine="327"/>
        <w:spacing w:after="0" w:line="258" w:lineRule="auto"/>
        <w:tabs>
          <w:tab w:leader="none" w:pos="5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86" w:lineRule="exact"/>
        <w:rPr>
          <w:rFonts w:ascii="Arial" w:cs="Arial" w:eastAsia="Arial" w:hAnsi="Arial"/>
          <w:sz w:val="18"/>
          <w:szCs w:val="18"/>
          <w:color w:val="auto"/>
        </w:rPr>
      </w:pPr>
    </w:p>
    <w:p>
      <w:pPr>
        <w:ind w:firstLine="327"/>
        <w:spacing w:after="0" w:line="270" w:lineRule="auto"/>
        <w:tabs>
          <w:tab w:leader="none" w:pos="51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 other provisions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definition</w:t>
      </w:r>
    </w:p>
    <w:p>
      <w:pPr>
        <w:spacing w:after="0" w:line="220" w:lineRule="exact"/>
        <w:rPr>
          <w:sz w:val="20"/>
          <w:szCs w:val="20"/>
          <w:color w:val="auto"/>
        </w:rPr>
      </w:pPr>
    </w:p>
    <w:p>
      <w:pPr>
        <w:ind w:firstLine="327"/>
        <w:spacing w:after="0" w:line="270" w:lineRule="auto"/>
        <w:tabs>
          <w:tab w:leader="none" w:pos="60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creditor’s rights” under this contract refers to the loan principal, interest, liquidated damages and various expenses incurred to realize the creditor’s rights.</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 “interest” under this contract includes interest, penalty interest and compound interest.</w:t>
      </w:r>
    </w:p>
    <w:p>
      <w:pPr>
        <w:spacing w:after="0" w:line="219" w:lineRule="exact"/>
        <w:rPr>
          <w:rFonts w:ascii="Arial" w:cs="Arial" w:eastAsia="Arial" w:hAnsi="Arial"/>
          <w:sz w:val="18"/>
          <w:szCs w:val="18"/>
          <w:color w:val="auto"/>
        </w:rPr>
      </w:pPr>
    </w:p>
    <w:p>
      <w:pPr>
        <w:ind w:firstLine="327"/>
        <w:spacing w:after="0" w:line="270" w:lineRule="auto"/>
        <w:tabs>
          <w:tab w:leader="none" w:pos="5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Applicable law</w:t>
      </w:r>
    </w:p>
    <w:p>
      <w:pPr>
        <w:spacing w:after="0" w:line="22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Settlement of disputes</w:t>
      </w:r>
    </w:p>
    <w:p>
      <w:pPr>
        <w:spacing w:after="0" w:line="220"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1" w:name="page312"/>
    <w:bookmarkEnd w:id="311"/>
    <w:p>
      <w:pPr>
        <w:ind w:left="320"/>
        <w:spacing w:after="0"/>
        <w:rPr>
          <w:sz w:val="20"/>
          <w:szCs w:val="20"/>
          <w:color w:val="auto"/>
        </w:rPr>
      </w:pPr>
      <w:r>
        <w:rPr>
          <w:rFonts w:ascii="Arial" w:cs="Arial" w:eastAsia="Arial" w:hAnsi="Arial"/>
          <w:sz w:val="18"/>
          <w:szCs w:val="18"/>
          <w:color w:val="auto"/>
        </w:rPr>
        <w:t>4. Miscellaneous</w:t>
      </w:r>
    </w:p>
    <w:p>
      <w:pPr>
        <w:spacing w:after="0" w:line="220" w:lineRule="exact"/>
        <w:rPr>
          <w:sz w:val="20"/>
          <w:szCs w:val="20"/>
          <w:color w:val="auto"/>
        </w:rPr>
      </w:pPr>
    </w:p>
    <w:p>
      <w:pPr>
        <w:jc w:val="both"/>
        <w:ind w:firstLine="327"/>
        <w:spacing w:after="0" w:line="258" w:lineRule="auto"/>
        <w:tabs>
          <w:tab w:leader="none" w:pos="57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86" w:lineRule="exact"/>
        <w:rPr>
          <w:rFonts w:ascii="Arial" w:cs="Arial" w:eastAsia="Arial" w:hAnsi="Arial"/>
          <w:sz w:val="18"/>
          <w:szCs w:val="18"/>
          <w:color w:val="auto"/>
        </w:rPr>
      </w:pPr>
    </w:p>
    <w:p>
      <w:pPr>
        <w:jc w:val="both"/>
        <w:ind w:firstLine="327"/>
        <w:spacing w:after="0" w:line="255" w:lineRule="auto"/>
        <w:tabs>
          <w:tab w:leader="none" w:pos="5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87" w:lineRule="exact"/>
        <w:rPr>
          <w:rFonts w:ascii="Arial" w:cs="Arial" w:eastAsia="Arial" w:hAnsi="Arial"/>
          <w:sz w:val="18"/>
          <w:szCs w:val="18"/>
          <w:color w:val="auto"/>
        </w:rPr>
      </w:pPr>
    </w:p>
    <w:p>
      <w:pPr>
        <w:ind w:left="580" w:hanging="253"/>
        <w:spacing w:after="0"/>
        <w:tabs>
          <w:tab w:leader="none" w:pos="5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invalidity of one clause of the contract shall not affect the validity of other clauses of the contract. This contract is not valid for any reason</w:t>
      </w:r>
    </w:p>
    <w:p>
      <w:pPr>
        <w:spacing w:after="0" w:line="23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186" w:lineRule="exact"/>
        <w:rPr>
          <w:sz w:val="20"/>
          <w:szCs w:val="20"/>
          <w:color w:val="auto"/>
        </w:rPr>
      </w:pPr>
    </w:p>
    <w:p>
      <w:pPr>
        <w:jc w:val="both"/>
        <w:ind w:firstLine="327"/>
        <w:spacing w:after="0" w:line="258" w:lineRule="auto"/>
        <w:tabs>
          <w:tab w:leader="none" w:pos="58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86" w:lineRule="exact"/>
        <w:rPr>
          <w:rFonts w:ascii="Arial" w:cs="Arial" w:eastAsia="Arial" w:hAnsi="Arial"/>
          <w:sz w:val="18"/>
          <w:szCs w:val="18"/>
          <w:color w:val="auto"/>
        </w:rPr>
      </w:pPr>
    </w:p>
    <w:p>
      <w:pPr>
        <w:ind w:firstLine="327"/>
        <w:spacing w:after="0" w:line="270" w:lineRule="auto"/>
        <w:tabs>
          <w:tab w:leader="none" w:pos="5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Unless otherwise specified in the contract, relevant terms and expressions in the annexes to the contract have the same meanings as those in the contract.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headings under this contract are for convenience only and shall not be used as the basis for the contents under this heading.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text below this page)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page is the signature page without text)</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 xml:space="preserve">This contract is signed by and between the borrower and the lender on </w:t>
      </w:r>
      <w:r>
        <w:rPr>
          <w:rFonts w:ascii="Arial" w:cs="Arial" w:eastAsia="Arial" w:hAnsi="Arial"/>
          <w:sz w:val="17"/>
          <w:szCs w:val="17"/>
          <w:u w:val="single" w:color="auto"/>
          <w:color w:val="auto"/>
        </w:rPr>
        <w:t>June 26 ,2023</w:t>
      </w:r>
      <w:r>
        <w:rPr>
          <w:rFonts w:ascii="Arial" w:cs="Arial" w:eastAsia="Arial" w:hAnsi="Arial"/>
          <w:sz w:val="17"/>
          <w:szCs w:val="17"/>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3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Borrower(Official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representative or authorized agent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 or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Lender (Official seal or contract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representative / person in charge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(authorized or sealed)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10.21</w:t>
      </w:r>
    </w:p>
    <w:p>
      <w:pPr>
        <w:spacing w:after="0" w:line="220"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80"/>
        <w:spacing w:after="0"/>
        <w:rPr>
          <w:sz w:val="20"/>
          <w:szCs w:val="20"/>
          <w:color w:val="auto"/>
        </w:rPr>
      </w:pPr>
      <w:r>
        <w:rPr>
          <w:rFonts w:ascii="Arial" w:cs="Arial" w:eastAsia="Arial" w:hAnsi="Arial"/>
          <w:sz w:val="25"/>
          <w:szCs w:val="25"/>
          <w:b w:val="1"/>
          <w:bCs w:val="1"/>
          <w:color w:val="auto"/>
        </w:rPr>
        <w:t>SPD BANK</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1385570</wp:posOffset>
            </wp:positionV>
            <wp:extent cx="713422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t>contract for loans of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Borrower: ChinaLink Professional Services Co., Ltd.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Principal business address: 2nd floor, building 18, No. 498, GuoShouJing Road, Pudong New Area, Shanghai</w:t>
      </w:r>
    </w:p>
    <w:p>
      <w:pPr>
        <w:sectPr>
          <w:pgSz w:w="11900" w:h="16838" w:orient="portrait"/>
          <w:cols w:equalWidth="0" w:num="1">
            <w:col w:w="11240"/>
          </w:cols>
          <w:pgMar w:left="320" w:top="895"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contact: Lisa Wu</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Tell: 021-31268010</w:t>
      </w:r>
    </w:p>
    <w:p>
      <w:pPr>
        <w:spacing w:after="0" w:line="200" w:lineRule="exact"/>
        <w:rPr>
          <w:sz w:val="20"/>
          <w:szCs w:val="20"/>
          <w:color w:val="auto"/>
        </w:rPr>
      </w:pPr>
    </w:p>
    <w:p>
      <w:pPr>
        <w:sectPr>
          <w:pgSz w:w="11900" w:h="16838" w:orient="portrait"/>
          <w:cols w:equalWidth="0" w:num="2">
            <w:col w:w="3780" w:space="720"/>
            <w:col w:w="6740"/>
          </w:cols>
          <w:pgMar w:left="320" w:top="89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Fax: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4460"/>
        <w:spacing w:after="0"/>
        <w:rPr>
          <w:sz w:val="20"/>
          <w:szCs w:val="20"/>
          <w:color w:val="auto"/>
        </w:rPr>
      </w:pPr>
      <w:r>
        <w:rPr>
          <w:rFonts w:ascii="Arial" w:cs="Arial" w:eastAsia="Arial" w:hAnsi="Arial"/>
          <w:sz w:val="16"/>
          <w:szCs w:val="16"/>
          <w:color w:val="auto"/>
        </w:rPr>
        <w:t>Email: lisa.wu@clpsglobal.com</w:t>
      </w:r>
    </w:p>
    <w:p>
      <w:pPr>
        <w:spacing w:after="0" w:line="200" w:lineRule="exact"/>
        <w:rPr>
          <w:sz w:val="20"/>
          <w:szCs w:val="20"/>
          <w:color w:val="auto"/>
        </w:rPr>
      </w:pPr>
    </w:p>
    <w:p>
      <w:pPr>
        <w:sectPr>
          <w:pgSz w:w="11900" w:h="16838" w:orient="portrait"/>
          <w:cols w:equalWidth="0" w:num="2">
            <w:col w:w="3780" w:space="720"/>
            <w:col w:w="6740"/>
          </w:cols>
          <w:pgMar w:left="320" w:top="89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Lender: Shanghai Pudong Development Bank Co., LTD. Jinqiao Branch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Principal business address: No.509 Jingang Road, Pudong New Area, Shanghai</w:t>
      </w:r>
    </w:p>
    <w:p>
      <w:pPr>
        <w:spacing w:after="0" w:line="220"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The contact: Lin Xie</w:t>
      </w:r>
      <w:r>
        <w:rPr>
          <w:sz w:val="20"/>
          <w:szCs w:val="20"/>
          <w:color w:val="auto"/>
        </w:rPr>
        <w:tab/>
      </w:r>
      <w:r>
        <w:rPr>
          <w:rFonts w:ascii="Arial" w:cs="Arial" w:eastAsia="Arial" w:hAnsi="Arial"/>
          <w:sz w:val="16"/>
          <w:szCs w:val="16"/>
          <w:color w:val="auto"/>
        </w:rPr>
        <w:t>Tell: 021-58994702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the same time, the borrower and the lender confirm the following principal terms.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(please select in the box below according to the situation, tick X if not selected );</w:t>
      </w:r>
    </w:p>
    <w:p>
      <w:pPr>
        <w:spacing w:after="0" w:line="220" w:lineRule="exact"/>
        <w:rPr>
          <w:sz w:val="20"/>
          <w:szCs w:val="20"/>
          <w:color w:val="auto"/>
        </w:rPr>
      </w:pPr>
    </w:p>
    <w:p>
      <w:pPr>
        <w:jc w:val="both"/>
        <w:ind w:firstLine="327"/>
        <w:spacing w:after="0" w:line="281" w:lineRule="auto"/>
        <w:tabs>
          <w:tab w:leader="none" w:pos="555" w:val="left"/>
        </w:tabs>
        <w:numPr>
          <w:ilvl w:val="0"/>
          <w:numId w:val="251"/>
        </w:numPr>
        <w:rPr>
          <w:rFonts w:ascii="MS PGothic" w:cs="MS PGothic" w:eastAsia="MS PGothic" w:hAnsi="MS PGothic"/>
          <w:sz w:val="17"/>
          <w:szCs w:val="17"/>
          <w:color w:val="auto"/>
        </w:rPr>
      </w:pPr>
      <w:r>
        <w:rPr>
          <w:rFonts w:ascii="Arial" w:cs="Arial" w:eastAsia="Arial" w:hAnsi="Arial"/>
          <w:sz w:val="17"/>
          <w:szCs w:val="17"/>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67" w:lineRule="exact"/>
        <w:rPr>
          <w:sz w:val="20"/>
          <w:szCs w:val="20"/>
          <w:color w:val="auto"/>
        </w:rPr>
      </w:pPr>
    </w:p>
    <w:p>
      <w:pPr>
        <w:ind w:firstLine="327"/>
        <w:spacing w:after="0" w:line="270" w:lineRule="auto"/>
        <w:tabs>
          <w:tab w:leader="none" w:pos="47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(Select this item if the purpose of borrowing is to repay the old or renew the loan )</w:t>
      </w:r>
    </w:p>
    <w:p>
      <w:pPr>
        <w:spacing w:after="0" w:line="220" w:lineRule="exact"/>
        <w:rPr>
          <w:sz w:val="20"/>
          <w:szCs w:val="20"/>
          <w:color w:val="auto"/>
        </w:rPr>
      </w:pPr>
    </w:p>
    <w:p>
      <w:pPr>
        <w:ind w:firstLine="327"/>
        <w:spacing w:after="0" w:line="270" w:lineRule="auto"/>
        <w:tabs>
          <w:tab w:leader="none" w:pos="526"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The guarantor has been informed that the purpose of the loan under this contract is to repay the loan under the original contract name: ______ Date of signing: ________ No: _______.</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t>The Part One Commercial terms</w:t>
      </w:r>
    </w:p>
    <w:p>
      <w:pPr>
        <w:spacing w:after="0" w:line="179" w:lineRule="exact"/>
        <w:rPr>
          <w:sz w:val="20"/>
          <w:szCs w:val="20"/>
          <w:color w:val="auto"/>
        </w:rPr>
      </w:pPr>
    </w:p>
    <w:p>
      <w:pPr>
        <w:ind w:left="320" w:hanging="313"/>
        <w:spacing w:after="0" w:line="207" w:lineRule="exact"/>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Types of Loans:þ Short-term working capital loans</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mid-term liquidity loan,</w:t>
      </w:r>
    </w:p>
    <w:p>
      <w:pPr>
        <w:spacing w:after="0" w:line="264" w:lineRule="exact"/>
        <w:rPr>
          <w:rFonts w:ascii="Arial" w:cs="Arial" w:eastAsia="Arial" w:hAnsi="Arial"/>
          <w:sz w:val="18"/>
          <w:szCs w:val="18"/>
          <w:color w:val="auto"/>
        </w:rPr>
      </w:pPr>
    </w:p>
    <w:p>
      <w:pPr>
        <w:ind w:left="320" w:hanging="313"/>
        <w:spacing w:after="0"/>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loan amount under this contract is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18 million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specific use of loan under this contract as follows: </w:t>
      </w:r>
      <w:r>
        <w:rPr>
          <w:rFonts w:ascii="Arial" w:cs="Arial" w:eastAsia="Arial" w:hAnsi="Arial"/>
          <w:sz w:val="18"/>
          <w:szCs w:val="18"/>
          <w:u w:val="single" w:color="auto"/>
          <w:color w:val="auto"/>
        </w:rPr>
        <w:t>Daily operations</w:t>
      </w:r>
    </w:p>
    <w:p>
      <w:pPr>
        <w:spacing w:after="0" w:line="175" w:lineRule="exact"/>
        <w:rPr>
          <w:rFonts w:ascii="Arial" w:cs="Arial" w:eastAsia="Arial" w:hAnsi="Arial"/>
          <w:sz w:val="18"/>
          <w:szCs w:val="18"/>
          <w:color w:val="auto"/>
        </w:rPr>
      </w:pPr>
    </w:p>
    <w:p>
      <w:pPr>
        <w:ind w:left="320" w:hanging="313"/>
        <w:spacing w:after="0" w:line="207" w:lineRule="exact"/>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time limit for the loan under this contract (please check in the box below, and mark </w:t>
      </w:r>
      <w:r>
        <w:rPr>
          <w:rFonts w:ascii="MS PGothic" w:cs="MS PGothic" w:eastAsia="MS PGothic" w:hAnsi="MS PGothic"/>
          <w:sz w:val="18"/>
          <w:szCs w:val="18"/>
          <w:color w:val="auto"/>
        </w:rPr>
        <w:t>☒</w:t>
      </w:r>
      <w:r>
        <w:rPr>
          <w:rFonts w:ascii="Arial" w:cs="Arial" w:eastAsia="Arial" w:hAnsi="Arial"/>
          <w:sz w:val="18"/>
          <w:szCs w:val="18"/>
          <w:color w:val="auto"/>
        </w:rPr>
        <w:t xml:space="preserve"> if not selected)</w:t>
      </w:r>
    </w:p>
    <w:p>
      <w:pPr>
        <w:spacing w:after="0" w:line="268" w:lineRule="exact"/>
        <w:rPr>
          <w:sz w:val="20"/>
          <w:szCs w:val="20"/>
          <w:color w:val="auto"/>
        </w:rPr>
      </w:pPr>
    </w:p>
    <w:p>
      <w:pPr>
        <w:ind w:left="460" w:hanging="133"/>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since </w:t>
      </w:r>
      <w:r>
        <w:rPr>
          <w:rFonts w:ascii="Arial" w:cs="Arial" w:eastAsia="Arial" w:hAnsi="Arial"/>
          <w:sz w:val="18"/>
          <w:szCs w:val="18"/>
          <w:u w:val="single" w:color="auto"/>
          <w:color w:val="auto"/>
        </w:rPr>
        <w:t>3</w:t>
      </w:r>
      <w:r>
        <w:rPr>
          <w:rFonts w:ascii="Arial" w:cs="Arial" w:eastAsia="Arial" w:hAnsi="Arial"/>
          <w:sz w:val="29"/>
          <w:szCs w:val="29"/>
          <w:u w:val="single" w:color="auto"/>
          <w:color w:val="auto"/>
          <w:vertAlign w:val="superscript"/>
        </w:rPr>
        <w:t>st</w:t>
      </w:r>
      <w:r>
        <w:rPr>
          <w:rFonts w:ascii="Arial" w:cs="Arial" w:eastAsia="Arial" w:hAnsi="Arial"/>
          <w:sz w:val="18"/>
          <w:szCs w:val="18"/>
          <w:color w:val="auto"/>
        </w:rPr>
        <w:t xml:space="preserve"> </w:t>
      </w:r>
      <w:r>
        <w:rPr>
          <w:rFonts w:ascii="Arial" w:cs="Arial" w:eastAsia="Arial" w:hAnsi="Arial"/>
          <w:sz w:val="18"/>
          <w:szCs w:val="18"/>
          <w:u w:val="single" w:color="auto"/>
          <w:color w:val="auto"/>
        </w:rPr>
        <w:t>Jan 2023 to: 2</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Jan 2024.</w:t>
      </w:r>
    </w:p>
    <w:p>
      <w:pPr>
        <w:spacing w:after="0" w:line="130" w:lineRule="exact"/>
        <w:rPr>
          <w:sz w:val="20"/>
          <w:szCs w:val="20"/>
          <w:color w:val="auto"/>
        </w:rPr>
      </w:pPr>
    </w:p>
    <w:p>
      <w:pPr>
        <w:ind w:left="540" w:hanging="213"/>
        <w:spacing w:after="0"/>
        <w:tabs>
          <w:tab w:leader="none" w:pos="540"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 xml:space="preserve">From the date of first withdrawal </w:t>
      </w:r>
      <w:r>
        <w:rPr>
          <w:rFonts w:ascii="Arial" w:cs="Arial" w:eastAsia="Arial" w:hAnsi="Arial"/>
          <w:sz w:val="18"/>
          <w:szCs w:val="18"/>
          <w:u w:val="single" w:color="auto"/>
          <w:color w:val="auto"/>
        </w:rPr>
        <w:t>/</w:t>
      </w:r>
      <w:r>
        <w:rPr>
          <w:rFonts w:ascii="Arial" w:cs="Arial" w:eastAsia="Arial" w:hAnsi="Arial"/>
          <w:sz w:val="18"/>
          <w:szCs w:val="18"/>
          <w:color w:val="auto"/>
        </w:rPr>
        <w:t xml:space="preserve"> year(or </w:t>
      </w:r>
      <w:r>
        <w:rPr>
          <w:rFonts w:ascii="Arial" w:cs="Arial" w:eastAsia="Arial" w:hAnsi="Arial"/>
          <w:sz w:val="18"/>
          <w:szCs w:val="18"/>
          <w:u w:val="single" w:color="auto"/>
          <w:color w:val="auto"/>
        </w:rPr>
        <w:t>/</w:t>
      </w:r>
      <w:r>
        <w:rPr>
          <w:rFonts w:ascii="Arial" w:cs="Arial" w:eastAsia="Arial" w:hAnsi="Arial"/>
          <w:sz w:val="18"/>
          <w:szCs w:val="18"/>
          <w:color w:val="auto"/>
        </w:rPr>
        <w:t xml:space="preserve"> months)</w:t>
      </w:r>
    </w:p>
    <w:p>
      <w:pPr>
        <w:spacing w:after="0" w:line="22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30" w:lineRule="exact"/>
        <w:rPr>
          <w:sz w:val="20"/>
          <w:szCs w:val="20"/>
          <w:color w:val="auto"/>
        </w:rPr>
      </w:pPr>
    </w:p>
    <w:p>
      <w:pPr>
        <w:ind w:left="320" w:right="4160" w:hanging="313"/>
        <w:spacing w:after="0" w:line="349" w:lineRule="exact"/>
        <w:tabs>
          <w:tab w:leader="none" w:pos="3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interest rate of the loan under this Contract is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 þ (1) the RMB loans Interest Rate :</w:t>
      </w:r>
    </w:p>
    <w:p>
      <w:pPr>
        <w:spacing w:after="0" w:line="202"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Each loan under this Contract shall be issued according to the loan market quoted APR (term) -25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8" w:lineRule="exact"/>
        <w:rPr>
          <w:sz w:val="20"/>
          <w:szCs w:val="20"/>
          <w:color w:val="auto"/>
        </w:rPr>
      </w:pPr>
    </w:p>
    <w:p>
      <w:pPr>
        <w:jc w:val="both"/>
        <w:ind w:firstLine="320"/>
        <w:spacing w:after="0" w:line="235" w:lineRule="exact"/>
        <w:rPr>
          <w:sz w:val="20"/>
          <w:szCs w:val="20"/>
          <w:color w:val="auto"/>
        </w:rPr>
      </w:pPr>
      <w:r>
        <w:rPr>
          <w:rFonts w:ascii="Arial" w:cs="Arial" w:eastAsia="Arial" w:hAnsi="Arial"/>
          <w:sz w:val="18"/>
          <w:szCs w:val="18"/>
          <w:color w:val="auto"/>
        </w:rPr>
        <w:t xml:space="preserve">After each loan is issued, if the quoted interest rate of the loan market is adjusted during the loan term, the loan interest rate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þ Fixed interest rate without adjustment;</w:t>
      </w:r>
    </w:p>
    <w:p>
      <w:pPr>
        <w:spacing w:after="0" w:line="220" w:lineRule="exact"/>
        <w:rPr>
          <w:sz w:val="20"/>
          <w:szCs w:val="20"/>
          <w:color w:val="auto"/>
        </w:rPr>
      </w:pPr>
    </w:p>
    <w:p>
      <w:pPr>
        <w:jc w:val="both"/>
        <w:ind w:firstLine="327"/>
        <w:spacing w:after="0" w:line="228" w:lineRule="exact"/>
        <w:tabs>
          <w:tab w:leader="none" w:pos="539"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 xml:space="preserve">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tick þ in the box below and </w:t>
      </w:r>
      <w:r>
        <w:rPr>
          <w:rFonts w:ascii="MS PGothic" w:cs="MS PGothic" w:eastAsia="MS PGothic" w:hAnsi="MS PGothic"/>
          <w:sz w:val="18"/>
          <w:szCs w:val="18"/>
          <w:color w:val="auto"/>
        </w:rPr>
        <w:t>☒</w:t>
      </w:r>
      <w:r>
        <w:rPr>
          <w:rFonts w:ascii="Arial" w:cs="Arial" w:eastAsia="Arial" w:hAnsi="Arial"/>
          <w:sz w:val="18"/>
          <w:szCs w:val="18"/>
          <w:color w:val="auto"/>
        </w:rPr>
        <w:t xml:space="preserve"> if not) :</w:t>
      </w:r>
    </w:p>
    <w:p>
      <w:pPr>
        <w:spacing w:after="0" w:line="170" w:lineRule="exact"/>
        <w:rPr>
          <w:rFonts w:ascii="MS PGothic" w:cs="MS PGothic" w:eastAsia="MS PGothic" w:hAnsi="MS PGothic"/>
          <w:sz w:val="18"/>
          <w:szCs w:val="18"/>
          <w:color w:val="auto"/>
        </w:rPr>
      </w:pPr>
    </w:p>
    <w:p>
      <w:pPr>
        <w:jc w:val="both"/>
        <w:ind w:firstLine="327"/>
        <w:spacing w:after="0" w:line="306" w:lineRule="auto"/>
        <w:tabs>
          <w:tab w:leader="none" w:pos="529" w:val="left"/>
        </w:tabs>
        <w:numPr>
          <w:ilvl w:val="0"/>
          <w:numId w:val="258"/>
        </w:numPr>
        <w:rPr>
          <w:rFonts w:ascii="MS PGothic" w:cs="MS PGothic" w:eastAsia="MS PGothic" w:hAnsi="MS PGothic"/>
          <w:sz w:val="16"/>
          <w:szCs w:val="16"/>
          <w:color w:val="auto"/>
        </w:rPr>
      </w:pPr>
      <w:r>
        <w:rPr>
          <w:rFonts w:ascii="Arial" w:cs="Arial" w:eastAsia="Arial" w:hAnsi="Arial"/>
          <w:sz w:val="16"/>
          <w:szCs w:val="16"/>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50" w:lineRule="exact"/>
        <w:rPr>
          <w:rFonts w:ascii="MS PGothic" w:cs="MS PGothic" w:eastAsia="MS PGothic" w:hAnsi="MS PGothic"/>
          <w:sz w:val="16"/>
          <w:szCs w:val="16"/>
          <w:color w:val="auto"/>
        </w:rPr>
      </w:pPr>
    </w:p>
    <w:p>
      <w:pPr>
        <w:ind w:left="520" w:hanging="193"/>
        <w:spacing w:after="0" w:line="207" w:lineRule="exact"/>
        <w:tabs>
          <w:tab w:leader="none" w:pos="520" w:val="left"/>
        </w:tabs>
        <w:numPr>
          <w:ilvl w:val="0"/>
          <w:numId w:val="258"/>
        </w:numPr>
        <w:rPr>
          <w:rFonts w:ascii="MS PGothic" w:cs="MS PGothic" w:eastAsia="MS PGothic" w:hAnsi="MS PGothic"/>
          <w:sz w:val="18"/>
          <w:szCs w:val="18"/>
          <w:color w:val="auto"/>
        </w:rPr>
      </w:pPr>
      <w:r>
        <w:rPr>
          <w:rFonts w:ascii="Arial" w:cs="Arial" w:eastAsia="Arial" w:hAnsi="Arial"/>
          <w:sz w:val="18"/>
          <w:szCs w:val="18"/>
          <w:color w:val="auto"/>
        </w:rPr>
        <w:t>Adjust the interest rate according to year, the interest rate adjustment date is January 1 of each year</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5" w:name="page316"/>
    <w:bookmarkEnd w:id="315"/>
    <w:p>
      <w:pPr>
        <w:ind w:left="540" w:hanging="213"/>
        <w:spacing w:after="0" w:line="184" w:lineRule="exact"/>
        <w:tabs>
          <w:tab w:leader="none" w:pos="540" w:val="left"/>
        </w:tabs>
        <w:numPr>
          <w:ilvl w:val="0"/>
          <w:numId w:val="259"/>
        </w:numPr>
        <w:rPr>
          <w:rFonts w:ascii="MS PGothic" w:cs="MS PGothic" w:eastAsia="MS PGothic" w:hAnsi="MS PGothic"/>
          <w:sz w:val="16"/>
          <w:szCs w:val="16"/>
          <w:color w:val="auto"/>
        </w:rPr>
      </w:pPr>
      <w:r>
        <w:rPr>
          <w:rFonts w:ascii="Arial" w:cs="Arial" w:eastAsia="Arial" w:hAnsi="Arial"/>
          <w:sz w:val="16"/>
          <w:szCs w:val="16"/>
          <w:color w:val="auto"/>
        </w:rPr>
        <w:t>Adjust the interest rate according to the interest settlement date, and the interest rate adjustment day is the next day of the interest settlement date</w:t>
      </w:r>
      <w:r>
        <w:rPr>
          <w:rFonts w:ascii="MS PGothic" w:cs="MS PGothic" w:eastAsia="MS PGothic" w:hAnsi="MS PGothic"/>
          <w:sz w:val="16"/>
          <w:szCs w:val="16"/>
          <w:color w:val="auto"/>
        </w:rPr>
        <w:t>；</w:t>
      </w:r>
    </w:p>
    <w:p>
      <w:pPr>
        <w:spacing w:after="0" w:line="242" w:lineRule="exact"/>
        <w:rPr>
          <w:rFonts w:ascii="MS PGothic" w:cs="MS PGothic" w:eastAsia="MS PGothic" w:hAnsi="MS PGothic"/>
          <w:sz w:val="16"/>
          <w:szCs w:val="16"/>
          <w:color w:val="auto"/>
        </w:rPr>
      </w:pPr>
    </w:p>
    <w:p>
      <w:pPr>
        <w:ind w:left="540" w:hanging="213"/>
        <w:spacing w:after="0" w:line="207" w:lineRule="exact"/>
        <w:tabs>
          <w:tab w:leader="none" w:pos="54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Quarterly adjustment of interest rate, interest rate adjustment day for the end of each quarter on a monthly basis,</w:t>
      </w:r>
      <w:r>
        <w:rPr>
          <w:rFonts w:ascii="MS PGothic" w:cs="MS PGothic" w:eastAsia="MS PGothic" w:hAnsi="MS PGothic"/>
          <w:sz w:val="18"/>
          <w:szCs w:val="18"/>
          <w:color w:val="auto"/>
        </w:rPr>
        <w:t>；</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interest rate adjustment day for a monthly/daily</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other agreement (specific interest rate adjustment day),</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(2) interest rate of foreign currency loan;</w:t>
      </w:r>
    </w:p>
    <w:p>
      <w:pPr>
        <w:spacing w:after="0" w:line="220" w:lineRule="exact"/>
        <w:rPr>
          <w:sz w:val="20"/>
          <w:szCs w:val="20"/>
          <w:color w:val="auto"/>
        </w:rPr>
      </w:pPr>
    </w:p>
    <w:p>
      <w:pPr>
        <w:ind w:firstLine="327"/>
        <w:spacing w:after="0" w:line="270" w:lineRule="auto"/>
        <w:tabs>
          <w:tab w:leader="none" w:pos="52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loan under this Contract will be issued ____ at the rate of ___(LIBORAHIBORSIBOR) published by the Lender on the date of disbursement plus/BPS. If the benchmark interest rate is less than 0%, the benchmark interest rate will be executed at 0%.</w:t>
      </w:r>
    </w:p>
    <w:p>
      <w:pPr>
        <w:spacing w:after="0" w:line="175"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After the issuance of each loan under this contract, the adjustment method of loan interest rate during the loan period is (please select in the following box, and mark X if not selected):</w:t>
      </w:r>
    </w:p>
    <w:p>
      <w:pPr>
        <w:spacing w:after="0" w:line="175" w:lineRule="exact"/>
        <w:rPr>
          <w:sz w:val="20"/>
          <w:szCs w:val="20"/>
          <w:color w:val="auto"/>
        </w:rPr>
      </w:pPr>
    </w:p>
    <w:p>
      <w:pPr>
        <w:ind w:left="540" w:hanging="213"/>
        <w:spacing w:after="0"/>
        <w:tabs>
          <w:tab w:leader="none" w:pos="54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After each loan under this joint venture is issued, the loan interest rate shall be adjusted by _______.</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Fixed rate, that is, the interest rate is not adjusted.</w:t>
      </w:r>
    </w:p>
    <w:p>
      <w:pPr>
        <w:spacing w:after="0" w:line="220" w:lineRule="exact"/>
        <w:rPr>
          <w:sz w:val="20"/>
          <w:szCs w:val="20"/>
          <w:color w:val="auto"/>
        </w:rPr>
      </w:pPr>
    </w:p>
    <w:p>
      <w:pPr>
        <w:ind w:firstLine="327"/>
        <w:spacing w:after="0" w:line="270" w:lineRule="auto"/>
        <w:tabs>
          <w:tab w:leader="none" w:pos="53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interest rate of foreign currency loan under this contract is detailed in the Foreign Currency Interest Rate Supplementary Contract separately signed by both parties hereto.</w:t>
      </w:r>
    </w:p>
    <w:p>
      <w:pPr>
        <w:spacing w:after="0" w:line="174" w:lineRule="exact"/>
        <w:rPr>
          <w:rFonts w:ascii="Arial" w:cs="Arial" w:eastAsia="Arial" w:hAnsi="Arial"/>
          <w:sz w:val="18"/>
          <w:szCs w:val="18"/>
          <w:color w:val="auto"/>
        </w:rPr>
      </w:pPr>
    </w:p>
    <w:p>
      <w:pPr>
        <w:ind w:left="520" w:hanging="193"/>
        <w:spacing w:after="0" w:line="184" w:lineRule="exact"/>
        <w:tabs>
          <w:tab w:leader="none" w:pos="52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The interest rate of each loan under this contract is </w:t>
      </w:r>
      <w:r>
        <w:rPr>
          <w:rFonts w:ascii="MS PGothic" w:cs="MS PGothic" w:eastAsia="MS PGothic" w:hAnsi="MS PGothic"/>
          <w:sz w:val="16"/>
          <w:szCs w:val="16"/>
          <w:color w:val="auto"/>
        </w:rPr>
        <w:t>／</w:t>
      </w:r>
      <w:r>
        <w:rPr>
          <w:rFonts w:ascii="Arial" w:cs="Arial" w:eastAsia="Arial" w:hAnsi="Arial"/>
          <w:sz w:val="16"/>
          <w:szCs w:val="16"/>
          <w:color w:val="auto"/>
        </w:rPr>
        <w:t xml:space="preserve"> %, which is a fixed interest rate, and the interest rate during the loan period no adjustment.</w:t>
      </w:r>
    </w:p>
    <w:p>
      <w:pPr>
        <w:spacing w:after="0" w:line="242" w:lineRule="exact"/>
        <w:rPr>
          <w:rFonts w:ascii="Arial" w:cs="Arial" w:eastAsia="Arial" w:hAnsi="Arial"/>
          <w:sz w:val="16"/>
          <w:szCs w:val="16"/>
          <w:color w:val="auto"/>
        </w:rPr>
      </w:pPr>
    </w:p>
    <w:p>
      <w:pPr>
        <w:ind w:left="320" w:right="3480" w:hanging="313"/>
        <w:spacing w:after="0" w:line="342" w:lineRule="exact"/>
        <w:tabs>
          <w:tab w:leader="none" w:pos="3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The method of loan settlement under this Contract is (please check the box below/tick X if not selected): </w:t>
      </w:r>
      <w:r>
        <w:rPr>
          <w:rFonts w:ascii="MS PGothic" w:cs="MS PGothic" w:eastAsia="MS PGothic" w:hAnsi="MS PGothic"/>
          <w:sz w:val="17"/>
          <w:szCs w:val="17"/>
          <w:color w:val="auto"/>
        </w:rPr>
        <w:t>☒</w:t>
      </w:r>
      <w:r>
        <w:rPr>
          <w:rFonts w:ascii="Arial" w:cs="Arial" w:eastAsia="Arial" w:hAnsi="Arial"/>
          <w:sz w:val="17"/>
          <w:szCs w:val="17"/>
          <w:color w:val="auto"/>
        </w:rPr>
        <w:t xml:space="preserve"> On a monthly basis, the settlement date is the second +(20th) day of each month</w:t>
      </w:r>
      <w:r>
        <w:rPr>
          <w:rFonts w:ascii="MS PGothic" w:cs="MS PGothic" w:eastAsia="MS PGothic" w:hAnsi="MS PGothic"/>
          <w:sz w:val="17"/>
          <w:szCs w:val="17"/>
          <w:color w:val="auto"/>
        </w:rPr>
        <w:t>；</w:t>
      </w:r>
    </w:p>
    <w:p>
      <w:pPr>
        <w:spacing w:after="0" w:line="171" w:lineRule="exact"/>
        <w:rPr>
          <w:rFonts w:ascii="Arial" w:cs="Arial" w:eastAsia="Arial" w:hAnsi="Arial"/>
          <w:sz w:val="17"/>
          <w:szCs w:val="17"/>
          <w:color w:val="auto"/>
        </w:rPr>
      </w:pPr>
    </w:p>
    <w:p>
      <w:pPr>
        <w:ind w:left="320" w:right="4020"/>
        <w:spacing w:after="0" w:line="342" w:lineRule="exact"/>
        <w:rPr>
          <w:rFonts w:ascii="Arial" w:cs="Arial" w:eastAsia="Arial" w:hAnsi="Arial"/>
          <w:sz w:val="17"/>
          <w:szCs w:val="17"/>
          <w:color w:val="auto"/>
        </w:rPr>
      </w:pPr>
      <w:r>
        <w:rPr>
          <w:rFonts w:ascii="Arial" w:cs="Arial" w:eastAsia="Arial" w:hAnsi="Arial"/>
          <w:sz w:val="18"/>
          <w:szCs w:val="18"/>
          <w:color w:val="auto"/>
        </w:rPr>
        <w:t xml:space="preserve">þ Quarterly, then the settlement date is the twentieth (20th) day of the last month of each quarter: </w:t>
      </w:r>
      <w:r>
        <w:rPr>
          <w:rFonts w:ascii="MS PGothic" w:cs="MS PGothic" w:eastAsia="MS PGothic" w:hAnsi="MS PGothic"/>
          <w:sz w:val="18"/>
          <w:szCs w:val="18"/>
          <w:color w:val="auto"/>
        </w:rPr>
        <w:t>☒</w:t>
      </w:r>
      <w:r>
        <w:rPr>
          <w:rFonts w:ascii="Arial" w:cs="Arial" w:eastAsia="Arial" w:hAnsi="Arial"/>
          <w:sz w:val="18"/>
          <w:szCs w:val="18"/>
          <w:color w:val="auto"/>
        </w:rPr>
        <w:t xml:space="preserve"> Other methods:</w:t>
      </w:r>
    </w:p>
    <w:p>
      <w:pPr>
        <w:spacing w:after="0" w:line="170"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And each repayment interest under this contract is clear with this.</w:t>
      </w:r>
    </w:p>
    <w:p>
      <w:pPr>
        <w:spacing w:after="0" w:line="219" w:lineRule="exact"/>
        <w:rPr>
          <w:rFonts w:ascii="Arial" w:cs="Arial" w:eastAsia="Arial" w:hAnsi="Arial"/>
          <w:sz w:val="17"/>
          <w:szCs w:val="17"/>
          <w:color w:val="auto"/>
        </w:rPr>
      </w:pPr>
    </w:p>
    <w:p>
      <w:pPr>
        <w:ind w:left="320" w:hanging="313"/>
        <w:spacing w:after="0"/>
        <w:tabs>
          <w:tab w:leader="none" w:pos="3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Penalty interest rate under the Contract is:</w:t>
      </w:r>
    </w:p>
    <w:p>
      <w:pPr>
        <w:spacing w:after="0" w:line="21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7"/>
          <w:szCs w:val="17"/>
          <w:color w:val="auto"/>
        </w:rPr>
        <w:t xml:space="preserve">(1)  This overdue penalty interest rate shall be applied at the loan execution rate applicable on the date of penalty interest collection plus </w:t>
      </w:r>
      <w:r>
        <w:rPr>
          <w:rFonts w:ascii="Arial" w:cs="Arial" w:eastAsia="Arial" w:hAnsi="Arial"/>
          <w:sz w:val="17"/>
          <w:szCs w:val="17"/>
          <w:u w:val="single" w:color="auto"/>
          <w:color w:val="auto"/>
        </w:rPr>
        <w:t>30</w:t>
      </w:r>
      <w:r>
        <w:rPr>
          <w:rFonts w:ascii="Arial" w:cs="Arial" w:eastAsia="Arial" w:hAnsi="Arial"/>
          <w:sz w:val="17"/>
          <w:szCs w:val="17"/>
          <w:color w:val="auto"/>
        </w:rPr>
        <w:t>%.</w:t>
      </w:r>
    </w:p>
    <w:p>
      <w:pPr>
        <w:spacing w:after="0" w:line="231" w:lineRule="exact"/>
        <w:rPr>
          <w:rFonts w:ascii="Arial" w:cs="Arial" w:eastAsia="Arial" w:hAnsi="Arial"/>
          <w:sz w:val="18"/>
          <w:szCs w:val="18"/>
          <w:color w:val="auto"/>
        </w:rPr>
      </w:pPr>
    </w:p>
    <w:p>
      <w:pPr>
        <w:ind w:left="640" w:hanging="320"/>
        <w:spacing w:after="0" w:line="270" w:lineRule="auto"/>
        <w:rPr>
          <w:rFonts w:ascii="Arial" w:cs="Arial" w:eastAsia="Arial" w:hAnsi="Arial"/>
          <w:sz w:val="18"/>
          <w:szCs w:val="18"/>
          <w:color w:val="auto"/>
        </w:rPr>
      </w:pPr>
      <w:r>
        <w:rPr>
          <w:rFonts w:ascii="Arial" w:cs="Arial" w:eastAsia="Arial" w:hAnsi="Arial"/>
          <w:sz w:val="18"/>
          <w:szCs w:val="18"/>
          <w:color w:val="auto"/>
        </w:rPr>
        <w:t xml:space="preserve">(2) If the loan is not used in accordance with the purpose agreed herein, the penalty interest rate will be calculated and the loan execution interest rate applied on the penalty interest date shall be charged plus </w:t>
      </w:r>
      <w:r>
        <w:rPr>
          <w:rFonts w:ascii="Arial" w:cs="Arial" w:eastAsia="Arial" w:hAnsi="Arial"/>
          <w:sz w:val="18"/>
          <w:szCs w:val="18"/>
          <w:u w:val="single" w:color="auto"/>
          <w:color w:val="auto"/>
        </w:rPr>
        <w:t>50</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6"/>
          <w:szCs w:val="16"/>
          <w:color w:val="auto"/>
        </w:rPr>
        <w:t>If the loan currency is foreign currency, if there is any other agreement in the foreign currency interest rate supplement contract or foreign currency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change contract signed by both parties hereto, the agreement shall apply.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6" w:name="page317"/>
    <w:bookmarkEnd w:id="316"/>
    <w:p>
      <w:pPr>
        <w:ind w:left="320" w:hanging="313"/>
        <w:spacing w:after="0"/>
        <w:tabs>
          <w:tab w:leader="none" w:pos="3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The drawdown period of the loan under the Contract is from </w:t>
      </w:r>
      <w:r>
        <w:rPr>
          <w:rFonts w:ascii="Arial" w:cs="Arial" w:eastAsia="Arial" w:hAnsi="Arial"/>
          <w:sz w:val="17"/>
          <w:szCs w:val="17"/>
          <w:u w:val="single" w:color="auto"/>
          <w:color w:val="auto"/>
        </w:rPr>
        <w:t>Jan 3, 2023</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Jan 15, 2023</w:t>
      </w:r>
      <w:r>
        <w:rPr>
          <w:rFonts w:ascii="Arial" w:cs="Arial" w:eastAsia="Arial" w:hAnsi="Arial"/>
          <w:sz w:val="17"/>
          <w:szCs w:val="17"/>
          <w:color w:val="auto"/>
        </w:rPr>
        <w:t xml:space="preserve">. The first withdrawal shall be made before </w:t>
      </w:r>
      <w:r>
        <w:rPr>
          <w:rFonts w:ascii="Arial" w:cs="Arial" w:eastAsia="Arial" w:hAnsi="Arial"/>
          <w:sz w:val="17"/>
          <w:szCs w:val="17"/>
          <w:u w:val="single" w:color="auto"/>
          <w:color w:val="auto"/>
        </w:rPr>
        <w:t>Jan 15, 2023</w:t>
      </w:r>
    </w:p>
    <w:p>
      <w:pPr>
        <w:spacing w:after="0" w:line="231" w:lineRule="exact"/>
        <w:rPr>
          <w:rFonts w:ascii="Arial" w:cs="Arial" w:eastAsia="Arial" w:hAnsi="Arial"/>
          <w:sz w:val="17"/>
          <w:szCs w:val="17"/>
          <w:color w:val="auto"/>
        </w:rPr>
      </w:pPr>
    </w:p>
    <w:p>
      <w:pPr>
        <w:ind w:left="320" w:hanging="313"/>
        <w:spacing w:after="0"/>
        <w:tabs>
          <w:tab w:leader="none" w:pos="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withdrawal plan for the loan under this Contract is as follows (please select√ in the box below, tick X if you do not select)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withdrawal plan is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60" w:type="dxa"/>
            <w:vAlign w:val="bottom"/>
            <w:gridSpan w:val="2"/>
          </w:tcPr>
          <w:p>
            <w:pPr>
              <w:spacing w:after="0"/>
              <w:rPr>
                <w:sz w:val="20"/>
                <w:szCs w:val="20"/>
                <w:color w:val="auto"/>
              </w:rPr>
            </w:pPr>
            <w:r>
              <w:rPr>
                <w:rFonts w:ascii="Arial" w:cs="Arial" w:eastAsia="Arial" w:hAnsi="Arial"/>
                <w:sz w:val="18"/>
                <w:szCs w:val="18"/>
                <w:color w:val="auto"/>
              </w:rPr>
              <w:t>NO</w:t>
            </w:r>
          </w:p>
        </w:tc>
        <w:tc>
          <w:tcPr>
            <w:tcW w:w="5040" w:type="dxa"/>
            <w:vAlign w:val="bottom"/>
            <w:gridSpan w:val="2"/>
          </w:tcPr>
          <w:p>
            <w:pPr>
              <w:spacing w:after="0"/>
              <w:rPr>
                <w:sz w:val="20"/>
                <w:szCs w:val="20"/>
                <w:color w:val="auto"/>
              </w:rPr>
            </w:pPr>
            <w:r>
              <w:rPr>
                <w:rFonts w:ascii="Arial" w:cs="Arial" w:eastAsia="Arial" w:hAnsi="Arial"/>
                <w:sz w:val="18"/>
                <w:szCs w:val="18"/>
                <w:color w:val="auto"/>
              </w:rPr>
              <w:t>The withdrawal date</w:t>
            </w:r>
          </w:p>
        </w:tc>
        <w:tc>
          <w:tcPr>
            <w:tcW w:w="4940" w:type="dxa"/>
            <w:vAlign w:val="bottom"/>
          </w:tcPr>
          <w:p>
            <w:pPr>
              <w:spacing w:after="0"/>
              <w:rPr>
                <w:sz w:val="20"/>
                <w:szCs w:val="20"/>
                <w:color w:val="auto"/>
              </w:rPr>
            </w:pPr>
            <w:r>
              <w:rPr>
                <w:rFonts w:ascii="Arial" w:cs="Arial" w:eastAsia="Arial" w:hAnsi="Arial"/>
                <w:sz w:val="18"/>
                <w:szCs w:val="18"/>
                <w:color w:val="auto"/>
              </w:rPr>
              <w:t>On withdrawals</w:t>
            </w:r>
          </w:p>
        </w:tc>
      </w:tr>
      <w:tr>
        <w:trPr>
          <w:trHeight w:val="226"/>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þ Other withdrawal plans: </w:t>
      </w:r>
      <w:r>
        <w:rPr>
          <w:rFonts w:ascii="Arial" w:cs="Arial" w:eastAsia="Arial" w:hAnsi="Arial"/>
          <w:sz w:val="18"/>
          <w:szCs w:val="18"/>
          <w:u w:val="single" w:color="auto"/>
          <w:color w:val="auto"/>
        </w:rPr>
        <w:t>Lump sum withdrawal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10. The repayment plan of the loan under this Contract is as follows ( Please tick √ in the box below, if not, tick x )</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60" w:type="dxa"/>
            <w:vAlign w:val="bottom"/>
            <w:gridSpan w:val="2"/>
          </w:tcPr>
          <w:p>
            <w:pPr>
              <w:spacing w:after="0"/>
              <w:rPr>
                <w:sz w:val="20"/>
                <w:szCs w:val="20"/>
                <w:color w:val="auto"/>
              </w:rPr>
            </w:pPr>
            <w:r>
              <w:rPr>
                <w:rFonts w:ascii="Arial" w:cs="Arial" w:eastAsia="Arial" w:hAnsi="Arial"/>
                <w:sz w:val="18"/>
                <w:szCs w:val="18"/>
                <w:color w:val="auto"/>
              </w:rPr>
              <w:t>NO</w:t>
            </w:r>
          </w:p>
        </w:tc>
        <w:tc>
          <w:tcPr>
            <w:tcW w:w="5040" w:type="dxa"/>
            <w:vAlign w:val="bottom"/>
            <w:gridSpan w:val="2"/>
          </w:tcPr>
          <w:p>
            <w:pPr>
              <w:spacing w:after="0"/>
              <w:rPr>
                <w:sz w:val="20"/>
                <w:szCs w:val="20"/>
                <w:color w:val="auto"/>
              </w:rPr>
            </w:pPr>
            <w:r>
              <w:rPr>
                <w:rFonts w:ascii="Arial" w:cs="Arial" w:eastAsia="Arial" w:hAnsi="Arial"/>
                <w:sz w:val="18"/>
                <w:szCs w:val="18"/>
                <w:color w:val="auto"/>
              </w:rPr>
              <w:t>Repayment date</w:t>
            </w:r>
          </w:p>
        </w:tc>
        <w:tc>
          <w:tcPr>
            <w:tcW w:w="4940" w:type="dxa"/>
            <w:vAlign w:val="bottom"/>
          </w:tcPr>
          <w:p>
            <w:pPr>
              <w:spacing w:after="0"/>
              <w:rPr>
                <w:sz w:val="20"/>
                <w:szCs w:val="20"/>
                <w:color w:val="auto"/>
              </w:rPr>
            </w:pPr>
            <w:r>
              <w:rPr>
                <w:rFonts w:ascii="Arial" w:cs="Arial" w:eastAsia="Arial" w:hAnsi="Arial"/>
                <w:sz w:val="18"/>
                <w:szCs w:val="18"/>
                <w:color w:val="auto"/>
              </w:rPr>
              <w:t>Reimbursement amount</w:t>
            </w:r>
          </w:p>
        </w:tc>
      </w:tr>
      <w:tr>
        <w:trPr>
          <w:trHeight w:val="226"/>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þ Other repayment plans: </w:t>
      </w:r>
      <w:r>
        <w:rPr>
          <w:rFonts w:ascii="Arial" w:cs="Arial" w:eastAsia="Arial" w:hAnsi="Arial"/>
          <w:sz w:val="18"/>
          <w:szCs w:val="18"/>
          <w:u w:val="single" w:color="auto"/>
          <w:color w:val="auto"/>
        </w:rPr>
        <w:t>Lump sum repayment.</w:t>
      </w:r>
    </w:p>
    <w:p>
      <w:pPr>
        <w:spacing w:after="0" w:line="220" w:lineRule="exact"/>
        <w:rPr>
          <w:sz w:val="20"/>
          <w:szCs w:val="20"/>
          <w:color w:val="auto"/>
        </w:rPr>
      </w:pPr>
    </w:p>
    <w:p>
      <w:pPr>
        <w:ind w:left="320" w:hanging="313"/>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Liquidated damages for loan repayment in advance; Equivalent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the actual amount of loan repaid in advance.</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principal amount of loan repayment in advance shall not be less than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currency) </w:t>
      </w:r>
      <w:r>
        <w:rPr>
          <w:rFonts w:ascii="Arial" w:cs="Arial" w:eastAsia="Arial" w:hAnsi="Arial"/>
          <w:sz w:val="18"/>
          <w:szCs w:val="18"/>
          <w:u w:val="single" w:color="auto"/>
          <w:color w:val="auto"/>
        </w:rPr>
        <w:t>0</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Account opening (select one of the following modes for RMB loans, select the special account mode for foreign currency loans, and mark X for those not selected)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þ Unsegregated account mode:</w:t>
      </w:r>
    </w:p>
    <w:p>
      <w:pPr>
        <w:spacing w:after="0" w:line="220" w:lineRule="exact"/>
        <w:rPr>
          <w:sz w:val="20"/>
          <w:szCs w:val="20"/>
          <w:color w:val="auto"/>
        </w:rPr>
      </w:pPr>
    </w:p>
    <w:p>
      <w:pPr>
        <w:ind w:left="320" w:right="5640" w:hanging="313"/>
        <w:spacing w:after="0" w:line="556" w:lineRule="auto"/>
        <w:tabs>
          <w:tab w:leader="none" w:pos="3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The general settlement account opened by the borrower with the lender is: Bank: </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 </w:t>
      </w:r>
      <w:r>
        <w:rPr>
          <w:rFonts w:ascii="Arial" w:cs="Arial" w:eastAsia="Arial" w:hAnsi="Arial"/>
          <w:sz w:val="16"/>
          <w:szCs w:val="16"/>
          <w:u w:val="single" w:color="auto"/>
          <w:color w:val="auto"/>
        </w:rPr>
        <w:t>ChinaLink Professional Services Co., Ltd.</w:t>
      </w:r>
    </w:p>
    <w:p>
      <w:pPr>
        <w:spacing w:after="0" w:line="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 xml:space="preserve">Bank account number: </w:t>
      </w:r>
      <w:r>
        <w:rPr>
          <w:rFonts w:ascii="Arial" w:cs="Arial" w:eastAsia="Arial" w:hAnsi="Arial"/>
          <w:sz w:val="18"/>
          <w:szCs w:val="18"/>
          <w:u w:val="single" w:color="auto"/>
          <w:color w:val="auto"/>
        </w:rPr>
        <w:t>98840078801600002917</w:t>
      </w:r>
    </w:p>
    <w:p>
      <w:pPr>
        <w:spacing w:after="0" w:line="219" w:lineRule="exact"/>
        <w:rPr>
          <w:rFonts w:ascii="Arial" w:cs="Arial" w:eastAsia="Arial" w:hAnsi="Arial"/>
          <w:sz w:val="16"/>
          <w:szCs w:val="16"/>
          <w:color w:val="auto"/>
        </w:rPr>
      </w:pPr>
    </w:p>
    <w:p>
      <w:pPr>
        <w:ind w:left="320" w:right="5900" w:hanging="313"/>
        <w:spacing w:after="0" w:line="556" w:lineRule="auto"/>
        <w:tabs>
          <w:tab w:leader="none" w:pos="3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the borrower’s fund recovery account opened with the lender is: Bank: </w:t>
      </w:r>
      <w:r>
        <w:rPr>
          <w:rFonts w:ascii="Arial" w:cs="Arial" w:eastAsia="Arial" w:hAnsi="Arial"/>
          <w:sz w:val="16"/>
          <w:szCs w:val="16"/>
          <w:u w:val="single" w:color="auto"/>
          <w:color w:val="auto"/>
        </w:rPr>
        <w:t>Shanghai Pudong Development Bank Co., LTD. Jinqiao Branch</w:t>
      </w:r>
      <w:r>
        <w:rPr>
          <w:rFonts w:ascii="Arial" w:cs="Arial" w:eastAsia="Arial" w:hAnsi="Arial"/>
          <w:sz w:val="16"/>
          <w:szCs w:val="16"/>
          <w:color w:val="auto"/>
        </w:rPr>
        <w:t xml:space="preserve"> Bank account name: </w:t>
      </w:r>
      <w:r>
        <w:rPr>
          <w:rFonts w:ascii="Arial" w:cs="Arial" w:eastAsia="Arial" w:hAnsi="Arial"/>
          <w:sz w:val="16"/>
          <w:szCs w:val="16"/>
          <w:u w:val="single" w:color="auto"/>
          <w:color w:val="auto"/>
        </w:rPr>
        <w:t>ChinaLink Professional Services Co., Ltd.</w:t>
      </w:r>
    </w:p>
    <w:p>
      <w:pPr>
        <w:spacing w:after="0" w:line="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 xml:space="preserve">Bank account number: </w:t>
      </w:r>
      <w:r>
        <w:rPr>
          <w:rFonts w:ascii="Arial" w:cs="Arial" w:eastAsia="Arial" w:hAnsi="Arial"/>
          <w:sz w:val="18"/>
          <w:szCs w:val="18"/>
          <w:u w:val="single" w:color="auto"/>
          <w:color w:val="auto"/>
        </w:rPr>
        <w:t>98840078801600002917</w:t>
      </w:r>
    </w:p>
    <w:p>
      <w:pPr>
        <w:spacing w:after="0" w:line="175" w:lineRule="exact"/>
        <w:rPr>
          <w:sz w:val="20"/>
          <w:szCs w:val="20"/>
          <w:color w:val="auto"/>
        </w:rPr>
      </w:pPr>
    </w:p>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Special Account mode</w:t>
      </w:r>
    </w:p>
    <w:p>
      <w:pPr>
        <w:spacing w:after="0" w:line="264" w:lineRule="exact"/>
        <w:rPr>
          <w:sz w:val="20"/>
          <w:szCs w:val="20"/>
          <w:color w:val="auto"/>
        </w:rPr>
      </w:pPr>
    </w:p>
    <w:p>
      <w:pPr>
        <w:ind w:left="320" w:hanging="313"/>
        <w:spacing w:after="0"/>
        <w:tabs>
          <w:tab w:leader="none" w:pos="3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special account for working capital loan opened by the borrower with the lender is: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w w:val="98"/>
              </w:rPr>
              <w:t>Bank:  </w:t>
            </w: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1480" w:type="dxa"/>
            <w:vAlign w:val="bottom"/>
            <w:gridSpan w:val="2"/>
          </w:tcPr>
          <w:p>
            <w:pPr>
              <w:spacing w:after="0"/>
              <w:rPr>
                <w:sz w:val="20"/>
                <w:szCs w:val="20"/>
                <w:color w:val="auto"/>
              </w:rPr>
            </w:pPr>
            <w:r>
              <w:rPr>
                <w:rFonts w:ascii="Arial" w:cs="Arial" w:eastAsia="Arial" w:hAnsi="Arial"/>
                <w:sz w:val="18"/>
                <w:szCs w:val="18"/>
                <w:color w:val="auto"/>
                <w:w w:val="88"/>
              </w:rPr>
              <w:t>Bank account name:</w:t>
            </w: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07"/>
        </w:trPr>
        <w:tc>
          <w:tcPr>
            <w:tcW w:w="1660" w:type="dxa"/>
            <w:vAlign w:val="bottom"/>
            <w:gridSpan w:val="4"/>
          </w:tcPr>
          <w:p>
            <w:pPr>
              <w:spacing w:after="0"/>
              <w:rPr>
                <w:sz w:val="20"/>
                <w:szCs w:val="20"/>
                <w:color w:val="auto"/>
              </w:rPr>
            </w:pPr>
            <w:r>
              <w:rPr>
                <w:rFonts w:ascii="Arial" w:cs="Arial" w:eastAsia="Arial" w:hAnsi="Arial"/>
                <w:sz w:val="18"/>
                <w:szCs w:val="18"/>
                <w:color w:val="auto"/>
                <w:w w:val="91"/>
              </w:rPr>
              <w:t>Bank account number:</w:t>
            </w:r>
          </w:p>
        </w:tc>
        <w:tc>
          <w:tcPr>
            <w:tcW w:w="14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26"/>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5320" w:type="dxa"/>
            <w:vAlign w:val="bottom"/>
            <w:gridSpan w:val="8"/>
          </w:tcPr>
          <w:p>
            <w:pPr>
              <w:ind w:left="40"/>
              <w:spacing w:after="0"/>
              <w:rPr>
                <w:sz w:val="20"/>
                <w:szCs w:val="20"/>
                <w:color w:val="auto"/>
              </w:rPr>
            </w:pPr>
            <w:r>
              <w:rPr>
                <w:rFonts w:ascii="Arial" w:cs="Arial" w:eastAsia="Arial" w:hAnsi="Arial"/>
                <w:sz w:val="18"/>
                <w:szCs w:val="18"/>
                <w:color w:val="auto"/>
                <w:w w:val="88"/>
              </w:rPr>
              <w:t>The general settlement account opened by the borrower with the lender is:</w:t>
            </w:r>
          </w:p>
        </w:tc>
      </w:tr>
      <w:tr>
        <w:trPr>
          <w:trHeight w:val="388"/>
        </w:trPr>
        <w:tc>
          <w:tcPr>
            <w:tcW w:w="2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Bank: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7"/>
        </w:trPr>
        <w:tc>
          <w:tcPr>
            <w:tcW w:w="2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91"/>
              </w:rPr>
              <w:t>Bank account name::</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7"/>
        </w:trPr>
        <w:tc>
          <w:tcPr>
            <w:tcW w:w="2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1"/>
              </w:rPr>
              <w:t>Bank account number:</w:t>
            </w:r>
          </w:p>
        </w:tc>
        <w:tc>
          <w:tcPr>
            <w:tcW w:w="15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446"/>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5320" w:type="dxa"/>
            <w:vAlign w:val="bottom"/>
            <w:gridSpan w:val="8"/>
          </w:tcPr>
          <w:p>
            <w:pPr>
              <w:ind w:left="40"/>
              <w:spacing w:after="0"/>
              <w:rPr>
                <w:sz w:val="20"/>
                <w:szCs w:val="20"/>
                <w:color w:val="auto"/>
              </w:rPr>
            </w:pPr>
            <w:r>
              <w:rPr>
                <w:rFonts w:ascii="Arial" w:cs="Arial" w:eastAsia="Arial" w:hAnsi="Arial"/>
                <w:sz w:val="18"/>
                <w:szCs w:val="18"/>
                <w:color w:val="auto"/>
              </w:rPr>
              <w:t>The Borrower's fund recovery account opened with the Lender is:</w:t>
            </w:r>
          </w:p>
        </w:tc>
      </w:tr>
      <w:tr>
        <w:trPr>
          <w:trHeight w:val="388"/>
        </w:trPr>
        <w:tc>
          <w:tcPr>
            <w:tcW w:w="2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Bank: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7"/>
        </w:trPr>
        <w:tc>
          <w:tcPr>
            <w:tcW w:w="2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w w:val="91"/>
              </w:rPr>
              <w:t>Bank account name::</w:t>
            </w:r>
          </w:p>
        </w:tc>
        <w:tc>
          <w:tcPr>
            <w:tcW w:w="10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20"/>
              <w:spacing w:after="0"/>
              <w:rPr>
                <w:sz w:val="20"/>
                <w:szCs w:val="20"/>
                <w:color w:val="auto"/>
              </w:rPr>
            </w:pPr>
            <w:r>
              <w:rPr>
                <w:rFonts w:ascii="Arial" w:cs="Arial" w:eastAsia="Arial" w:hAnsi="Arial"/>
                <w:sz w:val="10"/>
                <w:szCs w:val="10"/>
                <w:color w:val="auto"/>
                <w:w w:val="70"/>
              </w:rPr>
              <w:t>.</w:t>
            </w:r>
          </w:p>
        </w:tc>
        <w:tc>
          <w:tcPr>
            <w:tcW w:w="19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1"/>
              </w:rPr>
              <w:t>Bank account number:</w:t>
            </w:r>
          </w:p>
        </w:tc>
        <w:tc>
          <w:tcPr>
            <w:tcW w:w="15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r>
    </w:tbl>
    <w:p>
      <w:pPr>
        <w:spacing w:after="0" w:line="226" w:lineRule="exact"/>
        <w:rPr>
          <w:sz w:val="20"/>
          <w:szCs w:val="20"/>
          <w:color w:val="auto"/>
        </w:rPr>
      </w:pPr>
    </w:p>
    <w:p>
      <w:pPr>
        <w:ind w:left="320" w:hanging="313"/>
        <w:spacing w:after="0" w:line="270" w:lineRule="auto"/>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Entrusted Payment by the Lender: if the payment object is clear and the single managed payment amount exceeds (currency amount) </w:t>
      </w:r>
      <w:r>
        <w:rPr>
          <w:rFonts w:ascii="Arial" w:cs="Arial" w:eastAsia="Arial" w:hAnsi="Arial"/>
          <w:sz w:val="18"/>
          <w:szCs w:val="18"/>
          <w:u w:val="single" w:color="auto"/>
          <w:color w:val="auto"/>
        </w:rPr>
        <w:t>RMB 5 million</w:t>
      </w:r>
      <w:r>
        <w:rPr>
          <w:rFonts w:ascii="Arial" w:cs="Arial" w:eastAsia="Arial" w:hAnsi="Arial"/>
          <w:sz w:val="18"/>
          <w:szCs w:val="18"/>
          <w:color w:val="auto"/>
        </w:rPr>
        <w:t xml:space="preserve"> the loan fund payment, the entrusted payment method of the Lender shall be</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guarantors and security contracts providing security for the debt hereunder include but are not limited to:</w:t>
      </w:r>
    </w:p>
    <w:p>
      <w:pPr>
        <w:spacing w:after="0" w:line="231" w:lineRule="exact"/>
        <w:rPr>
          <w:rFonts w:ascii="Arial" w:cs="Arial" w:eastAsia="Arial" w:hAnsi="Arial"/>
          <w:sz w:val="18"/>
          <w:szCs w:val="18"/>
          <w:color w:val="auto"/>
        </w:rPr>
      </w:pPr>
    </w:p>
    <w:p>
      <w:pPr>
        <w:ind w:left="540" w:hanging="213"/>
        <w:spacing w:after="0" w:line="219" w:lineRule="exact"/>
        <w:tabs>
          <w:tab w:leader="none" w:pos="540" w:val="left"/>
        </w:tabs>
        <w:numPr>
          <w:ilvl w:val="1"/>
          <w:numId w:val="268"/>
        </w:numPr>
        <w:rPr>
          <w:rFonts w:ascii="MS PGothic" w:cs="MS PGothic" w:eastAsia="MS PGothic" w:hAnsi="MS PGothic"/>
          <w:sz w:val="18"/>
          <w:szCs w:val="18"/>
          <w:color w:val="auto"/>
        </w:rPr>
      </w:pPr>
      <w:r>
        <w:rPr>
          <w:rFonts w:ascii="Arial" w:cs="Arial" w:eastAsia="Arial" w:hAnsi="Arial"/>
          <w:sz w:val="18"/>
          <w:szCs w:val="18"/>
          <w:color w:val="auto"/>
        </w:rPr>
        <w:t>The guarantor 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SimSun" w:cs="SimSun" w:eastAsia="SimSun" w:hAnsi="SimSun"/>
          <w:sz w:val="18"/>
          <w:szCs w:val="18"/>
          <w:b w:val="1"/>
          <w:bCs w:val="1"/>
          <w:color w:val="auto"/>
        </w:rPr>
        <w:t>《</w:t>
      </w:r>
      <w:r>
        <w:rPr>
          <w:rFonts w:ascii="Arial" w:cs="Arial" w:eastAsia="Arial" w:hAnsi="Arial"/>
          <w:sz w:val="18"/>
          <w:szCs w:val="18"/>
          <w:color w:val="auto"/>
        </w:rPr>
        <w:t>guaranty contract</w:t>
      </w:r>
      <w:r>
        <w:rPr>
          <w:rFonts w:ascii="SimSun" w:cs="SimSun" w:eastAsia="SimSun" w:hAnsi="SimSun"/>
          <w:sz w:val="18"/>
          <w:szCs w:val="18"/>
          <w:b w:val="1"/>
          <w:bCs w:val="1"/>
          <w:color w:val="auto"/>
        </w:rPr>
        <w:t>》</w:t>
      </w:r>
      <w:r>
        <w:rPr>
          <w:rFonts w:ascii="Arial" w:cs="Arial" w:eastAsia="Arial" w:hAnsi="Arial"/>
          <w:sz w:val="18"/>
          <w:szCs w:val="18"/>
          <w:color w:val="auto"/>
        </w:rPr>
        <w:t>NO[ : ]</w:t>
      </w:r>
    </w:p>
    <w:p>
      <w:pPr>
        <w:spacing w:after="0" w:line="235" w:lineRule="exact"/>
        <w:rPr>
          <w:rFonts w:ascii="MS PGothic" w:cs="MS PGothic" w:eastAsia="MS PGothic" w:hAnsi="MS PGothic"/>
          <w:sz w:val="18"/>
          <w:szCs w:val="18"/>
          <w:color w:val="auto"/>
        </w:rPr>
      </w:pPr>
    </w:p>
    <w:p>
      <w:pPr>
        <w:ind w:left="540" w:hanging="213"/>
        <w:spacing w:after="0" w:line="219" w:lineRule="exact"/>
        <w:tabs>
          <w:tab w:leader="none" w:pos="540" w:val="left"/>
        </w:tabs>
        <w:numPr>
          <w:ilvl w:val="1"/>
          <w:numId w:val="268"/>
        </w:numPr>
        <w:rPr>
          <w:rFonts w:ascii="MS PGothic" w:cs="MS PGothic" w:eastAsia="MS PGothic" w:hAnsi="MS PGothic"/>
          <w:sz w:val="18"/>
          <w:szCs w:val="18"/>
          <w:color w:val="auto"/>
        </w:rPr>
      </w:pPr>
      <w:r>
        <w:rPr>
          <w:rFonts w:ascii="Arial" w:cs="Arial" w:eastAsia="Arial" w:hAnsi="Arial"/>
          <w:sz w:val="18"/>
          <w:szCs w:val="18"/>
          <w:color w:val="auto"/>
        </w:rPr>
        <w:t>The mortgagor 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SimSun" w:cs="SimSun" w:eastAsia="SimSun" w:hAnsi="SimSun"/>
          <w:sz w:val="18"/>
          <w:szCs w:val="18"/>
          <w:b w:val="1"/>
          <w:bCs w:val="1"/>
          <w:color w:val="auto"/>
        </w:rPr>
        <w:t>《</w:t>
      </w:r>
      <w:r>
        <w:rPr>
          <w:rFonts w:ascii="Arial" w:cs="Arial" w:eastAsia="Arial" w:hAnsi="Arial"/>
          <w:sz w:val="18"/>
          <w:szCs w:val="18"/>
          <w:color w:val="auto"/>
        </w:rPr>
        <w:t>Mortgage contract</w:t>
      </w:r>
      <w:r>
        <w:rPr>
          <w:rFonts w:ascii="SimSun" w:cs="SimSun" w:eastAsia="SimSun" w:hAnsi="SimSun"/>
          <w:sz w:val="18"/>
          <w:szCs w:val="18"/>
          <w:b w:val="1"/>
          <w:bCs w:val="1"/>
          <w:color w:val="auto"/>
        </w:rPr>
        <w:t>》</w:t>
      </w:r>
      <w:r>
        <w:rPr>
          <w:rFonts w:ascii="Arial" w:cs="Arial" w:eastAsia="Arial" w:hAnsi="Arial"/>
          <w:sz w:val="18"/>
          <w:szCs w:val="18"/>
          <w:color w:val="auto"/>
        </w:rPr>
        <w:t>NO[  ]</w:t>
      </w:r>
    </w:p>
    <w:p>
      <w:pPr>
        <w:spacing w:after="0" w:line="235" w:lineRule="exact"/>
        <w:rPr>
          <w:rFonts w:ascii="MS PGothic" w:cs="MS PGothic" w:eastAsia="MS PGothic" w:hAnsi="MS PGothic"/>
          <w:sz w:val="18"/>
          <w:szCs w:val="18"/>
          <w:color w:val="auto"/>
        </w:rPr>
      </w:pPr>
    </w:p>
    <w:p>
      <w:pPr>
        <w:ind w:left="540" w:hanging="213"/>
        <w:spacing w:after="0" w:line="219" w:lineRule="exact"/>
        <w:tabs>
          <w:tab w:leader="none" w:pos="540" w:val="left"/>
        </w:tabs>
        <w:numPr>
          <w:ilvl w:val="1"/>
          <w:numId w:val="268"/>
        </w:numPr>
        <w:rPr>
          <w:rFonts w:ascii="MS PGothic" w:cs="MS PGothic" w:eastAsia="MS PGothic" w:hAnsi="MS PGothic"/>
          <w:sz w:val="18"/>
          <w:szCs w:val="18"/>
          <w:color w:val="auto"/>
        </w:rPr>
      </w:pPr>
      <w:r>
        <w:rPr>
          <w:rFonts w:ascii="Arial" w:cs="Arial" w:eastAsia="Arial" w:hAnsi="Arial"/>
          <w:sz w:val="18"/>
          <w:szCs w:val="18"/>
          <w:color w:val="auto"/>
        </w:rPr>
        <w:t>The pledger _________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SimSun" w:cs="SimSun" w:eastAsia="SimSun" w:hAnsi="SimSun"/>
          <w:sz w:val="18"/>
          <w:szCs w:val="18"/>
          <w:b w:val="1"/>
          <w:bCs w:val="1"/>
          <w:color w:val="auto"/>
        </w:rPr>
        <w:t>《</w:t>
      </w:r>
      <w:r>
        <w:rPr>
          <w:rFonts w:ascii="Arial" w:cs="Arial" w:eastAsia="Arial" w:hAnsi="Arial"/>
          <w:sz w:val="18"/>
          <w:szCs w:val="18"/>
          <w:color w:val="auto"/>
        </w:rPr>
        <w:t>Pledger contract</w:t>
      </w:r>
      <w:r>
        <w:rPr>
          <w:rFonts w:ascii="SimSun" w:cs="SimSun" w:eastAsia="SimSun" w:hAnsi="SimSun"/>
          <w:sz w:val="18"/>
          <w:szCs w:val="18"/>
          <w:b w:val="1"/>
          <w:bCs w:val="1"/>
          <w:color w:val="auto"/>
        </w:rPr>
        <w:t>》</w:t>
      </w:r>
      <w:r>
        <w:rPr>
          <w:rFonts w:ascii="Arial" w:cs="Arial" w:eastAsia="Arial" w:hAnsi="Arial"/>
          <w:sz w:val="18"/>
          <w:szCs w:val="18"/>
          <w:color w:val="auto"/>
        </w:rPr>
        <w:t>NO[ : ]</w:t>
      </w:r>
    </w:p>
    <w:p>
      <w:pPr>
        <w:spacing w:after="0" w:line="233" w:lineRule="exact"/>
        <w:rPr>
          <w:rFonts w:ascii="MS PGothic" w:cs="MS PGothic" w:eastAsia="MS PGothic" w:hAnsi="MS PGothic"/>
          <w:sz w:val="18"/>
          <w:szCs w:val="18"/>
          <w:color w:val="auto"/>
        </w:rPr>
      </w:pPr>
    </w:p>
    <w:p>
      <w:pPr>
        <w:ind w:left="540" w:hanging="213"/>
        <w:spacing w:after="0" w:line="219" w:lineRule="exact"/>
        <w:tabs>
          <w:tab w:leader="none" w:pos="540" w:val="left"/>
        </w:tabs>
        <w:numPr>
          <w:ilvl w:val="1"/>
          <w:numId w:val="268"/>
        </w:numPr>
        <w:rPr>
          <w:rFonts w:ascii="MS PGothic" w:cs="MS PGothic" w:eastAsia="MS PGothic" w:hAnsi="MS PGothic"/>
          <w:sz w:val="18"/>
          <w:szCs w:val="18"/>
          <w:color w:val="auto"/>
        </w:rPr>
      </w:pPr>
      <w:r>
        <w:rPr>
          <w:rFonts w:ascii="Arial" w:cs="Arial" w:eastAsia="Arial" w:hAnsi="Arial"/>
          <w:sz w:val="18"/>
          <w:szCs w:val="18"/>
          <w:color w:val="auto"/>
        </w:rPr>
        <w:t>Other guarantee 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SimSun" w:cs="SimSun" w:eastAsia="SimSun" w:hAnsi="SimSun"/>
          <w:sz w:val="18"/>
          <w:szCs w:val="18"/>
          <w:b w:val="1"/>
          <w:bCs w:val="1"/>
          <w:color w:val="auto"/>
        </w:rPr>
        <w:t>。</w:t>
      </w:r>
    </w:p>
    <w:p>
      <w:pPr>
        <w:spacing w:after="0" w:line="293" w:lineRule="exact"/>
        <w:rPr>
          <w:rFonts w:ascii="MS PGothic" w:cs="MS PGothic" w:eastAsia="MS PGothic" w:hAnsi="MS PGothic"/>
          <w:sz w:val="18"/>
          <w:szCs w:val="18"/>
          <w:color w:val="auto"/>
        </w:rPr>
      </w:pPr>
    </w:p>
    <w:p>
      <w:pPr>
        <w:ind w:left="320" w:hanging="313"/>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Breach of contract</w:t>
      </w:r>
    </w:p>
    <w:p>
      <w:pPr>
        <w:spacing w:after="0" w:line="21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xml:space="preserve">liquidated damages. It is equivalent to </w:t>
      </w:r>
      <w:r>
        <w:rPr>
          <w:rFonts w:ascii="Arial" w:cs="Arial" w:eastAsia="Arial" w:hAnsi="Arial"/>
          <w:sz w:val="18"/>
          <w:szCs w:val="18"/>
          <w:u w:val="single" w:color="auto"/>
          <w:color w:val="auto"/>
        </w:rPr>
        <w:t>zero</w:t>
      </w:r>
      <w:r>
        <w:rPr>
          <w:rFonts w:ascii="Arial" w:cs="Arial" w:eastAsia="Arial" w:hAnsi="Arial"/>
          <w:sz w:val="18"/>
          <w:szCs w:val="18"/>
          <w:color w:val="auto"/>
        </w:rPr>
        <w:t xml:space="preserve"> percent of the principal amount borrowed or </w:t>
      </w:r>
      <w:r>
        <w:rPr>
          <w:rFonts w:ascii="Arial" w:cs="Arial" w:eastAsia="Arial" w:hAnsi="Arial"/>
          <w:sz w:val="18"/>
          <w:szCs w:val="18"/>
          <w:u w:val="single" w:color="auto"/>
          <w:color w:val="auto"/>
        </w:rPr>
        <w:t>__________</w:t>
      </w:r>
      <w:r>
        <w:rPr>
          <w:rFonts w:ascii="Arial" w:cs="Arial" w:eastAsia="Arial" w:hAnsi="Arial"/>
          <w:sz w:val="18"/>
          <w:szCs w:val="18"/>
          <w:color w:val="auto"/>
        </w:rPr>
        <w:t xml:space="preserve"> / </w:t>
      </w:r>
      <w:r>
        <w:rPr>
          <w:rFonts w:ascii="Arial" w:cs="Arial" w:eastAsia="Arial" w:hAnsi="Arial"/>
          <w:sz w:val="18"/>
          <w:szCs w:val="18"/>
          <w:u w:val="single" w:color="auto"/>
          <w:color w:val="auto"/>
        </w:rPr>
        <w:t>__________</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Annexes to this contract include:</w:t>
      </w:r>
    </w:p>
    <w:p>
      <w:pPr>
        <w:spacing w:after="0" w:line="231"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Arial" w:cs="Arial" w:eastAsia="Arial" w:hAnsi="Arial"/>
          <w:sz w:val="18"/>
          <w:szCs w:val="18"/>
          <w:color w:val="auto"/>
        </w:rPr>
        <w:t>(1)</w:t>
      </w:r>
      <w:r>
        <w:rPr>
          <w:rFonts w:ascii="SimSun" w:cs="SimSun" w:eastAsia="SimSun" w:hAnsi="SimSun"/>
          <w:sz w:val="18"/>
          <w:szCs w:val="18"/>
          <w:b w:val="1"/>
          <w:bCs w:val="1"/>
          <w:color w:val="auto"/>
        </w:rPr>
        <w:t>《</w:t>
      </w:r>
      <w:r>
        <w:rPr>
          <w:rFonts w:ascii="Arial" w:cs="Arial" w:eastAsia="Arial" w:hAnsi="Arial"/>
          <w:sz w:val="18"/>
          <w:szCs w:val="18"/>
          <w:color w:val="auto"/>
        </w:rPr>
        <w:t>Application for withdrawal</w:t>
      </w:r>
      <w:r>
        <w:rPr>
          <w:rFonts w:ascii="SimSun" w:cs="SimSun" w:eastAsia="SimSun" w:hAnsi="SimSun"/>
          <w:sz w:val="18"/>
          <w:szCs w:val="18"/>
          <w:b w:val="1"/>
          <w:bCs w:val="1"/>
          <w:color w:val="auto"/>
        </w:rPr>
        <w:t>》</w:t>
      </w:r>
    </w:p>
    <w:p>
      <w:pPr>
        <w:spacing w:after="0" w:line="235"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Arial" w:cs="Arial" w:eastAsia="Arial" w:hAnsi="Arial"/>
          <w:sz w:val="18"/>
          <w:szCs w:val="18"/>
          <w:color w:val="auto"/>
        </w:rPr>
        <w:t>(2)</w:t>
      </w:r>
      <w:r>
        <w:rPr>
          <w:rFonts w:ascii="SimSun" w:cs="SimSun" w:eastAsia="SimSun" w:hAnsi="SimSun"/>
          <w:sz w:val="18"/>
          <w:szCs w:val="18"/>
          <w:b w:val="1"/>
          <w:bCs w:val="1"/>
          <w:color w:val="auto"/>
        </w:rPr>
        <w:t>《</w:t>
      </w:r>
      <w:r>
        <w:rPr>
          <w:rFonts w:ascii="Arial" w:cs="Arial" w:eastAsia="Arial" w:hAnsi="Arial"/>
          <w:sz w:val="18"/>
          <w:szCs w:val="18"/>
          <w:color w:val="auto"/>
        </w:rPr>
        <w:t>____________ / ____________ </w:t>
      </w:r>
      <w:r>
        <w:rPr>
          <w:rFonts w:ascii="SimSun" w:cs="SimSun" w:eastAsia="SimSun" w:hAnsi="SimSun"/>
          <w:sz w:val="18"/>
          <w:szCs w:val="18"/>
          <w:b w:val="1"/>
          <w:bCs w:val="1"/>
          <w:color w:val="auto"/>
        </w:rPr>
        <w:t>》</w:t>
      </w:r>
    </w:p>
    <w:p>
      <w:pPr>
        <w:spacing w:after="0" w:line="235"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Arial" w:cs="Arial" w:eastAsia="Arial" w:hAnsi="Arial"/>
          <w:sz w:val="18"/>
          <w:szCs w:val="18"/>
          <w:color w:val="auto"/>
        </w:rPr>
        <w:t>(3)</w:t>
      </w:r>
      <w:r>
        <w:rPr>
          <w:rFonts w:ascii="SimSun" w:cs="SimSun" w:eastAsia="SimSun" w:hAnsi="SimSun"/>
          <w:sz w:val="18"/>
          <w:szCs w:val="18"/>
          <w:b w:val="1"/>
          <w:bCs w:val="1"/>
          <w:color w:val="auto"/>
        </w:rPr>
        <w:t>《</w:t>
      </w:r>
      <w:r>
        <w:rPr>
          <w:rFonts w:ascii="Arial" w:cs="Arial" w:eastAsia="Arial" w:hAnsi="Arial"/>
          <w:sz w:val="18"/>
          <w:szCs w:val="18"/>
          <w:color w:val="auto"/>
        </w:rPr>
        <w:t>____________ / ____________</w:t>
      </w:r>
      <w:r>
        <w:rPr>
          <w:rFonts w:ascii="SimSun" w:cs="SimSun" w:eastAsia="SimSun" w:hAnsi="SimSun"/>
          <w:sz w:val="18"/>
          <w:szCs w:val="18"/>
          <w:b w:val="1"/>
          <w:bCs w:val="1"/>
          <w:color w:val="auto"/>
        </w:rPr>
        <w:t>》</w:t>
      </w:r>
    </w:p>
    <w:p>
      <w:pPr>
        <w:spacing w:after="0" w:line="235"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Arial" w:cs="Arial" w:eastAsia="Arial" w:hAnsi="Arial"/>
          <w:sz w:val="18"/>
          <w:szCs w:val="18"/>
          <w:color w:val="auto"/>
        </w:rPr>
        <w:t>(4)</w:t>
      </w:r>
      <w:r>
        <w:rPr>
          <w:rFonts w:ascii="SimSun" w:cs="SimSun" w:eastAsia="SimSun" w:hAnsi="SimSun"/>
          <w:sz w:val="18"/>
          <w:szCs w:val="18"/>
          <w:b w:val="1"/>
          <w:bCs w:val="1"/>
          <w:color w:val="auto"/>
        </w:rPr>
        <w:t>《</w:t>
      </w:r>
      <w:r>
        <w:rPr>
          <w:rFonts w:ascii="Arial" w:cs="Arial" w:eastAsia="Arial" w:hAnsi="Arial"/>
          <w:sz w:val="18"/>
          <w:szCs w:val="18"/>
          <w:color w:val="auto"/>
        </w:rPr>
        <w:t>____________ / ____________</w:t>
      </w:r>
      <w:r>
        <w:rPr>
          <w:rFonts w:ascii="SimSun" w:cs="SimSun" w:eastAsia="SimSun" w:hAnsi="SimSun"/>
          <w:sz w:val="18"/>
          <w:szCs w:val="18"/>
          <w:b w:val="1"/>
          <w:bCs w:val="1"/>
          <w:color w:val="auto"/>
        </w:rPr>
        <w:t>》</w:t>
      </w:r>
    </w:p>
    <w:p>
      <w:pPr>
        <w:spacing w:after="0" w:line="235" w:lineRule="exact"/>
        <w:rPr>
          <w:rFonts w:ascii="Arial" w:cs="Arial" w:eastAsia="Arial" w:hAnsi="Arial"/>
          <w:sz w:val="18"/>
          <w:szCs w:val="18"/>
          <w:color w:val="auto"/>
        </w:rPr>
      </w:pPr>
    </w:p>
    <w:p>
      <w:pPr>
        <w:ind w:left="320"/>
        <w:spacing w:after="0" w:line="219" w:lineRule="exact"/>
        <w:rPr>
          <w:rFonts w:ascii="Arial" w:cs="Arial" w:eastAsia="Arial" w:hAnsi="Arial"/>
          <w:sz w:val="18"/>
          <w:szCs w:val="18"/>
          <w:color w:val="auto"/>
        </w:rPr>
      </w:pPr>
      <w:r>
        <w:rPr>
          <w:rFonts w:ascii="Arial" w:cs="Arial" w:eastAsia="Arial" w:hAnsi="Arial"/>
          <w:sz w:val="18"/>
          <w:szCs w:val="18"/>
          <w:color w:val="auto"/>
        </w:rPr>
        <w:t>(5)</w:t>
      </w:r>
      <w:r>
        <w:rPr>
          <w:rFonts w:ascii="SimSun" w:cs="SimSun" w:eastAsia="SimSun" w:hAnsi="SimSun"/>
          <w:sz w:val="18"/>
          <w:szCs w:val="18"/>
          <w:b w:val="1"/>
          <w:bCs w:val="1"/>
          <w:color w:val="auto"/>
        </w:rPr>
        <w:t>《</w:t>
      </w:r>
      <w:r>
        <w:rPr>
          <w:rFonts w:ascii="Arial" w:cs="Arial" w:eastAsia="Arial" w:hAnsi="Arial"/>
          <w:sz w:val="18"/>
          <w:szCs w:val="18"/>
          <w:color w:val="auto"/>
        </w:rPr>
        <w:t>____________ / ____________</w:t>
      </w:r>
      <w:r>
        <w:rPr>
          <w:rFonts w:ascii="SimSun" w:cs="SimSun" w:eastAsia="SimSun" w:hAnsi="SimSun"/>
          <w:sz w:val="18"/>
          <w:szCs w:val="18"/>
          <w:b w:val="1"/>
          <w:bCs w:val="1"/>
          <w:color w:val="auto"/>
        </w:rPr>
        <w:t>》</w:t>
      </w:r>
    </w:p>
    <w:p>
      <w:pPr>
        <w:spacing w:after="0" w:line="224" w:lineRule="exact"/>
        <w:rPr>
          <w:rFonts w:ascii="Arial" w:cs="Arial" w:eastAsia="Arial" w:hAnsi="Arial"/>
          <w:sz w:val="18"/>
          <w:szCs w:val="18"/>
          <w:color w:val="auto"/>
        </w:rPr>
      </w:pPr>
    </w:p>
    <w:p>
      <w:pPr>
        <w:ind w:left="320" w:hanging="313"/>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Other matters agreed upon by both parties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None/___________</w:t>
      </w:r>
      <w:r>
        <w:rPr>
          <w:rFonts w:ascii="Arial" w:cs="Arial" w:eastAsia="Arial" w:hAnsi="Arial"/>
          <w:sz w:val="18"/>
          <w:szCs w:val="18"/>
          <w:color w:val="auto"/>
        </w:rPr>
        <w:t xml:space="preserve"> .</w:t>
      </w:r>
    </w:p>
    <w:p>
      <w:pPr>
        <w:spacing w:after="0" w:line="220" w:lineRule="exact"/>
        <w:rPr>
          <w:sz w:val="20"/>
          <w:szCs w:val="20"/>
          <w:color w:val="auto"/>
        </w:rPr>
      </w:pPr>
    </w:p>
    <w:p>
      <w:pPr>
        <w:ind w:left="300" w:right="1360" w:hanging="293"/>
        <w:spacing w:after="0" w:line="517" w:lineRule="auto"/>
        <w:tabs>
          <w:tab w:leader="none" w:pos="33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This Contract is made in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originals,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held by the borrower and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held by the lender, each of which has the same legal effect. (End of Part I)</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318" w:name="page319"/>
    <w:bookmarkEnd w:id="318"/>
    <w:p>
      <w:pPr>
        <w:jc w:val="center"/>
        <w:ind w:right="320"/>
        <w:spacing w:after="0"/>
        <w:rPr>
          <w:sz w:val="20"/>
          <w:szCs w:val="20"/>
          <w:color w:val="auto"/>
        </w:rPr>
      </w:pPr>
      <w:r>
        <w:rPr>
          <w:rFonts w:ascii="Arial" w:cs="Arial" w:eastAsia="Arial" w:hAnsi="Arial"/>
          <w:sz w:val="18"/>
          <w:szCs w:val="18"/>
          <w:b w:val="1"/>
          <w:bCs w:val="1"/>
          <w:color w:val="auto"/>
        </w:rPr>
        <w:t>The Part Two General terms</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1 borrowing</w:t>
      </w:r>
    </w:p>
    <w:p>
      <w:pPr>
        <w:spacing w:after="0" w:line="224" w:lineRule="exact"/>
        <w:rPr>
          <w:sz w:val="20"/>
          <w:szCs w:val="20"/>
          <w:color w:val="auto"/>
        </w:rPr>
      </w:pPr>
    </w:p>
    <w:p>
      <w:pPr>
        <w:jc w:val="both"/>
        <w:ind w:left="320" w:hanging="313"/>
        <w:spacing w:after="0" w:line="296" w:lineRule="auto"/>
        <w:tabs>
          <w:tab w:leader="none" w:pos="3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59" w:lineRule="exact"/>
        <w:rPr>
          <w:rFonts w:ascii="Arial" w:cs="Arial" w:eastAsia="Arial" w:hAnsi="Arial"/>
          <w:sz w:val="16"/>
          <w:szCs w:val="16"/>
          <w:color w:val="auto"/>
        </w:rPr>
      </w:pPr>
    </w:p>
    <w:p>
      <w:pPr>
        <w:jc w:val="both"/>
        <w:ind w:left="320" w:hanging="313"/>
        <w:spacing w:after="0" w:line="258" w:lineRule="auto"/>
        <w:tabs>
          <w:tab w:leader="none" w:pos="3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8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2 borrowing rate and interest calculation method</w:t>
      </w:r>
    </w:p>
    <w:p>
      <w:pPr>
        <w:spacing w:after="0" w:line="224" w:lineRule="exact"/>
        <w:rPr>
          <w:sz w:val="20"/>
          <w:szCs w:val="20"/>
          <w:color w:val="auto"/>
        </w:rPr>
      </w:pPr>
    </w:p>
    <w:p>
      <w:pPr>
        <w:jc w:val="both"/>
        <w:ind w:left="320" w:hanging="313"/>
        <w:spacing w:after="0" w:line="274" w:lineRule="auto"/>
        <w:tabs>
          <w:tab w:leader="none" w:pos="3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 Daily interest rate = annual interest rate /360. But the daily interest rate = annual interest rate /365 when the loan currency is sterling, Hong Kong dollars and Singapore dollars.</w:t>
      </w:r>
    </w:p>
    <w:p>
      <w:pPr>
        <w:spacing w:after="0" w:line="174" w:lineRule="exact"/>
        <w:rPr>
          <w:rFonts w:ascii="Arial" w:cs="Arial" w:eastAsia="Arial" w:hAnsi="Arial"/>
          <w:sz w:val="17"/>
          <w:szCs w:val="17"/>
          <w:color w:val="auto"/>
        </w:rPr>
      </w:pPr>
    </w:p>
    <w:p>
      <w:pPr>
        <w:jc w:val="both"/>
        <w:ind w:left="320" w:hanging="313"/>
        <w:spacing w:after="0" w:line="306" w:lineRule="auto"/>
        <w:tabs>
          <w:tab w:leader="none" w:pos="3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50" w:lineRule="exact"/>
        <w:rPr>
          <w:rFonts w:ascii="Arial" w:cs="Arial" w:eastAsia="Arial" w:hAnsi="Arial"/>
          <w:sz w:val="16"/>
          <w:szCs w:val="16"/>
          <w:color w:val="auto"/>
        </w:rPr>
      </w:pPr>
    </w:p>
    <w:p>
      <w:pPr>
        <w:jc w:val="both"/>
        <w:ind w:left="320" w:hanging="313"/>
        <w:spacing w:after="0" w:line="258" w:lineRule="auto"/>
        <w:tabs>
          <w:tab w:leader="none" w:pos="3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86"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4" w:right="339" w:bottom="1440" w:gutter="0" w:footer="0" w:header="0"/>
        </w:sectPr>
      </w:pPr>
    </w:p>
    <w:bookmarkStart w:id="319" w:name="page320"/>
    <w:bookmarkEnd w:id="319"/>
    <w:p>
      <w:pPr>
        <w:ind w:left="320" w:right="20" w:hanging="313"/>
        <w:spacing w:after="0" w:line="270" w:lineRule="auto"/>
        <w:tabs>
          <w:tab w:leader="none" w:pos="3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Unless otherwise agreed by both parties, the calculation method of loan interest rate under this contract is "simple interest method". The interest rate calculation method can be found on the website of China People's Bank.</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Interest rate market paralysis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3 withdrawal</w:t>
      </w:r>
    </w:p>
    <w:p>
      <w:pPr>
        <w:spacing w:after="0" w:line="224" w:lineRule="exact"/>
        <w:rPr>
          <w:sz w:val="20"/>
          <w:szCs w:val="20"/>
          <w:color w:val="auto"/>
        </w:rPr>
      </w:pPr>
    </w:p>
    <w:p>
      <w:pPr>
        <w:ind w:left="320" w:hanging="313"/>
        <w:spacing w:after="0"/>
        <w:tabs>
          <w:tab w:leader="none" w:pos="3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before the first withdrawal, the borrower shall meet the following conditions:</w:t>
      </w:r>
    </w:p>
    <w:p>
      <w:pPr>
        <w:spacing w:after="0" w:line="220" w:lineRule="exact"/>
        <w:rPr>
          <w:sz w:val="20"/>
          <w:szCs w:val="20"/>
          <w:color w:val="auto"/>
        </w:rPr>
      </w:pPr>
    </w:p>
    <w:p>
      <w:pPr>
        <w:ind w:left="320" w:right="20" w:hanging="313"/>
        <w:spacing w:after="0" w:line="270" w:lineRule="auto"/>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contract and the corresponding guarantee contract (if any) have been signed and remain valid, and the security right has been effectively established;</w:t>
      </w:r>
    </w:p>
    <w:p>
      <w:pPr>
        <w:spacing w:after="0" w:line="174" w:lineRule="exact"/>
        <w:rPr>
          <w:rFonts w:ascii="Arial" w:cs="Arial" w:eastAsia="Arial" w:hAnsi="Arial"/>
          <w:sz w:val="18"/>
          <w:szCs w:val="18"/>
          <w:color w:val="auto"/>
        </w:rPr>
      </w:pPr>
    </w:p>
    <w:p>
      <w:pPr>
        <w:ind w:left="320" w:hanging="313"/>
        <w:spacing w:after="0" w:line="300" w:lineRule="auto"/>
        <w:tabs>
          <w:tab w:leader="none" w:pos="3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51" w:lineRule="exact"/>
        <w:rPr>
          <w:rFonts w:ascii="Arial" w:cs="Arial" w:eastAsia="Arial" w:hAnsi="Arial"/>
          <w:sz w:val="17"/>
          <w:szCs w:val="17"/>
          <w:color w:val="auto"/>
        </w:rPr>
      </w:pPr>
    </w:p>
    <w:p>
      <w:pPr>
        <w:jc w:val="both"/>
        <w:ind w:left="320" w:hanging="313"/>
        <w:spacing w:after="0" w:line="258" w:lineRule="auto"/>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borrower has opened relevant accounts with the lender according to the lender’s requirements;</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13335</wp:posOffset>
            </wp:positionV>
            <wp:extent cx="713422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9" w:right="339" w:bottom="1440" w:gutter="0" w:footer="0" w:header="0"/>
        </w:sectPr>
      </w:pPr>
    </w:p>
    <w:bookmarkStart w:id="320" w:name="page321"/>
    <w:bookmarkEnd w:id="320"/>
    <w:p>
      <w:pPr>
        <w:ind w:left="640" w:hanging="313"/>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for the first withdrawal, the borrower shall meet the following conditions before each withdrawal:</w:t>
      </w:r>
    </w:p>
    <w:p>
      <w:pPr>
        <w:spacing w:after="0" w:line="220" w:lineRule="exact"/>
        <w:rPr>
          <w:sz w:val="20"/>
          <w:szCs w:val="20"/>
          <w:color w:val="auto"/>
        </w:rPr>
      </w:pPr>
    </w:p>
    <w:p>
      <w:pPr>
        <w:ind w:left="640" w:right="20" w:hanging="313"/>
        <w:spacing w:after="0" w:line="270"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representations and warranties made by the borrower under this contract shall remain valid;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 has performed its obligations under the contract without any event of default under the contract;</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Other documents or conditions required by the lender.</w:t>
      </w:r>
    </w:p>
    <w:p>
      <w:pPr>
        <w:spacing w:after="0" w:line="220" w:lineRule="exact"/>
        <w:rPr>
          <w:sz w:val="20"/>
          <w:szCs w:val="20"/>
          <w:color w:val="auto"/>
        </w:rPr>
      </w:pPr>
    </w:p>
    <w:p>
      <w:pPr>
        <w:ind w:left="640" w:hanging="313"/>
        <w:spacing w:after="0"/>
        <w:tabs>
          <w:tab w:leader="none" w:pos="6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withdrawal</w:t>
      </w:r>
    </w:p>
    <w:p>
      <w:pPr>
        <w:spacing w:after="0" w:line="220" w:lineRule="exact"/>
        <w:rPr>
          <w:sz w:val="20"/>
          <w:szCs w:val="20"/>
          <w:color w:val="auto"/>
        </w:rPr>
      </w:pPr>
    </w:p>
    <w:p>
      <w:pPr>
        <w:jc w:val="both"/>
        <w:ind w:left="640" w:hanging="313"/>
        <w:spacing w:after="0" w:line="258"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86" w:lineRule="exact"/>
        <w:rPr>
          <w:rFonts w:ascii="Arial" w:cs="Arial" w:eastAsia="Arial" w:hAnsi="Arial"/>
          <w:sz w:val="18"/>
          <w:szCs w:val="18"/>
          <w:color w:val="auto"/>
        </w:rPr>
      </w:pPr>
    </w:p>
    <w:p>
      <w:pPr>
        <w:ind w:left="640" w:hanging="313"/>
        <w:spacing w:after="0" w:line="333" w:lineRule="auto"/>
        <w:tabs>
          <w:tab w:leader="none" w:pos="6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29" w:lineRule="exact"/>
        <w:rPr>
          <w:rFonts w:ascii="Arial" w:cs="Arial" w:eastAsia="Arial" w:hAnsi="Arial"/>
          <w:sz w:val="16"/>
          <w:szCs w:val="16"/>
          <w:color w:val="auto"/>
        </w:rPr>
      </w:pPr>
    </w:p>
    <w:p>
      <w:pPr>
        <w:ind w:left="640" w:hanging="313"/>
        <w:spacing w:after="0" w:line="270"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lender has the right to waive one or more of the above withdrawal conditions without affecting any right enjoyed by the Lender under this contract.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account opening and management</w:t>
      </w:r>
    </w:p>
    <w:p>
      <w:pPr>
        <w:spacing w:after="0" w:line="224" w:lineRule="exact"/>
        <w:rPr>
          <w:sz w:val="20"/>
          <w:szCs w:val="20"/>
          <w:color w:val="auto"/>
        </w:rPr>
      </w:pPr>
    </w:p>
    <w:p>
      <w:pPr>
        <w:jc w:val="both"/>
        <w:ind w:left="640" w:hanging="313"/>
        <w:spacing w:after="0" w:line="258" w:lineRule="auto"/>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86"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no special working capital loan account is opened, the general settlement account is used to calculate the loan fund issuance and loan fund payment applied by the borrower at the lender.</w:t>
      </w:r>
    </w:p>
    <w:p>
      <w:pPr>
        <w:spacing w:after="0" w:line="17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 Without the written consent of the lender, the borrower shall not change the reserved seal of the special working capital loan account at will.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21" w:name="page322"/>
    <w:bookmarkEnd w:id="321"/>
    <w:p>
      <w:pPr>
        <w:ind w:firstLine="327"/>
        <w:spacing w:after="0" w:line="270" w:lineRule="auto"/>
        <w:tabs>
          <w:tab w:leader="none" w:pos="50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75"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 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 supervision</w:t>
      </w:r>
    </w:p>
    <w:p>
      <w:pPr>
        <w:spacing w:after="0" w:line="224" w:lineRule="exact"/>
        <w:rPr>
          <w:sz w:val="20"/>
          <w:szCs w:val="20"/>
          <w:color w:val="auto"/>
        </w:rPr>
      </w:pPr>
    </w:p>
    <w:p>
      <w:pPr>
        <w:ind w:firstLine="327"/>
        <w:spacing w:after="0" w:line="300" w:lineRule="auto"/>
        <w:tabs>
          <w:tab w:leader="none" w:pos="50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borrower agrees that the lender has the right to manage and control the payment of the loan funds through the entrusted payment of the lender or and the independent payment of the borrower, so as to supervise the use of the loan funds according to the purpose agreed in the contract.</w:t>
      </w:r>
    </w:p>
    <w:p>
      <w:pPr>
        <w:spacing w:after="0" w:line="152"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75" w:lineRule="exact"/>
        <w:rPr>
          <w:sz w:val="20"/>
          <w:szCs w:val="20"/>
          <w:color w:val="auto"/>
        </w:rPr>
      </w:pPr>
    </w:p>
    <w:p>
      <w:pPr>
        <w:ind w:firstLine="320"/>
        <w:spacing w:after="0" w:line="300" w:lineRule="auto"/>
        <w:rPr>
          <w:sz w:val="20"/>
          <w:szCs w:val="20"/>
          <w:color w:val="auto"/>
        </w:rPr>
      </w:pPr>
      <w:r>
        <w:rPr>
          <w:rFonts w:ascii="Arial" w:cs="Arial" w:eastAsia="Arial" w:hAnsi="Arial"/>
          <w:sz w:val="17"/>
          <w:szCs w:val="17"/>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22" w:name="page323"/>
    <w:bookmarkEnd w:id="322"/>
    <w:p>
      <w:pPr>
        <w:jc w:val="both"/>
        <w:ind w:firstLine="327"/>
        <w:spacing w:after="0" w:line="258" w:lineRule="auto"/>
        <w:tabs>
          <w:tab w:leader="none" w:pos="52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approval, the lender shall pay the loan funds to the borrower’s trading partner through the borrower’s account.</w:t>
      </w:r>
    </w:p>
    <w:p>
      <w:pPr>
        <w:spacing w:after="0" w:line="220" w:lineRule="exact"/>
        <w:rPr>
          <w:sz w:val="20"/>
          <w:szCs w:val="20"/>
          <w:color w:val="auto"/>
        </w:rPr>
      </w:pPr>
    </w:p>
    <w:p>
      <w:pPr>
        <w:ind w:firstLine="327"/>
        <w:spacing w:after="0" w:line="270" w:lineRule="auto"/>
        <w:tabs>
          <w:tab w:leader="none" w:pos="5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When applying to the lender for external payment of loan funds, the borrower shall submit supporting materials meeting the lender’s requirements, including but not limited to:</w:t>
      </w:r>
    </w:p>
    <w:p>
      <w:pPr>
        <w:spacing w:after="0" w:line="175" w:lineRule="exact"/>
        <w:rPr>
          <w:sz w:val="20"/>
          <w:szCs w:val="20"/>
          <w:color w:val="auto"/>
        </w:rPr>
      </w:pPr>
    </w:p>
    <w:p>
      <w:pPr>
        <w:ind w:left="580" w:hanging="253"/>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documents certifying that the purpose of payment is in accordance with the purpose agreed in the contract:</w:t>
      </w:r>
    </w:p>
    <w:p>
      <w:pPr>
        <w:spacing w:after="0" w:line="219" w:lineRule="exact"/>
        <w:rPr>
          <w:rFonts w:ascii="Arial" w:cs="Arial" w:eastAsia="Arial" w:hAnsi="Arial"/>
          <w:sz w:val="18"/>
          <w:szCs w:val="18"/>
          <w:color w:val="auto"/>
        </w:rPr>
      </w:pPr>
    </w:p>
    <w:p>
      <w:pPr>
        <w:ind w:firstLine="327"/>
        <w:spacing w:after="0" w:line="270" w:lineRule="auto"/>
        <w:tabs>
          <w:tab w:leader="none" w:pos="58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74" w:lineRule="exact"/>
        <w:rPr>
          <w:rFonts w:ascii="Arial" w:cs="Arial" w:eastAsia="Arial" w:hAnsi="Arial"/>
          <w:sz w:val="18"/>
          <w:szCs w:val="18"/>
          <w:color w:val="auto"/>
        </w:rPr>
      </w:pPr>
    </w:p>
    <w:p>
      <w:pPr>
        <w:ind w:firstLine="327"/>
        <w:spacing w:after="0" w:line="270" w:lineRule="auto"/>
        <w:tabs>
          <w:tab w:leader="none" w:pos="6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Legal and valid payment voucher: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Other documents required by the lender.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lender has the right to waive one or more of the above supporting materials without affecting any rights enjoyed by the Lender under this contract.</w:t>
      </w:r>
    </w:p>
    <w:p>
      <w:pPr>
        <w:spacing w:after="0" w:line="243" w:lineRule="exact"/>
        <w:rPr>
          <w:sz w:val="20"/>
          <w:szCs w:val="20"/>
          <w:color w:val="auto"/>
        </w:rPr>
      </w:pPr>
    </w:p>
    <w:p>
      <w:pPr>
        <w:jc w:val="both"/>
        <w:ind w:firstLine="327"/>
        <w:spacing w:after="0" w:line="296" w:lineRule="auto"/>
        <w:tabs>
          <w:tab w:leader="none" w:pos="5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3" w:name="page324"/>
    <w:bookmarkEnd w:id="323"/>
    <w:p>
      <w:pPr>
        <w:jc w:val="both"/>
        <w:ind w:firstLine="320"/>
        <w:spacing w:after="0" w:line="266" w:lineRule="auto"/>
        <w:rPr>
          <w:sz w:val="20"/>
          <w:szCs w:val="20"/>
          <w:color w:val="auto"/>
        </w:rPr>
      </w:pPr>
      <w:r>
        <w:rPr>
          <w:rFonts w:ascii="Arial" w:cs="Arial" w:eastAsia="Arial" w:hAnsi="Arial"/>
          <w:sz w:val="17"/>
          <w:szCs w:val="17"/>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 If the lender approves, the borrower shall fill in the payment voucher (the amount of each summary payment voucher shall not exceed the entrusted payment amount of the lender agreed in this contract). After review, the lender shall affix the special seal for loan fund payment supervision on the summary payment voucher, and transfer the corresponding funds to the borrower’s general settlement account.</w:t>
      </w:r>
    </w:p>
    <w:p>
      <w:pPr>
        <w:spacing w:after="0" w:line="182" w:lineRule="exact"/>
        <w:rPr>
          <w:sz w:val="20"/>
          <w:szCs w:val="20"/>
          <w:color w:val="auto"/>
        </w:rPr>
      </w:pPr>
    </w:p>
    <w:p>
      <w:pPr>
        <w:jc w:val="both"/>
        <w:ind w:firstLine="327"/>
        <w:spacing w:after="0" w:line="258" w:lineRule="auto"/>
        <w:tabs>
          <w:tab w:leader="none" w:pos="50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86" w:lineRule="exact"/>
        <w:rPr>
          <w:rFonts w:ascii="Arial" w:cs="Arial" w:eastAsia="Arial" w:hAnsi="Arial"/>
          <w:sz w:val="18"/>
          <w:szCs w:val="18"/>
          <w:color w:val="auto"/>
        </w:rPr>
      </w:pPr>
    </w:p>
    <w:p>
      <w:pPr>
        <w:ind w:firstLine="327"/>
        <w:spacing w:after="0" w:line="270" w:lineRule="auto"/>
        <w:tabs>
          <w:tab w:leader="none" w:pos="50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borrower confirms that it shall pay to the lender the remittance fee arising from the payment of funds. When the remittance fee occurs, the lender has the right to deduct it directly according to the actual amount.</w:t>
      </w:r>
    </w:p>
    <w:p>
      <w:pPr>
        <w:spacing w:after="0" w:line="174" w:lineRule="exact"/>
        <w:rPr>
          <w:rFonts w:ascii="Arial" w:cs="Arial" w:eastAsia="Arial" w:hAnsi="Arial"/>
          <w:sz w:val="18"/>
          <w:szCs w:val="18"/>
          <w:color w:val="auto"/>
        </w:rPr>
      </w:pPr>
    </w:p>
    <w:p>
      <w:pPr>
        <w:jc w:val="both"/>
        <w:ind w:firstLine="327"/>
        <w:spacing w:after="0" w:line="258" w:lineRule="auto"/>
        <w:tabs>
          <w:tab w:leader="none" w:pos="51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86" w:lineRule="exact"/>
        <w:rPr>
          <w:sz w:val="20"/>
          <w:szCs w:val="20"/>
          <w:color w:val="auto"/>
        </w:rPr>
      </w:pPr>
    </w:p>
    <w:p>
      <w:pPr>
        <w:ind w:left="580" w:hanging="253"/>
        <w:spacing w:after="0"/>
        <w:tabs>
          <w:tab w:leader="none" w:pos="5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declining credit status;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profitability of main business is not strong;</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Abnormal use of loan funds.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Article 6 repayment</w:t>
      </w:r>
    </w:p>
    <w:p>
      <w:pPr>
        <w:spacing w:after="0" w:line="224" w:lineRule="exact"/>
        <w:rPr>
          <w:sz w:val="20"/>
          <w:szCs w:val="20"/>
          <w:color w:val="auto"/>
        </w:rPr>
      </w:pPr>
    </w:p>
    <w:p>
      <w:pPr>
        <w:jc w:val="both"/>
        <w:ind w:firstLine="327"/>
        <w:spacing w:after="0" w:line="281" w:lineRule="auto"/>
        <w:tabs>
          <w:tab w:leader="none" w:pos="52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67" w:lineRule="exact"/>
        <w:rPr>
          <w:rFonts w:ascii="Arial" w:cs="Arial" w:eastAsia="Arial" w:hAnsi="Arial"/>
          <w:sz w:val="17"/>
          <w:szCs w:val="17"/>
          <w:color w:val="auto"/>
        </w:rPr>
      </w:pPr>
    </w:p>
    <w:p>
      <w:pPr>
        <w:jc w:val="both"/>
        <w:ind w:firstLine="327"/>
        <w:spacing w:after="0" w:line="258" w:lineRule="auto"/>
        <w:tabs>
          <w:tab w:leader="none" w:pos="50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86" w:lineRule="exact"/>
        <w:rPr>
          <w:sz w:val="20"/>
          <w:szCs w:val="20"/>
          <w:color w:val="auto"/>
        </w:rPr>
      </w:pPr>
    </w:p>
    <w:p>
      <w:pPr>
        <w:jc w:val="both"/>
        <w:ind w:firstLine="327"/>
        <w:spacing w:after="0" w:line="271" w:lineRule="auto"/>
        <w:tabs>
          <w:tab w:leader="none" w:pos="50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5" w:name="page326"/>
    <w:bookmarkEnd w:id="325"/>
    <w:p>
      <w:pPr>
        <w:ind w:left="320"/>
        <w:spacing w:after="0"/>
        <w:rPr>
          <w:sz w:val="20"/>
          <w:szCs w:val="20"/>
          <w:color w:val="auto"/>
        </w:rPr>
      </w:pPr>
      <w:r>
        <w:rPr>
          <w:rFonts w:ascii="Arial" w:cs="Arial" w:eastAsia="Arial" w:hAnsi="Arial"/>
          <w:sz w:val="18"/>
          <w:szCs w:val="18"/>
          <w:color w:val="auto"/>
        </w:rPr>
        <w:t>4. The borrower shall not withdraw any returned loan funds again.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4"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The borrower makes the following representations and warranties to the lender, which are made at the time of signing this contract and remain valid during the validity of this contract.</w:t>
      </w:r>
    </w:p>
    <w:p>
      <w:pPr>
        <w:spacing w:after="0" w:line="175" w:lineRule="exact"/>
        <w:rPr>
          <w:sz w:val="20"/>
          <w:szCs w:val="20"/>
          <w:color w:val="auto"/>
        </w:rPr>
      </w:pPr>
    </w:p>
    <w:p>
      <w:pPr>
        <w:ind w:firstLine="327"/>
        <w:spacing w:after="0" w:line="333" w:lineRule="auto"/>
        <w:tabs>
          <w:tab w:leader="none" w:pos="526"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29" w:lineRule="exact"/>
        <w:rPr>
          <w:rFonts w:ascii="Arial" w:cs="Arial" w:eastAsia="Arial" w:hAnsi="Arial"/>
          <w:sz w:val="16"/>
          <w:szCs w:val="16"/>
          <w:color w:val="auto"/>
        </w:rPr>
      </w:pPr>
    </w:p>
    <w:p>
      <w:pPr>
        <w:jc w:val="both"/>
        <w:ind w:firstLine="327"/>
        <w:spacing w:after="0" w:line="258" w:lineRule="auto"/>
        <w:tabs>
          <w:tab w:leader="none" w:pos="5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86" w:lineRule="exact"/>
        <w:rPr>
          <w:rFonts w:ascii="Arial" w:cs="Arial" w:eastAsia="Arial" w:hAnsi="Arial"/>
          <w:sz w:val="18"/>
          <w:szCs w:val="18"/>
          <w:color w:val="auto"/>
        </w:rPr>
      </w:pPr>
    </w:p>
    <w:p>
      <w:pPr>
        <w:jc w:val="both"/>
        <w:ind w:firstLine="327"/>
        <w:spacing w:after="0" w:line="306" w:lineRule="auto"/>
        <w:tabs>
          <w:tab w:leader="none" w:pos="50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50" w:lineRule="exact"/>
        <w:rPr>
          <w:rFonts w:ascii="Arial" w:cs="Arial" w:eastAsia="Arial" w:hAnsi="Arial"/>
          <w:sz w:val="16"/>
          <w:szCs w:val="16"/>
          <w:color w:val="auto"/>
        </w:rPr>
      </w:pPr>
    </w:p>
    <w:p>
      <w:pPr>
        <w:ind w:firstLine="327"/>
        <w:spacing w:after="0" w:line="270" w:lineRule="auto"/>
        <w:tabs>
          <w:tab w:leader="none" w:pos="50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26" w:name="page327"/>
    <w:bookmarkEnd w:id="326"/>
    <w:p>
      <w:pPr>
        <w:jc w:val="both"/>
        <w:ind w:firstLine="327"/>
        <w:spacing w:after="0" w:line="255" w:lineRule="auto"/>
        <w:tabs>
          <w:tab w:leader="none" w:pos="53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87" w:lineRule="exact"/>
        <w:rPr>
          <w:rFonts w:ascii="Arial" w:cs="Arial" w:eastAsia="Arial" w:hAnsi="Arial"/>
          <w:sz w:val="18"/>
          <w:szCs w:val="18"/>
          <w:color w:val="auto"/>
        </w:rPr>
      </w:pPr>
    </w:p>
    <w:p>
      <w:pPr>
        <w:ind w:left="500" w:hanging="173"/>
        <w:spacing w:after="0"/>
        <w:tabs>
          <w:tab w:leader="none" w:pos="5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borrower guarantees to complete the filing, registration or other procedures required for the effectiveness and legal performance of this contract.</w:t>
      </w:r>
    </w:p>
    <w:p>
      <w:pPr>
        <w:spacing w:after="0" w:line="242" w:lineRule="exact"/>
        <w:rPr>
          <w:rFonts w:ascii="Arial" w:cs="Arial" w:eastAsia="Arial" w:hAnsi="Arial"/>
          <w:sz w:val="16"/>
          <w:szCs w:val="16"/>
          <w:color w:val="auto"/>
        </w:rPr>
      </w:pPr>
    </w:p>
    <w:p>
      <w:pPr>
        <w:ind w:firstLine="327"/>
        <w:spacing w:after="0" w:line="270" w:lineRule="auto"/>
        <w:tabs>
          <w:tab w:leader="none" w:pos="51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Since the issuance of the latest audited financial statements, there has been no significant adverse change in the borrower’s operating and financial conditions.</w:t>
      </w:r>
    </w:p>
    <w:p>
      <w:pPr>
        <w:spacing w:after="0" w:line="174" w:lineRule="exact"/>
        <w:rPr>
          <w:rFonts w:ascii="Arial" w:cs="Arial" w:eastAsia="Arial" w:hAnsi="Arial"/>
          <w:sz w:val="18"/>
          <w:szCs w:val="18"/>
          <w:color w:val="auto"/>
        </w:rPr>
      </w:pPr>
    </w:p>
    <w:p>
      <w:pPr>
        <w:jc w:val="both"/>
        <w:ind w:firstLine="327"/>
        <w:spacing w:after="0" w:line="281" w:lineRule="auto"/>
        <w:tabs>
          <w:tab w:leader="none" w:pos="51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67" w:lineRule="exact"/>
        <w:rPr>
          <w:rFonts w:ascii="Arial" w:cs="Arial" w:eastAsia="Arial" w:hAnsi="Arial"/>
          <w:sz w:val="17"/>
          <w:szCs w:val="17"/>
          <w:color w:val="auto"/>
        </w:rPr>
      </w:pPr>
    </w:p>
    <w:p>
      <w:pPr>
        <w:ind w:left="500" w:hanging="173"/>
        <w:spacing w:after="0"/>
        <w:tabs>
          <w:tab w:leader="none" w:pos="5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Do not give up any due creditor’s rights, nor dispose of the existing main property free of charge or in other inappropriate ways.</w:t>
      </w:r>
    </w:p>
    <w:p>
      <w:pPr>
        <w:spacing w:after="0" w:line="219" w:lineRule="exact"/>
        <w:rPr>
          <w:rFonts w:ascii="Arial" w:cs="Arial" w:eastAsia="Arial" w:hAnsi="Arial"/>
          <w:sz w:val="18"/>
          <w:szCs w:val="18"/>
          <w:color w:val="auto"/>
        </w:rPr>
      </w:pPr>
    </w:p>
    <w:p>
      <w:pPr>
        <w:ind w:left="600" w:hanging="273"/>
        <w:spacing w:after="0"/>
        <w:tabs>
          <w:tab w:leader="none" w:pos="6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borrower has disclosed to the lender what it knows or should know and decided whether to grant the loan under this contract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 facts and conditions (including but not limited to business status, financial status, external guarantee, etc.).</w:t>
      </w:r>
    </w:p>
    <w:p>
      <w:pPr>
        <w:spacing w:after="0" w:line="220" w:lineRule="exact"/>
        <w:rPr>
          <w:sz w:val="20"/>
          <w:szCs w:val="20"/>
          <w:color w:val="auto"/>
        </w:rPr>
      </w:pPr>
    </w:p>
    <w:p>
      <w:pPr>
        <w:ind w:left="580" w:hanging="253"/>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 guarantees that it is in good credit condition and has no major bad record.</w:t>
      </w:r>
    </w:p>
    <w:p>
      <w:pPr>
        <w:spacing w:after="0" w:line="219" w:lineRule="exact"/>
        <w:rPr>
          <w:rFonts w:ascii="Arial" w:cs="Arial" w:eastAsia="Arial" w:hAnsi="Arial"/>
          <w:sz w:val="18"/>
          <w:szCs w:val="18"/>
          <w:color w:val="auto"/>
        </w:rPr>
      </w:pPr>
    </w:p>
    <w:p>
      <w:pPr>
        <w:ind w:firstLine="327"/>
        <w:spacing w:after="0" w:line="270" w:lineRule="auto"/>
        <w:tabs>
          <w:tab w:leader="none" w:pos="61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 guarantees that there are no other circumstances or events that have or may have a material adverse impact on the borrower’s performance ability.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Article 8 covenants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borrower and the lender agree as follows:</w:t>
      </w:r>
    </w:p>
    <w:p>
      <w:pPr>
        <w:spacing w:after="0" w:line="220" w:lineRule="exact"/>
        <w:rPr>
          <w:sz w:val="20"/>
          <w:szCs w:val="20"/>
          <w:color w:val="auto"/>
        </w:rPr>
      </w:pPr>
    </w:p>
    <w:p>
      <w:pPr>
        <w:jc w:val="both"/>
        <w:ind w:firstLine="327"/>
        <w:spacing w:after="0" w:line="255" w:lineRule="auto"/>
        <w:tabs>
          <w:tab w:leader="none" w:pos="50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87" w:lineRule="exact"/>
        <w:rPr>
          <w:rFonts w:ascii="Arial" w:cs="Arial" w:eastAsia="Arial" w:hAnsi="Arial"/>
          <w:sz w:val="18"/>
          <w:szCs w:val="18"/>
          <w:color w:val="auto"/>
        </w:rPr>
      </w:pPr>
    </w:p>
    <w:p>
      <w:pPr>
        <w:ind w:firstLine="327"/>
        <w:spacing w:after="0" w:line="270" w:lineRule="auto"/>
        <w:tabs>
          <w:tab w:leader="none" w:pos="5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74" w:lineRule="exact"/>
        <w:rPr>
          <w:rFonts w:ascii="Arial" w:cs="Arial" w:eastAsia="Arial" w:hAnsi="Arial"/>
          <w:sz w:val="18"/>
          <w:szCs w:val="18"/>
          <w:color w:val="auto"/>
        </w:rPr>
      </w:pPr>
    </w:p>
    <w:p>
      <w:pPr>
        <w:ind w:firstLine="327"/>
        <w:spacing w:after="0" w:line="300" w:lineRule="auto"/>
        <w:tabs>
          <w:tab w:leader="none" w:pos="50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51" w:lineRule="exact"/>
        <w:rPr>
          <w:rFonts w:ascii="Arial" w:cs="Arial" w:eastAsia="Arial" w:hAnsi="Arial"/>
          <w:sz w:val="17"/>
          <w:szCs w:val="17"/>
          <w:color w:val="auto"/>
        </w:rPr>
      </w:pPr>
    </w:p>
    <w:p>
      <w:pPr>
        <w:ind w:left="500" w:hanging="173"/>
        <w:spacing w:after="0"/>
        <w:tabs>
          <w:tab w:leader="none" w:pos="5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promises that the borrower will not take the following actions without the written consent of the lender:</w:t>
      </w:r>
    </w:p>
    <w:p>
      <w:pPr>
        <w:spacing w:after="0" w:line="220" w:lineRule="exact"/>
        <w:rPr>
          <w:sz w:val="20"/>
          <w:szCs w:val="20"/>
          <w:color w:val="auto"/>
        </w:rPr>
      </w:pPr>
    </w:p>
    <w:p>
      <w:pPr>
        <w:ind w:left="580" w:hanging="253"/>
        <w:spacing w:after="0"/>
        <w:tabs>
          <w:tab w:leader="none" w:pos="5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Transfer (including sale, gift, debt repayment, exchange, etc.), mortgage, pledge or otherwise dispose of all or most of its major assets;</w:t>
      </w:r>
    </w:p>
    <w:p>
      <w:pPr>
        <w:spacing w:after="0" w:line="231" w:lineRule="exact"/>
        <w:rPr>
          <w:rFonts w:ascii="Arial" w:cs="Arial" w:eastAsia="Arial" w:hAnsi="Arial"/>
          <w:sz w:val="17"/>
          <w:szCs w:val="17"/>
          <w:color w:val="auto"/>
        </w:rPr>
      </w:pPr>
    </w:p>
    <w:p>
      <w:pPr>
        <w:jc w:val="both"/>
        <w:ind w:firstLine="327"/>
        <w:spacing w:after="0" w:line="255" w:lineRule="auto"/>
        <w:tabs>
          <w:tab w:leader="none" w:pos="58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87" w:lineRule="exact"/>
        <w:rPr>
          <w:rFonts w:ascii="Arial" w:cs="Arial" w:eastAsia="Arial" w:hAnsi="Arial"/>
          <w:sz w:val="18"/>
          <w:szCs w:val="18"/>
          <w:color w:val="auto"/>
        </w:rPr>
      </w:pPr>
    </w:p>
    <w:p>
      <w:pPr>
        <w:ind w:firstLine="327"/>
        <w:spacing w:after="0" w:line="270" w:lineRule="auto"/>
        <w:tabs>
          <w:tab w:leader="none" w:pos="57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Provide the third party with a guarantee sufficient to have a material adverse impact on its financial condition or its ability to perform its obligations under the contract;</w:t>
      </w:r>
    </w:p>
    <w:p>
      <w:pPr>
        <w:spacing w:after="0" w:line="174" w:lineRule="exact"/>
        <w:rPr>
          <w:rFonts w:ascii="Arial" w:cs="Arial" w:eastAsia="Arial" w:hAnsi="Arial"/>
          <w:sz w:val="18"/>
          <w:szCs w:val="18"/>
          <w:color w:val="auto"/>
        </w:rPr>
      </w:pPr>
    </w:p>
    <w:p>
      <w:pPr>
        <w:ind w:right="20" w:firstLine="327"/>
        <w:spacing w:after="0" w:line="270" w:lineRule="auto"/>
        <w:tabs>
          <w:tab w:leader="none" w:pos="57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Paying off other long-term debts in advance and may have a significant adverse impact on the borrower’s ability to perform its obligations under the contract;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8" w:name="page329"/>
    <w:bookmarkEnd w:id="328"/>
    <w:p>
      <w:pPr>
        <w:ind w:firstLine="327"/>
        <w:spacing w:after="0" w:line="270" w:lineRule="auto"/>
        <w:tabs>
          <w:tab w:leader="none" w:pos="60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Sign contracts / agreements or undertake relevant obligations that have a significant adverse impact on the borrower’s ability to perform its obligations under the contract.</w:t>
      </w:r>
    </w:p>
    <w:p>
      <w:pPr>
        <w:spacing w:after="0" w:line="175" w:lineRule="exact"/>
        <w:rPr>
          <w:sz w:val="20"/>
          <w:szCs w:val="20"/>
          <w:color w:val="auto"/>
        </w:rPr>
      </w:pPr>
    </w:p>
    <w:p>
      <w:pPr>
        <w:ind w:firstLine="327"/>
        <w:spacing w:after="0" w:line="270" w:lineRule="auto"/>
        <w:tabs>
          <w:tab w:leader="none" w:pos="5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75" w:lineRule="exact"/>
        <w:rPr>
          <w:sz w:val="20"/>
          <w:szCs w:val="20"/>
          <w:color w:val="auto"/>
        </w:rPr>
      </w:pPr>
    </w:p>
    <w:p>
      <w:pPr>
        <w:ind w:left="580" w:hanging="253"/>
        <w:spacing w:after="0"/>
        <w:tabs>
          <w:tab w:leader="none" w:pos="5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occurrence of relevant events makes the representations and warranties made by the borrower in this contract untrue, inaccurate or invalid.</w:t>
      </w:r>
    </w:p>
    <w:p>
      <w:pPr>
        <w:spacing w:after="0" w:line="242" w:lineRule="exact"/>
        <w:rPr>
          <w:rFonts w:ascii="Arial" w:cs="Arial" w:eastAsia="Arial" w:hAnsi="Arial"/>
          <w:sz w:val="16"/>
          <w:szCs w:val="16"/>
          <w:color w:val="auto"/>
        </w:rPr>
      </w:pPr>
    </w:p>
    <w:p>
      <w:pPr>
        <w:jc w:val="both"/>
        <w:ind w:firstLine="327"/>
        <w:spacing w:after="0" w:line="258" w:lineRule="auto"/>
        <w:tabs>
          <w:tab w:leader="none" w:pos="58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86" w:lineRule="exact"/>
        <w:rPr>
          <w:rFonts w:ascii="Arial" w:cs="Arial" w:eastAsia="Arial" w:hAnsi="Arial"/>
          <w:sz w:val="18"/>
          <w:szCs w:val="18"/>
          <w:color w:val="auto"/>
        </w:rPr>
      </w:pPr>
    </w:p>
    <w:p>
      <w:pPr>
        <w:ind w:firstLine="327"/>
        <w:spacing w:after="0" w:line="270" w:lineRule="auto"/>
        <w:tabs>
          <w:tab w:leader="none" w:pos="5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borrower’s legal representative or its authorized agent, principal, main financial principal, mailing address, enterprise name, office space and other matters are changed;</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Being applied for reorganization or bankruptcy by other creditors or being revoked by the superior competent authority;</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other major adverse events that may affect the borrower’s solvency.</w:t>
      </w:r>
    </w:p>
    <w:p>
      <w:pPr>
        <w:spacing w:after="0" w:line="220" w:lineRule="exact"/>
        <w:rPr>
          <w:sz w:val="20"/>
          <w:szCs w:val="20"/>
          <w:color w:val="auto"/>
        </w:rPr>
      </w:pPr>
    </w:p>
    <w:p>
      <w:pPr>
        <w:ind w:firstLine="327"/>
        <w:spacing w:after="0" w:line="270" w:lineRule="auto"/>
        <w:tabs>
          <w:tab w:leader="none" w:pos="50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174" w:lineRule="exact"/>
        <w:rPr>
          <w:rFonts w:ascii="Arial" w:cs="Arial" w:eastAsia="Arial" w:hAnsi="Arial"/>
          <w:sz w:val="18"/>
          <w:szCs w:val="18"/>
          <w:color w:val="auto"/>
        </w:rPr>
      </w:pPr>
    </w:p>
    <w:p>
      <w:pPr>
        <w:jc w:val="both"/>
        <w:ind w:firstLine="327"/>
        <w:spacing w:after="0" w:line="296" w:lineRule="auto"/>
        <w:tabs>
          <w:tab w:leader="none" w:pos="51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29" w:name="page330"/>
    <w:bookmarkEnd w:id="329"/>
    <w:p>
      <w:pPr>
        <w:jc w:val="both"/>
        <w:ind w:firstLine="327"/>
        <w:spacing w:after="0" w:line="289" w:lineRule="auto"/>
        <w:tabs>
          <w:tab w:leader="none" w:pos="50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65" w:lineRule="exact"/>
        <w:rPr>
          <w:rFonts w:ascii="Arial" w:cs="Arial" w:eastAsia="Arial" w:hAnsi="Arial"/>
          <w:sz w:val="16"/>
          <w:szCs w:val="16"/>
          <w:color w:val="auto"/>
        </w:rPr>
      </w:pPr>
    </w:p>
    <w:p>
      <w:pPr>
        <w:jc w:val="both"/>
        <w:ind w:firstLine="327"/>
        <w:spacing w:after="0" w:line="258" w:lineRule="auto"/>
        <w:tabs>
          <w:tab w:leader="none" w:pos="51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86" w:lineRule="exact"/>
        <w:rPr>
          <w:rFonts w:ascii="Arial" w:cs="Arial" w:eastAsia="Arial" w:hAnsi="Arial"/>
          <w:sz w:val="18"/>
          <w:szCs w:val="18"/>
          <w:color w:val="auto"/>
        </w:rPr>
      </w:pPr>
    </w:p>
    <w:p>
      <w:pPr>
        <w:ind w:left="600" w:hanging="273"/>
        <w:spacing w:after="0"/>
        <w:tabs>
          <w:tab w:leader="none" w:pos="6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lender has the right to recover the loan funds under this contract in advance according to the withdrawal of the borrower’s funds.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special agreements on group customers (applicable to group customers).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borrower of this contract is a group customer, the borrower hereby undertakes:</w:t>
      </w:r>
    </w:p>
    <w:p>
      <w:pPr>
        <w:spacing w:after="0" w:line="175" w:lineRule="exact"/>
        <w:rPr>
          <w:sz w:val="20"/>
          <w:szCs w:val="20"/>
          <w:color w:val="auto"/>
        </w:rPr>
      </w:pPr>
    </w:p>
    <w:p>
      <w:pPr>
        <w:jc w:val="both"/>
        <w:ind w:firstLine="327"/>
        <w:spacing w:after="0" w:line="232" w:lineRule="exact"/>
        <w:tabs>
          <w:tab w:leader="none" w:pos="57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borrower shall timely report the related party transactions of more than 10% of the net assets of the actual trustee, including: </w:t>
      </w:r>
      <w:r>
        <w:rPr>
          <w:rFonts w:ascii="MS PGothic" w:cs="MS PGothic" w:eastAsia="MS PGothic" w:hAnsi="MS PGothic"/>
          <w:sz w:val="18"/>
          <w:szCs w:val="18"/>
          <w:color w:val="auto"/>
        </w:rPr>
        <w:t>①</w:t>
      </w:r>
      <w:r>
        <w:rPr>
          <w:rFonts w:ascii="Arial" w:cs="Arial" w:eastAsia="Arial" w:hAnsi="Arial"/>
          <w:sz w:val="18"/>
          <w:szCs w:val="18"/>
          <w:color w:val="auto"/>
        </w:rPr>
        <w:t xml:space="preserve"> the related party relationships of all parties to the transaction </w:t>
      </w:r>
      <w:r>
        <w:rPr>
          <w:rFonts w:ascii="MS PGothic" w:cs="MS PGothic" w:eastAsia="MS PGothic" w:hAnsi="MS PGothic"/>
          <w:sz w:val="18"/>
          <w:szCs w:val="18"/>
          <w:color w:val="auto"/>
        </w:rPr>
        <w:t>②</w:t>
      </w:r>
      <w:r>
        <w:rPr>
          <w:rFonts w:ascii="Arial" w:cs="Arial" w:eastAsia="Arial" w:hAnsi="Arial"/>
          <w:sz w:val="18"/>
          <w:szCs w:val="18"/>
          <w:color w:val="auto"/>
        </w:rPr>
        <w:t xml:space="preserve"> Transaction items and nature </w:t>
      </w:r>
      <w:r>
        <w:rPr>
          <w:rFonts w:ascii="MS PGothic" w:cs="MS PGothic" w:eastAsia="MS PGothic" w:hAnsi="MS PGothic"/>
          <w:sz w:val="18"/>
          <w:szCs w:val="18"/>
          <w:color w:val="auto"/>
        </w:rPr>
        <w:t>③</w:t>
      </w:r>
      <w:r>
        <w:rPr>
          <w:rFonts w:ascii="Arial" w:cs="Arial" w:eastAsia="Arial" w:hAnsi="Arial"/>
          <w:sz w:val="18"/>
          <w:szCs w:val="18"/>
          <w:color w:val="auto"/>
        </w:rPr>
        <w:t xml:space="preserve"> The amount of the transaction or the corresponding proportion </w:t>
      </w:r>
      <w:r>
        <w:rPr>
          <w:rFonts w:ascii="MS PGothic" w:cs="MS PGothic" w:eastAsia="MS PGothic" w:hAnsi="MS PGothic"/>
          <w:sz w:val="18"/>
          <w:szCs w:val="18"/>
          <w:color w:val="auto"/>
        </w:rPr>
        <w:t>④</w:t>
      </w:r>
      <w:r>
        <w:rPr>
          <w:rFonts w:ascii="Arial" w:cs="Arial" w:eastAsia="Arial" w:hAnsi="Arial"/>
          <w:sz w:val="18"/>
          <w:szCs w:val="18"/>
          <w:color w:val="auto"/>
        </w:rPr>
        <w:t xml:space="preserve"> Pricing policy (including transactions with no amount or only symbolic amount).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0" w:name="page331"/>
    <w:bookmarkEnd w:id="330"/>
    <w:p>
      <w:pPr>
        <w:jc w:val="both"/>
        <w:ind w:firstLine="327"/>
        <w:spacing w:after="0" w:line="286" w:lineRule="auto"/>
        <w:tabs>
          <w:tab w:leader="none" w:pos="582"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w:t>
      </w:r>
    </w:p>
    <w:p>
      <w:pPr>
        <w:spacing w:after="0" w:line="1" w:lineRule="exact"/>
        <w:rPr>
          <w:rFonts w:ascii="Arial" w:cs="Arial" w:eastAsia="Arial" w:hAnsi="Arial"/>
          <w:sz w:val="16"/>
          <w:szCs w:val="16"/>
          <w:color w:val="auto"/>
        </w:rPr>
      </w:pPr>
    </w:p>
    <w:p>
      <w:pPr>
        <w:jc w:val="both"/>
        <w:ind w:firstLine="7"/>
        <w:spacing w:after="0" w:line="214" w:lineRule="exact"/>
        <w:tabs>
          <w:tab w:leader="none" w:pos="212" w:val="left"/>
        </w:tabs>
        <w:numPr>
          <w:ilvl w:val="0"/>
          <w:numId w:val="301"/>
        </w:numPr>
        <w:rPr>
          <w:rFonts w:ascii="MS PGothic" w:cs="MS PGothic" w:eastAsia="MS PGothic" w:hAnsi="MS PGothic"/>
          <w:sz w:val="18"/>
          <w:szCs w:val="18"/>
          <w:color w:val="auto"/>
        </w:rPr>
      </w:pPr>
      <w:r>
        <w:rPr>
          <w:rFonts w:ascii="Arial" w:cs="Arial" w:eastAsia="Arial" w:hAnsi="Arial"/>
          <w:sz w:val="18"/>
          <w:szCs w:val="18"/>
          <w:color w:val="auto"/>
        </w:rPr>
        <w:t xml:space="preserve">providing false materials or concealing important business financial facts </w:t>
      </w:r>
      <w:r>
        <w:rPr>
          <w:rFonts w:ascii="MS PGothic" w:cs="MS PGothic" w:eastAsia="MS PGothic" w:hAnsi="MS PGothic"/>
          <w:sz w:val="18"/>
          <w:szCs w:val="18"/>
          <w:color w:val="auto"/>
        </w:rPr>
        <w:t>②</w:t>
      </w:r>
      <w:r>
        <w:rPr>
          <w:rFonts w:ascii="Arial" w:cs="Arial" w:eastAsia="Arial" w:hAnsi="Arial"/>
          <w:sz w:val="18"/>
          <w:szCs w:val="18"/>
          <w:color w:val="auto"/>
        </w:rPr>
        <w:t xml:space="preserve"> Changing the original purpose of the credit without the consent of the lender, misappropriating the credit or using the bank credit to engage in illegal and illegal transactions </w:t>
      </w:r>
      <w:r>
        <w:rPr>
          <w:rFonts w:ascii="MS PGothic" w:cs="MS PGothic" w:eastAsia="MS PGothic" w:hAnsi="MS PGothic"/>
          <w:sz w:val="18"/>
          <w:szCs w:val="18"/>
          <w:color w:val="auto"/>
        </w:rPr>
        <w:t>③</w:t>
      </w:r>
      <w:r>
        <w:rPr>
          <w:rFonts w:ascii="Arial" w:cs="Arial" w:eastAsia="Arial" w:hAnsi="Arial"/>
          <w:sz w:val="18"/>
          <w:szCs w:val="18"/>
          <w:color w:val="auto"/>
        </w:rPr>
        <w:t xml:space="preserve"> Taking advantage of false contracts with related parties to obtain bank funds or credit by discounting or pledging creditor’s rights such as notes receivable and accounts receivable without actual trade background </w:t>
      </w:r>
      <w:r>
        <w:rPr>
          <w:rFonts w:ascii="MS PGothic" w:cs="MS PGothic" w:eastAsia="MS PGothic" w:hAnsi="MS PGothic"/>
          <w:sz w:val="18"/>
          <w:szCs w:val="18"/>
          <w:color w:val="auto"/>
        </w:rPr>
        <w:t>④</w:t>
      </w:r>
      <w:r>
        <w:rPr>
          <w:rFonts w:ascii="Arial" w:cs="Arial" w:eastAsia="Arial" w:hAnsi="Arial"/>
          <w:sz w:val="18"/>
          <w:szCs w:val="18"/>
          <w:color w:val="auto"/>
        </w:rPr>
        <w:t xml:space="preserve"> refusing to accept the lender’s supervision and inspection of its use of credit funds and relevant business and financial activities </w:t>
      </w:r>
      <w:r>
        <w:rPr>
          <w:rFonts w:ascii="MS PGothic" w:cs="MS PGothic" w:eastAsia="MS PGothic" w:hAnsi="MS PGothic"/>
          <w:sz w:val="18"/>
          <w:szCs w:val="18"/>
          <w:color w:val="auto"/>
        </w:rPr>
        <w:t>⑤</w:t>
      </w:r>
      <w:r>
        <w:rPr>
          <w:rFonts w:ascii="Arial" w:cs="Arial" w:eastAsia="Arial" w:hAnsi="Arial"/>
          <w:sz w:val="18"/>
          <w:szCs w:val="18"/>
          <w:color w:val="auto"/>
        </w:rPr>
        <w:t xml:space="preserve"> In case of major merger, acquisition and reorganization, the lender believes that it may affect the credit security </w:t>
      </w:r>
      <w:r>
        <w:rPr>
          <w:rFonts w:ascii="MS PGothic" w:cs="MS PGothic" w:eastAsia="MS PGothic" w:hAnsi="MS PGothic"/>
          <w:sz w:val="18"/>
          <w:szCs w:val="18"/>
          <w:color w:val="auto"/>
        </w:rPr>
        <w:t>⑥</w:t>
      </w:r>
      <w:r>
        <w:rPr>
          <w:rFonts w:ascii="Arial" w:cs="Arial" w:eastAsia="Arial" w:hAnsi="Arial"/>
          <w:sz w:val="18"/>
          <w:szCs w:val="18"/>
          <w:color w:val="auto"/>
        </w:rPr>
        <w:t xml:space="preserve"> Intentionally evading bank creditor’s rights through related party transactions.</w:t>
      </w:r>
    </w:p>
    <w:p>
      <w:pPr>
        <w:spacing w:after="0" w:line="203" w:lineRule="exact"/>
        <w:rPr>
          <w:sz w:val="20"/>
          <w:szCs w:val="20"/>
          <w:color w:val="auto"/>
        </w:rPr>
      </w:pPr>
    </w:p>
    <w:p>
      <w:pPr>
        <w:jc w:val="both"/>
        <w:ind w:firstLine="327"/>
        <w:spacing w:after="0" w:line="271" w:lineRule="auto"/>
        <w:tabs>
          <w:tab w:leader="none" w:pos="59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31" w:name="page332"/>
    <w:bookmarkEnd w:id="331"/>
    <w:p>
      <w:pPr>
        <w:jc w:val="both"/>
        <w:ind w:firstLine="327"/>
        <w:spacing w:after="0" w:line="232" w:lineRule="exact"/>
        <w:tabs>
          <w:tab w:leader="none" w:pos="59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borrower declares and guarantees that the management of environmental and social risks, including: </w:t>
      </w:r>
      <w:r>
        <w:rPr>
          <w:rFonts w:ascii="MS PGothic" w:cs="MS PGothic" w:eastAsia="MS PGothic" w:hAnsi="MS PGothic"/>
          <w:sz w:val="18"/>
          <w:szCs w:val="18"/>
          <w:color w:val="auto"/>
        </w:rPr>
        <w:t>①</w:t>
      </w:r>
      <w:r>
        <w:rPr>
          <w:rFonts w:ascii="Arial" w:cs="Arial" w:eastAsia="Arial" w:hAnsi="Arial"/>
          <w:sz w:val="18"/>
          <w:szCs w:val="18"/>
          <w:color w:val="auto"/>
        </w:rPr>
        <w:t xml:space="preserve"> the internal management documents related to environmental and social risks comply with the requirements of laws and regulations and are effectively implemented; </w:t>
      </w:r>
      <w:r>
        <w:rPr>
          <w:rFonts w:ascii="MS PGothic" w:cs="MS PGothic" w:eastAsia="MS PGothic" w:hAnsi="MS PGothic"/>
          <w:sz w:val="18"/>
          <w:szCs w:val="18"/>
          <w:color w:val="auto"/>
        </w:rPr>
        <w:t>②</w:t>
      </w:r>
      <w:r>
        <w:rPr>
          <w:rFonts w:ascii="Arial" w:cs="Arial" w:eastAsia="Arial" w:hAnsi="Arial"/>
          <w:sz w:val="18"/>
          <w:szCs w:val="18"/>
          <w:color w:val="auto"/>
        </w:rPr>
        <w:t xml:space="preserve"> there are no major litigation cases involving environmental and social risks;</w:t>
      </w:r>
    </w:p>
    <w:p>
      <w:pPr>
        <w:spacing w:after="0" w:line="157" w:lineRule="exact"/>
        <w:rPr>
          <w:rFonts w:ascii="Arial" w:cs="Arial" w:eastAsia="Arial" w:hAnsi="Arial"/>
          <w:sz w:val="18"/>
          <w:szCs w:val="18"/>
          <w:color w:val="auto"/>
        </w:rPr>
      </w:pPr>
    </w:p>
    <w:p>
      <w:pPr>
        <w:jc w:val="both"/>
        <w:ind w:firstLine="327"/>
        <w:spacing w:after="0" w:line="231" w:lineRule="exact"/>
        <w:tabs>
          <w:tab w:leader="none" w:pos="57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The borrower promises to accept the supervision of the lender and strengthen environmental and social risk management, including: </w:t>
      </w:r>
      <w:r>
        <w:rPr>
          <w:rFonts w:ascii="MS PGothic" w:cs="MS PGothic" w:eastAsia="MS PGothic" w:hAnsi="MS PGothic"/>
          <w:sz w:val="16"/>
          <w:szCs w:val="16"/>
          <w:color w:val="auto"/>
        </w:rPr>
        <w:t>①</w:t>
      </w:r>
      <w:r>
        <w:rPr>
          <w:rFonts w:ascii="Arial" w:cs="Arial" w:eastAsia="Arial" w:hAnsi="Arial"/>
          <w:sz w:val="16"/>
          <w:szCs w:val="16"/>
          <w:color w:val="auto"/>
        </w:rPr>
        <w:t xml:space="preserve"> commitment to compliance of all behaviors and performances related to environmental and social risks </w:t>
      </w:r>
      <w:r>
        <w:rPr>
          <w:rFonts w:ascii="MS PGothic" w:cs="MS PGothic" w:eastAsia="MS PGothic" w:hAnsi="MS PGothic"/>
          <w:sz w:val="16"/>
          <w:szCs w:val="16"/>
          <w:color w:val="auto"/>
        </w:rPr>
        <w:t>②</w:t>
      </w:r>
      <w:r>
        <w:rPr>
          <w:rFonts w:ascii="Arial" w:cs="Arial" w:eastAsia="Arial" w:hAnsi="Arial"/>
          <w:sz w:val="16"/>
          <w:szCs w:val="16"/>
          <w:color w:val="auto"/>
        </w:rPr>
        <w:t>Commit to establish and improve the internal management system of environmental and social risks, and specify the responsibilities, obligations and punishment measures of relevant responsible personnel of the</w:t>
      </w:r>
    </w:p>
    <w:p>
      <w:pPr>
        <w:spacing w:after="0" w:line="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 xml:space="preserve">borrower </w:t>
      </w:r>
      <w:r>
        <w:rPr>
          <w:rFonts w:ascii="MS PGothic" w:cs="MS PGothic" w:eastAsia="MS PGothic" w:hAnsi="MS PGothic"/>
          <w:sz w:val="16"/>
          <w:szCs w:val="16"/>
          <w:color w:val="auto"/>
        </w:rPr>
        <w:t>③</w:t>
      </w:r>
      <w:r>
        <w:rPr>
          <w:rFonts w:ascii="Arial" w:cs="Arial" w:eastAsia="Arial" w:hAnsi="Arial"/>
          <w:sz w:val="16"/>
          <w:szCs w:val="16"/>
          <w:color w:val="auto"/>
        </w:rPr>
        <w:t xml:space="preserve"> Commit to establish and improve the emergency mechanism and measures for environmental and social risk emergencies </w:t>
      </w:r>
      <w:r>
        <w:rPr>
          <w:rFonts w:ascii="MS PGothic" w:cs="MS PGothic" w:eastAsia="MS PGothic" w:hAnsi="MS PGothic"/>
          <w:sz w:val="16"/>
          <w:szCs w:val="16"/>
          <w:color w:val="auto"/>
        </w:rPr>
        <w:t>④</w:t>
      </w:r>
      <w:r>
        <w:rPr>
          <w:rFonts w:ascii="Arial" w:cs="Arial" w:eastAsia="Arial" w:hAnsi="Arial"/>
          <w:sz w:val="16"/>
          <w:szCs w:val="16"/>
          <w:color w:val="auto"/>
        </w:rPr>
        <w:t xml:space="preserve"> Commit to establish special departments and / or designate special personnel to be responsible for environmental and social risks </w:t>
      </w:r>
      <w:r>
        <w:rPr>
          <w:rFonts w:ascii="MS PGothic" w:cs="MS PGothic" w:eastAsia="MS PGothic" w:hAnsi="MS PGothic"/>
          <w:sz w:val="16"/>
          <w:szCs w:val="16"/>
          <w:color w:val="auto"/>
        </w:rPr>
        <w:t>⑤</w:t>
      </w:r>
      <w:r>
        <w:rPr>
          <w:rFonts w:ascii="Arial" w:cs="Arial" w:eastAsia="Arial" w:hAnsi="Arial"/>
          <w:sz w:val="16"/>
          <w:szCs w:val="16"/>
          <w:color w:val="auto"/>
        </w:rPr>
        <w:t xml:space="preserve"> Promise to cooperate with the lender or its recognized third party in the assessment and inspection of the borrower’s environmental and social risks </w:t>
      </w:r>
      <w:r>
        <w:rPr>
          <w:rFonts w:ascii="MS PGothic" w:cs="MS PGothic" w:eastAsia="MS PGothic" w:hAnsi="MS PGothic"/>
          <w:sz w:val="16"/>
          <w:szCs w:val="16"/>
          <w:color w:val="auto"/>
        </w:rPr>
        <w:t>⑥</w:t>
      </w:r>
      <w:r>
        <w:rPr>
          <w:rFonts w:ascii="Arial" w:cs="Arial" w:eastAsia="Arial" w:hAnsi="Arial"/>
          <w:sz w:val="16"/>
          <w:szCs w:val="16"/>
          <w:color w:val="auto"/>
        </w:rPr>
        <w:t xml:space="preserve"> in the face of strong doubts from the public or other stakeholders about the borrower’s performance in controlling environmental and social risks, promise to respond appropriately or take other necessary actions </w:t>
      </w:r>
      <w:r>
        <w:rPr>
          <w:rFonts w:ascii="MS PGothic" w:cs="MS PGothic" w:eastAsia="MS PGothic" w:hAnsi="MS PGothic"/>
          <w:sz w:val="16"/>
          <w:szCs w:val="16"/>
          <w:color w:val="auto"/>
        </w:rPr>
        <w:t>⑦</w:t>
      </w:r>
      <w:r>
        <w:rPr>
          <w:rFonts w:ascii="Arial" w:cs="Arial" w:eastAsia="Arial" w:hAnsi="Arial"/>
          <w:sz w:val="16"/>
          <w:szCs w:val="16"/>
          <w:color w:val="auto"/>
        </w:rPr>
        <w:t xml:space="preserve"> undertake to urge the borrower’s vital related parties to strengthen management and prevent the environmental and social risks of related parties from infecting the borrower </w:t>
      </w:r>
      <w:r>
        <w:rPr>
          <w:rFonts w:ascii="MS PGothic" w:cs="MS PGothic" w:eastAsia="MS PGothic" w:hAnsi="MS PGothic"/>
          <w:sz w:val="16"/>
          <w:szCs w:val="16"/>
          <w:color w:val="auto"/>
        </w:rPr>
        <w:t>⑧</w:t>
      </w:r>
      <w:r>
        <w:rPr>
          <w:rFonts w:ascii="Arial" w:cs="Arial" w:eastAsia="Arial" w:hAnsi="Arial"/>
          <w:sz w:val="16"/>
          <w:szCs w:val="16"/>
          <w:color w:val="auto"/>
        </w:rPr>
        <w:t xml:space="preserve"> undertake to perform other matters that the lender considers relevant to controlling environmental and social risks;</w:t>
      </w:r>
    </w:p>
    <w:p>
      <w:pPr>
        <w:spacing w:after="0" w:line="129" w:lineRule="exact"/>
        <w:rPr>
          <w:sz w:val="20"/>
          <w:szCs w:val="20"/>
          <w:color w:val="auto"/>
        </w:rPr>
      </w:pPr>
    </w:p>
    <w:p>
      <w:pPr>
        <w:jc w:val="both"/>
        <w:ind w:firstLine="327"/>
        <w:spacing w:after="0" w:line="223" w:lineRule="exact"/>
        <w:tabs>
          <w:tab w:leader="none" w:pos="57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The borrower promises to timely and fully inform the lender of various permits </w:t>
      </w:r>
      <w:r>
        <w:rPr>
          <w:rFonts w:ascii="MS PGothic" w:cs="MS PGothic" w:eastAsia="MS PGothic" w:hAnsi="MS PGothic"/>
          <w:sz w:val="18"/>
          <w:szCs w:val="18"/>
          <w:color w:val="auto"/>
        </w:rPr>
        <w:t>①</w:t>
      </w:r>
      <w:r>
        <w:rPr>
          <w:rFonts w:ascii="Arial" w:cs="Arial" w:eastAsia="Arial" w:hAnsi="Arial"/>
          <w:sz w:val="18"/>
          <w:szCs w:val="18"/>
          <w:color w:val="auto"/>
        </w:rPr>
        <w:t xml:space="preserve"> approvals and approvals related to environmental and social risks in the process of commencement, construction, operation and shutdown </w:t>
      </w:r>
      <w:r>
        <w:rPr>
          <w:rFonts w:ascii="MS PGothic" w:cs="MS PGothic" w:eastAsia="MS PGothic" w:hAnsi="MS PGothic"/>
          <w:sz w:val="18"/>
          <w:szCs w:val="18"/>
          <w:color w:val="auto"/>
        </w:rPr>
        <w:t>②</w:t>
      </w:r>
      <w:r>
        <w:rPr>
          <w:rFonts w:ascii="Arial" w:cs="Arial" w:eastAsia="Arial" w:hAnsi="Arial"/>
          <w:sz w:val="18"/>
          <w:szCs w:val="18"/>
          <w:color w:val="auto"/>
        </w:rPr>
        <w:t xml:space="preserve"> Assessment and inspection of the borrower’s environmental and social risks by the environmental and social risk regulatory authority or its recognized institutions </w:t>
      </w:r>
      <w:r>
        <w:rPr>
          <w:rFonts w:ascii="MS PGothic" w:cs="MS PGothic" w:eastAsia="MS PGothic" w:hAnsi="MS PGothic"/>
          <w:sz w:val="18"/>
          <w:szCs w:val="18"/>
          <w:color w:val="auto"/>
        </w:rPr>
        <w:t>③</w:t>
      </w:r>
      <w:r>
        <w:rPr>
          <w:rFonts w:ascii="Arial" w:cs="Arial" w:eastAsia="Arial" w:hAnsi="Arial"/>
          <w:sz w:val="18"/>
          <w:szCs w:val="18"/>
          <w:color w:val="auto"/>
        </w:rPr>
        <w:t xml:space="preserve"> supporting construction and operation of environmental facilities </w:t>
      </w:r>
      <w:r>
        <w:rPr>
          <w:rFonts w:ascii="MS PGothic" w:cs="MS PGothic" w:eastAsia="MS PGothic" w:hAnsi="MS PGothic"/>
          <w:sz w:val="18"/>
          <w:szCs w:val="18"/>
          <w:color w:val="auto"/>
        </w:rPr>
        <w:t>④</w:t>
      </w:r>
      <w:r>
        <w:rPr>
          <w:rFonts w:ascii="Arial" w:cs="Arial" w:eastAsia="Arial" w:hAnsi="Arial"/>
          <w:sz w:val="18"/>
          <w:szCs w:val="18"/>
          <w:color w:val="auto"/>
        </w:rPr>
        <w:t xml:space="preserve"> Discharge and compliance of pollutants </w:t>
      </w:r>
      <w:r>
        <w:rPr>
          <w:rFonts w:ascii="MS PGothic" w:cs="MS PGothic" w:eastAsia="MS PGothic" w:hAnsi="MS PGothic"/>
          <w:sz w:val="18"/>
          <w:szCs w:val="18"/>
          <w:color w:val="auto"/>
        </w:rPr>
        <w:t>⑤</w:t>
      </w:r>
      <w:r>
        <w:rPr>
          <w:rFonts w:ascii="Arial" w:cs="Arial" w:eastAsia="Arial" w:hAnsi="Arial"/>
          <w:sz w:val="18"/>
          <w:szCs w:val="18"/>
          <w:color w:val="auto"/>
        </w:rPr>
        <w:t xml:space="preserve"> Safety and health of employees </w:t>
      </w:r>
      <w:r>
        <w:rPr>
          <w:rFonts w:ascii="MS PGothic" w:cs="MS PGothic" w:eastAsia="MS PGothic" w:hAnsi="MS PGothic"/>
          <w:sz w:val="18"/>
          <w:szCs w:val="18"/>
          <w:color w:val="auto"/>
        </w:rPr>
        <w:t>⑥</w:t>
      </w:r>
      <w:r>
        <w:rPr>
          <w:rFonts w:ascii="Arial" w:cs="Arial" w:eastAsia="Arial" w:hAnsi="Arial"/>
          <w:sz w:val="18"/>
          <w:szCs w:val="18"/>
          <w:color w:val="auto"/>
        </w:rPr>
        <w:t xml:space="preserve"> neighboring communities for the borrower Major complaints and protests </w:t>
      </w:r>
      <w:r>
        <w:rPr>
          <w:rFonts w:ascii="MS PGothic" w:cs="MS PGothic" w:eastAsia="MS PGothic" w:hAnsi="MS PGothic"/>
          <w:sz w:val="18"/>
          <w:szCs w:val="18"/>
          <w:color w:val="auto"/>
        </w:rPr>
        <w:t>⑦</w:t>
      </w:r>
      <w:r>
        <w:rPr>
          <w:rFonts w:ascii="Arial" w:cs="Arial" w:eastAsia="Arial" w:hAnsi="Arial"/>
          <w:sz w:val="18"/>
          <w:szCs w:val="18"/>
          <w:color w:val="auto"/>
        </w:rPr>
        <w:t xml:space="preserve"> Major environmental and social claims </w:t>
      </w:r>
      <w:r>
        <w:rPr>
          <w:rFonts w:ascii="MS PGothic" w:cs="MS PGothic" w:eastAsia="MS PGothic" w:hAnsi="MS PGothic"/>
          <w:sz w:val="18"/>
          <w:szCs w:val="18"/>
          <w:color w:val="auto"/>
        </w:rPr>
        <w:t>⑧</w:t>
      </w:r>
      <w:r>
        <w:rPr>
          <w:rFonts w:ascii="Arial" w:cs="Arial" w:eastAsia="Arial" w:hAnsi="Arial"/>
          <w:sz w:val="18"/>
          <w:szCs w:val="18"/>
          <w:color w:val="auto"/>
        </w:rPr>
        <w:t xml:space="preserve"> Other lenders believe that it is related to environmental and social winds Skillfully Major information related to insurance;</w:t>
      </w:r>
    </w:p>
    <w:p>
      <w:pPr>
        <w:spacing w:after="0" w:line="203" w:lineRule="exact"/>
        <w:rPr>
          <w:rFonts w:ascii="Arial" w:cs="Arial" w:eastAsia="Arial" w:hAnsi="Arial"/>
          <w:sz w:val="18"/>
          <w:szCs w:val="18"/>
          <w:color w:val="auto"/>
        </w:rPr>
      </w:pPr>
    </w:p>
    <w:p>
      <w:pPr>
        <w:jc w:val="both"/>
        <w:ind w:firstLine="327"/>
        <w:spacing w:after="0" w:line="216" w:lineRule="exact"/>
        <w:tabs>
          <w:tab w:leader="none" w:pos="57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the borrower and the actual Credit Lender have the following circumstances, it shall be deemed that the borrower has an event of default under this Contract: </w:t>
      </w:r>
      <w:r>
        <w:rPr>
          <w:rFonts w:ascii="MS PGothic" w:cs="MS PGothic" w:eastAsia="MS PGothic" w:hAnsi="MS PGothic"/>
          <w:sz w:val="17"/>
          <w:szCs w:val="17"/>
          <w:color w:val="auto"/>
        </w:rPr>
        <w:t>①</w:t>
      </w:r>
      <w:r>
        <w:rPr>
          <w:rFonts w:ascii="Arial" w:cs="Arial" w:eastAsia="Arial" w:hAnsi="Arial"/>
          <w:sz w:val="17"/>
          <w:szCs w:val="17"/>
          <w:color w:val="auto"/>
        </w:rPr>
        <w:t xml:space="preserve"> the borrower’s statement, guarantee and commitment on environmental and social risk management have not been seriously fulfilled </w:t>
      </w:r>
      <w:r>
        <w:rPr>
          <w:rFonts w:ascii="MS PGothic" w:cs="MS PGothic" w:eastAsia="MS PGothic" w:hAnsi="MS PGothic"/>
          <w:sz w:val="17"/>
          <w:szCs w:val="17"/>
          <w:color w:val="auto"/>
        </w:rPr>
        <w:t>②</w:t>
      </w:r>
      <w:r>
        <w:rPr>
          <w:rFonts w:ascii="Arial" w:cs="Arial" w:eastAsia="Arial" w:hAnsi="Arial"/>
          <w:sz w:val="17"/>
          <w:szCs w:val="17"/>
          <w:color w:val="auto"/>
        </w:rPr>
        <w:t xml:space="preserve"> The borrower is punished by relevant government departments due to poor environmental and social risk management </w:t>
      </w:r>
      <w:r>
        <w:rPr>
          <w:rFonts w:ascii="MS PGothic" w:cs="MS PGothic" w:eastAsia="MS PGothic" w:hAnsi="MS PGothic"/>
          <w:sz w:val="17"/>
          <w:szCs w:val="17"/>
          <w:color w:val="auto"/>
        </w:rPr>
        <w:t>③</w:t>
      </w:r>
      <w:r>
        <w:rPr>
          <w:rFonts w:ascii="Arial" w:cs="Arial" w:eastAsia="Arial" w:hAnsi="Arial"/>
          <w:sz w:val="17"/>
          <w:szCs w:val="17"/>
          <w:color w:val="auto"/>
        </w:rPr>
        <w:t xml:space="preserve"> the borrower is strongly questioned by the public and / or the media due to poor environmental and social risk management </w:t>
      </w:r>
      <w:r>
        <w:rPr>
          <w:rFonts w:ascii="MS PGothic" w:cs="MS PGothic" w:eastAsia="MS PGothic" w:hAnsi="MS PGothic"/>
          <w:sz w:val="17"/>
          <w:szCs w:val="17"/>
          <w:color w:val="auto"/>
        </w:rPr>
        <w:t>④</w:t>
      </w:r>
      <w:r>
        <w:rPr>
          <w:rFonts w:ascii="Arial" w:cs="Arial" w:eastAsia="Arial" w:hAnsi="Arial"/>
          <w:sz w:val="17"/>
          <w:szCs w:val="17"/>
          <w:color w:val="auto"/>
        </w:rPr>
        <w:t xml:space="preserve"> Other events of default related to environmental and social risk management agreed between the lender and the borrower, including cross events of default;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32" w:name="page333"/>
    <w:bookmarkEnd w:id="332"/>
    <w:p>
      <w:pPr>
        <w:jc w:val="both"/>
        <w:ind w:firstLine="320"/>
        <w:spacing w:after="0" w:line="228" w:lineRule="exact"/>
        <w:rPr>
          <w:sz w:val="20"/>
          <w:szCs w:val="20"/>
          <w:color w:val="auto"/>
        </w:rPr>
      </w:pPr>
      <w:r>
        <w:rPr>
          <w:rFonts w:ascii="Arial" w:cs="Arial" w:eastAsia="Arial" w:hAnsi="Arial"/>
          <w:sz w:val="18"/>
          <w:szCs w:val="18"/>
          <w:color w:val="auto"/>
        </w:rPr>
        <w:t xml:space="preserve">In case of the above events of default of the borrower, the lender has the right to unilaterally decide: </w:t>
      </w:r>
      <w:r>
        <w:rPr>
          <w:rFonts w:ascii="MS PGothic" w:cs="MS PGothic" w:eastAsia="MS PGothic" w:hAnsi="MS PGothic"/>
          <w:sz w:val="18"/>
          <w:szCs w:val="18"/>
          <w:color w:val="auto"/>
        </w:rPr>
        <w:t>①</w:t>
      </w:r>
      <w:r>
        <w:rPr>
          <w:rFonts w:ascii="Arial" w:cs="Arial" w:eastAsia="Arial" w:hAnsi="Arial"/>
          <w:sz w:val="18"/>
          <w:szCs w:val="18"/>
          <w:color w:val="auto"/>
        </w:rPr>
        <w:t xml:space="preserve"> cancel the credit commitment already made </w:t>
      </w:r>
      <w:r>
        <w:rPr>
          <w:rFonts w:ascii="MS PGothic" w:cs="MS PGothic" w:eastAsia="MS PGothic" w:hAnsi="MS PGothic"/>
          <w:sz w:val="18"/>
          <w:szCs w:val="18"/>
          <w:color w:val="auto"/>
        </w:rPr>
        <w:t>②</w:t>
      </w:r>
      <w:r>
        <w:rPr>
          <w:rFonts w:ascii="Arial" w:cs="Arial" w:eastAsia="Arial" w:hAnsi="Arial"/>
          <w:sz w:val="18"/>
          <w:szCs w:val="18"/>
          <w:color w:val="auto"/>
        </w:rPr>
        <w:t xml:space="preserve"> Suspend the disbursement of the loan until the borrower takes rescue measures satisfactory to the lender</w:t>
      </w:r>
      <w:r>
        <w:rPr>
          <w:rFonts w:ascii="MS PGothic" w:cs="MS PGothic" w:eastAsia="MS PGothic" w:hAnsi="MS PGothic"/>
          <w:sz w:val="18"/>
          <w:szCs w:val="18"/>
          <w:color w:val="auto"/>
        </w:rPr>
        <w:t>③</w:t>
      </w:r>
      <w:r>
        <w:rPr>
          <w:rFonts w:ascii="Arial" w:cs="Arial" w:eastAsia="Arial" w:hAnsi="Arial"/>
          <w:sz w:val="18"/>
          <w:szCs w:val="18"/>
          <w:color w:val="auto"/>
        </w:rPr>
        <w:t xml:space="preserve"> recover the allocated loan in advance </w:t>
      </w:r>
      <w:r>
        <w:rPr>
          <w:rFonts w:ascii="MS PGothic" w:cs="MS PGothic" w:eastAsia="MS PGothic" w:hAnsi="MS PGothic"/>
          <w:sz w:val="18"/>
          <w:szCs w:val="18"/>
          <w:color w:val="auto"/>
        </w:rPr>
        <w:t>④</w:t>
      </w:r>
      <w:r>
        <w:rPr>
          <w:rFonts w:ascii="Arial" w:cs="Arial" w:eastAsia="Arial" w:hAnsi="Arial"/>
          <w:sz w:val="18"/>
          <w:szCs w:val="18"/>
          <w:color w:val="auto"/>
        </w:rPr>
        <w:t xml:space="preserve"> When the loan cannot be repaid, relevant mortgage and pledge rights and other punishment measures shall be exercised in advance </w:t>
      </w:r>
      <w:r>
        <w:rPr>
          <w:rFonts w:ascii="MS PGothic" w:cs="MS PGothic" w:eastAsia="MS PGothic" w:hAnsi="MS PGothic"/>
          <w:sz w:val="18"/>
          <w:szCs w:val="18"/>
          <w:color w:val="auto"/>
        </w:rPr>
        <w:t>⑤</w:t>
      </w:r>
      <w:r>
        <w:rPr>
          <w:rFonts w:ascii="Arial" w:cs="Arial" w:eastAsia="Arial" w:hAnsi="Arial"/>
          <w:sz w:val="18"/>
          <w:szCs w:val="18"/>
          <w:color w:val="auto"/>
        </w:rPr>
        <w:t xml:space="preserve"> other punishment measures agreed by the lender and the borrower.</w:t>
      </w:r>
    </w:p>
    <w:p>
      <w:pPr>
        <w:spacing w:after="0" w:line="20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13 .The borrower promises not to illegally increase the implicit debt of the local government, otherwise the lender has the right to immediately suspend/terminate the borrower's withdrawal, and has the right to announce that part or all of the loans already issued are due in advance. At the same time, the lender has the right to report the relevant situation to the relevant regulatory authorities.</w:t>
      </w:r>
    </w:p>
    <w:p>
      <w:pPr>
        <w:spacing w:after="0" w:line="186" w:lineRule="exact"/>
        <w:rPr>
          <w:sz w:val="20"/>
          <w:szCs w:val="20"/>
          <w:color w:val="auto"/>
        </w:rPr>
      </w:pPr>
    </w:p>
    <w:p>
      <w:pPr>
        <w:jc w:val="both"/>
        <w:ind w:firstLine="327"/>
        <w:spacing w:after="0" w:line="286" w:lineRule="auto"/>
        <w:tabs>
          <w:tab w:leader="none" w:pos="61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67" w:lineRule="exact"/>
        <w:rPr>
          <w:rFonts w:ascii="Arial" w:cs="Arial" w:eastAsia="Arial" w:hAnsi="Arial"/>
          <w:sz w:val="16"/>
          <w:szCs w:val="16"/>
          <w:color w:val="auto"/>
        </w:rPr>
      </w:pPr>
    </w:p>
    <w:p>
      <w:pPr>
        <w:jc w:val="both"/>
        <w:ind w:firstLine="327"/>
        <w:spacing w:after="0" w:line="286" w:lineRule="auto"/>
        <w:tabs>
          <w:tab w:leader="none" w:pos="58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67" w:lineRule="exact"/>
        <w:rPr>
          <w:rFonts w:ascii="Arial" w:cs="Arial" w:eastAsia="Arial" w:hAnsi="Arial"/>
          <w:sz w:val="16"/>
          <w:szCs w:val="16"/>
          <w:color w:val="auto"/>
        </w:rPr>
      </w:pPr>
    </w:p>
    <w:p>
      <w:pPr>
        <w:jc w:val="both"/>
        <w:ind w:firstLine="327"/>
        <w:spacing w:after="0" w:line="255" w:lineRule="auto"/>
        <w:tabs>
          <w:tab w:leader="none" w:pos="58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t>Article 9 deduction agreement</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8" w:lineRule="exact"/>
        <w:rPr>
          <w:sz w:val="20"/>
          <w:szCs w:val="20"/>
          <w:color w:val="auto"/>
        </w:rPr>
      </w:pPr>
    </w:p>
    <w:p>
      <w:pPr>
        <w:ind w:firstLine="327"/>
        <w:spacing w:after="0" w:line="270" w:lineRule="auto"/>
        <w:tabs>
          <w:tab w:leader="none" w:pos="49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74" w:lineRule="exact"/>
        <w:rPr>
          <w:rFonts w:ascii="Arial" w:cs="Arial" w:eastAsia="Arial" w:hAnsi="Arial"/>
          <w:sz w:val="18"/>
          <w:szCs w:val="18"/>
          <w:color w:val="auto"/>
        </w:rPr>
      </w:pPr>
    </w:p>
    <w:p>
      <w:pPr>
        <w:ind w:left="500" w:hanging="173"/>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the deducted income is inconsistent with the currency to be repaid, it shall be handled in the following ways:</w:t>
      </w:r>
    </w:p>
    <w:p>
      <w:pPr>
        <w:spacing w:after="0" w:line="220" w:lineRule="exact"/>
        <w:rPr>
          <w:sz w:val="20"/>
          <w:szCs w:val="20"/>
          <w:color w:val="auto"/>
        </w:rPr>
      </w:pPr>
    </w:p>
    <w:p>
      <w:pPr>
        <w:ind w:firstLine="327"/>
        <w:spacing w:after="0" w:line="300" w:lineRule="auto"/>
        <w:tabs>
          <w:tab w:leader="none" w:pos="58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51" w:lineRule="exact"/>
        <w:rPr>
          <w:rFonts w:ascii="Arial" w:cs="Arial" w:eastAsia="Arial" w:hAnsi="Arial"/>
          <w:sz w:val="17"/>
          <w:szCs w:val="17"/>
          <w:color w:val="auto"/>
        </w:rPr>
      </w:pPr>
    </w:p>
    <w:p>
      <w:pPr>
        <w:jc w:val="both"/>
        <w:ind w:firstLine="327"/>
        <w:spacing w:after="0" w:line="258" w:lineRule="auto"/>
        <w:tabs>
          <w:tab w:leader="none" w:pos="57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186" w:lineRule="exact"/>
        <w:rPr>
          <w:rFonts w:ascii="Arial" w:cs="Arial" w:eastAsia="Arial" w:hAnsi="Arial"/>
          <w:sz w:val="18"/>
          <w:szCs w:val="18"/>
          <w:color w:val="auto"/>
        </w:rPr>
      </w:pPr>
    </w:p>
    <w:p>
      <w:pPr>
        <w:jc w:val="both"/>
        <w:ind w:firstLine="327"/>
        <w:spacing w:after="0" w:line="255" w:lineRule="auto"/>
        <w:tabs>
          <w:tab w:leader="none" w:pos="58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t>Article 10 proof of creditor’s rights</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agreed service address</w:t>
      </w:r>
    </w:p>
    <w:p>
      <w:pPr>
        <w:spacing w:after="0" w:line="224" w:lineRule="exact"/>
        <w:rPr>
          <w:sz w:val="20"/>
          <w:szCs w:val="20"/>
          <w:color w:val="auto"/>
        </w:rPr>
      </w:pPr>
    </w:p>
    <w:p>
      <w:pPr>
        <w:jc w:val="both"/>
        <w:ind w:firstLine="327"/>
        <w:spacing w:after="0" w:line="306" w:lineRule="auto"/>
        <w:tabs>
          <w:tab w:leader="none" w:pos="51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50" w:lineRule="exact"/>
        <w:rPr>
          <w:rFonts w:ascii="Arial" w:cs="Arial" w:eastAsia="Arial" w:hAnsi="Arial"/>
          <w:sz w:val="16"/>
          <w:szCs w:val="16"/>
          <w:color w:val="auto"/>
        </w:rPr>
      </w:pPr>
    </w:p>
    <w:p>
      <w:pPr>
        <w:jc w:val="both"/>
        <w:ind w:firstLine="327"/>
        <w:spacing w:after="0" w:line="268" w:lineRule="auto"/>
        <w:tabs>
          <w:tab w:leader="none" w:pos="51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events of default and handling</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Event of default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of the following circumstances shall constitute a breach of contract by the borrower against the lender:</w:t>
      </w:r>
    </w:p>
    <w:p>
      <w:pPr>
        <w:spacing w:after="0" w:line="220" w:lineRule="exact"/>
        <w:rPr>
          <w:sz w:val="20"/>
          <w:szCs w:val="20"/>
          <w:color w:val="auto"/>
        </w:rPr>
      </w:pPr>
    </w:p>
    <w:p>
      <w:pPr>
        <w:jc w:val="both"/>
        <w:ind w:firstLine="327"/>
        <w:spacing w:after="0" w:line="258" w:lineRule="auto"/>
        <w:tabs>
          <w:tab w:leader="none" w:pos="58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86" w:lineRule="exact"/>
        <w:rPr>
          <w:rFonts w:ascii="Arial" w:cs="Arial" w:eastAsia="Arial" w:hAnsi="Arial"/>
          <w:sz w:val="18"/>
          <w:szCs w:val="18"/>
          <w:color w:val="auto"/>
        </w:rPr>
      </w:pPr>
    </w:p>
    <w:p>
      <w:pPr>
        <w:ind w:left="580" w:hanging="253"/>
        <w:spacing w:after="0"/>
        <w:tabs>
          <w:tab w:leader="none" w:pos="5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borrower has violated "other matters agreed by both parties" (if any) in part I of the contract or any agreed matter in Article 8 of Part II.</w:t>
      </w:r>
    </w:p>
    <w:p>
      <w:pPr>
        <w:spacing w:after="0" w:line="231" w:lineRule="exact"/>
        <w:rPr>
          <w:rFonts w:ascii="Arial" w:cs="Arial" w:eastAsia="Arial" w:hAnsi="Arial"/>
          <w:sz w:val="17"/>
          <w:szCs w:val="17"/>
          <w:color w:val="auto"/>
        </w:rPr>
      </w:pPr>
    </w:p>
    <w:p>
      <w:pPr>
        <w:ind w:firstLine="327"/>
        <w:spacing w:after="0" w:line="270" w:lineRule="auto"/>
        <w:tabs>
          <w:tab w:leader="none" w:pos="5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borrower’s investors withdraw funds, transfer assets or transfer equity without authorization.</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guarantor has or will no longer have the ability to provide guarantee corresponding to the loan, or violates the guarantee documents signed by it.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5" w:name="page336"/>
    <w:bookmarkEnd w:id="335"/>
    <w:p>
      <w:pPr>
        <w:ind w:firstLine="327"/>
        <w:spacing w:after="0" w:line="270" w:lineRule="auto"/>
        <w:tabs>
          <w:tab w:leader="none" w:pos="58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174" w:lineRule="exact"/>
        <w:rPr>
          <w:rFonts w:ascii="Arial" w:cs="Arial" w:eastAsia="Arial" w:hAnsi="Arial"/>
          <w:sz w:val="18"/>
          <w:szCs w:val="18"/>
          <w:color w:val="auto"/>
        </w:rPr>
      </w:pPr>
    </w:p>
    <w:p>
      <w:pPr>
        <w:ind w:firstLine="327"/>
        <w:spacing w:after="0" w:line="270" w:lineRule="auto"/>
        <w:tabs>
          <w:tab w:leader="none" w:pos="57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74" w:lineRule="exact"/>
        <w:rPr>
          <w:rFonts w:ascii="Arial" w:cs="Arial" w:eastAsia="Arial" w:hAnsi="Arial"/>
          <w:sz w:val="18"/>
          <w:szCs w:val="18"/>
          <w:color w:val="auto"/>
        </w:rPr>
      </w:pPr>
    </w:p>
    <w:p>
      <w:pPr>
        <w:jc w:val="both"/>
        <w:ind w:firstLine="327"/>
        <w:spacing w:after="0" w:line="281" w:lineRule="auto"/>
        <w:tabs>
          <w:tab w:leader="none" w:pos="573"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67" w:lineRule="exact"/>
        <w:rPr>
          <w:rFonts w:ascii="Arial" w:cs="Arial" w:eastAsia="Arial" w:hAnsi="Arial"/>
          <w:sz w:val="17"/>
          <w:szCs w:val="17"/>
          <w:color w:val="auto"/>
        </w:rPr>
      </w:pPr>
    </w:p>
    <w:p>
      <w:pPr>
        <w:ind w:left="580" w:hanging="253"/>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Failure to repay the principal and interest on schedule or use the loan for the agreed purpose.</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loan funds are not paid in the agreed manner.</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documents and information submitted for loan application are false and incorrect.</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does not meet or exceed the constraints of relevant financial indicators agreed in the contract.</w:t>
      </w:r>
    </w:p>
    <w:p>
      <w:pPr>
        <w:spacing w:after="0" w:line="219" w:lineRule="exact"/>
        <w:rPr>
          <w:rFonts w:ascii="Arial" w:cs="Arial" w:eastAsia="Arial" w:hAnsi="Arial"/>
          <w:sz w:val="18"/>
          <w:szCs w:val="18"/>
          <w:color w:val="auto"/>
        </w:rPr>
      </w:pPr>
    </w:p>
    <w:p>
      <w:pPr>
        <w:ind w:right="20" w:firstLine="327"/>
        <w:spacing w:after="0" w:line="270" w:lineRule="auto"/>
        <w:tabs>
          <w:tab w:leader="none" w:pos="67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6" w:name="page337"/>
    <w:bookmarkEnd w:id="336"/>
    <w:p>
      <w:pPr>
        <w:ind w:left="660" w:hanging="333"/>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capital flow in the general settlement account / capital return account is abnormal.</w:t>
      </w:r>
    </w:p>
    <w:p>
      <w:pPr>
        <w:spacing w:after="0" w:line="219" w:lineRule="exact"/>
        <w:rPr>
          <w:rFonts w:ascii="Arial" w:cs="Arial" w:eastAsia="Arial" w:hAnsi="Arial"/>
          <w:sz w:val="18"/>
          <w:szCs w:val="18"/>
          <w:color w:val="auto"/>
        </w:rPr>
      </w:pPr>
    </w:p>
    <w:p>
      <w:pPr>
        <w:ind w:firstLine="327"/>
        <w:spacing w:after="0" w:line="270" w:lineRule="auto"/>
        <w:tabs>
          <w:tab w:leader="none" w:pos="66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borrower is suspected of participating in money laundering, sanctions, terrorist financing or WMD proliferation financing, export control, tax evasion and other illegal acts.</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borrower illegally increases the implicit debt of the local government.</w:t>
      </w:r>
    </w:p>
    <w:p>
      <w:pPr>
        <w:spacing w:after="0" w:line="219" w:lineRule="exact"/>
        <w:rPr>
          <w:rFonts w:ascii="Arial" w:cs="Arial" w:eastAsia="Arial" w:hAnsi="Arial"/>
          <w:sz w:val="18"/>
          <w:szCs w:val="18"/>
          <w:color w:val="auto"/>
        </w:rPr>
      </w:pPr>
    </w:p>
    <w:p>
      <w:pPr>
        <w:ind w:firstLine="327"/>
        <w:spacing w:after="0" w:line="270" w:lineRule="auto"/>
        <w:tabs>
          <w:tab w:leader="none" w:pos="67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Handling of breach of contract</w:t>
      </w:r>
    </w:p>
    <w:p>
      <w:pPr>
        <w:spacing w:after="0" w:line="220" w:lineRule="exact"/>
        <w:rPr>
          <w:sz w:val="20"/>
          <w:szCs w:val="20"/>
          <w:color w:val="auto"/>
        </w:rPr>
      </w:pPr>
    </w:p>
    <w:p>
      <w:pPr>
        <w:ind w:firstLine="327"/>
        <w:spacing w:after="0" w:line="270" w:lineRule="auto"/>
        <w:tabs>
          <w:tab w:leader="none" w:pos="57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when one or more of the default circumstances listed in the current paragraph occur, the lender may take one or more of the following measures at its discretion:</w:t>
      </w:r>
    </w:p>
    <w:p>
      <w:pPr>
        <w:spacing w:after="0" w:line="175" w:lineRule="exact"/>
        <w:rPr>
          <w:sz w:val="20"/>
          <w:szCs w:val="20"/>
          <w:color w:val="auto"/>
        </w:rPr>
      </w:pPr>
    </w:p>
    <w:p>
      <w:pPr>
        <w:ind w:left="540" w:hanging="213"/>
        <w:spacing w:after="0"/>
        <w:tabs>
          <w:tab w:leader="none" w:pos="540" w:val="left"/>
        </w:tabs>
        <w:numPr>
          <w:ilvl w:val="0"/>
          <w:numId w:val="313"/>
        </w:numPr>
        <w:rPr>
          <w:rFonts w:ascii="MS PGothic" w:cs="MS PGothic" w:eastAsia="MS PGothic" w:hAnsi="MS PGothic"/>
          <w:sz w:val="18"/>
          <w:szCs w:val="18"/>
          <w:color w:val="auto"/>
        </w:rPr>
      </w:pPr>
      <w:r>
        <w:rPr>
          <w:rFonts w:ascii="Arial" w:cs="Arial" w:eastAsia="Arial" w:hAnsi="Arial"/>
          <w:sz w:val="18"/>
          <w:szCs w:val="18"/>
          <w:color w:val="auto"/>
        </w:rPr>
        <w:t>require the borrower to correct within a time limit.</w:t>
      </w:r>
    </w:p>
    <w:p>
      <w:pPr>
        <w:spacing w:after="0" w:line="220" w:lineRule="exact"/>
        <w:rPr>
          <w:sz w:val="20"/>
          <w:szCs w:val="20"/>
          <w:color w:val="auto"/>
        </w:rPr>
      </w:pPr>
    </w:p>
    <w:p>
      <w:pPr>
        <w:ind w:left="540" w:hanging="213"/>
        <w:spacing w:after="0"/>
        <w:tabs>
          <w:tab w:leader="none" w:pos="540" w:val="left"/>
        </w:tabs>
        <w:numPr>
          <w:ilvl w:val="0"/>
          <w:numId w:val="314"/>
        </w:numPr>
        <w:rPr>
          <w:rFonts w:ascii="MS PGothic" w:cs="MS PGothic" w:eastAsia="MS PGothic" w:hAnsi="MS PGothic"/>
          <w:sz w:val="18"/>
          <w:szCs w:val="18"/>
          <w:color w:val="auto"/>
        </w:rPr>
      </w:pPr>
      <w:r>
        <w:rPr>
          <w:rFonts w:ascii="Arial" w:cs="Arial" w:eastAsia="Arial" w:hAnsi="Arial"/>
          <w:sz w:val="18"/>
          <w:szCs w:val="18"/>
          <w:color w:val="auto"/>
        </w:rPr>
        <w:t>cancel the unused loan of the borrower and stop issuing and paying the unused loan of the borrower.</w:t>
      </w:r>
    </w:p>
    <w:p>
      <w:pPr>
        <w:spacing w:after="0" w:line="220" w:lineRule="exact"/>
        <w:rPr>
          <w:sz w:val="20"/>
          <w:szCs w:val="20"/>
          <w:color w:val="auto"/>
        </w:rPr>
      </w:pPr>
    </w:p>
    <w:p>
      <w:pPr>
        <w:ind w:firstLine="327"/>
        <w:spacing w:after="0" w:line="300" w:lineRule="auto"/>
        <w:tabs>
          <w:tab w:leader="none" w:pos="525" w:val="left"/>
        </w:tabs>
        <w:numPr>
          <w:ilvl w:val="0"/>
          <w:numId w:val="315"/>
        </w:numPr>
        <w:rPr>
          <w:rFonts w:ascii="MS PGothic" w:cs="MS PGothic" w:eastAsia="MS PGothic" w:hAnsi="MS PGothic"/>
          <w:sz w:val="17"/>
          <w:szCs w:val="17"/>
          <w:color w:val="auto"/>
        </w:rPr>
      </w:pPr>
      <w:r>
        <w:rPr>
          <w:rFonts w:ascii="Arial" w:cs="Arial" w:eastAsia="Arial" w:hAnsi="Arial"/>
          <w:sz w:val="17"/>
          <w:szCs w:val="17"/>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52" w:lineRule="exact"/>
        <w:rPr>
          <w:sz w:val="20"/>
          <w:szCs w:val="20"/>
          <w:color w:val="auto"/>
        </w:rPr>
      </w:pPr>
    </w:p>
    <w:p>
      <w:pPr>
        <w:ind w:left="540" w:hanging="213"/>
        <w:spacing w:after="0"/>
        <w:tabs>
          <w:tab w:leader="none" w:pos="540" w:val="left"/>
        </w:tabs>
        <w:numPr>
          <w:ilvl w:val="0"/>
          <w:numId w:val="316"/>
        </w:numPr>
        <w:rPr>
          <w:rFonts w:ascii="MS PGothic" w:cs="MS PGothic" w:eastAsia="MS PGothic" w:hAnsi="MS PGothic"/>
          <w:sz w:val="18"/>
          <w:szCs w:val="18"/>
          <w:color w:val="auto"/>
        </w:rPr>
      </w:pPr>
      <w:r>
        <w:rPr>
          <w:rFonts w:ascii="Arial" w:cs="Arial" w:eastAsia="Arial" w:hAnsi="Arial"/>
          <w:sz w:val="18"/>
          <w:szCs w:val="18"/>
          <w:color w:val="auto"/>
        </w:rPr>
        <w:t>Penalty interest and compound interest shall be charged for overdue loans and misappropriated loans.</w:t>
      </w:r>
    </w:p>
    <w:p>
      <w:pPr>
        <w:spacing w:after="0" w:line="220" w:lineRule="exact"/>
        <w:rPr>
          <w:sz w:val="20"/>
          <w:szCs w:val="20"/>
          <w:color w:val="auto"/>
        </w:rPr>
      </w:pPr>
    </w:p>
    <w:p>
      <w:pPr>
        <w:ind w:left="540" w:hanging="213"/>
        <w:spacing w:after="0"/>
        <w:tabs>
          <w:tab w:leader="none" w:pos="540" w:val="left"/>
        </w:tabs>
        <w:numPr>
          <w:ilvl w:val="0"/>
          <w:numId w:val="317"/>
        </w:numPr>
        <w:rPr>
          <w:rFonts w:ascii="MS PGothic" w:cs="MS PGothic" w:eastAsia="MS PGothic" w:hAnsi="MS PGothic"/>
          <w:sz w:val="18"/>
          <w:szCs w:val="18"/>
          <w:color w:val="auto"/>
        </w:rPr>
      </w:pPr>
      <w:r>
        <w:rPr>
          <w:rFonts w:ascii="Arial" w:cs="Arial" w:eastAsia="Arial" w:hAnsi="Arial"/>
          <w:sz w:val="18"/>
          <w:szCs w:val="18"/>
          <w:color w:val="auto"/>
        </w:rPr>
        <w:t>Deduct from any account opened by the borrower in each branch of Shanghai Pudong Development Bank Co., Ltd</w:t>
      </w:r>
    </w:p>
    <w:p>
      <w:pPr>
        <w:spacing w:after="0" w:line="220" w:lineRule="exact"/>
        <w:rPr>
          <w:sz w:val="20"/>
          <w:szCs w:val="20"/>
          <w:color w:val="auto"/>
        </w:rPr>
      </w:pPr>
    </w:p>
    <w:p>
      <w:pPr>
        <w:ind w:left="540" w:hanging="213"/>
        <w:spacing w:after="0"/>
        <w:tabs>
          <w:tab w:leader="none" w:pos="540" w:val="left"/>
        </w:tabs>
        <w:numPr>
          <w:ilvl w:val="0"/>
          <w:numId w:val="318"/>
        </w:numPr>
        <w:rPr>
          <w:rFonts w:ascii="MS PGothic" w:cs="MS PGothic" w:eastAsia="MS PGothic" w:hAnsi="MS PGothic"/>
          <w:sz w:val="18"/>
          <w:szCs w:val="18"/>
          <w:color w:val="auto"/>
        </w:rPr>
      </w:pPr>
      <w:r>
        <w:rPr>
          <w:rFonts w:ascii="Arial" w:cs="Arial" w:eastAsia="Arial" w:hAnsi="Arial"/>
          <w:sz w:val="18"/>
          <w:szCs w:val="18"/>
          <w:color w:val="auto"/>
        </w:rPr>
        <w:t>Require the borrower to supplement the loan issuance and payment conditions, or change the loan payment method.</w:t>
      </w:r>
    </w:p>
    <w:p>
      <w:pPr>
        <w:spacing w:after="0" w:line="220" w:lineRule="exact"/>
        <w:rPr>
          <w:sz w:val="20"/>
          <w:szCs w:val="20"/>
          <w:color w:val="auto"/>
        </w:rPr>
      </w:pPr>
    </w:p>
    <w:p>
      <w:pPr>
        <w:ind w:left="540" w:hanging="213"/>
        <w:spacing w:after="0"/>
        <w:tabs>
          <w:tab w:leader="none" w:pos="540" w:val="left"/>
        </w:tabs>
        <w:numPr>
          <w:ilvl w:val="0"/>
          <w:numId w:val="319"/>
        </w:numPr>
        <w:rPr>
          <w:rFonts w:ascii="MS PGothic" w:cs="MS PGothic" w:eastAsia="MS PGothic" w:hAnsi="MS PGothic"/>
          <w:sz w:val="18"/>
          <w:szCs w:val="18"/>
          <w:color w:val="auto"/>
        </w:rPr>
      </w:pPr>
      <w:r>
        <w:rPr>
          <w:rFonts w:ascii="Arial" w:cs="Arial" w:eastAsia="Arial" w:hAnsi="Arial"/>
          <w:sz w:val="18"/>
          <w:szCs w:val="18"/>
          <w:color w:val="auto"/>
        </w:rPr>
        <w:t>require the borrower to provide other guarantees approved by the lender.</w:t>
      </w:r>
    </w:p>
    <w:p>
      <w:pPr>
        <w:spacing w:after="0" w:line="220" w:lineRule="exact"/>
        <w:rPr>
          <w:sz w:val="20"/>
          <w:szCs w:val="20"/>
          <w:color w:val="auto"/>
        </w:rPr>
      </w:pPr>
    </w:p>
    <w:p>
      <w:pPr>
        <w:ind w:left="540" w:hanging="213"/>
        <w:spacing w:after="0"/>
        <w:tabs>
          <w:tab w:leader="none" w:pos="540" w:val="left"/>
        </w:tabs>
        <w:numPr>
          <w:ilvl w:val="0"/>
          <w:numId w:val="320"/>
        </w:numPr>
        <w:rPr>
          <w:rFonts w:ascii="MS PGothic" w:cs="MS PGothic" w:eastAsia="MS PGothic" w:hAnsi="MS PGothic"/>
          <w:sz w:val="18"/>
          <w:szCs w:val="18"/>
          <w:color w:val="auto"/>
        </w:rPr>
      </w:pPr>
      <w:r>
        <w:rPr>
          <w:rFonts w:ascii="Arial" w:cs="Arial" w:eastAsia="Arial" w:hAnsi="Arial"/>
          <w:sz w:val="18"/>
          <w:szCs w:val="18"/>
          <w:color w:val="auto"/>
        </w:rPr>
        <w:t>other necessary measures stipulated by law.</w:t>
      </w:r>
    </w:p>
    <w:p>
      <w:pPr>
        <w:spacing w:after="0" w:line="220" w:lineRule="exact"/>
        <w:rPr>
          <w:sz w:val="20"/>
          <w:szCs w:val="20"/>
          <w:color w:val="auto"/>
        </w:rPr>
      </w:pPr>
    </w:p>
    <w:p>
      <w:pPr>
        <w:jc w:val="both"/>
        <w:ind w:firstLine="327"/>
        <w:spacing w:after="0" w:line="258" w:lineRule="auto"/>
        <w:tabs>
          <w:tab w:leader="none" w:pos="57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86" w:lineRule="exact"/>
        <w:rPr>
          <w:rFonts w:ascii="Arial" w:cs="Arial" w:eastAsia="Arial" w:hAnsi="Arial"/>
          <w:sz w:val="18"/>
          <w:szCs w:val="18"/>
          <w:color w:val="auto"/>
        </w:rPr>
      </w:pPr>
    </w:p>
    <w:p>
      <w:pPr>
        <w:jc w:val="both"/>
        <w:ind w:firstLine="327"/>
        <w:spacing w:after="0" w:line="258" w:lineRule="auto"/>
        <w:tabs>
          <w:tab w:leader="none" w:pos="58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t>Article 13 effectiveness, alteration and dissolution</w:t>
      </w:r>
    </w:p>
    <w:p>
      <w:pPr>
        <w:spacing w:after="0" w:line="224" w:lineRule="exact"/>
        <w:rPr>
          <w:sz w:val="20"/>
          <w:szCs w:val="20"/>
          <w:color w:val="auto"/>
        </w:rPr>
      </w:pPr>
    </w:p>
    <w:p>
      <w:pPr>
        <w:jc w:val="both"/>
        <w:ind w:left="-20" w:firstLine="327"/>
        <w:spacing w:after="0" w:line="258" w:lineRule="auto"/>
        <w:tabs>
          <w:tab w:leader="none" w:pos="50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86" w:lineRule="exact"/>
        <w:rPr>
          <w:rFonts w:ascii="Arial" w:cs="Arial" w:eastAsia="Arial" w:hAnsi="Arial"/>
          <w:sz w:val="18"/>
          <w:szCs w:val="18"/>
          <w:color w:val="auto"/>
        </w:rPr>
      </w:pPr>
    </w:p>
    <w:p>
      <w:pPr>
        <w:ind w:left="-20" w:firstLine="327"/>
        <w:spacing w:after="0" w:line="270" w:lineRule="auto"/>
        <w:tabs>
          <w:tab w:leader="none" w:pos="49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other provisions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definition</w:t>
      </w:r>
    </w:p>
    <w:p>
      <w:pPr>
        <w:spacing w:after="0" w:line="220" w:lineRule="exact"/>
        <w:rPr>
          <w:sz w:val="20"/>
          <w:szCs w:val="20"/>
          <w:color w:val="auto"/>
        </w:rPr>
      </w:pPr>
    </w:p>
    <w:p>
      <w:pPr>
        <w:ind w:left="-20" w:firstLine="327"/>
        <w:spacing w:after="0" w:line="270" w:lineRule="auto"/>
        <w:tabs>
          <w:tab w:leader="none" w:pos="58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creditor’s rights" under this contract refers to the loan principal, interest, liquidated damages and various expenses incurred to realize the creditor’s rights.</w:t>
      </w:r>
    </w:p>
    <w:p>
      <w:pPr>
        <w:spacing w:after="0" w:line="174" w:lineRule="exact"/>
        <w:rPr>
          <w:rFonts w:ascii="Arial" w:cs="Arial" w:eastAsia="Arial" w:hAnsi="Arial"/>
          <w:sz w:val="18"/>
          <w:szCs w:val="18"/>
          <w:color w:val="auto"/>
        </w:rPr>
      </w:pPr>
    </w:p>
    <w:p>
      <w:pPr>
        <w:ind w:left="560" w:hanging="253"/>
        <w:spacing w:after="0"/>
        <w:tabs>
          <w:tab w:leader="none" w:pos="5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term "interest" under this contract includes interest, penalty interest and compound interest.</w:t>
      </w:r>
    </w:p>
    <w:p>
      <w:pPr>
        <w:spacing w:after="0" w:line="219" w:lineRule="exact"/>
        <w:rPr>
          <w:rFonts w:ascii="Arial" w:cs="Arial" w:eastAsia="Arial" w:hAnsi="Arial"/>
          <w:sz w:val="18"/>
          <w:szCs w:val="18"/>
          <w:color w:val="auto"/>
        </w:rPr>
      </w:pPr>
    </w:p>
    <w:p>
      <w:pPr>
        <w:ind w:left="-20" w:firstLine="327"/>
        <w:spacing w:after="0" w:line="270" w:lineRule="auto"/>
        <w:tabs>
          <w:tab w:leader="none" w:pos="56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713422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338" w:name="page339"/>
    <w:bookmarkEnd w:id="338"/>
    <w:p>
      <w:pPr>
        <w:ind w:left="320"/>
        <w:spacing w:after="0"/>
        <w:rPr>
          <w:sz w:val="20"/>
          <w:szCs w:val="20"/>
          <w:color w:val="auto"/>
        </w:rPr>
      </w:pPr>
      <w:r>
        <w:rPr>
          <w:rFonts w:ascii="Arial" w:cs="Arial" w:eastAsia="Arial" w:hAnsi="Arial"/>
          <w:sz w:val="18"/>
          <w:szCs w:val="18"/>
          <w:color w:val="auto"/>
        </w:rPr>
        <w:t>2. Applicable law</w:t>
      </w:r>
    </w:p>
    <w:p>
      <w:pPr>
        <w:spacing w:after="0" w:line="22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Settlement of disputes</w:t>
      </w:r>
    </w:p>
    <w:p>
      <w:pPr>
        <w:spacing w:after="0" w:line="220"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 Miscellaneous</w:t>
      </w:r>
    </w:p>
    <w:p>
      <w:pPr>
        <w:spacing w:after="0" w:line="220" w:lineRule="exact"/>
        <w:rPr>
          <w:sz w:val="20"/>
          <w:szCs w:val="20"/>
          <w:color w:val="auto"/>
        </w:rPr>
      </w:pPr>
    </w:p>
    <w:p>
      <w:pPr>
        <w:jc w:val="both"/>
        <w:ind w:firstLine="327"/>
        <w:spacing w:after="0" w:line="258" w:lineRule="auto"/>
        <w:tabs>
          <w:tab w:leader="none" w:pos="57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86" w:lineRule="exact"/>
        <w:rPr>
          <w:rFonts w:ascii="Arial" w:cs="Arial" w:eastAsia="Arial" w:hAnsi="Arial"/>
          <w:sz w:val="18"/>
          <w:szCs w:val="18"/>
          <w:color w:val="auto"/>
        </w:rPr>
      </w:pPr>
    </w:p>
    <w:p>
      <w:pPr>
        <w:jc w:val="both"/>
        <w:ind w:firstLine="327"/>
        <w:spacing w:after="0" w:line="255" w:lineRule="auto"/>
        <w:tabs>
          <w:tab w:leader="none" w:pos="58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87" w:lineRule="exact"/>
        <w:rPr>
          <w:rFonts w:ascii="Arial" w:cs="Arial" w:eastAsia="Arial" w:hAnsi="Arial"/>
          <w:sz w:val="18"/>
          <w:szCs w:val="18"/>
          <w:color w:val="auto"/>
        </w:rPr>
      </w:pPr>
    </w:p>
    <w:p>
      <w:pPr>
        <w:ind w:left="580" w:hanging="253"/>
        <w:spacing w:after="0"/>
        <w:tabs>
          <w:tab w:leader="none" w:pos="58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invalidity of one clause of the contract shall not affect the validity of other clauses of the contract. This contract is not valid for any reason</w:t>
      </w:r>
    </w:p>
    <w:p>
      <w:pPr>
        <w:spacing w:after="0" w:line="23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39" w:name="page340"/>
    <w:bookmarkEnd w:id="339"/>
    <w:p>
      <w:pPr>
        <w:jc w:val="both"/>
        <w:ind w:firstLine="327"/>
        <w:spacing w:after="0" w:line="258" w:lineRule="auto"/>
        <w:tabs>
          <w:tab w:leader="none" w:pos="58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86" w:lineRule="exact"/>
        <w:rPr>
          <w:rFonts w:ascii="Arial" w:cs="Arial" w:eastAsia="Arial" w:hAnsi="Arial"/>
          <w:sz w:val="18"/>
          <w:szCs w:val="18"/>
          <w:color w:val="auto"/>
        </w:rPr>
      </w:pPr>
    </w:p>
    <w:p>
      <w:pPr>
        <w:ind w:firstLine="327"/>
        <w:spacing w:after="0" w:line="270" w:lineRule="auto"/>
        <w:tabs>
          <w:tab w:leader="none" w:pos="59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Unless otherwise specified in the contract, relevant terms and expressions in the annexes to the contract have the same meanings as those in the contract.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headings under this contract are for convenience only and shall not be used as the basis for the contents under this heading.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text below this page)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page is the signature page without text)</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 xml:space="preserve">This contract is signed by and between the borrower and the lender on </w:t>
      </w:r>
      <w:r>
        <w:rPr>
          <w:rFonts w:ascii="Arial" w:cs="Arial" w:eastAsia="Arial" w:hAnsi="Arial"/>
          <w:sz w:val="17"/>
          <w:szCs w:val="17"/>
          <w:u w:val="single" w:color="auto"/>
          <w:color w:val="auto"/>
        </w:rPr>
        <w:t>Jan 3 ,2023.</w:t>
      </w:r>
      <w:r>
        <w:rPr>
          <w:rFonts w:ascii="Arial" w:cs="Arial" w:eastAsia="Arial" w:hAnsi="Arial"/>
          <w:sz w:val="17"/>
          <w:szCs w:val="17"/>
          <w:color w:val="auto"/>
        </w:rPr>
        <w:t xml:space="preserve">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3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Borrower(Official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representative or authorized agent (signature or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Lender (Official seal or contract seal)</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representative / person in charge (authorized or sealed)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10.22</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Z2212LN15642416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Current Fund Loan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439420</wp:posOffset>
            </wp:positionV>
            <wp:extent cx="713422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Z2212LN15642416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Important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-130175</wp:posOffset>
            </wp:positionV>
            <wp:extent cx="5710555" cy="6946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5710555" cy="694690"/>
                    </a:xfrm>
                    <a:prstGeom prst="rect">
                      <a:avLst/>
                    </a:prstGeom>
                    <a:noFill/>
                  </pic:spPr>
                </pic:pic>
              </a:graphicData>
            </a:graphic>
          </wp:anchor>
        </w:drawing>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read the full text of this contract carefully, especially those articles marked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 ▲▲. Please inquire the loaner in case of any question.</w:t>
      </w:r>
    </w:p>
    <w:p>
      <w:pPr>
        <w:spacing w:after="0" w:line="200" w:lineRule="exact"/>
        <w:rPr>
          <w:sz w:val="20"/>
          <w:szCs w:val="20"/>
          <w:color w:val="auto"/>
        </w:rPr>
      </w:pPr>
    </w:p>
    <w:p>
      <w:pPr>
        <w:spacing w:after="0" w:line="23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Whereas, the borrower applies to the loaner for the line of credit of current fund, both parties hereby enter into this contract through negotiations to clarify the obligations of each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“Revolving line of credit” refers to the line of credit within which the borrower may apply for the loan for several times according to this contract.</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“Balance of loan” refers to the sum of principal of the outstanding loan that the borrower obtains under this contract.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“Balance of line of credit” refers to the balance of the line of credit deducted with the balance of loan (under the revolving line of credit) or total loan (under the one-time line of credit).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“Period of loan” refers to the period of each loan that both parties determine in the corresponding </w:t>
      </w:r>
      <w:r>
        <w:rPr>
          <w:rFonts w:ascii="Arial" w:cs="Arial" w:eastAsia="Arial" w:hAnsi="Arial"/>
          <w:sz w:val="18"/>
          <w:szCs w:val="18"/>
          <w:i w:val="1"/>
          <w:iCs w:val="1"/>
          <w:color w:val="auto"/>
        </w:rPr>
        <w:t>Application for Use of Line of Credit of Bank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(hereinafter referred to as</w:t>
      </w:r>
      <w:r>
        <w:rPr>
          <w:rFonts w:ascii="Arial" w:cs="Arial" w:eastAsia="Arial" w:hAnsi="Arial"/>
          <w:sz w:val="18"/>
          <w:szCs w:val="18"/>
          <w:i w:val="1"/>
          <w:iCs w:val="1"/>
          <w:color w:val="auto"/>
        </w:rPr>
        <w:t xml:space="preserve"> 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spacing w:after="0" w:line="152"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“Loan Market Quotation Rate (LPR)” refers to the loan market quotation rate applicable to RMB loans issued by the National Interbank Funding Center on the 20th day of each month (postponed in case of holidays).</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spacing w:after="0" w:line="15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2" w:name="page343"/>
    <w:bookmarkEnd w:id="342"/>
    <w:p>
      <w:pPr>
        <w:jc w:val="both"/>
        <w:ind w:firstLine="320"/>
        <w:spacing w:after="0" w:line="258" w:lineRule="auto"/>
        <w:rPr>
          <w:sz w:val="20"/>
          <w:szCs w:val="20"/>
          <w:color w:val="auto"/>
        </w:rPr>
      </w:pPr>
      <w:r>
        <w:rPr>
          <w:rFonts w:ascii="Arial" w:cs="Arial" w:eastAsia="Arial" w:hAnsi="Arial"/>
          <w:sz w:val="18"/>
          <w:szCs w:val="18"/>
          <w:color w:val="auto"/>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spacing w:after="0" w:line="188"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spacing w:after="0" w:line="167"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spacing w:after="0" w:line="188"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spacing w:after="0" w:line="16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86"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spacing w:after="0" w:line="18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“Related person” refers to the authorized handler, agent, legal representative, responsible person, controlling shareholder or actual controller, beneficial owner and other direct or indirect related persons of the borrower.</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3" w:name="page344"/>
    <w:bookmarkEnd w:id="343"/>
    <w:p>
      <w:pPr>
        <w:ind w:firstLine="320"/>
        <w:spacing w:after="0" w:line="333" w:lineRule="auto"/>
        <w:rPr>
          <w:sz w:val="20"/>
          <w:szCs w:val="20"/>
          <w:color w:val="auto"/>
        </w:rPr>
      </w:pPr>
      <w:r>
        <w:rPr>
          <w:rFonts w:ascii="Arial" w:cs="Arial" w:eastAsia="Arial" w:hAnsi="Arial"/>
          <w:sz w:val="16"/>
          <w:szCs w:val="16"/>
          <w:color w:val="auto"/>
        </w:rPr>
        <w:t xml:space="preserve">Terms including affiliate, affiliate transaction and major investor should contain the same meaning with those contained in the </w:t>
      </w:r>
      <w:r>
        <w:rPr>
          <w:rFonts w:ascii="Arial" w:cs="Arial" w:eastAsia="Arial" w:hAnsi="Arial"/>
          <w:sz w:val="16"/>
          <w:szCs w:val="16"/>
          <w:i w:val="1"/>
          <w:iCs w:val="1"/>
          <w:color w:val="auto"/>
        </w:rPr>
        <w:t>Accounting Standards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Enterprises No.36 – Disclosure of Affiliates </w:t>
      </w:r>
      <w:r>
        <w:rPr>
          <w:rFonts w:ascii="Arial" w:cs="Arial" w:eastAsia="Arial" w:hAnsi="Arial"/>
          <w:sz w:val="16"/>
          <w:szCs w:val="16"/>
          <w:color w:val="auto"/>
        </w:rPr>
        <w:t>(CK [2006] No.3) published by the Ministry of Finance, as well as its subsequent revisions.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Use of Line of Credit</w:t>
      </w:r>
    </w:p>
    <w:p>
      <w:pPr>
        <w:spacing w:after="0" w:line="224" w:lineRule="exact"/>
        <w:rPr>
          <w:sz w:val="20"/>
          <w:szCs w:val="20"/>
          <w:color w:val="auto"/>
        </w:rPr>
      </w:pPr>
    </w:p>
    <w:p>
      <w:pPr>
        <w:ind w:firstLine="320"/>
        <w:spacing w:after="0" w:line="300" w:lineRule="auto"/>
        <w:rPr>
          <w:sz w:val="20"/>
          <w:szCs w:val="20"/>
          <w:color w:val="auto"/>
        </w:rPr>
      </w:pPr>
      <w:r>
        <w:rPr>
          <w:rFonts w:ascii="Arial" w:cs="Arial" w:eastAsia="Arial" w:hAnsi="Arial"/>
          <w:sz w:val="17"/>
          <w:szCs w:val="17"/>
          <w:color w:val="auto"/>
        </w:rPr>
        <w:t xml:space="preserve">2.1 Each time when needing to use the line of credit, the borrower should submit the application to the loaner at least 5 business days in advance. The borrower should fill in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to obtain the approval by the loaner before using the line of credit.</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▲▲2.2 Use of the line of credit must meeting following conditions:</w:t>
      </w:r>
    </w:p>
    <w:p>
      <w:pPr>
        <w:spacing w:after="0" w:line="220" w:lineRule="exact"/>
        <w:rPr>
          <w:sz w:val="20"/>
          <w:szCs w:val="20"/>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Balance of loan (under the revolving line of credit) or total loan (under the one-time line of credit) is within the line of credit;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Amount of applied loan is within the balance of line of credit;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Application date and issuance date are within the period of line of credit;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Period of loan and maturity date of loan comply with this contract;</w:t>
      </w:r>
    </w:p>
    <w:p>
      <w:pPr>
        <w:spacing w:after="0" w:line="219" w:lineRule="exact"/>
        <w:rPr>
          <w:rFonts w:ascii="Arial" w:cs="Arial" w:eastAsia="Arial" w:hAnsi="Arial"/>
          <w:sz w:val="18"/>
          <w:szCs w:val="18"/>
          <w:color w:val="auto"/>
        </w:rPr>
      </w:pPr>
    </w:p>
    <w:p>
      <w:pPr>
        <w:ind w:firstLine="327"/>
        <w:spacing w:after="0" w:line="270" w:lineRule="auto"/>
        <w:tabs>
          <w:tab w:leader="none" w:pos="57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74" w:lineRule="exact"/>
        <w:rPr>
          <w:rFonts w:ascii="Arial" w:cs="Arial" w:eastAsia="Arial" w:hAnsi="Arial"/>
          <w:sz w:val="18"/>
          <w:szCs w:val="18"/>
          <w:color w:val="auto"/>
        </w:rPr>
      </w:pPr>
    </w:p>
    <w:p>
      <w:pPr>
        <w:ind w:firstLine="327"/>
        <w:spacing w:after="0" w:line="270" w:lineRule="auto"/>
        <w:tabs>
          <w:tab w:leader="none" w:pos="57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serious adverse change occurs in the operation status or financial status of the borrower after this contract takes effect;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Application by the borrower meets relevant rules and regulations of the loaner;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does not violate this contract;</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Payment mode of the loan meets this contract and if the loaner is entrusted to make the payment, the loaner should agree with the payment;</w:t>
      </w:r>
    </w:p>
    <w:p>
      <w:pPr>
        <w:spacing w:after="0" w:line="231" w:lineRule="exact"/>
        <w:rPr>
          <w:rFonts w:ascii="Arial" w:cs="Arial" w:eastAsia="Arial" w:hAnsi="Arial"/>
          <w:sz w:val="17"/>
          <w:szCs w:val="17"/>
          <w:color w:val="auto"/>
        </w:rPr>
      </w:pPr>
    </w:p>
    <w:p>
      <w:pPr>
        <w:ind w:firstLine="327"/>
        <w:spacing w:after="0" w:line="300" w:lineRule="auto"/>
        <w:tabs>
          <w:tab w:leader="none" w:pos="669"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51" w:lineRule="exact"/>
        <w:rPr>
          <w:rFonts w:ascii="Arial" w:cs="Arial" w:eastAsia="Arial" w:hAnsi="Arial"/>
          <w:sz w:val="17"/>
          <w:szCs w:val="17"/>
          <w:color w:val="auto"/>
        </w:rPr>
      </w:pPr>
    </w:p>
    <w:p>
      <w:pPr>
        <w:ind w:left="660" w:hanging="333"/>
        <w:spacing w:after="0"/>
        <w:tabs>
          <w:tab w:leader="none" w:pos="66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borrower has appointed the dedicated fund withdrawal account as required by the loaner and has signed the account management agreement.</w:t>
      </w:r>
    </w:p>
    <w:p>
      <w:pPr>
        <w:spacing w:after="0" w:line="24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▲▲2.3 If the loaner agrees to issue the loan, the final issuance information should be subject to the column of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printed by the bank.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should be regarded as the </w:t>
      </w:r>
      <w:r>
        <w:rPr>
          <w:rFonts w:ascii="Arial" w:cs="Arial" w:eastAsia="Arial" w:hAnsi="Arial"/>
          <w:sz w:val="18"/>
          <w:szCs w:val="18"/>
          <w:i w:val="1"/>
          <w:iCs w:val="1"/>
          <w:color w:val="auto"/>
        </w:rPr>
        <w:t>Loan Certificate</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 xml:space="preserve">▲▲2.4 If the currency of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4" w:name="page345"/>
    <w:bookmarkEnd w:id="344"/>
    <w:p>
      <w:pPr>
        <w:jc w:val="both"/>
        <w:ind w:firstLine="320"/>
        <w:spacing w:after="0" w:line="258" w:lineRule="auto"/>
        <w:rPr>
          <w:sz w:val="20"/>
          <w:szCs w:val="20"/>
          <w:color w:val="auto"/>
        </w:rPr>
      </w:pPr>
      <w:r>
        <w:rPr>
          <w:rFonts w:ascii="Arial" w:cs="Arial" w:eastAsia="Arial" w:hAnsi="Arial"/>
          <w:sz w:val="18"/>
          <w:szCs w:val="18"/>
          <w:color w:val="auto"/>
        </w:rPr>
        <w:t xml:space="preserve">▲▲2.5 After the borrower becomes the shareholder of the guarantor or the “actual controller” defined by the </w:t>
      </w:r>
      <w:r>
        <w:rPr>
          <w:rFonts w:ascii="Arial" w:cs="Arial" w:eastAsia="Arial" w:hAnsi="Arial"/>
          <w:sz w:val="18"/>
          <w:szCs w:val="18"/>
          <w:i w:val="1"/>
          <w:iCs w:val="1"/>
          <w:color w:val="auto"/>
        </w:rPr>
        <w:t>Company Law</w:t>
      </w:r>
      <w:r>
        <w:rPr>
          <w:rFonts w:ascii="Arial" w:cs="Arial" w:eastAsia="Arial" w:hAnsi="Arial"/>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Interest Rate and Payment of Interest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Basic regulations on determining the interest rate</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spacing w:after="0" w:line="188" w:lineRule="exact"/>
        <w:rPr>
          <w:sz w:val="20"/>
          <w:szCs w:val="20"/>
          <w:color w:val="auto"/>
        </w:rPr>
      </w:pPr>
    </w:p>
    <w:p>
      <w:pPr>
        <w:jc w:val="both"/>
        <w:ind w:firstLine="320"/>
        <w:spacing w:after="0" w:line="287" w:lineRule="auto"/>
        <w:rPr>
          <w:sz w:val="20"/>
          <w:szCs w:val="20"/>
          <w:color w:val="auto"/>
        </w:rPr>
      </w:pPr>
      <w:r>
        <w:rPr>
          <w:rFonts w:ascii="Arial" w:cs="Arial" w:eastAsia="Arial" w:hAnsi="Arial"/>
          <w:sz w:val="16"/>
          <w:szCs w:val="16"/>
          <w:color w:val="auto"/>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spacing w:after="0" w:line="168"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 Interest rate of loan</w:t>
      </w:r>
    </w:p>
    <w:p>
      <w:pPr>
        <w:spacing w:after="0" w:line="22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3.3 Adjustment of interest rate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3.3.1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fixed, such interest rate should apply to the loan within the period of loan.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5" w:name="page346"/>
    <w:bookmarkEnd w:id="345"/>
    <w:p>
      <w:pPr>
        <w:jc w:val="both"/>
        <w:ind w:firstLine="320"/>
        <w:spacing w:after="0" w:line="255" w:lineRule="auto"/>
        <w:rPr>
          <w:sz w:val="20"/>
          <w:szCs w:val="20"/>
          <w:color w:val="auto"/>
        </w:rPr>
      </w:pPr>
      <w:r>
        <w:rPr>
          <w:rFonts w:ascii="Arial" w:cs="Arial" w:eastAsia="Arial" w:hAnsi="Arial"/>
          <w:sz w:val="18"/>
          <w:szCs w:val="18"/>
          <w:color w:val="auto"/>
        </w:rPr>
        <w:t xml:space="preserve">▲▲3.3.2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and the adjusted interest rate should apply since the interest rate adjustment date.</w:t>
      </w:r>
    </w:p>
    <w:p>
      <w:pPr>
        <w:spacing w:after="0" w:line="18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8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spacing w:after="0" w:line="190"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▲▲3.3.4 Both parties may adjust the fluctuation extent or increase (decrease) value of the corresponding loan interest rate through negotiation at each adjustment date of loan interest rate.</w:t>
      </w:r>
    </w:p>
    <w:p>
      <w:pPr>
        <w:spacing w:after="0" w:line="17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 Calculation of interest</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pricing benchmark is the loan market quoted rate (LPR), the pricing benchmark value applicable to T day is the latest published loan market quoted rate (LPR) value before T day.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6" w:name="page347"/>
    <w:bookmarkEnd w:id="346"/>
    <w:p>
      <w:pPr>
        <w:jc w:val="both"/>
        <w:ind w:firstLine="320"/>
        <w:spacing w:after="0" w:line="289" w:lineRule="auto"/>
        <w:rPr>
          <w:sz w:val="20"/>
          <w:szCs w:val="20"/>
          <w:color w:val="auto"/>
        </w:rPr>
      </w:pPr>
      <w:r>
        <w:rPr>
          <w:rFonts w:ascii="Arial" w:cs="Arial" w:eastAsia="Arial" w:hAnsi="Arial"/>
          <w:sz w:val="16"/>
          <w:szCs w:val="16"/>
          <w:color w:val="auto"/>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spacing w:after="0" w:line="165"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spacing w:after="0" w:line="18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spacing w:after="0" w:line="19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3.5.2 Normal interest=interest rate agreed herein × Loan amount × Number of days occupied.</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spacing w:after="0" w:line="186"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3.5.4 If there are many decimal places of interest/penalty interest calculated, the lender will retain two decimal places according to the rounding method.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7" w:name="page348"/>
    <w:bookmarkEnd w:id="347"/>
    <w:p>
      <w:pPr>
        <w:jc w:val="both"/>
        <w:ind w:firstLine="320"/>
        <w:spacing w:after="0" w:line="270" w:lineRule="auto"/>
        <w:rPr>
          <w:sz w:val="20"/>
          <w:szCs w:val="20"/>
          <w:color w:val="auto"/>
        </w:rPr>
      </w:pPr>
      <w:r>
        <w:rPr>
          <w:rFonts w:ascii="Arial" w:cs="Arial" w:eastAsia="Arial" w:hAnsi="Arial"/>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Payment of Loan</w:t>
      </w:r>
    </w:p>
    <w:p>
      <w:pPr>
        <w:spacing w:after="0" w:line="22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90"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amount of a single payment is beyond the limit of the independent payment or any condition specified in Article 19.3, the mode of entrusted payment should apply.</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 xml:space="preserve">When choosing the mode of entrusted payment by the loaner, the borrower should submit the loaner with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0" w:lineRule="exact"/>
        <w:rPr>
          <w:sz w:val="20"/>
          <w:szCs w:val="20"/>
          <w:color w:val="auto"/>
        </w:rPr>
      </w:pPr>
    </w:p>
    <w:p>
      <w:pPr>
        <w:ind w:firstLine="327"/>
        <w:spacing w:after="0" w:line="270" w:lineRule="auto"/>
        <w:tabs>
          <w:tab w:leader="none" w:pos="71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74" w:lineRule="exact"/>
        <w:rPr>
          <w:rFonts w:ascii="Arial" w:cs="Arial" w:eastAsia="Arial" w:hAnsi="Arial"/>
          <w:sz w:val="18"/>
          <w:szCs w:val="18"/>
          <w:color w:val="auto"/>
        </w:rPr>
      </w:pPr>
    </w:p>
    <w:p>
      <w:pPr>
        <w:jc w:val="both"/>
        <w:ind w:firstLine="327"/>
        <w:spacing w:after="0" w:line="258" w:lineRule="auto"/>
        <w:tabs>
          <w:tab w:leader="none" w:pos="77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 xml:space="preserve">When choosing the mode of independent payment by the borrower, the borrower should submit the loaner with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color w:val="auto"/>
        </w:rPr>
        <w:t>Article 5. Repayment of Loan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5.1 The borrower should make the repayment according to the date and amount specified in the corresponding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▲▲5.2 Without the written consent from the loaner, the borrower may not repay the loan in advance.</w:t>
      </w:r>
    </w:p>
    <w:p>
      <w:pPr>
        <w:spacing w:after="0" w:line="220"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 xml:space="preserve">▲▲5.3 The repayment schedule of principal and interest agreed by the borrower and the loaner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▲▲5.4 When the amount repaid by the borrower is insufficient to cover all the debt of the borrower:</w:t>
      </w:r>
    </w:p>
    <w:p>
      <w:pPr>
        <w:spacing w:after="0" w:line="220" w:lineRule="exact"/>
        <w:rPr>
          <w:sz w:val="20"/>
          <w:szCs w:val="20"/>
          <w:color w:val="auto"/>
        </w:rPr>
      </w:pPr>
    </w:p>
    <w:p>
      <w:pPr>
        <w:jc w:val="both"/>
        <w:ind w:firstLine="327"/>
        <w:spacing w:after="0" w:line="255" w:lineRule="auto"/>
        <w:tabs>
          <w:tab w:leader="none" w:pos="57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87" w:lineRule="exact"/>
        <w:rPr>
          <w:rFonts w:ascii="Arial" w:cs="Arial" w:eastAsia="Arial" w:hAnsi="Arial"/>
          <w:sz w:val="18"/>
          <w:szCs w:val="18"/>
          <w:color w:val="auto"/>
        </w:rPr>
      </w:pPr>
    </w:p>
    <w:p>
      <w:pPr>
        <w:jc w:val="both"/>
        <w:ind w:firstLine="327"/>
        <w:spacing w:after="0" w:line="281" w:lineRule="auto"/>
        <w:tabs>
          <w:tab w:leader="none" w:pos="57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 and Guarantee of Borrower</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6.1 The borrower is legally incorporated and surviving, possesses all the necessary capacities, perform obligations under this contract it its own name and assumes civil liabilities.</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 Signing and performing this contract are the true intention of the borrower that they must obtain all the necessary approvals, permissions and authorizations to contain no legal defect.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9" w:name="page350"/>
    <w:bookmarkEnd w:id="349"/>
    <w:p>
      <w:pPr>
        <w:jc w:val="both"/>
        <w:ind w:firstLine="327"/>
        <w:spacing w:after="0" w:line="253" w:lineRule="auto"/>
        <w:tabs>
          <w:tab w:leader="none" w:pos="76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spacing w:after="0" w:line="19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6.7 According to the lender’s environmental and social risk assessment standards, if the borrower is a customer with environmental and social risks classified as A or B, the borrower promises:</w:t>
      </w:r>
    </w:p>
    <w:p>
      <w:pPr>
        <w:spacing w:after="0" w:line="175" w:lineRule="exact"/>
        <w:rPr>
          <w:sz w:val="20"/>
          <w:szCs w:val="20"/>
          <w:color w:val="auto"/>
        </w:rPr>
      </w:pPr>
    </w:p>
    <w:p>
      <w:pPr>
        <w:ind w:firstLine="327"/>
        <w:spacing w:after="0" w:line="270" w:lineRule="auto"/>
        <w:tabs>
          <w:tab w:leader="none" w:pos="59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borrower’s internal management documents related to environmental and social risks comply with laws and regulations and are effectively implemented;</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has no major litigation cases involving environmental and social risks;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behaviors and performances of the borrower related to environmental and social risks are compliant.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Rights and Obligations of Loaner</w:t>
      </w:r>
    </w:p>
    <w:p>
      <w:pPr>
        <w:spacing w:after="0" w:line="224" w:lineRule="exact"/>
        <w:rPr>
          <w:sz w:val="20"/>
          <w:szCs w:val="20"/>
          <w:color w:val="auto"/>
        </w:rPr>
      </w:pPr>
    </w:p>
    <w:p>
      <w:pPr>
        <w:jc w:val="both"/>
        <w:ind w:right="20" w:firstLine="320"/>
        <w:spacing w:after="0" w:line="258" w:lineRule="auto"/>
        <w:rPr>
          <w:sz w:val="20"/>
          <w:szCs w:val="20"/>
          <w:color w:val="auto"/>
        </w:rPr>
      </w:pPr>
      <w:r>
        <w:rPr>
          <w:rFonts w:ascii="Arial" w:cs="Arial" w:eastAsia="Arial" w:hAnsi="Arial"/>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86"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8" w:lineRule="exact"/>
        <w:rPr>
          <w:sz w:val="20"/>
          <w:szCs w:val="20"/>
          <w:color w:val="auto"/>
        </w:rPr>
      </w:pPr>
    </w:p>
    <w:p>
      <w:pPr>
        <w:jc w:val="both"/>
        <w:ind w:firstLine="327"/>
        <w:spacing w:after="0" w:line="255" w:lineRule="auto"/>
        <w:tabs>
          <w:tab w:leader="none" w:pos="72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Obligations of Borrower</w:t>
      </w:r>
    </w:p>
    <w:p>
      <w:pPr>
        <w:spacing w:after="0" w:line="224"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0" w:name="page351"/>
    <w:bookmarkEnd w:id="350"/>
    <w:p>
      <w:pPr>
        <w:jc w:val="both"/>
        <w:ind w:firstLine="320"/>
        <w:spacing w:after="0" w:line="258" w:lineRule="auto"/>
        <w:rPr>
          <w:sz w:val="20"/>
          <w:szCs w:val="20"/>
          <w:color w:val="auto"/>
        </w:rPr>
      </w:pPr>
      <w:r>
        <w:rPr>
          <w:rFonts w:ascii="Arial" w:cs="Arial" w:eastAsia="Arial" w:hAnsi="Arial"/>
          <w:sz w:val="18"/>
          <w:szCs w:val="18"/>
          <w:color w:val="auto"/>
        </w:rPr>
        <w:t xml:space="preserve">8.2 The borrower should use the line of credit for the purpose specified in this contract and use the loan for the purpose specified in the corresponding </w:t>
      </w:r>
      <w:r>
        <w:rPr>
          <w:rFonts w:ascii="Arial" w:cs="Arial" w:eastAsia="Arial" w:hAnsi="Arial"/>
          <w:sz w:val="18"/>
          <w:szCs w:val="18"/>
          <w:i w:val="1"/>
          <w:iCs w:val="1"/>
          <w:color w:val="auto"/>
        </w:rPr>
        <w:t xml:space="preserve">Application for Use of Line of Credit </w:t>
      </w:r>
      <w:r>
        <w:rPr>
          <w:rFonts w:ascii="Arial" w:cs="Arial" w:eastAsia="Arial" w:hAnsi="Arial"/>
          <w:sz w:val="18"/>
          <w:szCs w:val="18"/>
          <w:color w:val="auto"/>
        </w:rPr>
        <w:t>but may not embezzle the loan for any other purpose, or the investment in fixed assets, equity or any production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prohibited by the government.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spacing w:after="0" w:line="186"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the loan fund payment involves cross-border payment, the loan fund payment may be handled through the SWIFT system or other systems.</w:t>
      </w:r>
    </w:p>
    <w:p>
      <w:pPr>
        <w:spacing w:after="0" w:line="23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88"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52" w:lineRule="exact"/>
        <w:rPr>
          <w:sz w:val="20"/>
          <w:szCs w:val="20"/>
          <w:color w:val="auto"/>
        </w:rPr>
      </w:pPr>
    </w:p>
    <w:p>
      <w:pPr>
        <w:ind w:left="580" w:hanging="253"/>
        <w:spacing w:after="0"/>
        <w:tabs>
          <w:tab w:leader="none" w:pos="58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The borrower sells, presents, leases, lends, transfers, mortgages, pledges or disposes in any other manner all or a large part of the assets or important</w:t>
      </w:r>
    </w:p>
    <w:p>
      <w:pPr>
        <w:spacing w:after="0" w:line="6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assets;</w:t>
      </w:r>
    </w:p>
    <w:p>
      <w:pPr>
        <w:spacing w:after="0" w:line="206" w:lineRule="exact"/>
        <w:rPr>
          <w:rFonts w:ascii="Arial" w:cs="Arial" w:eastAsia="Arial" w:hAnsi="Arial"/>
          <w:sz w:val="14"/>
          <w:szCs w:val="14"/>
          <w:color w:val="auto"/>
        </w:rPr>
      </w:pPr>
    </w:p>
    <w:p>
      <w:pPr>
        <w:jc w:val="both"/>
        <w:ind w:firstLine="327"/>
        <w:spacing w:after="0" w:line="258" w:lineRule="auto"/>
        <w:tabs>
          <w:tab w:leader="none" w:pos="59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86" w:lineRule="exact"/>
        <w:rPr>
          <w:rFonts w:ascii="Arial" w:cs="Arial" w:eastAsia="Arial" w:hAnsi="Arial"/>
          <w:sz w:val="18"/>
          <w:szCs w:val="18"/>
          <w:color w:val="auto"/>
        </w:rPr>
      </w:pPr>
    </w:p>
    <w:p>
      <w:pPr>
        <w:ind w:left="580" w:hanging="253"/>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external investment or increase of debt financing of the borrower exceeds the agreed limit.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1" w:name="page352"/>
    <w:bookmarkEnd w:id="351"/>
    <w:p>
      <w:pPr>
        <w:ind w:firstLine="320"/>
        <w:spacing w:after="0" w:line="270" w:lineRule="auto"/>
        <w:rPr>
          <w:sz w:val="20"/>
          <w:szCs w:val="20"/>
          <w:color w:val="auto"/>
        </w:rPr>
      </w:pPr>
      <w:r>
        <w:rPr>
          <w:rFonts w:ascii="Arial" w:cs="Arial" w:eastAsia="Arial" w:hAnsi="Arial"/>
          <w:sz w:val="18"/>
          <w:szCs w:val="18"/>
          <w:color w:val="auto"/>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spacing w:after="0" w:line="175" w:lineRule="exact"/>
        <w:rPr>
          <w:sz w:val="20"/>
          <w:szCs w:val="20"/>
          <w:color w:val="auto"/>
        </w:rPr>
      </w:pPr>
    </w:p>
    <w:p>
      <w:pPr>
        <w:ind w:firstLine="327"/>
        <w:spacing w:after="0" w:line="270" w:lineRule="auto"/>
        <w:tabs>
          <w:tab w:leader="none" w:pos="57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its affiliate or guarantor plans to apply for bankruptcy or may be or has been applied by the creditor for bankruptcy;</w:t>
      </w:r>
    </w:p>
    <w:p>
      <w:pPr>
        <w:spacing w:after="0" w:line="219" w:lineRule="exact"/>
        <w:rPr>
          <w:rFonts w:ascii="Arial" w:cs="Arial" w:eastAsia="Arial" w:hAnsi="Arial"/>
          <w:sz w:val="18"/>
          <w:szCs w:val="18"/>
          <w:color w:val="auto"/>
        </w:rPr>
      </w:pPr>
    </w:p>
    <w:p>
      <w:pPr>
        <w:jc w:val="both"/>
        <w:ind w:firstLine="327"/>
        <w:spacing w:after="0" w:line="258" w:lineRule="auto"/>
        <w:tabs>
          <w:tab w:leader="none" w:pos="58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86" w:lineRule="exact"/>
        <w:rPr>
          <w:rFonts w:ascii="Arial" w:cs="Arial" w:eastAsia="Arial" w:hAnsi="Arial"/>
          <w:sz w:val="18"/>
          <w:szCs w:val="18"/>
          <w:color w:val="auto"/>
        </w:rPr>
      </w:pPr>
    </w:p>
    <w:p>
      <w:pPr>
        <w:ind w:firstLine="327"/>
        <w:spacing w:after="0" w:line="270" w:lineRule="auto"/>
        <w:tabs>
          <w:tab w:leader="none" w:pos="59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provides any guarantee to any third party to affect its economic status, financial status or capability in performing obligations under this contract significantly;</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enters into any contract with significant influence on its operation and financial status;</w:t>
      </w:r>
    </w:p>
    <w:p>
      <w:pPr>
        <w:spacing w:after="0" w:line="219" w:lineRule="exact"/>
        <w:rPr>
          <w:rFonts w:ascii="Arial" w:cs="Arial" w:eastAsia="Arial" w:hAnsi="Arial"/>
          <w:sz w:val="18"/>
          <w:szCs w:val="18"/>
          <w:color w:val="auto"/>
        </w:rPr>
      </w:pPr>
    </w:p>
    <w:p>
      <w:pPr>
        <w:ind w:firstLine="327"/>
        <w:spacing w:after="0" w:line="270" w:lineRule="auto"/>
        <w:tabs>
          <w:tab w:leader="none" w:pos="57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its affiliate or guarantor is shut down, closed, dissolved, suspended, cancelled, or the business license is withdrawn;</w:t>
      </w:r>
    </w:p>
    <w:p>
      <w:pPr>
        <w:spacing w:after="0" w:line="219" w:lineRule="exact"/>
        <w:rPr>
          <w:rFonts w:ascii="Arial" w:cs="Arial" w:eastAsia="Arial" w:hAnsi="Arial"/>
          <w:sz w:val="18"/>
          <w:szCs w:val="18"/>
          <w:color w:val="auto"/>
        </w:rPr>
      </w:pPr>
    </w:p>
    <w:p>
      <w:pPr>
        <w:ind w:firstLine="327"/>
        <w:spacing w:after="0" w:line="300" w:lineRule="auto"/>
        <w:tabs>
          <w:tab w:leader="none" w:pos="6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51" w:lineRule="exact"/>
        <w:rPr>
          <w:rFonts w:ascii="Arial" w:cs="Arial" w:eastAsia="Arial" w:hAnsi="Arial"/>
          <w:sz w:val="17"/>
          <w:szCs w:val="17"/>
          <w:color w:val="auto"/>
        </w:rPr>
      </w:pPr>
    </w:p>
    <w:p>
      <w:pPr>
        <w:ind w:firstLine="327"/>
        <w:spacing w:after="0" w:line="270" w:lineRule="auto"/>
        <w:tabs>
          <w:tab w:leader="none" w:pos="5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There is any affiliated transaction and its amount reaches or exceeds 10% of the latest audited net assets;</w:t>
      </w:r>
    </w:p>
    <w:p>
      <w:pPr>
        <w:spacing w:after="0" w:line="219" w:lineRule="exact"/>
        <w:rPr>
          <w:rFonts w:ascii="Arial" w:cs="Arial" w:eastAsia="Arial" w:hAnsi="Arial"/>
          <w:sz w:val="18"/>
          <w:szCs w:val="18"/>
          <w:color w:val="auto"/>
        </w:rPr>
      </w:pPr>
    </w:p>
    <w:p>
      <w:pPr>
        <w:ind w:firstLine="327"/>
        <w:spacing w:after="0" w:line="270" w:lineRule="auto"/>
        <w:tabs>
          <w:tab w:leader="none" w:pos="66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Before repaying all the debts under this contract, the borrower becomes or may become the shareholder or the “actual controller” defined by the </w:t>
      </w:r>
      <w:r>
        <w:rPr>
          <w:rFonts w:ascii="Arial" w:cs="Arial" w:eastAsia="Arial" w:hAnsi="Arial"/>
          <w:sz w:val="18"/>
          <w:szCs w:val="18"/>
          <w:i w:val="1"/>
          <w:iCs w:val="1"/>
          <w:color w:val="auto"/>
        </w:rPr>
        <w:t xml:space="preserve">Company Law </w:t>
      </w:r>
      <w:r>
        <w:rPr>
          <w:rFonts w:ascii="Arial" w:cs="Arial" w:eastAsia="Arial" w:hAnsi="Arial"/>
          <w:sz w:val="18"/>
          <w:szCs w:val="18"/>
          <w:color w:val="auto"/>
        </w:rPr>
        <w:t>of the guarantor;</w:t>
      </w:r>
    </w:p>
    <w:p>
      <w:pPr>
        <w:spacing w:after="0" w:line="174" w:lineRule="exact"/>
        <w:rPr>
          <w:rFonts w:ascii="Arial" w:cs="Arial" w:eastAsia="Arial" w:hAnsi="Arial"/>
          <w:sz w:val="18"/>
          <w:szCs w:val="18"/>
          <w:color w:val="auto"/>
        </w:rPr>
      </w:pPr>
    </w:p>
    <w:p>
      <w:pPr>
        <w:ind w:firstLine="327"/>
        <w:spacing w:after="0" w:line="270" w:lineRule="auto"/>
        <w:tabs>
          <w:tab w:leader="none" w:pos="6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causes any liability accident or is made public by the media by violating any law, rule, regulation, national policy or industrial standard;</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encounters any safety or environment protection accident;</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relationship between the affiliate and the borrower is changed;</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or its affiliate encounters any significant equity change;</w:t>
      </w:r>
    </w:p>
    <w:p>
      <w:pPr>
        <w:spacing w:after="0" w:line="219" w:lineRule="exact"/>
        <w:rPr>
          <w:rFonts w:ascii="Arial" w:cs="Arial" w:eastAsia="Arial" w:hAnsi="Arial"/>
          <w:sz w:val="18"/>
          <w:szCs w:val="18"/>
          <w:color w:val="auto"/>
        </w:rPr>
      </w:pPr>
    </w:p>
    <w:p>
      <w:pPr>
        <w:ind w:left="660" w:hanging="33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opinion issued by the external audit of the borrower on its financial statements is not the standard unreserved opinion;</w:t>
      </w:r>
    </w:p>
    <w:p>
      <w:pPr>
        <w:spacing w:after="0" w:line="219" w:lineRule="exact"/>
        <w:rPr>
          <w:rFonts w:ascii="Arial" w:cs="Arial" w:eastAsia="Arial" w:hAnsi="Arial"/>
          <w:sz w:val="18"/>
          <w:szCs w:val="18"/>
          <w:color w:val="auto"/>
        </w:rPr>
      </w:pPr>
    </w:p>
    <w:p>
      <w:pPr>
        <w:ind w:firstLine="327"/>
        <w:spacing w:after="0" w:line="270" w:lineRule="auto"/>
        <w:tabs>
          <w:tab w:leader="none" w:pos="67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with other similar measures by the competent authority as it violates the law or rule and/or regulatory requirement;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2" w:name="page353"/>
    <w:bookmarkEnd w:id="352"/>
    <w:p>
      <w:pPr>
        <w:ind w:firstLine="327"/>
        <w:spacing w:after="0" w:line="270" w:lineRule="auto"/>
        <w:tabs>
          <w:tab w:leader="none" w:pos="67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borrower or its affiliate is listed to be sanctioned by the UN, EU or US, or the country or area where the borrower or its affiliate resides in is listed to be sanctioned by the UN, EU or US;</w:t>
      </w:r>
    </w:p>
    <w:p>
      <w:pPr>
        <w:spacing w:after="0" w:line="174" w:lineRule="exact"/>
        <w:rPr>
          <w:rFonts w:ascii="Arial" w:cs="Arial" w:eastAsia="Arial" w:hAnsi="Arial"/>
          <w:sz w:val="18"/>
          <w:szCs w:val="18"/>
          <w:color w:val="auto"/>
        </w:rPr>
      </w:pPr>
    </w:p>
    <w:p>
      <w:pPr>
        <w:ind w:left="660" w:hanging="333"/>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There is any other event with serious adverse influence on the solvency of the borrower or its affiliate.</w:t>
      </w:r>
    </w:p>
    <w:p>
      <w:pPr>
        <w:spacing w:after="0" w:line="219" w:lineRule="exact"/>
        <w:rPr>
          <w:rFonts w:ascii="Arial" w:cs="Arial" w:eastAsia="Arial" w:hAnsi="Arial"/>
          <w:sz w:val="18"/>
          <w:szCs w:val="18"/>
          <w:color w:val="auto"/>
        </w:rPr>
      </w:pPr>
    </w:p>
    <w:p>
      <w:pPr>
        <w:ind w:right="20" w:firstLine="327"/>
        <w:spacing w:after="0" w:line="270" w:lineRule="auto"/>
        <w:tabs>
          <w:tab w:leader="none" w:pos="67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According to the lender’s environmental and social risk assessment standards, if the borrower is a customer with environmental and social risks classified as A or B, the borrower has or may have any of the following events:</w:t>
      </w:r>
    </w:p>
    <w:p>
      <w:pPr>
        <w:spacing w:after="0" w:line="175" w:lineRule="exact"/>
        <w:rPr>
          <w:sz w:val="20"/>
          <w:szCs w:val="20"/>
          <w:color w:val="auto"/>
        </w:rPr>
      </w:pPr>
    </w:p>
    <w:p>
      <w:pPr>
        <w:ind w:left="520" w:hanging="193"/>
        <w:spacing w:after="0"/>
        <w:tabs>
          <w:tab w:leader="none" w:pos="520" w:val="left"/>
        </w:tabs>
        <w:numPr>
          <w:ilvl w:val="0"/>
          <w:numId w:val="335"/>
        </w:numPr>
        <w:rPr>
          <w:rFonts w:ascii="MS PGothic" w:cs="MS PGothic" w:eastAsia="MS PGothic" w:hAnsi="MS PGothic"/>
          <w:sz w:val="16"/>
          <w:szCs w:val="16"/>
          <w:color w:val="auto"/>
        </w:rPr>
      </w:pPr>
      <w:r>
        <w:rPr>
          <w:rFonts w:ascii="Arial" w:cs="Arial" w:eastAsia="Arial" w:hAnsi="Arial"/>
          <w:sz w:val="16"/>
          <w:szCs w:val="16"/>
          <w:color w:val="auto"/>
        </w:rPr>
        <w:t>Various permits, approvals and approvals related to environment, society and risks during commencement, construction, operation and shutdown;</w:t>
      </w:r>
    </w:p>
    <w:p>
      <w:pPr>
        <w:spacing w:after="0" w:line="243" w:lineRule="exact"/>
        <w:rPr>
          <w:sz w:val="20"/>
          <w:szCs w:val="20"/>
          <w:color w:val="auto"/>
        </w:rPr>
      </w:pPr>
    </w:p>
    <w:p>
      <w:pPr>
        <w:ind w:firstLine="327"/>
        <w:spacing w:after="0" w:line="270" w:lineRule="auto"/>
        <w:tabs>
          <w:tab w:leader="none" w:pos="531" w:val="left"/>
        </w:tabs>
        <w:numPr>
          <w:ilvl w:val="0"/>
          <w:numId w:val="336"/>
        </w:numPr>
        <w:rPr>
          <w:rFonts w:ascii="MS PGothic" w:cs="MS PGothic" w:eastAsia="MS PGothic" w:hAnsi="MS PGothic"/>
          <w:sz w:val="18"/>
          <w:szCs w:val="18"/>
          <w:color w:val="auto"/>
        </w:rPr>
      </w:pPr>
      <w:r>
        <w:rPr>
          <w:rFonts w:ascii="Arial" w:cs="Arial" w:eastAsia="Arial" w:hAnsi="Arial"/>
          <w:sz w:val="18"/>
          <w:szCs w:val="18"/>
          <w:color w:val="auto"/>
        </w:rPr>
        <w:t>The assessment and inspection of the environmental and social risks of the borrower by the environmental and social risk regulatory authority or its recognized institution;</w:t>
      </w:r>
    </w:p>
    <w:p>
      <w:pPr>
        <w:spacing w:after="0" w:line="175" w:lineRule="exact"/>
        <w:rPr>
          <w:sz w:val="20"/>
          <w:szCs w:val="20"/>
          <w:color w:val="auto"/>
        </w:rPr>
      </w:pPr>
    </w:p>
    <w:p>
      <w:pPr>
        <w:ind w:left="540" w:hanging="213"/>
        <w:spacing w:after="0"/>
        <w:tabs>
          <w:tab w:leader="none" w:pos="540" w:val="left"/>
        </w:tabs>
        <w:numPr>
          <w:ilvl w:val="0"/>
          <w:numId w:val="337"/>
        </w:numPr>
        <w:rPr>
          <w:rFonts w:ascii="MS PGothic" w:cs="MS PGothic" w:eastAsia="MS PGothic" w:hAnsi="MS PGothic"/>
          <w:sz w:val="18"/>
          <w:szCs w:val="18"/>
          <w:color w:val="auto"/>
        </w:rPr>
      </w:pPr>
      <w:r>
        <w:rPr>
          <w:rFonts w:ascii="Arial" w:cs="Arial" w:eastAsia="Arial" w:hAnsi="Arial"/>
          <w:sz w:val="18"/>
          <w:szCs w:val="18"/>
          <w:color w:val="auto"/>
        </w:rPr>
        <w:t>Supporting construction and operation of environmental facilities;</w:t>
      </w:r>
    </w:p>
    <w:p>
      <w:pPr>
        <w:spacing w:after="0" w:line="220" w:lineRule="exact"/>
        <w:rPr>
          <w:sz w:val="20"/>
          <w:szCs w:val="20"/>
          <w:color w:val="auto"/>
        </w:rPr>
      </w:pPr>
    </w:p>
    <w:p>
      <w:pPr>
        <w:ind w:left="540" w:hanging="213"/>
        <w:spacing w:after="0"/>
        <w:tabs>
          <w:tab w:leader="none" w:pos="540" w:val="left"/>
        </w:tabs>
        <w:numPr>
          <w:ilvl w:val="0"/>
          <w:numId w:val="338"/>
        </w:numPr>
        <w:rPr>
          <w:rFonts w:ascii="MS PGothic" w:cs="MS PGothic" w:eastAsia="MS PGothic" w:hAnsi="MS PGothic"/>
          <w:sz w:val="18"/>
          <w:szCs w:val="18"/>
          <w:color w:val="auto"/>
        </w:rPr>
      </w:pPr>
      <w:r>
        <w:rPr>
          <w:rFonts w:ascii="Arial" w:cs="Arial" w:eastAsia="Arial" w:hAnsi="Arial"/>
          <w:sz w:val="18"/>
          <w:szCs w:val="18"/>
          <w:color w:val="auto"/>
        </w:rPr>
        <w:t>Discharge and compliance of pollutants;</w:t>
      </w:r>
    </w:p>
    <w:p>
      <w:pPr>
        <w:spacing w:after="0" w:line="220" w:lineRule="exact"/>
        <w:rPr>
          <w:sz w:val="20"/>
          <w:szCs w:val="20"/>
          <w:color w:val="auto"/>
        </w:rPr>
      </w:pPr>
    </w:p>
    <w:p>
      <w:pPr>
        <w:ind w:left="540" w:hanging="213"/>
        <w:spacing w:after="0"/>
        <w:tabs>
          <w:tab w:leader="none" w:pos="540" w:val="left"/>
        </w:tabs>
        <w:numPr>
          <w:ilvl w:val="0"/>
          <w:numId w:val="339"/>
        </w:numPr>
        <w:rPr>
          <w:rFonts w:ascii="MS PGothic" w:cs="MS PGothic" w:eastAsia="MS PGothic" w:hAnsi="MS PGothic"/>
          <w:sz w:val="18"/>
          <w:szCs w:val="18"/>
          <w:color w:val="auto"/>
        </w:rPr>
      </w:pPr>
      <w:r>
        <w:rPr>
          <w:rFonts w:ascii="Arial" w:cs="Arial" w:eastAsia="Arial" w:hAnsi="Arial"/>
          <w:sz w:val="18"/>
          <w:szCs w:val="18"/>
          <w:color w:val="auto"/>
        </w:rPr>
        <w:t>Safety and health of employees;</w:t>
      </w:r>
    </w:p>
    <w:p>
      <w:pPr>
        <w:spacing w:after="0" w:line="220" w:lineRule="exact"/>
        <w:rPr>
          <w:sz w:val="20"/>
          <w:szCs w:val="20"/>
          <w:color w:val="auto"/>
        </w:rPr>
      </w:pPr>
    </w:p>
    <w:p>
      <w:pPr>
        <w:ind w:left="540" w:hanging="213"/>
        <w:spacing w:after="0"/>
        <w:tabs>
          <w:tab w:leader="none" w:pos="540" w:val="left"/>
        </w:tabs>
        <w:numPr>
          <w:ilvl w:val="0"/>
          <w:numId w:val="340"/>
        </w:numPr>
        <w:rPr>
          <w:rFonts w:ascii="MS PGothic" w:cs="MS PGothic" w:eastAsia="MS PGothic" w:hAnsi="MS PGothic"/>
          <w:sz w:val="18"/>
          <w:szCs w:val="18"/>
          <w:color w:val="auto"/>
        </w:rPr>
      </w:pPr>
      <w:r>
        <w:rPr>
          <w:rFonts w:ascii="Arial" w:cs="Arial" w:eastAsia="Arial" w:hAnsi="Arial"/>
          <w:sz w:val="18"/>
          <w:szCs w:val="18"/>
          <w:color w:val="auto"/>
        </w:rPr>
        <w:t>Major complaints and protests from neighboring communities against the borrower;</w:t>
      </w:r>
    </w:p>
    <w:p>
      <w:pPr>
        <w:spacing w:after="0" w:line="220" w:lineRule="exact"/>
        <w:rPr>
          <w:sz w:val="20"/>
          <w:szCs w:val="20"/>
          <w:color w:val="auto"/>
        </w:rPr>
      </w:pPr>
    </w:p>
    <w:p>
      <w:pPr>
        <w:ind w:left="540" w:hanging="213"/>
        <w:spacing w:after="0"/>
        <w:tabs>
          <w:tab w:leader="none" w:pos="540" w:val="left"/>
        </w:tabs>
        <w:numPr>
          <w:ilvl w:val="0"/>
          <w:numId w:val="341"/>
        </w:numPr>
        <w:rPr>
          <w:rFonts w:ascii="MS PGothic" w:cs="MS PGothic" w:eastAsia="MS PGothic" w:hAnsi="MS PGothic"/>
          <w:sz w:val="18"/>
          <w:szCs w:val="18"/>
          <w:color w:val="auto"/>
        </w:rPr>
      </w:pPr>
      <w:r>
        <w:rPr>
          <w:rFonts w:ascii="Arial" w:cs="Arial" w:eastAsia="Arial" w:hAnsi="Arial"/>
          <w:sz w:val="18"/>
          <w:szCs w:val="18"/>
          <w:color w:val="auto"/>
        </w:rPr>
        <w:t>Major environmental and social claims;</w:t>
      </w:r>
    </w:p>
    <w:p>
      <w:pPr>
        <w:spacing w:after="0" w:line="220" w:lineRule="exact"/>
        <w:rPr>
          <w:sz w:val="20"/>
          <w:szCs w:val="20"/>
          <w:color w:val="auto"/>
        </w:rPr>
      </w:pPr>
    </w:p>
    <w:p>
      <w:pPr>
        <w:ind w:left="540" w:hanging="213"/>
        <w:spacing w:after="0"/>
        <w:tabs>
          <w:tab w:leader="none" w:pos="540" w:val="left"/>
        </w:tabs>
        <w:numPr>
          <w:ilvl w:val="0"/>
          <w:numId w:val="342"/>
        </w:numPr>
        <w:rPr>
          <w:rFonts w:ascii="MS PGothic" w:cs="MS PGothic" w:eastAsia="MS PGothic" w:hAnsi="MS PGothic"/>
          <w:sz w:val="18"/>
          <w:szCs w:val="18"/>
          <w:color w:val="auto"/>
        </w:rPr>
      </w:pPr>
      <w:r>
        <w:rPr>
          <w:rFonts w:ascii="Arial" w:cs="Arial" w:eastAsia="Arial" w:hAnsi="Arial"/>
          <w:sz w:val="18"/>
          <w:szCs w:val="18"/>
          <w:color w:val="auto"/>
        </w:rPr>
        <w:t>Other major circumstances that the lender considers relevant to environmental and social risks.</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▲▲8.7 In case of any change of guarantee under this contract that is adverse to the creditor’s right of the loaner, the borrower should provide other guarantee recognized by the loaner in time.</w:t>
      </w:r>
    </w:p>
    <w:p>
      <w:pPr>
        <w:spacing w:after="0" w:line="175"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7"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50"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3" w:name="page354"/>
    <w:bookmarkEnd w:id="353"/>
    <w:p>
      <w:pPr>
        <w:ind w:firstLine="320"/>
        <w:spacing w:after="0" w:line="270" w:lineRule="auto"/>
        <w:rPr>
          <w:sz w:val="20"/>
          <w:szCs w:val="20"/>
          <w:color w:val="auto"/>
        </w:rPr>
      </w:pPr>
      <w:r>
        <w:rPr>
          <w:rFonts w:ascii="Arial" w:cs="Arial" w:eastAsia="Arial" w:hAnsi="Arial"/>
          <w:sz w:val="18"/>
          <w:szCs w:val="18"/>
          <w:color w:val="auto"/>
        </w:rPr>
        <w:t>8.10 According to the lender’s environmental and social risk assessment standards, if the borrower is a customer with environmental and social risks classified as A or B, the borrower shall assume the following obligations:</w:t>
      </w:r>
    </w:p>
    <w:p>
      <w:pPr>
        <w:spacing w:after="0" w:line="175" w:lineRule="exact"/>
        <w:rPr>
          <w:sz w:val="20"/>
          <w:szCs w:val="20"/>
          <w:color w:val="auto"/>
        </w:rPr>
      </w:pPr>
    </w:p>
    <w:p>
      <w:pPr>
        <w:ind w:firstLine="327"/>
        <w:spacing w:after="0" w:line="270" w:lineRule="auto"/>
        <w:tabs>
          <w:tab w:leader="none" w:pos="61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Establish and improve the internal management system of environmental and social risks, and specify the responsibilities, obligations and punishment measures of relevant responsible personnel of the borrower;</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Establish and improve the emergency response mechanism and measures for environmental and social risk emergencies;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Establish special departments and/or designate special personnel to be responsible for environmental and social risks;</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Cooperate with the lender or a third party recognized by the lender in the assessment and inspection of the borrower’s environmental and social risks;</w:t>
      </w:r>
    </w:p>
    <w:p>
      <w:pPr>
        <w:spacing w:after="0" w:line="242" w:lineRule="exact"/>
        <w:rPr>
          <w:rFonts w:ascii="Arial" w:cs="Arial" w:eastAsia="Arial" w:hAnsi="Arial"/>
          <w:sz w:val="16"/>
          <w:szCs w:val="16"/>
          <w:color w:val="auto"/>
        </w:rPr>
      </w:pPr>
    </w:p>
    <w:p>
      <w:pPr>
        <w:ind w:firstLine="327"/>
        <w:spacing w:after="0" w:line="270" w:lineRule="auto"/>
        <w:tabs>
          <w:tab w:leader="none" w:pos="58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Respond appropriately or take other necessary actions when the public or other interested parties strongly question the borrower’s performance in controlling environmental and social risks;</w:t>
      </w:r>
    </w:p>
    <w:p>
      <w:pPr>
        <w:spacing w:after="0" w:line="174" w:lineRule="exact"/>
        <w:rPr>
          <w:rFonts w:ascii="Arial" w:cs="Arial" w:eastAsia="Arial" w:hAnsi="Arial"/>
          <w:sz w:val="18"/>
          <w:szCs w:val="18"/>
          <w:color w:val="auto"/>
        </w:rPr>
      </w:pPr>
    </w:p>
    <w:p>
      <w:pPr>
        <w:ind w:firstLine="327"/>
        <w:spacing w:after="0" w:line="270" w:lineRule="auto"/>
        <w:tabs>
          <w:tab w:leader="none" w:pos="59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Urge the borrower’s vital related parties to strengthen management and prevent the environmental and social risks of related parties from being transmitted to the borrower;</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Perform other obligations that the lender considers relevant to the control of environmental and social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Adjustment of Line of Credit, Acceleration of Maturity and Repricing of Risk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9.1 Any event below should be deemed as the “early maturity event” of this contract:</w:t>
      </w:r>
    </w:p>
    <w:p>
      <w:pPr>
        <w:spacing w:after="0" w:line="220" w:lineRule="exact"/>
        <w:rPr>
          <w:sz w:val="20"/>
          <w:szCs w:val="20"/>
          <w:color w:val="auto"/>
        </w:rPr>
      </w:pPr>
    </w:p>
    <w:p>
      <w:pPr>
        <w:ind w:left="580" w:hanging="253"/>
        <w:spacing w:after="0"/>
        <w:tabs>
          <w:tab w:leader="none" w:pos="58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The borrower does not repay the principal or interest of the loan according to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under this contract;</w:t>
      </w:r>
    </w:p>
    <w:p>
      <w:pPr>
        <w:spacing w:after="0" w:line="231" w:lineRule="exact"/>
        <w:rPr>
          <w:rFonts w:ascii="Arial" w:cs="Arial" w:eastAsia="Arial" w:hAnsi="Arial"/>
          <w:sz w:val="17"/>
          <w:szCs w:val="17"/>
          <w:color w:val="auto"/>
        </w:rPr>
      </w:pPr>
    </w:p>
    <w:p>
      <w:pPr>
        <w:ind w:left="580" w:hanging="253"/>
        <w:spacing w:after="0"/>
        <w:tabs>
          <w:tab w:leader="none" w:pos="5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makes any false representation or guarantee under this contract;</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Any event that should be notified as specified in Article 8.6 occurs and influences or may influence the security of the creditor’s right of the loaner;</w:t>
      </w:r>
    </w:p>
    <w:p>
      <w:pPr>
        <w:spacing w:after="0" w:line="242" w:lineRule="exact"/>
        <w:rPr>
          <w:rFonts w:ascii="Arial" w:cs="Arial" w:eastAsia="Arial" w:hAnsi="Arial"/>
          <w:sz w:val="16"/>
          <w:szCs w:val="16"/>
          <w:color w:val="auto"/>
        </w:rPr>
      </w:pPr>
    </w:p>
    <w:p>
      <w:pPr>
        <w:ind w:firstLine="327"/>
        <w:spacing w:after="0" w:line="270" w:lineRule="auto"/>
        <w:tabs>
          <w:tab w:leader="none" w:pos="58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law, rule or regulatory policy is changed to the extent that the loaner will or may violate the law or rule if it issues the loan according to this contract;</w:t>
      </w:r>
    </w:p>
    <w:p>
      <w:pPr>
        <w:spacing w:after="0" w:line="174" w:lineRule="exact"/>
        <w:rPr>
          <w:rFonts w:ascii="Arial" w:cs="Arial" w:eastAsia="Arial" w:hAnsi="Arial"/>
          <w:sz w:val="18"/>
          <w:szCs w:val="18"/>
          <w:color w:val="auto"/>
        </w:rPr>
      </w:pPr>
    </w:p>
    <w:p>
      <w:pPr>
        <w:ind w:firstLine="327"/>
        <w:spacing w:after="0" w:line="270" w:lineRule="auto"/>
        <w:tabs>
          <w:tab w:leader="none" w:pos="57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While performing the contract with the loaner or any third party, the borrower conducts any breach or the debt may be or has been announced to be mature in advance;</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breaches any other article of this contract.</w:t>
      </w:r>
    </w:p>
    <w:p>
      <w:pPr>
        <w:spacing w:after="0" w:line="219" w:lineRule="exact"/>
        <w:rPr>
          <w:rFonts w:ascii="Arial" w:cs="Arial" w:eastAsia="Arial" w:hAnsi="Arial"/>
          <w:sz w:val="18"/>
          <w:szCs w:val="18"/>
          <w:color w:val="auto"/>
        </w:rPr>
      </w:pPr>
    </w:p>
    <w:p>
      <w:pPr>
        <w:ind w:firstLine="327"/>
        <w:spacing w:after="0" w:line="270" w:lineRule="auto"/>
        <w:tabs>
          <w:tab w:leader="none" w:pos="57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According to the lender’s environmental and social risk assessment standards, if the borrower’s environmental and social risks are classified as A or B, the borrower has any of the following events:</w:t>
      </w:r>
    </w:p>
    <w:p>
      <w:pPr>
        <w:spacing w:after="0" w:line="175" w:lineRule="exact"/>
        <w:rPr>
          <w:sz w:val="20"/>
          <w:szCs w:val="20"/>
          <w:color w:val="auto"/>
        </w:rPr>
      </w:pPr>
    </w:p>
    <w:p>
      <w:pPr>
        <w:ind w:left="520" w:hanging="193"/>
        <w:spacing w:after="0"/>
        <w:tabs>
          <w:tab w:leader="none" w:pos="520" w:val="left"/>
        </w:tabs>
        <w:numPr>
          <w:ilvl w:val="0"/>
          <w:numId w:val="345"/>
        </w:numPr>
        <w:rPr>
          <w:rFonts w:ascii="MS PGothic" w:cs="MS PGothic" w:eastAsia="MS PGothic" w:hAnsi="MS PGothic"/>
          <w:sz w:val="18"/>
          <w:szCs w:val="18"/>
          <w:color w:val="auto"/>
        </w:rPr>
      </w:pPr>
      <w:r>
        <w:rPr>
          <w:rFonts w:ascii="Arial" w:cs="Arial" w:eastAsia="Arial" w:hAnsi="Arial"/>
          <w:sz w:val="18"/>
          <w:szCs w:val="18"/>
          <w:color w:val="auto"/>
        </w:rPr>
        <w:t>The borrower is punished by relevant government departments due to poor environmental and social risk management;</w:t>
      </w:r>
    </w:p>
    <w:p>
      <w:pPr>
        <w:spacing w:after="0" w:line="220" w:lineRule="exact"/>
        <w:rPr>
          <w:sz w:val="20"/>
          <w:szCs w:val="20"/>
          <w:color w:val="auto"/>
        </w:rPr>
      </w:pPr>
    </w:p>
    <w:p>
      <w:pPr>
        <w:ind w:firstLine="327"/>
        <w:spacing w:after="0" w:line="270" w:lineRule="auto"/>
        <w:tabs>
          <w:tab w:leader="none" w:pos="522" w:val="left"/>
        </w:tabs>
        <w:numPr>
          <w:ilvl w:val="0"/>
          <w:numId w:val="346"/>
        </w:numPr>
        <w:rPr>
          <w:rFonts w:ascii="MS PGothic" w:cs="MS PGothic" w:eastAsia="MS PGothic" w:hAnsi="MS PGothic"/>
          <w:sz w:val="18"/>
          <w:szCs w:val="18"/>
          <w:color w:val="auto"/>
        </w:rPr>
      </w:pPr>
      <w:r>
        <w:rPr>
          <w:rFonts w:ascii="Arial" w:cs="Arial" w:eastAsia="Arial" w:hAnsi="Arial"/>
          <w:sz w:val="18"/>
          <w:szCs w:val="18"/>
          <w:color w:val="auto"/>
        </w:rPr>
        <w:t>The borrower is strongly questioned by the public and/or the media due to poor environmental and social risk management, and it is verified that there are relevant situations;</w:t>
      </w:r>
    </w:p>
    <w:p>
      <w:pPr>
        <w:spacing w:after="0" w:line="175" w:lineRule="exact"/>
        <w:rPr>
          <w:sz w:val="20"/>
          <w:szCs w:val="20"/>
          <w:color w:val="auto"/>
        </w:rPr>
      </w:pPr>
    </w:p>
    <w:p>
      <w:pPr>
        <w:ind w:left="520" w:hanging="193"/>
        <w:spacing w:after="0"/>
        <w:tabs>
          <w:tab w:leader="none" w:pos="520" w:val="left"/>
        </w:tabs>
        <w:numPr>
          <w:ilvl w:val="0"/>
          <w:numId w:val="347"/>
        </w:numPr>
        <w:rPr>
          <w:rFonts w:ascii="MS PGothic" w:cs="MS PGothic" w:eastAsia="MS PGothic" w:hAnsi="MS PGothic"/>
          <w:sz w:val="18"/>
          <w:szCs w:val="18"/>
          <w:color w:val="auto"/>
        </w:rPr>
      </w:pPr>
      <w:r>
        <w:rPr>
          <w:rFonts w:ascii="Arial" w:cs="Arial" w:eastAsia="Arial" w:hAnsi="Arial"/>
          <w:sz w:val="18"/>
          <w:szCs w:val="18"/>
          <w:color w:val="auto"/>
        </w:rPr>
        <w:t>The borrower violates the obligations related to environmental and social risk management agreed with the lender in other contracts.</w:t>
      </w:r>
    </w:p>
    <w:p>
      <w:pPr>
        <w:spacing w:after="0" w:line="219"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Arial" w:cs="Arial" w:eastAsia="Arial" w:hAnsi="Arial"/>
          <w:sz w:val="18"/>
          <w:szCs w:val="18"/>
          <w:color w:val="auto"/>
        </w:rPr>
        <w:t>9.2 In case of any “early maturity event”, the loaner may take any one, several or all measures below:</w:t>
      </w:r>
    </w:p>
    <w:p>
      <w:pPr>
        <w:spacing w:after="0" w:line="219"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Arial" w:cs="Arial" w:eastAsia="Arial" w:hAnsi="Arial"/>
          <w:sz w:val="18"/>
          <w:szCs w:val="18"/>
          <w:color w:val="auto"/>
        </w:rPr>
        <w:t>(1) To lower, suspend or cancel the line of credit under this contract;</w:t>
      </w:r>
    </w:p>
    <w:p>
      <w:pPr>
        <w:spacing w:after="0" w:line="219"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Arial" w:cs="Arial" w:eastAsia="Arial" w:hAnsi="Arial"/>
          <w:sz w:val="18"/>
          <w:szCs w:val="18"/>
          <w:color w:val="auto"/>
        </w:rPr>
        <w:t>(2) To stop issuing the loan unused by the borrower;</w:t>
      </w:r>
    </w:p>
    <w:p>
      <w:pPr>
        <w:spacing w:after="0" w:line="219"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Arial" w:cs="Arial" w:eastAsia="Arial" w:hAnsi="Arial"/>
          <w:sz w:val="18"/>
          <w:szCs w:val="18"/>
          <w:color w:val="auto"/>
        </w:rPr>
        <w:t>(3) To stop paying the loan unused but already withdrawn by the borrower;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4" w:name="page355"/>
    <w:bookmarkEnd w:id="354"/>
    <w:p>
      <w:pPr>
        <w:ind w:left="580" w:hanging="253"/>
        <w:spacing w:after="0"/>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require the borrower to supplement the issuance and payment conditions of loan to the loaner with the regulated period;</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require the borrower to change the payment mode as required by the loaner;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reprice against the risk in executing the loan according to Article 9.3;</w:t>
      </w:r>
    </w:p>
    <w:p>
      <w:pPr>
        <w:spacing w:after="0" w:line="219" w:lineRule="exact"/>
        <w:rPr>
          <w:rFonts w:ascii="Arial" w:cs="Arial" w:eastAsia="Arial" w:hAnsi="Arial"/>
          <w:sz w:val="18"/>
          <w:szCs w:val="18"/>
          <w:color w:val="auto"/>
        </w:rPr>
      </w:pPr>
    </w:p>
    <w:p>
      <w:pPr>
        <w:ind w:right="20" w:firstLine="327"/>
        <w:spacing w:after="0" w:line="270" w:lineRule="auto"/>
        <w:tabs>
          <w:tab w:leader="none" w:pos="57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announce that the principal of loan already issued under this contract becomes mature and require the borrower to repay the principal and interest of all the mature loan immediately.</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9.3.1 The repricing mentioned above consists of two modes, including repricing and directly raising the loan interest rate. The specific mode is agreed by both parties in Article 21.</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9.3.3 “Direct raise of loan interest rate” means that the loaner may directly raise the loan interest rate according to this article and Article 21.</w:t>
      </w:r>
    </w:p>
    <w:p>
      <w:pPr>
        <w:spacing w:after="0" w:line="231"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9.3.3.1 Since the loan sends a notice of “repricing date” to the borrower, the loan interest rate should be applied to each loan that the borrower has not repaid by the “repricing date”.</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spacing w:after="0" w:line="188"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9.3.3.3 If the loan currency is other than RMB, US dollar, Euro, Hong Kong dollar, Japanese yen and British pound, the increased loan interest rate shall be determined according to Article 21.2.2.</w:t>
      </w:r>
    </w:p>
    <w:p>
      <w:pPr>
        <w:spacing w:after="0" w:line="175"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16"/>
          <w:szCs w:val="16"/>
          <w:color w:val="auto"/>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spacing w:after="0" w:line="16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t>▲▲Article 10. Breach</w:t>
      </w:r>
    </w:p>
    <w:p>
      <w:pPr>
        <w:spacing w:after="0" w:line="224"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6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Deduction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11.2 After such deduction, the loaner should inform the borrower of relevant account number, contract number, number of </w:t>
      </w:r>
      <w:r>
        <w:rPr>
          <w:rFonts w:ascii="Arial" w:cs="Arial" w:eastAsia="Arial" w:hAnsi="Arial"/>
          <w:sz w:val="18"/>
          <w:szCs w:val="18"/>
          <w:i w:val="1"/>
          <w:iCs w:val="1"/>
          <w:color w:val="auto"/>
        </w:rPr>
        <w:t>Application for Use of Line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 deduction amount and remaining debt.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11.3 If the deducted fund is insufficient to repay all the debt of the borrower, the debt to be repaid by such fund should be determined according to this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Notice</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86"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67" w:lineRule="exact"/>
        <w:rPr>
          <w:sz w:val="20"/>
          <w:szCs w:val="20"/>
          <w:color w:val="auto"/>
        </w:rPr>
      </w:pPr>
    </w:p>
    <w:p>
      <w:pPr>
        <w:ind w:right="20" w:firstLine="327"/>
        <w:spacing w:after="0" w:line="270" w:lineRule="auto"/>
        <w:tabs>
          <w:tab w:leader="none" w:pos="59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the loaner chooses the announcement, the date at which the loaner publishes the announcement on its website, online bank, telephone bank or outlet should be deemed as the delivery date;</w:t>
      </w:r>
    </w:p>
    <w:p>
      <w:pPr>
        <w:spacing w:after="0" w:line="174" w:lineRule="exact"/>
        <w:rPr>
          <w:rFonts w:ascii="Arial" w:cs="Arial" w:eastAsia="Arial" w:hAnsi="Arial"/>
          <w:sz w:val="18"/>
          <w:szCs w:val="18"/>
          <w:color w:val="auto"/>
        </w:rPr>
      </w:pPr>
    </w:p>
    <w:p>
      <w:pPr>
        <w:ind w:left="580" w:hanging="253"/>
        <w:spacing w:after="0"/>
        <w:tabs>
          <w:tab w:leader="none" w:pos="5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If the loaner chooses the personal delivery, the date at which the borrower signs to confirm the reception should be deemed as the delivery date;</w:t>
      </w:r>
    </w:p>
    <w:p>
      <w:pPr>
        <w:spacing w:after="0" w:line="242" w:lineRule="exact"/>
        <w:rPr>
          <w:rFonts w:ascii="Arial" w:cs="Arial" w:eastAsia="Arial" w:hAnsi="Arial"/>
          <w:sz w:val="16"/>
          <w:szCs w:val="16"/>
          <w:color w:val="auto"/>
        </w:rPr>
      </w:pPr>
    </w:p>
    <w:p>
      <w:pPr>
        <w:jc w:val="both"/>
        <w:ind w:firstLine="327"/>
        <w:spacing w:after="0" w:line="258" w:lineRule="auto"/>
        <w:tabs>
          <w:tab w:leader="none" w:pos="57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186" w:lineRule="exact"/>
        <w:rPr>
          <w:rFonts w:ascii="Arial" w:cs="Arial" w:eastAsia="Arial" w:hAnsi="Arial"/>
          <w:sz w:val="18"/>
          <w:szCs w:val="18"/>
          <w:color w:val="auto"/>
        </w:rPr>
      </w:pPr>
    </w:p>
    <w:p>
      <w:pPr>
        <w:jc w:val="both"/>
        <w:ind w:firstLine="327"/>
        <w:spacing w:after="0" w:line="255" w:lineRule="auto"/>
        <w:tabs>
          <w:tab w:leader="none" w:pos="57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56" w:name="page357"/>
    <w:bookmarkEnd w:id="356"/>
    <w:p>
      <w:pPr>
        <w:jc w:val="both"/>
        <w:ind w:firstLine="320"/>
        <w:spacing w:after="0" w:line="252" w:lineRule="auto"/>
        <w:rPr>
          <w:sz w:val="20"/>
          <w:szCs w:val="20"/>
          <w:color w:val="auto"/>
        </w:rPr>
      </w:pPr>
      <w:r>
        <w:rPr>
          <w:rFonts w:ascii="Arial" w:cs="Arial" w:eastAsia="Arial" w:hAnsi="Arial"/>
          <w:sz w:val="18"/>
          <w:szCs w:val="18"/>
          <w:color w:val="auto"/>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 If the borrower responds to the lawsuit and directly submits the confirmation of service address to the court, if the confirmed address is inconsistent with the communication address recently known by the lender, the court has the right to serve according to the address on the confirmation of service address.</w:t>
      </w:r>
    </w:p>
    <w:p>
      <w:pPr>
        <w:spacing w:after="0" w:line="19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In the process of dispute resolution under the Contract, the court may serve the judgment, ruling and mediation statement on the Borrower in any of the following ways:</w:t>
      </w:r>
    </w:p>
    <w:p>
      <w:pPr>
        <w:spacing w:after="0" w:line="175" w:lineRule="exact"/>
        <w:rPr>
          <w:sz w:val="20"/>
          <w:szCs w:val="20"/>
          <w:color w:val="auto"/>
        </w:rPr>
      </w:pPr>
    </w:p>
    <w:p>
      <w:pPr>
        <w:ind w:left="580" w:hanging="253"/>
        <w:spacing w:after="0"/>
        <w:tabs>
          <w:tab w:leader="none" w:pos="5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date of delivery by post (including express mail, ordinary mail and registered mail) shall be the date on which the borrower signs on the service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receipt;</w:t>
      </w:r>
    </w:p>
    <w:p>
      <w:pPr>
        <w:spacing w:after="0" w:line="206" w:lineRule="exact"/>
        <w:rPr>
          <w:rFonts w:ascii="Arial" w:cs="Arial" w:eastAsia="Arial" w:hAnsi="Arial"/>
          <w:sz w:val="16"/>
          <w:szCs w:val="16"/>
          <w:color w:val="auto"/>
        </w:rPr>
      </w:pPr>
    </w:p>
    <w:p>
      <w:pPr>
        <w:ind w:left="580" w:hanging="253"/>
        <w:spacing w:after="0"/>
        <w:tabs>
          <w:tab w:leader="none" w:pos="5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date when the borrower signs on the service receipt shall be deemed as the date of service.</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If the court uses the method of delivery by post (including express mail, ordinary mail and registered mail), if the borrower fails to sign on the service receipt, or the mailing address filled in by the borrower is inaccurate, or the mailing address is actually changed, but the lender does not receive the borrower’s written notice on changing the mailing address, resulting in the return of the judgment, ruling and mediation statement, the date when the document is returned shall be deemed as the date of service.</w:t>
      </w:r>
    </w:p>
    <w:p>
      <w:pPr>
        <w:spacing w:after="0" w:line="188"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If the court adopts the method of personal service, if the borrower fails to sign on the service receipt, the date of service shall be the date when the sender records the situation on the service receipt.</w:t>
      </w:r>
    </w:p>
    <w:p>
      <w:pPr>
        <w:spacing w:after="0" w:line="175"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Except for the judgment, ruling and mediation statement, the court has the right to give any notice to the borrower through any communication method agreed in Article 12.2. The Court shall have the right to choose such means of communication as it thinks fit, and shall not be liable for any errors, omissions or delays in the delivery of mail, fax, telephone, telex or any other communication system. If the court chooses multiple communication methods at the same time, the one that reaches the borrower faster shall prevail.</w:t>
      </w:r>
    </w:p>
    <w:p>
      <w:pPr>
        <w:spacing w:after="0" w:line="188"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12.4 This clause is an independent dispute resolution clause in the contract. If the contract is invalid, canceled or terminated, the validity of this clause will not be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Disclosure and Confidentiality</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86" w:lineRule="exact"/>
        <w:rPr>
          <w:sz w:val="20"/>
          <w:szCs w:val="20"/>
          <w:color w:val="auto"/>
        </w:rPr>
      </w:pPr>
    </w:p>
    <w:p>
      <w:pPr>
        <w:ind w:left="580" w:hanging="253"/>
        <w:spacing w:after="0"/>
        <w:tabs>
          <w:tab w:leader="none" w:pos="5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law or rule requires such disclosure;</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such disclosure;</w:t>
      </w:r>
    </w:p>
    <w:p>
      <w:pPr>
        <w:spacing w:after="0" w:line="219" w:lineRule="exact"/>
        <w:rPr>
          <w:rFonts w:ascii="Arial" w:cs="Arial" w:eastAsia="Arial" w:hAnsi="Arial"/>
          <w:sz w:val="18"/>
          <w:szCs w:val="18"/>
          <w:color w:val="auto"/>
        </w:rPr>
      </w:pPr>
    </w:p>
    <w:p>
      <w:pPr>
        <w:ind w:firstLine="327"/>
        <w:spacing w:after="0" w:line="333" w:lineRule="auto"/>
        <w:tabs>
          <w:tab w:leader="none" w:pos="57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7" w:name="page358"/>
    <w:bookmarkEnd w:id="357"/>
    <w:p>
      <w:pPr>
        <w:ind w:left="320"/>
        <w:spacing w:after="0"/>
        <w:rPr>
          <w:sz w:val="20"/>
          <w:szCs w:val="20"/>
          <w:color w:val="auto"/>
        </w:rPr>
      </w:pPr>
      <w:r>
        <w:rPr>
          <w:rFonts w:ascii="Arial" w:cs="Arial" w:eastAsia="Arial" w:hAnsi="Arial"/>
          <w:sz w:val="18"/>
          <w:szCs w:val="18"/>
          <w:color w:val="auto"/>
        </w:rPr>
        <w:t>(4) The borrower agrees or authorizes the loaner to make the disclosure.</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13.2 The borrower confirms that it has signed the </w:t>
      </w:r>
      <w:r>
        <w:rPr>
          <w:rFonts w:ascii="Arial" w:cs="Arial" w:eastAsia="Arial" w:hAnsi="Arial"/>
          <w:sz w:val="18"/>
          <w:szCs w:val="18"/>
          <w:i w:val="1"/>
          <w:iCs w:val="1"/>
          <w:color w:val="auto"/>
        </w:rPr>
        <w:t>Credit Information Inquiry and Provision Authorization</w:t>
      </w:r>
      <w:r>
        <w:rPr>
          <w:rFonts w:ascii="Arial" w:cs="Arial" w:eastAsia="Arial" w:hAnsi="Arial"/>
          <w:sz w:val="18"/>
          <w:szCs w:val="18"/>
          <w:color w:val="auto"/>
        </w:rPr>
        <w:t>. The loaner may inquire, use and keep the credit information of the borrower within the scope regulated by the authorization.</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50" w:lineRule="exact"/>
        <w:rPr>
          <w:sz w:val="20"/>
          <w:szCs w:val="20"/>
          <w:color w:val="auto"/>
        </w:rPr>
      </w:pPr>
    </w:p>
    <w:p>
      <w:pPr>
        <w:jc w:val="both"/>
        <w:ind w:firstLine="320"/>
        <w:spacing w:after="0" w:line="216" w:lineRule="exact"/>
        <w:rPr>
          <w:sz w:val="20"/>
          <w:szCs w:val="20"/>
          <w:color w:val="auto"/>
        </w:rPr>
      </w:pPr>
      <w:r>
        <w:rPr>
          <w:rFonts w:ascii="Arial" w:cs="Arial" w:eastAsia="Arial" w:hAnsi="Arial"/>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Arial" w:cs="Arial" w:eastAsia="Arial" w:hAnsi="Arial"/>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Arial" w:cs="Arial" w:eastAsia="Arial" w:hAnsi="Arial"/>
          <w:sz w:val="18"/>
          <w:szCs w:val="18"/>
          <w:color w:val="auto"/>
        </w:rPr>
        <w:t xml:space="preserve"> The loaner provides or may provide the borrower with the new product or service, or further provides the service.</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Whether Article 13.3 is applicable should be subject to Article 24 of this contract.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Applicable Laws and Dispute Solution</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Effectiveness of the contract, loan nature and contract composition</w:t>
      </w:r>
    </w:p>
    <w:p>
      <w:pPr>
        <w:spacing w:after="0" w:line="224"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15.2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and other relevant documents and materials signed under this contract are indispensable parts of this contract.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is the supplement to this contract. Unless otherwise regulated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rights, obligations and other matters of the borrower and the loaner should still be subject to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Specific Content of Line of Credit</w:t>
      </w:r>
    </w:p>
    <w:p>
      <w:pPr>
        <w:spacing w:after="0" w:line="224"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 xml:space="preserve">16.1 Currency of line of credit: </w:t>
      </w:r>
      <w:r>
        <w:rPr>
          <w:rFonts w:ascii="Arial" w:cs="Arial" w:eastAsia="Arial" w:hAnsi="Arial"/>
          <w:sz w:val="17"/>
          <w:szCs w:val="17"/>
          <w:u w:val="single" w:color="auto"/>
          <w:color w:val="auto"/>
        </w:rPr>
        <w:t>RMB</w:t>
      </w:r>
      <w:r>
        <w:rPr>
          <w:rFonts w:ascii="Arial" w:cs="Arial" w:eastAsia="Arial" w:hAnsi="Arial"/>
          <w:sz w:val="17"/>
          <w:szCs w:val="17"/>
          <w:color w:val="auto"/>
        </w:rPr>
        <w:t xml:space="preserve">; Amount in words: </w:t>
      </w:r>
      <w:r>
        <w:rPr>
          <w:rFonts w:ascii="Arial" w:cs="Arial" w:eastAsia="Arial" w:hAnsi="Arial"/>
          <w:sz w:val="17"/>
          <w:szCs w:val="17"/>
          <w:u w:val="single" w:color="auto"/>
          <w:color w:val="auto"/>
        </w:rPr>
        <w:t>ten million yuan;</w:t>
      </w:r>
      <w:r>
        <w:rPr>
          <w:rFonts w:ascii="Arial" w:cs="Arial" w:eastAsia="Arial" w:hAnsi="Arial"/>
          <w:sz w:val="17"/>
          <w:szCs w:val="17"/>
          <w:color w:val="auto"/>
        </w:rPr>
        <w:t xml:space="preserve"> It can be used in √ currency □ line currency and other currencies acceptable to the lender; This line belongs to □ Revolving line □ One time line (can be used for many times) √ One time line (only used once).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16.2 Purpose of credit line: </w:t>
      </w:r>
      <w:r>
        <w:rPr>
          <w:rFonts w:ascii="Arial" w:cs="Arial" w:eastAsia="Arial" w:hAnsi="Arial"/>
          <w:sz w:val="18"/>
          <w:szCs w:val="18"/>
          <w:u w:val="single" w:color="auto"/>
          <w:color w:val="auto"/>
        </w:rPr>
        <w:t>business turnover.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16.3 The credit term is from </w:t>
      </w:r>
      <w:r>
        <w:rPr>
          <w:rFonts w:ascii="Arial" w:cs="Arial" w:eastAsia="Arial" w:hAnsi="Arial"/>
          <w:sz w:val="18"/>
          <w:szCs w:val="18"/>
          <w:u w:val="single" w:color="auto"/>
          <w:color w:val="auto"/>
        </w:rPr>
        <w:t>April 3, 2022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April 3,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8" w:name="page359"/>
    <w:bookmarkEnd w:id="358"/>
    <w:p>
      <w:pPr>
        <w:ind w:left="60"/>
        <w:spacing w:after="0"/>
        <w:rPr>
          <w:sz w:val="20"/>
          <w:szCs w:val="20"/>
          <w:color w:val="auto"/>
        </w:rPr>
      </w:pPr>
      <w:r>
        <w:rPr>
          <w:rFonts w:ascii="Arial" w:cs="Arial" w:eastAsia="Arial" w:hAnsi="Arial"/>
          <w:sz w:val="18"/>
          <w:szCs w:val="18"/>
          <w:b w:val="1"/>
          <w:bCs w:val="1"/>
          <w:color w:val="auto"/>
        </w:rPr>
        <w:t>Article 17. Interest Rate</w:t>
      </w:r>
    </w:p>
    <w:p>
      <w:pPr>
        <w:spacing w:after="0" w:line="22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Account</w:t>
      </w:r>
    </w:p>
    <w:p>
      <w:pPr>
        <w:spacing w:after="0" w:line="224"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 xml:space="preserve">18.1 The borrower appoints the following account to be the issuance account. The account □is √is not the dedicated loan issuance account opened at the loaner. If both parties otherwise regulate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such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should prevail.</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name: ChinaLink Professional Services Co., Ltd.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310066865018010213932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18.2 The borrower appoints that: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repayment account: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name: ChinaLink Professional Services Co., Ltd.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310066865018010213932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 The fund collection account: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name: ChinaLink Professional Services Co., Ltd.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310066865018010213932</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Issuance, Payment and Repayment of Loan</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19.1 The period of each loan withdrawn under this contract should be no longer than 12√months □days, and the maturity date of all the loan should be no later than S</w:t>
      </w:r>
      <w:r>
        <w:rPr>
          <w:rFonts w:ascii="Arial" w:cs="Arial" w:eastAsia="Arial" w:hAnsi="Arial"/>
          <w:sz w:val="18"/>
          <w:szCs w:val="18"/>
          <w:u w:val="single" w:color="auto"/>
          <w:color w:val="auto"/>
        </w:rPr>
        <w:t>ep 29, 2023</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19.2 The limit of independent payment under the Contract is:√ RMB □/(foreign currency) </w:t>
      </w:r>
      <w:r>
        <w:rPr>
          <w:rFonts w:ascii="Arial" w:cs="Arial" w:eastAsia="Arial" w:hAnsi="Arial"/>
          <w:sz w:val="17"/>
          <w:szCs w:val="17"/>
          <w:u w:val="single" w:color="auto"/>
          <w:color w:val="auto"/>
        </w:rPr>
        <w:t>zero</w:t>
      </w:r>
      <w:r>
        <w:rPr>
          <w:rFonts w:ascii="Arial" w:cs="Arial" w:eastAsia="Arial" w:hAnsi="Arial"/>
          <w:sz w:val="17"/>
          <w:szCs w:val="17"/>
          <w:color w:val="auto"/>
        </w:rPr>
        <w:t xml:space="preserve"> thousand yuan or equivalent in other currencies.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19.3 The entrusted payment by loaner is compulsory once any condition below is met: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______________________________________________________________________________________</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19.4 In the mode of independent payment by the borrower, the borrower should report the payment of loan fund to the loaner within 15 days since the issuance of loan.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color w:val="auto"/>
        </w:rPr>
        <w:t>Article 20. Financial Restriction, External Rating, Production and Operation Qualification/License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20.1 Limit on the external investment by the borrower is RMB </w:t>
      </w:r>
      <w:r>
        <w:rPr>
          <w:rFonts w:ascii="Arial" w:cs="Arial" w:eastAsia="Arial" w:hAnsi="Arial"/>
          <w:sz w:val="18"/>
          <w:szCs w:val="18"/>
          <w:u w:val="single" w:color="auto"/>
          <w:color w:val="auto"/>
        </w:rPr>
        <w:t>100 million</w:t>
      </w:r>
      <w:r>
        <w:rPr>
          <w:rFonts w:ascii="Arial" w:cs="Arial" w:eastAsia="Arial" w:hAnsi="Arial"/>
          <w:sz w:val="18"/>
          <w:szCs w:val="18"/>
          <w:color w:val="auto"/>
        </w:rPr>
        <w:t xml:space="preserve">; limit on the increase of debt financing is RMB </w:t>
      </w:r>
      <w:r>
        <w:rPr>
          <w:rFonts w:ascii="Arial" w:cs="Arial" w:eastAsia="Arial" w:hAnsi="Arial"/>
          <w:sz w:val="18"/>
          <w:szCs w:val="18"/>
          <w:u w:val="single" w:color="auto"/>
          <w:color w:val="auto"/>
        </w:rPr>
        <w:t>100million.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 Specific regulations on the financial indexes of the borrower:</w:t>
      </w:r>
    </w:p>
    <w:p>
      <w:pPr>
        <w:spacing w:after="0" w:line="220" w:lineRule="exact"/>
        <w:rPr>
          <w:sz w:val="20"/>
          <w:szCs w:val="20"/>
          <w:color w:val="auto"/>
        </w:rPr>
      </w:pPr>
    </w:p>
    <w:p>
      <w:pPr>
        <w:ind w:left="580" w:hanging="253"/>
        <w:spacing w:after="0"/>
        <w:tabs>
          <w:tab w:leader="none" w:pos="5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w:t>
      </w:r>
    </w:p>
    <w:p>
      <w:pPr>
        <w:spacing w:after="0" w:line="21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20.3 Specific regulations on the external rating:</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w:t>
      </w:r>
    </w:p>
    <w:p>
      <w:pPr>
        <w:spacing w:after="0" w:line="21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20.4 Specific regulations on the production and operation qualification/license of the borrower:</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19" w:lineRule="exact"/>
        <w:rPr>
          <w:rFonts w:ascii="Arial" w:cs="Arial" w:eastAsia="Arial" w:hAnsi="Arial"/>
          <w:sz w:val="18"/>
          <w:szCs w:val="18"/>
          <w:color w:val="auto"/>
        </w:rPr>
      </w:pPr>
    </w:p>
    <w:p>
      <w:pPr>
        <w:ind w:left="580" w:hanging="253"/>
        <w:spacing w:after="0"/>
        <w:tabs>
          <w:tab w:leader="none" w:pos="5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Repricing of Risk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21.1 This contract adopts the first repricing mode below: (1) Repricing through negotiations; (2) Direct raising the loan interest rate.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21.2 Once the “direct raising the loan interest rate” is adopted:</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 xml:space="preserve">21.2.1 If the loan currency is RMB, US dollar, Euro, Hong Kong dollar, Japanese yen and British pound,, the increased interest rate plus (minus) points shall be: □ no point plus or minus □ plus percentage points □ minus </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percentage points. If a loan is otherwise agreed, the increase (decrease) value of the interest rate after the increase of the loan shall be subject to the records in the application for the use of the applicable limit.</w:t>
      </w:r>
    </w:p>
    <w:p>
      <w:pPr>
        <w:spacing w:after="0" w:line="167"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21.2.2 If the loan currency is other than RMB, US dollar, Euro, Hong Kong dollar, Japanese yen and British pound, the loan interest rate after the increase is: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Contact Details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Contact details of the borrower to receive the notice specified in Article 12:</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700" w:type="dxa"/>
            <w:vAlign w:val="bottom"/>
          </w:tcPr>
          <w:p>
            <w:pPr>
              <w:spacing w:after="0"/>
              <w:rPr>
                <w:sz w:val="20"/>
                <w:szCs w:val="20"/>
                <w:color w:val="auto"/>
              </w:rPr>
            </w:pPr>
            <w:r>
              <w:rPr>
                <w:rFonts w:ascii="Arial" w:cs="Arial" w:eastAsia="Arial" w:hAnsi="Arial"/>
                <w:sz w:val="18"/>
                <w:szCs w:val="18"/>
                <w:color w:val="auto"/>
              </w:rPr>
              <w:t>Mailing address:</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1F, Building 18, 498 Guoshoujing Road</w:t>
            </w: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Addressee: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Yang Xiaofeng</w:t>
            </w: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Post code: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201203</w:t>
            </w: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Tel:</w:t>
            </w:r>
          </w:p>
        </w:tc>
        <w:tc>
          <w:tcPr>
            <w:tcW w:w="5260" w:type="dxa"/>
            <w:vAlign w:val="bottom"/>
            <w:tcBorders>
              <w:bottom w:val="single" w:sz="8" w:color="auto"/>
            </w:tcBorders>
          </w:tcPr>
          <w:p>
            <w:pPr>
              <w:spacing w:after="0"/>
              <w:rPr>
                <w:sz w:val="24"/>
                <w:szCs w:val="24"/>
                <w:color w:val="auto"/>
              </w:rPr>
            </w:pP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Mobile: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13701602419</w:t>
            </w: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Fax:</w:t>
            </w:r>
          </w:p>
        </w:tc>
        <w:tc>
          <w:tcPr>
            <w:tcW w:w="5260" w:type="dxa"/>
            <w:vAlign w:val="bottom"/>
            <w:tcBorders>
              <w:bottom w:val="single" w:sz="8" w:color="auto"/>
            </w:tcBorders>
          </w:tcPr>
          <w:p>
            <w:pPr>
              <w:spacing w:after="0"/>
              <w:rPr>
                <w:sz w:val="24"/>
                <w:szCs w:val="24"/>
                <w:color w:val="auto"/>
              </w:rPr>
            </w:pPr>
          </w:p>
        </w:tc>
      </w:tr>
      <w:tr>
        <w:trPr>
          <w:trHeight w:val="434"/>
        </w:trPr>
        <w:tc>
          <w:tcPr>
            <w:tcW w:w="1700" w:type="dxa"/>
            <w:vAlign w:val="bottom"/>
          </w:tcPr>
          <w:p>
            <w:pPr>
              <w:spacing w:after="0"/>
              <w:rPr>
                <w:sz w:val="20"/>
                <w:szCs w:val="20"/>
                <w:color w:val="auto"/>
              </w:rPr>
            </w:pPr>
            <w:r>
              <w:rPr>
                <w:rFonts w:ascii="Arial" w:cs="Arial" w:eastAsia="Arial" w:hAnsi="Arial"/>
                <w:sz w:val="18"/>
                <w:szCs w:val="18"/>
                <w:color w:val="auto"/>
              </w:rPr>
              <w:t>E-mail:</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paulyang@clpsglobal.com</w:t>
            </w: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t>Article 23. Counterparts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This contract is made with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copies. Both parties and the guarantor (if any) holds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copy (ies)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Miscellaneous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24.1 Both parties agree that Article 13.3 √applies □does not apply to this contract.</w:t>
      </w:r>
    </w:p>
    <w:p>
      <w:pPr>
        <w:spacing w:after="0" w:line="22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24.2 According to the lender’s environmental and social risk assessment standards, the borrower □ belongs to a customer √ not classified as A or B in terms of environmental and social risks.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24.3 The payment method of the loan under the Contract shall be subject to the Application for Use of Quota signed by the Lender.</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Arial" w:cs="Arial" w:eastAsia="Arial" w:hAnsi="Arial"/>
                <w:sz w:val="18"/>
                <w:szCs w:val="18"/>
                <w:color w:val="auto"/>
                <w:w w:val="97"/>
              </w:rPr>
              <w:t>Borrower:</w:t>
            </w:r>
          </w:p>
        </w:tc>
        <w:tc>
          <w:tcPr>
            <w:tcW w:w="35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97"/>
              </w:rPr>
              <w:t>ChinaLink Professional Services Co., Ltd.</w:t>
            </w:r>
          </w:p>
        </w:tc>
        <w:tc>
          <w:tcPr>
            <w:tcW w:w="2040" w:type="dxa"/>
            <w:vAlign w:val="bottom"/>
            <w:gridSpan w:val="2"/>
          </w:tcPr>
          <w:p>
            <w:pPr>
              <w:spacing w:after="0"/>
              <w:rPr>
                <w:sz w:val="17"/>
                <w:szCs w:val="17"/>
                <w:color w:val="auto"/>
              </w:rPr>
            </w:pPr>
          </w:p>
        </w:tc>
      </w:tr>
      <w:tr>
        <w:trPr>
          <w:trHeight w:val="407"/>
        </w:trPr>
        <w:tc>
          <w:tcPr>
            <w:tcW w:w="3080" w:type="dxa"/>
            <w:vAlign w:val="bottom"/>
            <w:gridSpan w:val="3"/>
          </w:tcPr>
          <w:p>
            <w:pPr>
              <w:spacing w:after="0"/>
              <w:rPr>
                <w:sz w:val="20"/>
                <w:szCs w:val="20"/>
                <w:color w:val="auto"/>
              </w:rPr>
            </w:pPr>
            <w:r>
              <w:rPr>
                <w:rFonts w:ascii="Arial" w:cs="Arial" w:eastAsia="Arial" w:hAnsi="Arial"/>
                <w:sz w:val="18"/>
                <w:szCs w:val="18"/>
                <w:color w:val="auto"/>
                <w:w w:val="90"/>
              </w:rPr>
              <w:t>Legal representative (responsible person):</w:t>
            </w:r>
          </w:p>
        </w:tc>
        <w:tc>
          <w:tcPr>
            <w:tcW w:w="18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Yang Xiaofeng</w:t>
            </w:r>
          </w:p>
        </w:tc>
        <w:tc>
          <w:tcPr>
            <w:tcW w:w="1440" w:type="dxa"/>
            <w:vAlign w:val="bottom"/>
          </w:tcPr>
          <w:p>
            <w:pPr>
              <w:spacing w:after="0"/>
              <w:rPr>
                <w:sz w:val="24"/>
                <w:szCs w:val="24"/>
                <w:color w:val="auto"/>
              </w:rPr>
            </w:pPr>
          </w:p>
        </w:tc>
      </w:tr>
      <w:tr>
        <w:trPr>
          <w:trHeight w:val="407"/>
        </w:trPr>
        <w:tc>
          <w:tcPr>
            <w:tcW w:w="680" w:type="dxa"/>
            <w:vAlign w:val="bottom"/>
          </w:tcPr>
          <w:p>
            <w:pPr>
              <w:spacing w:after="0"/>
              <w:rPr>
                <w:sz w:val="20"/>
                <w:szCs w:val="20"/>
                <w:color w:val="auto"/>
              </w:rPr>
            </w:pPr>
            <w:r>
              <w:rPr>
                <w:rFonts w:ascii="Arial" w:cs="Arial" w:eastAsia="Arial" w:hAnsi="Arial"/>
                <w:sz w:val="18"/>
                <w:szCs w:val="18"/>
                <w:color w:val="auto"/>
                <w:w w:val="92"/>
              </w:rPr>
              <w:t>Address:</w:t>
            </w:r>
          </w:p>
        </w:tc>
        <w:tc>
          <w:tcPr>
            <w:tcW w:w="1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88"/>
              </w:rPr>
              <w:t>Room 26C01, 828-838 Zhangyang Road, China (Shanghai) Free Trade Area</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Loaner: Shanghai Zhangjiang Branch (Sub-branch) of Bank of Communications Co.,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ind w:left="320"/>
              <w:spacing w:after="0"/>
              <w:rPr>
                <w:sz w:val="20"/>
                <w:szCs w:val="20"/>
                <w:color w:val="auto"/>
              </w:rPr>
            </w:pPr>
            <w:r>
              <w:rPr>
                <w:rFonts w:ascii="Arial" w:cs="Arial" w:eastAsia="Arial" w:hAnsi="Arial"/>
                <w:sz w:val="18"/>
                <w:szCs w:val="18"/>
                <w:color w:val="auto"/>
                <w:w w:val="88"/>
              </w:rPr>
              <w:t>Responsible person:</w:t>
            </w: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Cao Pei</w:t>
            </w:r>
          </w:p>
        </w:tc>
        <w:tc>
          <w:tcPr>
            <w:tcW w:w="6660" w:type="dxa"/>
            <w:vAlign w:val="bottom"/>
            <w:gridSpan w:val="3"/>
          </w:tcPr>
          <w:p>
            <w:pPr>
              <w:spacing w:after="0"/>
              <w:rPr>
                <w:sz w:val="17"/>
                <w:szCs w:val="17"/>
                <w:color w:val="auto"/>
              </w:rPr>
            </w:pPr>
          </w:p>
        </w:tc>
      </w:tr>
      <w:tr>
        <w:trPr>
          <w:trHeight w:val="407"/>
        </w:trPr>
        <w:tc>
          <w:tcPr>
            <w:tcW w:w="1800" w:type="dxa"/>
            <w:vAlign w:val="bottom"/>
            <w:gridSpan w:val="2"/>
          </w:tcPr>
          <w:p>
            <w:pPr>
              <w:ind w:left="320"/>
              <w:spacing w:after="0"/>
              <w:rPr>
                <w:sz w:val="20"/>
                <w:szCs w:val="20"/>
                <w:color w:val="auto"/>
              </w:rPr>
            </w:pPr>
            <w:r>
              <w:rPr>
                <w:rFonts w:ascii="Arial" w:cs="Arial" w:eastAsia="Arial" w:hAnsi="Arial"/>
                <w:sz w:val="18"/>
                <w:szCs w:val="18"/>
                <w:color w:val="auto"/>
              </w:rPr>
              <w:t>Mailing address:</w:t>
            </w: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560 Songtao Road, Pudong New Area, Shanghai, China</w:t>
            </w:r>
          </w:p>
        </w:tc>
      </w:tr>
      <w:tr>
        <w:trPr>
          <w:trHeight w:val="234"/>
        </w:trPr>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220" w:type="dxa"/>
            <w:vAlign w:val="bottom"/>
          </w:tcPr>
          <w:p>
            <w:pPr>
              <w:spacing w:after="0"/>
              <w:rPr>
                <w:sz w:val="20"/>
                <w:szCs w:val="20"/>
                <w:color w:val="auto"/>
              </w:rPr>
            </w:pPr>
          </w:p>
        </w:tc>
      </w:tr>
      <w:tr>
        <w:trPr>
          <w:trHeight w:val="299"/>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7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The borrower has read this contract and the loaner has made detailed descriptions as required</w:t>
            </w:r>
          </w:p>
        </w:tc>
        <w:tc>
          <w:tcPr>
            <w:tcW w:w="2220" w:type="dxa"/>
            <w:vAlign w:val="bottom"/>
          </w:tcPr>
          <w:p>
            <w:pPr>
              <w:spacing w:after="0"/>
              <w:rPr>
                <w:sz w:val="24"/>
                <w:szCs w:val="24"/>
                <w:color w:val="auto"/>
              </w:rPr>
            </w:pPr>
          </w:p>
        </w:tc>
      </w:tr>
      <w:tr>
        <w:trPr>
          <w:trHeight w:val="213"/>
        </w:trPr>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7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by the borrower. The borrower possesses no objection or doubt when signing this contract</w:t>
            </w:r>
          </w:p>
        </w:tc>
        <w:tc>
          <w:tcPr>
            <w:tcW w:w="2220" w:type="dxa"/>
            <w:vAlign w:val="bottom"/>
          </w:tcPr>
          <w:p>
            <w:pPr>
              <w:spacing w:after="0"/>
              <w:rPr>
                <w:sz w:val="18"/>
                <w:szCs w:val="18"/>
                <w:color w:val="auto"/>
              </w:rPr>
            </w:pPr>
          </w:p>
        </w:tc>
      </w:tr>
      <w:tr>
        <w:trPr>
          <w:trHeight w:val="213"/>
        </w:trPr>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7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and understands all the articles, especially the meaning and legal consequence of those</w:t>
            </w:r>
          </w:p>
        </w:tc>
        <w:tc>
          <w:tcPr>
            <w:tcW w:w="2220" w:type="dxa"/>
            <w:vAlign w:val="bottom"/>
          </w:tcPr>
          <w:p>
            <w:pPr>
              <w:spacing w:after="0"/>
              <w:rPr>
                <w:sz w:val="18"/>
                <w:szCs w:val="18"/>
                <w:color w:val="auto"/>
              </w:rPr>
            </w:pPr>
          </w:p>
        </w:tc>
      </w:tr>
      <w:tr>
        <w:trPr>
          <w:trHeight w:val="226"/>
        </w:trPr>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marked with ▲▲.</w:t>
            </w:r>
          </w:p>
        </w:tc>
        <w:tc>
          <w:tcPr>
            <w:tcW w:w="2220" w:type="dxa"/>
            <w:vAlign w:val="bottom"/>
          </w:tcPr>
          <w:p>
            <w:pPr>
              <w:spacing w:after="0"/>
              <w:rPr>
                <w:sz w:val="19"/>
                <w:szCs w:val="19"/>
                <w:color w:val="auto"/>
              </w:rPr>
            </w:pPr>
          </w:p>
        </w:tc>
      </w:tr>
      <w:tr>
        <w:trPr>
          <w:trHeight w:val="108"/>
        </w:trPr>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220" w:type="dxa"/>
            <w:vAlign w:val="bottom"/>
          </w:tcPr>
          <w:p>
            <w:pPr>
              <w:spacing w:after="0"/>
              <w:rPr>
                <w:sz w:val="9"/>
                <w:szCs w:val="9"/>
                <w:color w:val="auto"/>
              </w:rPr>
            </w:pPr>
          </w:p>
        </w:tc>
      </w:tr>
      <w:tr>
        <w:trPr>
          <w:trHeight w:val="419"/>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40" w:type="dxa"/>
            <w:vAlign w:val="bottom"/>
            <w:gridSpan w:val="5"/>
          </w:tcPr>
          <w:p>
            <w:pPr>
              <w:jc w:val="center"/>
              <w:ind w:right="1780"/>
              <w:spacing w:after="0"/>
              <w:rPr>
                <w:sz w:val="20"/>
                <w:szCs w:val="20"/>
                <w:color w:val="auto"/>
              </w:rPr>
            </w:pPr>
            <w:r>
              <w:rPr>
                <w:rFonts w:ascii="Arial" w:cs="Arial" w:eastAsia="Arial" w:hAnsi="Arial"/>
                <w:sz w:val="18"/>
                <w:szCs w:val="18"/>
                <w:color w:val="auto"/>
                <w:w w:val="89"/>
              </w:rPr>
              <w:t>(This page is the signature page of the Working Capital Loan Contract, and there is no text below)</w:t>
            </w:r>
          </w:p>
        </w:tc>
      </w:tr>
      <w:tr>
        <w:trPr>
          <w:trHeight w:val="649"/>
        </w:trPr>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left="3171"/>
              <w:spacing w:after="0"/>
              <w:rPr>
                <w:sz w:val="20"/>
                <w:szCs w:val="20"/>
                <w:color w:val="auto"/>
              </w:rPr>
            </w:pPr>
            <w:r>
              <w:rPr>
                <w:rFonts w:ascii="Arial" w:cs="Arial" w:eastAsia="Arial" w:hAnsi="Arial"/>
                <w:sz w:val="18"/>
                <w:szCs w:val="18"/>
                <w:color w:val="auto"/>
                <w:w w:val="89"/>
              </w:rPr>
              <w:t>21</w:t>
            </w:r>
          </w:p>
        </w:tc>
        <w:tc>
          <w:tcPr>
            <w:tcW w:w="2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61" w:name="page362"/>
    <w:bookmarkEnd w:id="361"/>
    <w:p>
      <w:pPr>
        <w:spacing w:after="0"/>
        <w:tabs>
          <w:tab w:leader="none" w:pos="5800" w:val="left"/>
        </w:tabs>
        <w:rPr>
          <w:sz w:val="20"/>
          <w:szCs w:val="20"/>
          <w:color w:val="auto"/>
        </w:rPr>
      </w:pPr>
      <w:r>
        <w:rPr>
          <w:rFonts w:ascii="Arial" w:cs="Arial" w:eastAsia="Arial" w:hAnsi="Arial"/>
          <w:sz w:val="18"/>
          <w:szCs w:val="18"/>
          <w:color w:val="auto"/>
        </w:rPr>
        <w:t>Borrower: (Seal)</w:t>
      </w:r>
      <w:r>
        <w:rPr>
          <w:sz w:val="20"/>
          <w:szCs w:val="20"/>
          <w:color w:val="auto"/>
        </w:rPr>
        <w:tab/>
      </w:r>
      <w:r>
        <w:rPr>
          <w:rFonts w:ascii="Arial" w:cs="Arial" w:eastAsia="Arial" w:hAnsi="Arial"/>
          <w:sz w:val="16"/>
          <w:szCs w:val="16"/>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-121285</wp:posOffset>
            </wp:positionV>
            <wp:extent cx="1228725" cy="13214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1228725" cy="132143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-121285</wp:posOffset>
            </wp:positionV>
            <wp:extent cx="1728470" cy="10083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1728470"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gridSpan w:val="3"/>
          </w:tcPr>
          <w:p>
            <w:pPr>
              <w:spacing w:after="0"/>
              <w:rPr>
                <w:sz w:val="20"/>
                <w:szCs w:val="20"/>
                <w:color w:val="auto"/>
              </w:rPr>
            </w:pPr>
            <w:r>
              <w:rPr>
                <w:rFonts w:ascii="Arial" w:cs="Arial" w:eastAsia="Arial" w:hAnsi="Arial"/>
                <w:sz w:val="18"/>
                <w:szCs w:val="18"/>
                <w:color w:val="auto"/>
              </w:rPr>
              <w:t>(Seal: ChinaLink Professional Services</w:t>
            </w:r>
          </w:p>
        </w:tc>
        <w:tc>
          <w:tcPr>
            <w:tcW w:w="7060" w:type="dxa"/>
            <w:vAlign w:val="bottom"/>
            <w:gridSpan w:val="4"/>
          </w:tcPr>
          <w:p>
            <w:pPr>
              <w:ind w:left="1640"/>
              <w:spacing w:after="0"/>
              <w:rPr>
                <w:sz w:val="20"/>
                <w:szCs w:val="20"/>
                <w:color w:val="auto"/>
              </w:rPr>
            </w:pPr>
            <w:r>
              <w:rPr>
                <w:rFonts w:ascii="Arial" w:cs="Arial" w:eastAsia="Arial" w:hAnsi="Arial"/>
                <w:sz w:val="18"/>
                <w:szCs w:val="18"/>
                <w:color w:val="auto"/>
              </w:rPr>
              <w:t>(Seal:  Line  of  Credit  Business</w:t>
            </w:r>
          </w:p>
        </w:tc>
      </w:tr>
      <w:tr>
        <w:trPr>
          <w:trHeight w:val="213"/>
        </w:trPr>
        <w:tc>
          <w:tcPr>
            <w:tcW w:w="1800" w:type="dxa"/>
            <w:vAlign w:val="bottom"/>
            <w:gridSpan w:val="2"/>
          </w:tcPr>
          <w:p>
            <w:pPr>
              <w:spacing w:after="0"/>
              <w:rPr>
                <w:sz w:val="20"/>
                <w:szCs w:val="20"/>
                <w:color w:val="auto"/>
              </w:rPr>
            </w:pPr>
            <w:r>
              <w:rPr>
                <w:rFonts w:ascii="Arial" w:cs="Arial" w:eastAsia="Arial" w:hAnsi="Arial"/>
                <w:sz w:val="18"/>
                <w:szCs w:val="18"/>
                <w:color w:val="auto"/>
              </w:rPr>
              <w:t>Co., Ltd.)</w:t>
            </w:r>
          </w:p>
        </w:tc>
        <w:tc>
          <w:tcPr>
            <w:tcW w:w="2380" w:type="dxa"/>
            <w:vAlign w:val="bottom"/>
          </w:tcPr>
          <w:p>
            <w:pPr>
              <w:spacing w:after="0"/>
              <w:rPr>
                <w:sz w:val="18"/>
                <w:szCs w:val="18"/>
                <w:color w:val="auto"/>
              </w:rPr>
            </w:pPr>
          </w:p>
        </w:tc>
        <w:tc>
          <w:tcPr>
            <w:tcW w:w="2260" w:type="dxa"/>
            <w:vAlign w:val="bottom"/>
          </w:tcPr>
          <w:p>
            <w:pPr>
              <w:ind w:left="1640"/>
              <w:spacing w:after="0"/>
              <w:rPr>
                <w:sz w:val="20"/>
                <w:szCs w:val="20"/>
                <w:color w:val="auto"/>
              </w:rPr>
            </w:pPr>
            <w:r>
              <w:rPr>
                <w:rFonts w:ascii="Arial" w:cs="Arial" w:eastAsia="Arial" w:hAnsi="Arial"/>
                <w:sz w:val="18"/>
                <w:szCs w:val="18"/>
                <w:color w:val="auto"/>
                <w:w w:val="88"/>
              </w:rPr>
              <w:t>Contract</w:t>
            </w:r>
          </w:p>
        </w:tc>
        <w:tc>
          <w:tcPr>
            <w:tcW w:w="820" w:type="dxa"/>
            <w:vAlign w:val="bottom"/>
          </w:tcPr>
          <w:p>
            <w:pPr>
              <w:ind w:left="320"/>
              <w:spacing w:after="0"/>
              <w:rPr>
                <w:sz w:val="20"/>
                <w:szCs w:val="20"/>
                <w:color w:val="auto"/>
              </w:rPr>
            </w:pPr>
            <w:r>
              <w:rPr>
                <w:rFonts w:ascii="Arial" w:cs="Arial" w:eastAsia="Arial" w:hAnsi="Arial"/>
                <w:sz w:val="18"/>
                <w:szCs w:val="18"/>
                <w:color w:val="auto"/>
              </w:rPr>
              <w:t>Seal</w:t>
            </w:r>
          </w:p>
        </w:tc>
        <w:tc>
          <w:tcPr>
            <w:tcW w:w="340" w:type="dxa"/>
            <w:vAlign w:val="bottom"/>
          </w:tcPr>
          <w:p>
            <w:pPr>
              <w:ind w:left="120"/>
              <w:spacing w:after="0"/>
              <w:rPr>
                <w:sz w:val="20"/>
                <w:szCs w:val="20"/>
                <w:color w:val="auto"/>
              </w:rPr>
            </w:pPr>
            <w:r>
              <w:rPr>
                <w:rFonts w:ascii="Arial" w:cs="Arial" w:eastAsia="Arial" w:hAnsi="Arial"/>
                <w:sz w:val="18"/>
                <w:szCs w:val="18"/>
                <w:color w:val="auto"/>
              </w:rPr>
              <w:t>of</w:t>
            </w:r>
          </w:p>
        </w:tc>
        <w:tc>
          <w:tcPr>
            <w:tcW w:w="3640" w:type="dxa"/>
            <w:vAlign w:val="bottom"/>
          </w:tcPr>
          <w:p>
            <w:pPr>
              <w:jc w:val="right"/>
              <w:ind w:right="2631"/>
              <w:spacing w:after="0"/>
              <w:rPr>
                <w:sz w:val="20"/>
                <w:szCs w:val="20"/>
                <w:color w:val="auto"/>
              </w:rPr>
            </w:pPr>
            <w:r>
              <w:rPr>
                <w:rFonts w:ascii="Arial" w:cs="Arial" w:eastAsia="Arial" w:hAnsi="Arial"/>
                <w:sz w:val="18"/>
                <w:szCs w:val="18"/>
                <w:color w:val="auto"/>
              </w:rPr>
              <w:t>Shanghai</w:t>
            </w:r>
          </w:p>
        </w:tc>
      </w:tr>
      <w:tr>
        <w:trPr>
          <w:trHeight w:val="213"/>
        </w:trPr>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060" w:type="dxa"/>
            <w:vAlign w:val="bottom"/>
            <w:gridSpan w:val="4"/>
          </w:tcPr>
          <w:p>
            <w:pPr>
              <w:ind w:left="1640"/>
              <w:spacing w:after="0"/>
              <w:rPr>
                <w:sz w:val="20"/>
                <w:szCs w:val="20"/>
                <w:color w:val="auto"/>
              </w:rPr>
            </w:pPr>
            <w:r>
              <w:rPr>
                <w:rFonts w:ascii="Arial" w:cs="Arial" w:eastAsia="Arial" w:hAnsi="Arial"/>
                <w:sz w:val="18"/>
                <w:szCs w:val="18"/>
                <w:color w:val="auto"/>
              </w:rPr>
              <w:t>Zhangjiang Sub-branch of Bank of</w:t>
            </w:r>
          </w:p>
        </w:tc>
      </w:tr>
      <w:tr>
        <w:trPr>
          <w:trHeight w:val="226"/>
        </w:trPr>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060" w:type="dxa"/>
            <w:vAlign w:val="bottom"/>
            <w:gridSpan w:val="4"/>
          </w:tcPr>
          <w:p>
            <w:pPr>
              <w:ind w:left="1640"/>
              <w:spacing w:after="0"/>
              <w:rPr>
                <w:sz w:val="20"/>
                <w:szCs w:val="20"/>
                <w:color w:val="auto"/>
              </w:rPr>
            </w:pPr>
            <w:r>
              <w:rPr>
                <w:rFonts w:ascii="Arial" w:cs="Arial" w:eastAsia="Arial" w:hAnsi="Arial"/>
                <w:sz w:val="18"/>
                <w:szCs w:val="18"/>
                <w:color w:val="auto"/>
              </w:rPr>
              <w:t>Communications Co., Ltd.)</w:t>
            </w:r>
          </w:p>
        </w:tc>
      </w:tr>
      <w:tr>
        <w:trPr>
          <w:trHeight w:val="414"/>
        </w:trPr>
        <w:tc>
          <w:tcPr>
            <w:tcW w:w="540" w:type="dxa"/>
            <w:vAlign w:val="bottom"/>
          </w:tcPr>
          <w:p>
            <w:pPr>
              <w:spacing w:after="0"/>
              <w:rPr>
                <w:sz w:val="20"/>
                <w:szCs w:val="20"/>
                <w:color w:val="auto"/>
              </w:rPr>
            </w:pPr>
            <w:r>
              <w:rPr>
                <w:rFonts w:ascii="Arial" w:cs="Arial" w:eastAsia="Arial" w:hAnsi="Arial"/>
                <w:sz w:val="18"/>
                <w:szCs w:val="18"/>
                <w:color w:val="auto"/>
              </w:rPr>
              <w:t>Legal</w:t>
            </w:r>
          </w:p>
        </w:tc>
        <w:tc>
          <w:tcPr>
            <w:tcW w:w="1260" w:type="dxa"/>
            <w:vAlign w:val="bottom"/>
          </w:tcPr>
          <w:p>
            <w:pPr>
              <w:ind w:left="140"/>
              <w:spacing w:after="0"/>
              <w:rPr>
                <w:sz w:val="20"/>
                <w:szCs w:val="20"/>
                <w:color w:val="auto"/>
              </w:rPr>
            </w:pPr>
            <w:r>
              <w:rPr>
                <w:rFonts w:ascii="Arial" w:cs="Arial" w:eastAsia="Arial" w:hAnsi="Arial"/>
                <w:sz w:val="18"/>
                <w:szCs w:val="18"/>
                <w:color w:val="auto"/>
                <w:w w:val="96"/>
              </w:rPr>
              <w:t>representative</w:t>
            </w:r>
          </w:p>
        </w:tc>
        <w:tc>
          <w:tcPr>
            <w:tcW w:w="2380" w:type="dxa"/>
            <w:vAlign w:val="bottom"/>
          </w:tcPr>
          <w:p>
            <w:pPr>
              <w:ind w:left="140"/>
              <w:spacing w:after="0"/>
              <w:rPr>
                <w:sz w:val="20"/>
                <w:szCs w:val="20"/>
                <w:color w:val="auto"/>
              </w:rPr>
            </w:pPr>
            <w:r>
              <w:rPr>
                <w:rFonts w:ascii="Arial" w:cs="Arial" w:eastAsia="Arial" w:hAnsi="Arial"/>
                <w:sz w:val="18"/>
                <w:szCs w:val="18"/>
                <w:color w:val="auto"/>
              </w:rPr>
              <w:t>(responsible</w:t>
            </w:r>
          </w:p>
        </w:tc>
        <w:tc>
          <w:tcPr>
            <w:tcW w:w="2260" w:type="dxa"/>
            <w:vAlign w:val="bottom"/>
          </w:tcPr>
          <w:p>
            <w:pPr>
              <w:ind w:left="1640"/>
              <w:spacing w:after="0"/>
              <w:rPr>
                <w:sz w:val="20"/>
                <w:szCs w:val="20"/>
                <w:color w:val="auto"/>
              </w:rPr>
            </w:pPr>
            <w:r>
              <w:rPr>
                <w:rFonts w:ascii="Arial" w:cs="Arial" w:eastAsia="Arial" w:hAnsi="Arial"/>
                <w:sz w:val="18"/>
                <w:szCs w:val="18"/>
                <w:color w:val="auto"/>
              </w:rPr>
              <w:t>Legal</w:t>
            </w: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representative</w:t>
            </w:r>
          </w:p>
        </w:tc>
        <w:tc>
          <w:tcPr>
            <w:tcW w:w="3640" w:type="dxa"/>
            <w:vAlign w:val="bottom"/>
          </w:tcPr>
          <w:p>
            <w:pPr>
              <w:jc w:val="right"/>
              <w:ind w:right="2631"/>
              <w:spacing w:after="0"/>
              <w:rPr>
                <w:sz w:val="20"/>
                <w:szCs w:val="20"/>
                <w:color w:val="auto"/>
              </w:rPr>
            </w:pPr>
            <w:r>
              <w:rPr>
                <w:rFonts w:ascii="Arial" w:cs="Arial" w:eastAsia="Arial" w:hAnsi="Arial"/>
                <w:sz w:val="18"/>
                <w:szCs w:val="18"/>
                <w:color w:val="auto"/>
                <w:w w:val="91"/>
              </w:rPr>
              <w:t>(responsible</w:t>
            </w:r>
          </w:p>
        </w:tc>
      </w:tr>
      <w:tr>
        <w:trPr>
          <w:trHeight w:val="226"/>
        </w:trPr>
        <w:tc>
          <w:tcPr>
            <w:tcW w:w="4180" w:type="dxa"/>
            <w:vAlign w:val="bottom"/>
            <w:gridSpan w:val="3"/>
          </w:tcPr>
          <w:p>
            <w:pPr>
              <w:spacing w:after="0"/>
              <w:rPr>
                <w:sz w:val="20"/>
                <w:szCs w:val="20"/>
                <w:color w:val="auto"/>
              </w:rPr>
            </w:pPr>
            <w:r>
              <w:rPr>
                <w:rFonts w:ascii="Arial" w:cs="Arial" w:eastAsia="Arial" w:hAnsi="Arial"/>
                <w:sz w:val="18"/>
                <w:szCs w:val="18"/>
                <w:color w:val="auto"/>
              </w:rPr>
              <w:t>person) or authorized representative</w:t>
            </w:r>
          </w:p>
        </w:tc>
        <w:tc>
          <w:tcPr>
            <w:tcW w:w="7060" w:type="dxa"/>
            <w:vAlign w:val="bottom"/>
            <w:gridSpan w:val="4"/>
          </w:tcPr>
          <w:p>
            <w:pPr>
              <w:ind w:left="1640"/>
              <w:spacing w:after="0"/>
              <w:rPr>
                <w:sz w:val="20"/>
                <w:szCs w:val="20"/>
                <w:color w:val="auto"/>
              </w:rPr>
            </w:pPr>
            <w:r>
              <w:rPr>
                <w:rFonts w:ascii="Arial" w:cs="Arial" w:eastAsia="Arial" w:hAnsi="Arial"/>
                <w:sz w:val="18"/>
                <w:szCs w:val="18"/>
                <w:color w:val="auto"/>
              </w:rPr>
              <w:t>person) or authorized representative</w:t>
            </w:r>
          </w:p>
        </w:tc>
      </w:tr>
      <w:tr>
        <w:trPr>
          <w:trHeight w:val="427"/>
        </w:trPr>
        <w:tc>
          <w:tcPr>
            <w:tcW w:w="1800" w:type="dxa"/>
            <w:vAlign w:val="bottom"/>
            <w:gridSpan w:val="2"/>
          </w:tcPr>
          <w:p>
            <w:pPr>
              <w:spacing w:after="0"/>
              <w:rPr>
                <w:sz w:val="20"/>
                <w:szCs w:val="20"/>
                <w:color w:val="auto"/>
              </w:rPr>
            </w:pPr>
            <w:r>
              <w:rPr>
                <w:rFonts w:ascii="Arial" w:cs="Arial" w:eastAsia="Arial" w:hAnsi="Arial"/>
                <w:sz w:val="18"/>
                <w:szCs w:val="18"/>
                <w:color w:val="auto"/>
              </w:rPr>
              <w:t>(Signature or seal)</w:t>
            </w:r>
          </w:p>
        </w:tc>
        <w:tc>
          <w:tcPr>
            <w:tcW w:w="2380" w:type="dxa"/>
            <w:vAlign w:val="bottom"/>
          </w:tcPr>
          <w:p>
            <w:pPr>
              <w:spacing w:after="0"/>
              <w:rPr>
                <w:sz w:val="24"/>
                <w:szCs w:val="24"/>
                <w:color w:val="auto"/>
              </w:rPr>
            </w:pPr>
          </w:p>
        </w:tc>
        <w:tc>
          <w:tcPr>
            <w:tcW w:w="3080" w:type="dxa"/>
            <w:vAlign w:val="bottom"/>
            <w:gridSpan w:val="2"/>
          </w:tcPr>
          <w:p>
            <w:pPr>
              <w:ind w:left="1640"/>
              <w:spacing w:after="0"/>
              <w:rPr>
                <w:sz w:val="20"/>
                <w:szCs w:val="20"/>
                <w:color w:val="auto"/>
              </w:rPr>
            </w:pPr>
            <w:r>
              <w:rPr>
                <w:rFonts w:ascii="Arial" w:cs="Arial" w:eastAsia="Arial" w:hAnsi="Arial"/>
                <w:sz w:val="18"/>
                <w:szCs w:val="18"/>
                <w:color w:val="auto"/>
                <w:w w:val="95"/>
              </w:rPr>
              <w:t>(Signature or seal)</w:t>
            </w: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14"/>
        </w:trPr>
        <w:tc>
          <w:tcPr>
            <w:tcW w:w="1800" w:type="dxa"/>
            <w:vAlign w:val="bottom"/>
            <w:gridSpan w:val="2"/>
          </w:tcPr>
          <w:p>
            <w:pPr>
              <w:spacing w:after="0"/>
              <w:rPr>
                <w:sz w:val="20"/>
                <w:szCs w:val="20"/>
                <w:color w:val="auto"/>
              </w:rPr>
            </w:pPr>
            <w:r>
              <w:rPr>
                <w:rFonts w:ascii="Arial" w:cs="Arial" w:eastAsia="Arial" w:hAnsi="Arial"/>
                <w:sz w:val="18"/>
                <w:szCs w:val="18"/>
                <w:color w:val="auto"/>
              </w:rPr>
              <w:t>Date: Dec 12, 2022</w:t>
            </w:r>
          </w:p>
        </w:tc>
        <w:tc>
          <w:tcPr>
            <w:tcW w:w="2380" w:type="dxa"/>
            <w:vAlign w:val="bottom"/>
          </w:tcPr>
          <w:p>
            <w:pPr>
              <w:spacing w:after="0"/>
              <w:rPr>
                <w:sz w:val="24"/>
                <w:szCs w:val="24"/>
                <w:color w:val="auto"/>
              </w:rPr>
            </w:pPr>
          </w:p>
        </w:tc>
        <w:tc>
          <w:tcPr>
            <w:tcW w:w="3080" w:type="dxa"/>
            <w:vAlign w:val="bottom"/>
            <w:gridSpan w:val="2"/>
          </w:tcPr>
          <w:p>
            <w:pPr>
              <w:ind w:left="1640"/>
              <w:spacing w:after="0"/>
              <w:rPr>
                <w:sz w:val="20"/>
                <w:szCs w:val="20"/>
                <w:color w:val="auto"/>
              </w:rPr>
            </w:pPr>
            <w:r>
              <w:rPr>
                <w:rFonts w:ascii="Arial" w:cs="Arial" w:eastAsia="Arial" w:hAnsi="Arial"/>
                <w:sz w:val="18"/>
                <w:szCs w:val="18"/>
                <w:color w:val="auto"/>
                <w:w w:val="99"/>
              </w:rPr>
              <w:t>Date: Jan 1, 2023</w:t>
            </w: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49"/>
        </w:trPr>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22</w:t>
            </w: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-1355090</wp:posOffset>
            </wp:positionV>
            <wp:extent cx="626745" cy="6267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626745" cy="62674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-1355090</wp:posOffset>
            </wp:positionV>
            <wp:extent cx="610235" cy="5848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610235" cy="58483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7159625" cy="9740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7159625" cy="9740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Important Notes.</w:t>
      </w:r>
    </w:p>
    <w:p>
      <w:pPr>
        <w:spacing w:after="0" w:line="23" w:lineRule="exact"/>
        <w:rPr>
          <w:sz w:val="20"/>
          <w:szCs w:val="20"/>
          <w:color w:val="auto"/>
        </w:rPr>
      </w:pPr>
    </w:p>
    <w:p>
      <w:pPr>
        <w:jc w:val="both"/>
        <w:ind w:left="60" w:right="60" w:firstLine="427"/>
        <w:spacing w:after="0" w:line="283" w:lineRule="auto"/>
        <w:rPr>
          <w:sz w:val="20"/>
          <w:szCs w:val="20"/>
          <w:color w:val="auto"/>
        </w:rPr>
      </w:pPr>
      <w:r>
        <w:rPr>
          <w:rFonts w:ascii="Arial" w:cs="Arial" w:eastAsia="Arial" w:hAnsi="Arial"/>
          <w:sz w:val="19"/>
          <w:szCs w:val="19"/>
          <w:b w:val="1"/>
          <w:bCs w:val="1"/>
          <w:color w:val="auto"/>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Credit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in the case of working capital loans where no separate loan contract is required)</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NO. </w:t>
      </w:r>
      <w:r>
        <w:rPr>
          <w:rFonts w:ascii="Arial" w:cs="Arial" w:eastAsia="Arial" w:hAnsi="Arial"/>
          <w:sz w:val="18"/>
          <w:szCs w:val="18"/>
          <w:u w:val="single" w:color="auto"/>
          <w:color w:val="auto"/>
        </w:rPr>
        <w:t>121XY2023010596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Grantor: </w:t>
      </w:r>
      <w:r>
        <w:rPr>
          <w:rFonts w:ascii="Arial" w:cs="Arial" w:eastAsia="Arial" w:hAnsi="Arial"/>
          <w:sz w:val="18"/>
          <w:szCs w:val="18"/>
          <w:color w:val="auto"/>
        </w:rPr>
        <w:t>China Merchants Bank Co. LTD Shanghai branch (hereinafter referred to as Party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Applicant</w:t>
      </w:r>
      <w:r>
        <w:rPr>
          <w:rFonts w:ascii="Arial" w:cs="Arial" w:eastAsia="Arial" w:hAnsi="Arial"/>
          <w:sz w:val="18"/>
          <w:szCs w:val="18"/>
          <w:color w:val="auto"/>
        </w:rPr>
        <w:t>: JAJI (Shanghai) Co., Ltd. (hereinafter referred to as Party B)</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Credit limit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 xml:space="preserve">1.1 Under this Agreement, we shall provide you with a credit line (including revolving line and/or one-off line) in the amount of RMB </w:t>
      </w:r>
      <w:r>
        <w:rPr>
          <w:rFonts w:ascii="Arial" w:cs="Arial" w:eastAsia="Arial" w:hAnsi="Arial"/>
          <w:sz w:val="18"/>
          <w:szCs w:val="18"/>
          <w:u w:val="single" w:color="auto"/>
          <w:color w:val="auto"/>
        </w:rPr>
        <w:t>10 million</w:t>
      </w:r>
      <w:r>
        <w:rPr>
          <w:rFonts w:ascii="Arial" w:cs="Arial" w:eastAsia="Arial" w:hAnsi="Arial"/>
          <w:sz w:val="18"/>
          <w:szCs w:val="18"/>
          <w:color w:val="auto"/>
        </w:rPr>
        <w:t xml:space="preserve"> .Party B may apply for specific business in other currencies within the credit line.</w:t>
      </w:r>
    </w:p>
    <w:p>
      <w:pPr>
        <w:spacing w:after="0" w:line="186" w:lineRule="exact"/>
        <w:rPr>
          <w:sz w:val="20"/>
          <w:szCs w:val="20"/>
          <w:color w:val="auto"/>
        </w:rPr>
      </w:pPr>
    </w:p>
    <w:p>
      <w:pPr>
        <w:jc w:val="both"/>
        <w:ind w:firstLine="320"/>
        <w:spacing w:after="0" w:line="223" w:lineRule="exact"/>
        <w:rPr>
          <w:sz w:val="20"/>
          <w:szCs w:val="20"/>
          <w:color w:val="auto"/>
        </w:rPr>
      </w:pPr>
      <w:r>
        <w:rPr>
          <w:rFonts w:ascii="Arial" w:cs="Arial" w:eastAsia="Arial" w:hAnsi="Arial"/>
          <w:sz w:val="18"/>
          <w:szCs w:val="18"/>
          <w:color w:val="auto"/>
        </w:rPr>
        <w:t>Party A (or Party A’s subsidiary) and Party B originally entered into a</w:t>
      </w:r>
      <w:r>
        <w:rPr>
          <w:rFonts w:ascii="SimSun" w:cs="SimSun" w:eastAsia="SimSun" w:hAnsi="SimSun"/>
          <w:sz w:val="18"/>
          <w:szCs w:val="18"/>
          <w:b w:val="1"/>
          <w:bCs w:val="1"/>
          <w:color w:val="auto"/>
        </w:rPr>
        <w:t>《</w:t>
      </w:r>
      <w:r>
        <w:rPr>
          <w:rFonts w:ascii="Arial" w:cs="Arial" w:eastAsia="Arial" w:hAnsi="Arial"/>
          <w:sz w:val="18"/>
          <w:szCs w:val="18"/>
          <w:color w:val="auto"/>
        </w:rPr>
        <w:t>Credit Agreement</w:t>
      </w:r>
      <w:r>
        <w:rPr>
          <w:rFonts w:ascii="SimSun" w:cs="SimSun" w:eastAsia="SimSun" w:hAnsi="SimSun"/>
          <w:sz w:val="18"/>
          <w:szCs w:val="18"/>
          <w:b w:val="1"/>
          <w:bCs w:val="1"/>
          <w:color w:val="auto"/>
        </w:rPr>
        <w:t>》</w:t>
      </w:r>
      <w:r>
        <w:rPr>
          <w:rFonts w:ascii="Arial" w:cs="Arial" w:eastAsia="Arial" w:hAnsi="Arial"/>
          <w:sz w:val="18"/>
          <w:szCs w:val="18"/>
          <w:color w:val="auto"/>
        </w:rPr>
        <w:t xml:space="preserve"> with the number 121XY2021035010 (applicable to working capital loans that do not require a separate loan contract) (insert the name of the agreement here) , it will automatically be included under this agreement and will directly occupy the credit line under this agreement.</w:t>
      </w:r>
    </w:p>
    <w:p>
      <w:pPr>
        <w:spacing w:after="0" w:line="197" w:lineRule="exact"/>
        <w:rPr>
          <w:sz w:val="20"/>
          <w:szCs w:val="20"/>
          <w:color w:val="auto"/>
        </w:rPr>
      </w:pPr>
    </w:p>
    <w:p>
      <w:pPr>
        <w:jc w:val="both"/>
        <w:ind w:firstLine="320"/>
        <w:spacing w:after="0" w:line="308" w:lineRule="auto"/>
        <w:rPr>
          <w:sz w:val="20"/>
          <w:szCs w:val="20"/>
          <w:color w:val="auto"/>
        </w:rPr>
      </w:pPr>
      <w:r>
        <w:rPr>
          <w:rFonts w:ascii="Arial" w:cs="Arial" w:eastAsia="Arial" w:hAnsi="Arial"/>
          <w:sz w:val="16"/>
          <w:szCs w:val="16"/>
          <w:color w:val="auto"/>
        </w:rPr>
        <w:t xml:space="preserve">1.2 The credit period shall be for a period of months, from </w:t>
      </w:r>
      <w:r>
        <w:rPr>
          <w:rFonts w:ascii="Arial" w:cs="Arial" w:eastAsia="Arial" w:hAnsi="Arial"/>
          <w:sz w:val="16"/>
          <w:szCs w:val="16"/>
          <w:u w:val="single" w:color="auto"/>
          <w:color w:val="auto"/>
        </w:rPr>
        <w:t>2023.4.7</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2024.4.6</w:t>
      </w:r>
      <w:r>
        <w:rPr>
          <w:rFonts w:ascii="Arial" w:cs="Arial" w:eastAsia="Arial" w:hAnsi="Arial"/>
          <w:sz w:val="16"/>
          <w:szCs w:val="16"/>
          <w:color w:val="auto"/>
        </w:rPr>
        <w:t xml:space="preserve">. </w:t>
      </w:r>
      <w:r>
        <w:rPr>
          <w:rFonts w:ascii="Arial" w:cs="Arial" w:eastAsia="Arial" w:hAnsi="Arial"/>
          <w:sz w:val="16"/>
          <w:szCs w:val="16"/>
          <w:b w:val="1"/>
          <w:bCs w:val="1"/>
          <w:color w:val="auto"/>
        </w:rPr>
        <w:t>If Party B needs to use the credit line for specific credit business, it</w:t>
      </w:r>
      <w:r>
        <w:rPr>
          <w:rFonts w:ascii="Arial" w:cs="Arial" w:eastAsia="Arial" w:hAnsi="Arial"/>
          <w:sz w:val="16"/>
          <w:szCs w:val="16"/>
          <w:color w:val="auto"/>
        </w:rPr>
        <w:t xml:space="preserve"> </w:t>
      </w:r>
      <w:r>
        <w:rPr>
          <w:rFonts w:ascii="Arial" w:cs="Arial" w:eastAsia="Arial" w:hAnsi="Arial"/>
          <w:sz w:val="16"/>
          <w:szCs w:val="16"/>
          <w:b w:val="1"/>
          <w:bCs w:val="1"/>
          <w:color w:val="auto"/>
        </w:rPr>
        <w:t>shall submit 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spacing w:after="0" w:line="15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422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3" w:name="page364"/>
    <w:bookmarkEnd w:id="363"/>
    <w:p>
      <w:pPr>
        <w:jc w:val="both"/>
        <w:ind w:firstLine="320"/>
        <w:spacing w:after="0" w:line="258" w:lineRule="auto"/>
        <w:rPr>
          <w:sz w:val="20"/>
          <w:szCs w:val="20"/>
          <w:color w:val="auto"/>
        </w:rPr>
      </w:pPr>
      <w:r>
        <w:rPr>
          <w:rFonts w:ascii="Arial" w:cs="Arial" w:eastAsia="Arial" w:hAnsi="Arial"/>
          <w:sz w:val="18"/>
          <w:szCs w:val="18"/>
          <w:color w:val="auto"/>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1.4 Revolving Credit Limit means the maximum amount of the sum of the principal balance of one or more credit facilities referred to in the preceding paragraph that we may provide to you on a continuous and revolving basis during the credit period.</w:t>
      </w:r>
    </w:p>
    <w:p>
      <w:pPr>
        <w:spacing w:after="0" w:line="175"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credit line occupancy arrangements</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2.1 Specific credit operations applied for by you and approved by us during the credit period are automatically included in this Agreement and will be covered by the credit limit under this Agreement.</w:t>
      </w:r>
    </w:p>
    <w:p>
      <w:pPr>
        <w:spacing w:after="0" w:line="171"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If Party A applies for factoring business in which Party B is the payer (debtor of the receivables), the credit line mentioned above shall be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used for the receivables claims assigned to Party B by Party A from a third party in such business; </w:t>
      </w:r>
      <w:r>
        <w:rPr>
          <w:rFonts w:ascii="Arial" w:cs="Arial" w:eastAsia="Arial" w:hAnsi="Arial"/>
          <w:sz w:val="18"/>
          <w:szCs w:val="18"/>
          <w:color w:val="auto"/>
        </w:rPr>
        <w:t>if Party B applies to Party A for factoring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Party B is the payee (creditor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spacing w:after="0" w:line="190"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spacing w:after="0" w:line="130"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Approval and use of credit lines</w:t>
      </w:r>
    </w:p>
    <w:p>
      <w:pPr>
        <w:spacing w:after="0" w:line="220"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b w:val="1"/>
          <w:bCs w:val="1"/>
          <w:color w:val="auto"/>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4" w:name="page365"/>
    <w:bookmarkEnd w:id="364"/>
    <w:p>
      <w:pPr>
        <w:jc w:val="both"/>
        <w:ind w:firstLine="320"/>
        <w:spacing w:after="0" w:line="254" w:lineRule="auto"/>
        <w:rPr>
          <w:sz w:val="20"/>
          <w:szCs w:val="20"/>
          <w:color w:val="auto"/>
        </w:rPr>
      </w:pPr>
      <w:r>
        <w:rPr>
          <w:rFonts w:ascii="Arial" w:cs="Arial" w:eastAsia="Arial" w:hAnsi="Arial"/>
          <w:sz w:val="18"/>
          <w:szCs w:val="18"/>
          <w:b w:val="1"/>
          <w:bCs w:val="1"/>
          <w:color w:val="auto"/>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spacing w:after="0" w:line="190" w:lineRule="exact"/>
        <w:rPr>
          <w:sz w:val="20"/>
          <w:szCs w:val="20"/>
          <w:color w:val="auto"/>
        </w:rPr>
      </w:pPr>
    </w:p>
    <w:p>
      <w:pPr>
        <w:jc w:val="both"/>
        <w:ind w:firstLine="320"/>
        <w:spacing w:after="0" w:line="287" w:lineRule="auto"/>
        <w:rPr>
          <w:sz w:val="20"/>
          <w:szCs w:val="20"/>
          <w:color w:val="auto"/>
        </w:rPr>
      </w:pPr>
      <w:r>
        <w:rPr>
          <w:rFonts w:ascii="Arial" w:cs="Arial" w:eastAsia="Arial" w:hAnsi="Arial"/>
          <w:sz w:val="16"/>
          <w:szCs w:val="16"/>
          <w:color w:val="auto"/>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Arial" w:cs="Arial" w:eastAsia="Arial" w:hAnsi="Arial"/>
          <w:sz w:val="16"/>
          <w:szCs w:val="16"/>
          <w:b w:val="1"/>
          <w:bCs w:val="1"/>
          <w:color w:val="auto"/>
        </w:rPr>
        <w:t>The specific amount, interest rate, term, purpose, fees and other business elements of each loan or</w:t>
      </w:r>
      <w:r>
        <w:rPr>
          <w:rFonts w:ascii="Arial" w:cs="Arial" w:eastAsia="Arial" w:hAnsi="Arial"/>
          <w:sz w:val="16"/>
          <w:szCs w:val="16"/>
          <w:color w:val="auto"/>
        </w:rPr>
        <w:t xml:space="preserve"> </w:t>
      </w:r>
      <w:r>
        <w:rPr>
          <w:rFonts w:ascii="Arial" w:cs="Arial" w:eastAsia="Arial" w:hAnsi="Arial"/>
          <w:sz w:val="16"/>
          <w:szCs w:val="16"/>
          <w:b w:val="1"/>
          <w:bCs w:val="1"/>
          <w:color w:val="auto"/>
        </w:rPr>
        <w:t>other credit business are determined 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spacing w:after="0" w:line="16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spacing w:after="0" w:line="18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b w:val="1"/>
          <w:bCs w:val="1"/>
          <w:color w:val="auto"/>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spacing w:after="0" w:line="162"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In the event of any inconsistency between this clause and any other relevant agreement in this Agreement, the agreement in this clause shall prevail.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5" w:name="page366"/>
    <w:bookmarkEnd w:id="365"/>
    <w:p>
      <w:pPr>
        <w:jc w:val="both"/>
        <w:ind w:firstLine="320"/>
        <w:spacing w:after="0" w:line="258" w:lineRule="auto"/>
        <w:rPr>
          <w:sz w:val="20"/>
          <w:szCs w:val="20"/>
          <w:color w:val="auto"/>
        </w:rPr>
      </w:pPr>
      <w:r>
        <w:rPr>
          <w:rFonts w:ascii="Arial" w:cs="Arial" w:eastAsia="Arial" w:hAnsi="Arial"/>
          <w:sz w:val="18"/>
          <w:szCs w:val="18"/>
          <w:color w:val="auto"/>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spacing w:after="0" w:line="182"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3.6 During the credit period, we shall have the right to assess Party B’s operation and financial position on an annual basis and to adjust the credit limit available to Party B in the light of the assessment.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 Interest rate terms for working capital loans</w:t>
      </w:r>
    </w:p>
    <w:p>
      <w:pPr>
        <w:spacing w:after="0" w:line="216"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spacing w:after="0" w:line="179"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 xml:space="preserve">4.2 If Party B fails to use the loan in accordance with this Agreement, a penalty interest rate </w:t>
      </w:r>
      <w:r>
        <w:rPr>
          <w:rFonts w:ascii="Arial" w:cs="Arial" w:eastAsia="Arial" w:hAnsi="Arial"/>
          <w:sz w:val="18"/>
          <w:szCs w:val="18"/>
          <w:b w:val="1"/>
          <w:bCs w:val="1"/>
          <w:u w:val="single" w:color="auto"/>
          <w:color w:val="auto"/>
        </w:rPr>
        <w:t>of 100% will be charged on the original</w:t>
      </w:r>
      <w:r>
        <w:rPr>
          <w:rFonts w:ascii="Arial" w:cs="Arial" w:eastAsia="Arial" w:hAnsi="Arial"/>
          <w:sz w:val="18"/>
          <w:szCs w:val="18"/>
          <w:b w:val="1"/>
          <w:bCs w:val="1"/>
          <w:color w:val="auto"/>
        </w:rPr>
        <w:t xml:space="preserve"> interest rate from the date of change of use for the portion of the loan not used for the agreed purpose. The original interest rate refers to the interest rate that was applicable before the change of use of the loan.</w:t>
      </w:r>
    </w:p>
    <w:p>
      <w:pPr>
        <w:spacing w:after="0" w:line="179"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b w:val="1"/>
          <w:bCs w:val="1"/>
          <w:color w:val="auto"/>
        </w:rPr>
        <w:t xml:space="preserve">If Party B fails to repay the loan on time, late interest (penalty interest) will be charged on the outstanding portion of the loan from the overdue date at a rate of </w:t>
      </w:r>
      <w:r>
        <w:rPr>
          <w:rFonts w:ascii="Arial" w:cs="Arial" w:eastAsia="Arial" w:hAnsi="Arial"/>
          <w:sz w:val="18"/>
          <w:szCs w:val="18"/>
          <w:b w:val="1"/>
          <w:bCs w:val="1"/>
          <w:u w:val="single" w:color="auto"/>
          <w:color w:val="auto"/>
        </w:rPr>
        <w:t>50% (the</w:t>
      </w:r>
      <w:r>
        <w:rPr>
          <w:rFonts w:ascii="Arial" w:cs="Arial" w:eastAsia="Arial" w:hAnsi="Arial"/>
          <w:sz w:val="18"/>
          <w:szCs w:val="18"/>
          <w:b w:val="1"/>
          <w:bCs w:val="1"/>
          <w:color w:val="auto"/>
        </w:rPr>
        <w:t xml:space="preserve"> 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If the loan is both overdue and not used for the contracted purpose, interest will accrue on the higher of the above provisions.</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4.3 In the event that the People’s Bank of China adjusts the regulations on loan interest rates during the term of the loan, the relevant regulations of the People’s Bank of China shall apply.</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4.4 If the maturity date of the loan falls on a holiday, the loan will automatically be postponed to the first working day after the holiday and the interest will be calculated according to the actual number of days the loan funds are occupied.</w:t>
      </w:r>
    </w:p>
    <w:p>
      <w:pPr>
        <w:spacing w:after="0" w:line="171" w:lineRule="exact"/>
        <w:rPr>
          <w:sz w:val="20"/>
          <w:szCs w:val="20"/>
          <w:color w:val="auto"/>
        </w:rPr>
      </w:pPr>
    </w:p>
    <w:p>
      <w:pPr>
        <w:jc w:val="both"/>
        <w:ind w:firstLine="320"/>
        <w:spacing w:after="0" w:line="272" w:lineRule="auto"/>
        <w:rPr>
          <w:sz w:val="20"/>
          <w:szCs w:val="20"/>
          <w:color w:val="auto"/>
        </w:rPr>
      </w:pPr>
      <w:r>
        <w:rPr>
          <w:rFonts w:ascii="Arial" w:cs="Arial" w:eastAsia="Arial" w:hAnsi="Arial"/>
          <w:sz w:val="17"/>
          <w:szCs w:val="17"/>
          <w:b w:val="1"/>
          <w:bCs w:val="1"/>
          <w:color w:val="auto"/>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6" w:name="page367"/>
    <w:bookmarkEnd w:id="366"/>
    <w:p>
      <w:pPr>
        <w:ind w:left="380"/>
        <w:spacing w:after="0"/>
        <w:rPr>
          <w:sz w:val="20"/>
          <w:szCs w:val="20"/>
          <w:color w:val="auto"/>
        </w:rPr>
      </w:pPr>
      <w:r>
        <w:rPr>
          <w:rFonts w:ascii="Arial" w:cs="Arial" w:eastAsia="Arial" w:hAnsi="Arial"/>
          <w:sz w:val="18"/>
          <w:szCs w:val="18"/>
          <w:color w:val="auto"/>
        </w:rPr>
        <w:t>5. Guarantee clause</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spacing w:after="0" w:line="18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 Party B’s rights and obligations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 Party B shall have the following rights.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6.1.1 the right to require us to provide a loan or other credit within the credit limit on the terms set out in this Agreement.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6.1.2 the right to use the credit line as agreed in this Agreement.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6.1.3 the right to require Party A to keep confidential the production, operations, property and accounts provided by Party B, except as otherwise provided in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6.1.4 The right to assign the debt to a third party with our written consent.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 Party B undertakes the following obligations.</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6.2.2 shall accept Party A’s supervision of its use of credit funds and related production, operation and financial activities.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6.2.3 Loans and/or other credits shall be used as agreed and/or committed to in this Agreement and in each specific operational text.</w:t>
      </w:r>
    </w:p>
    <w:p>
      <w:pPr>
        <w:spacing w:after="0" w:line="220"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6.2.4 shall repay in full and on time the principal, interest and fees on loans, advances and other credit obligations as agreed in this Agreement and each specific business text.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6.2.5 the assignment of all or part of the obligations under this Agreement to a third party shall be subject to our written consent.</w:t>
      </w:r>
    </w:p>
    <w:p>
      <w:pPr>
        <w:spacing w:after="0" w:line="220"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7" w:name="page368"/>
    <w:bookmarkEnd w:id="367"/>
    <w:p>
      <w:pPr>
        <w:ind w:left="320"/>
        <w:spacing w:after="0"/>
        <w:rPr>
          <w:sz w:val="20"/>
          <w:szCs w:val="20"/>
          <w:color w:val="auto"/>
        </w:rPr>
      </w:pPr>
      <w:r>
        <w:rPr>
          <w:rFonts w:ascii="Arial" w:cs="Arial" w:eastAsia="Arial" w:hAnsi="Arial"/>
          <w:sz w:val="18"/>
          <w:szCs w:val="18"/>
          <w:color w:val="auto"/>
        </w:rPr>
        <w:t>6.2.6.1 the occurrence of a significant financial loss, loss of assets or other financial crisis.</w:t>
      </w:r>
    </w:p>
    <w:p>
      <w:pPr>
        <w:spacing w:after="0" w:line="216"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6.2.6.2 loans or guarantees for the benefit of third parties or for the protection of third parties against loss, or guarantees of credit (pledge) on own property (rights).</w:t>
      </w:r>
    </w:p>
    <w:p>
      <w:pPr>
        <w:spacing w:after="0" w:line="168"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spacing w:after="0" w:line="183"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 xml:space="preserve">6.2.6.4 where its controlling shareholder or other affiliated companies or the de facto controller has a major crisis in operation or finance which affects </w:t>
      </w:r>
      <w:r>
        <w:rPr>
          <w:rFonts w:ascii="Arial" w:cs="Arial" w:eastAsia="Arial" w:hAnsi="Arial"/>
          <w:sz w:val="18"/>
          <w:szCs w:val="18"/>
          <w:b w:val="1"/>
          <w:bCs w:val="1"/>
          <w:color w:val="auto"/>
        </w:rPr>
        <w:t>its normal 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spacing w:after="0" w:line="18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b w:val="1"/>
          <w:bCs w:val="1"/>
          <w:color w:val="auto"/>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spacing w:after="0" w:line="188"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6.2.6.6 the occurrence of any litigation, arbitration or criminal or administrative penalty that has a material adverse effect on its business or property position.</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6.2.6.8 The occurrence of other material events that may affect the solvency of Party B and or its controlling shareholders/actual controllers.</w:t>
      </w:r>
    </w:p>
    <w:p>
      <w:pPr>
        <w:spacing w:after="0" w:line="227"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6.2.7 Not to neglect to manage and pursue its claims as they fall due, or to dispose of existing major property without compensation and in other inappropriate ways.</w:t>
      </w:r>
    </w:p>
    <w:p>
      <w:pPr>
        <w:spacing w:after="0" w:line="168"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spacing w:after="0" w:line="183"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 xml:space="preserve">6.2.9 In the case of pledge of accounts receivable, Party B guarantees that the credit balance at any point during the credit period is less than </w:t>
      </w:r>
      <w:r>
        <w:rPr>
          <w:rFonts w:ascii="Arial" w:cs="Arial" w:eastAsia="Arial" w:hAnsi="Arial"/>
          <w:sz w:val="18"/>
          <w:szCs w:val="18"/>
          <w:u w:val="single" w:color="auto"/>
          <w:color w:val="auto"/>
        </w:rPr>
        <w:t>70%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pledged accounts receivable balance</w:t>
      </w:r>
      <w:r>
        <w:rPr>
          <w:rFonts w:ascii="Arial" w:cs="Arial" w:eastAsia="Arial" w:hAnsi="Arial"/>
          <w:sz w:val="18"/>
          <w:szCs w:val="18"/>
          <w:color w:val="auto"/>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8" w:name="page369"/>
    <w:bookmarkEnd w:id="368"/>
    <w:p>
      <w:pPr>
        <w:jc w:val="both"/>
        <w:ind w:firstLine="320"/>
        <w:spacing w:after="0" w:line="306" w:lineRule="auto"/>
        <w:rPr>
          <w:sz w:val="20"/>
          <w:szCs w:val="20"/>
          <w:color w:val="auto"/>
        </w:rPr>
      </w:pPr>
      <w:r>
        <w:rPr>
          <w:rFonts w:ascii="Arial" w:cs="Arial" w:eastAsia="Arial" w:hAnsi="Arial"/>
          <w:sz w:val="16"/>
          <w:szCs w:val="16"/>
          <w:color w:val="auto"/>
        </w:rPr>
        <w:t xml:space="preserve">6.2.10 In the event that the balance in the margin account is less than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spacing w:after="0" w:line="15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6.2.11 To ensure that the payment for sales under import is recovered from the account designated by Party A; and to transfer the bills and/or documents under the letter of credit to Party A under export negotiation.</w:t>
      </w:r>
    </w:p>
    <w:p>
      <w:pPr>
        <w:spacing w:after="0" w:line="171"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 Party A’s rights and obligations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 We shall have the following rights.</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7.1.1 the right to require you to repay the principal, interest and costs of loans, advances and other credit obligations under this Agreement and the specific Contract in full and on time.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7.1.2 the right to request information from you in relation to the use of its credit facilities.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7.1.3 the right to be informed of Party B’s production operations and financial activities.</w:t>
      </w:r>
    </w:p>
    <w:p>
      <w:pPr>
        <w:spacing w:after="0" w:line="220"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17"/>
          <w:szCs w:val="17"/>
          <w:color w:val="auto"/>
        </w:rPr>
        <w:t xml:space="preserve">7.1.4 the right to supervise the use of loans and/or other credit facilities by Party B in accordance with the purposes agreed in this Agreement and each specific business text; </w:t>
      </w:r>
      <w:r>
        <w:rPr>
          <w:rFonts w:ascii="Arial" w:cs="Arial" w:eastAsia="Arial" w:hAnsi="Arial"/>
          <w:sz w:val="17"/>
          <w:szCs w:val="17"/>
          <w:b w:val="1"/>
          <w:bCs w:val="1"/>
          <w:color w:val="auto"/>
        </w:rPr>
        <w:t>the right to unilaterally and directly suspend or restrict the corporate internet banking / corporate APP / other online</w:t>
      </w:r>
      <w:r>
        <w:rPr>
          <w:rFonts w:ascii="Arial" w:cs="Arial" w:eastAsia="Arial" w:hAnsi="Arial"/>
          <w:sz w:val="17"/>
          <w:szCs w:val="17"/>
          <w:color w:val="auto"/>
        </w:rPr>
        <w:t xml:space="preserve"> </w:t>
      </w:r>
      <w:r>
        <w:rPr>
          <w:rFonts w:ascii="Arial" w:cs="Arial" w:eastAsia="Arial" w:hAnsi="Arial"/>
          <w:sz w:val="17"/>
          <w:szCs w:val="17"/>
          <w:b w:val="1"/>
          <w:bCs w:val="1"/>
          <w:color w:val="auto"/>
        </w:rPr>
        <w:t>functions of Party B’s account (including 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Arial" w:cs="Arial" w:eastAsia="Arial" w:hAnsi="Arial"/>
          <w:sz w:val="17"/>
          <w:szCs w:val="17"/>
          <w:color w:val="auto"/>
        </w:rPr>
        <w:t>.</w:t>
      </w:r>
    </w:p>
    <w:p>
      <w:pPr>
        <w:spacing w:after="0" w:line="18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7.1.5 has the right to entrust other branches of China Merchants Bank located at the beneficiary’s location to re-open letters of credit to the beneficiary after accepting Party B’s application to open a letter of credit, as required by its internal processes.</w:t>
      </w:r>
    </w:p>
    <w:p>
      <w:pPr>
        <w:spacing w:after="0" w:line="17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b w:val="1"/>
          <w:bCs w:val="1"/>
          <w:color w:val="auto"/>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9" w:name="page370"/>
    <w:bookmarkEnd w:id="369"/>
    <w:p>
      <w:pPr>
        <w:jc w:val="both"/>
        <w:ind w:firstLine="320"/>
        <w:spacing w:after="0" w:line="339" w:lineRule="auto"/>
        <w:rPr>
          <w:sz w:val="20"/>
          <w:szCs w:val="20"/>
          <w:color w:val="auto"/>
        </w:rPr>
      </w:pPr>
      <w:r>
        <w:rPr>
          <w:rFonts w:ascii="Arial" w:cs="Arial" w:eastAsia="Arial" w:hAnsi="Arial"/>
          <w:sz w:val="16"/>
          <w:szCs w:val="16"/>
          <w:color w:val="auto"/>
        </w:rPr>
        <w:t xml:space="preserve">7.1.7 the right to assign the claims it has against Party B and the right to </w:t>
      </w:r>
      <w:r>
        <w:rPr>
          <w:rFonts w:ascii="Arial" w:cs="Arial" w:eastAsia="Arial" w:hAnsi="Arial"/>
          <w:sz w:val="16"/>
          <w:szCs w:val="16"/>
          <w:b w:val="1"/>
          <w:bCs w:val="1"/>
          <w:color w:val="auto"/>
        </w:rPr>
        <w:t>notify Party B of the assignment by</w:t>
      </w:r>
      <w:r>
        <w:rPr>
          <w:rFonts w:ascii="Arial" w:cs="Arial" w:eastAsia="Arial" w:hAnsi="Arial"/>
          <w:sz w:val="16"/>
          <w:szCs w:val="16"/>
          <w:color w:val="auto"/>
        </w:rPr>
        <w:t xml:space="preserve"> such means as it considers appropriate, including but not limited to facsimile, post, personal service, </w:t>
      </w:r>
      <w:r>
        <w:rPr>
          <w:rFonts w:ascii="Arial" w:cs="Arial" w:eastAsia="Arial" w:hAnsi="Arial"/>
          <w:sz w:val="16"/>
          <w:szCs w:val="16"/>
          <w:b w:val="1"/>
          <w:bCs w:val="1"/>
          <w:color w:val="auto"/>
        </w:rPr>
        <w:t>announcement in the public media, etc., and to make collection calls on Party B.</w:t>
      </w:r>
    </w:p>
    <w:p>
      <w:pPr>
        <w:spacing w:after="0" w:line="12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spacing w:after="0" w:line="18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7.1.10 Other rights under this Agreement.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7.2 Party A undertakes the following obligations.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7.2.1 the granting of loans or other credit to you within the credit limit on the terms set out in this Agreement and in each specific contract.</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 In particular, Party B warrants the following</w:t>
      </w:r>
    </w:p>
    <w:p>
      <w:pPr>
        <w:spacing w:after="0" w:line="220"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8.2 the execution and performance of this Agreement has been fully authorised by the Board or any other authorised body.</w:t>
      </w:r>
    </w:p>
    <w:p>
      <w:pPr>
        <w:spacing w:after="0" w:line="220"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8.4 Strictly comply with the agreements of each specific operational text and the various types of correspondence and relevant documents issued to us.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70" w:name="page371"/>
    <w:bookmarkEnd w:id="370"/>
    <w:p>
      <w:pPr>
        <w:jc w:val="both"/>
        <w:ind w:firstLine="320"/>
        <w:spacing w:after="0" w:line="258" w:lineRule="auto"/>
        <w:rPr>
          <w:sz w:val="20"/>
          <w:szCs w:val="20"/>
          <w:color w:val="auto"/>
        </w:rPr>
      </w:pPr>
      <w:r>
        <w:rPr>
          <w:rFonts w:ascii="Arial" w:cs="Arial" w:eastAsia="Arial" w:hAnsi="Arial"/>
          <w:sz w:val="18"/>
          <w:szCs w:val="18"/>
          <w:color w:val="auto"/>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spacing w:after="0" w:line="186"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8.8 you shall not settle other long-term debts in advance without our permission.</w:t>
      </w:r>
    </w:p>
    <w:p>
      <w:pPr>
        <w:spacing w:after="0" w:line="224"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spacing w:after="0" w:line="186"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8.10 At the time of entering into and performing this Agreement, no other material event has occurred to you which affects the performance of your obligations under this Agreement.</w:t>
      </w:r>
    </w:p>
    <w:p>
      <w:pPr>
        <w:spacing w:after="0" w:line="175" w:lineRule="exact"/>
        <w:rPr>
          <w:sz w:val="20"/>
          <w:szCs w:val="20"/>
          <w:color w:val="auto"/>
        </w:rPr>
      </w:pPr>
    </w:p>
    <w:p>
      <w:pPr>
        <w:ind w:left="500" w:hanging="173"/>
        <w:spacing w:after="0"/>
        <w:tabs>
          <w:tab w:leader="none" w:pos="5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Special provisions on working capital loans</w:t>
      </w:r>
    </w:p>
    <w:p>
      <w:pPr>
        <w:spacing w:after="0" w:line="21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9.1 Withdrawals and drawdowns</w:t>
      </w:r>
    </w:p>
    <w:p>
      <w:pPr>
        <w:spacing w:after="0" w:line="219" w:lineRule="exact"/>
        <w:rPr>
          <w:rFonts w:ascii="Arial" w:cs="Arial" w:eastAsia="Arial" w:hAnsi="Arial"/>
          <w:sz w:val="18"/>
          <w:szCs w:val="18"/>
          <w:color w:val="auto"/>
        </w:rPr>
      </w:pPr>
    </w:p>
    <w:p>
      <w:pPr>
        <w:ind w:left="320" w:right="3460"/>
        <w:spacing w:after="0" w:line="495" w:lineRule="auto"/>
        <w:rPr>
          <w:rFonts w:ascii="Arial" w:cs="Arial" w:eastAsia="Arial" w:hAnsi="Arial"/>
          <w:sz w:val="18"/>
          <w:szCs w:val="18"/>
          <w:color w:val="auto"/>
        </w:rPr>
      </w:pPr>
      <w:r>
        <w:rPr>
          <w:rFonts w:ascii="Arial" w:cs="Arial" w:eastAsia="Arial" w:hAnsi="Arial"/>
          <w:sz w:val="18"/>
          <w:szCs w:val="18"/>
          <w:color w:val="auto"/>
        </w:rPr>
        <w:t>Your use of the Working Capital Loan under this Agreement will be made both on your own and in trust. 9.1.1 Autonomous payments</w:t>
      </w:r>
    </w:p>
    <w:p>
      <w:pPr>
        <w:jc w:val="both"/>
        <w:ind w:firstLine="320"/>
        <w:spacing w:after="0" w:line="270" w:lineRule="auto"/>
        <w:rPr>
          <w:sz w:val="20"/>
          <w:szCs w:val="20"/>
          <w:color w:val="auto"/>
        </w:rPr>
      </w:pPr>
      <w:r>
        <w:rPr>
          <w:rFonts w:ascii="Arial" w:cs="Arial" w:eastAsia="Arial" w:hAnsi="Arial"/>
          <w:sz w:val="18"/>
          <w:szCs w:val="18"/>
          <w:color w:val="auto"/>
        </w:rPr>
        <w:t>Self-disbursement is the disbursement of loan funds by us to your account after we have released the loan funds to your account in accordance with your request for withdrawal, and then by you to your counterparty who meets the agreed purpose.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9.1.2 Fiduciary payments</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1" w:name="page372"/>
    <w:bookmarkEnd w:id="371"/>
    <w:p>
      <w:pPr>
        <w:ind w:left="320"/>
        <w:spacing w:after="0"/>
        <w:rPr>
          <w:sz w:val="20"/>
          <w:szCs w:val="20"/>
          <w:color w:val="auto"/>
        </w:rPr>
      </w:pPr>
      <w:r>
        <w:rPr>
          <w:rFonts w:ascii="Arial" w:cs="Arial" w:eastAsia="Arial" w:hAnsi="Arial"/>
          <w:sz w:val="18"/>
          <w:szCs w:val="18"/>
          <w:color w:val="auto"/>
        </w:rPr>
        <w:t>9.1.3 you shall use the fiduciary payment method unconditionally and in full if</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9.1.3.1 Where a single withdrawal by Party B exceeds </w:t>
      </w:r>
      <w:r>
        <w:rPr>
          <w:rFonts w:ascii="Arial" w:cs="Arial" w:eastAsia="Arial" w:hAnsi="Arial"/>
          <w:sz w:val="18"/>
          <w:szCs w:val="18"/>
          <w:u w:val="single" w:color="auto"/>
          <w:color w:val="auto"/>
        </w:rPr>
        <w:t>RMB 5</w:t>
      </w:r>
      <w:r>
        <w:rPr>
          <w:rFonts w:ascii="Arial" w:cs="Arial" w:eastAsia="Arial" w:hAnsi="Arial"/>
          <w:sz w:val="18"/>
          <w:szCs w:val="18"/>
          <w:color w:val="auto"/>
        </w:rPr>
        <w:t xml:space="preserve"> million (inclusive, or its equivalent in foreign currency).</w:t>
      </w:r>
    </w:p>
    <w:p>
      <w:pPr>
        <w:spacing w:after="0" w:line="216"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9.1.3.2 Where Party A requires Party B to adopt a fiduciary payment method in accordance with regulatory requirements or for risk management purposes.</w:t>
      </w:r>
    </w:p>
    <w:p>
      <w:pPr>
        <w:spacing w:after="0" w:line="17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9.1.4 If payment is made on trust, external payment after loan disbursement must be approved by Party A. Party B shall not circumvent Party A’s supervision by means of online banking, reverse cheque withdrawal or conversion of the whole amount into zero.</w:t>
      </w:r>
    </w:p>
    <w:p>
      <w:pPr>
        <w:spacing w:after="0" w:line="175" w:lineRule="exact"/>
        <w:rPr>
          <w:sz w:val="20"/>
          <w:szCs w:val="20"/>
          <w:color w:val="auto"/>
        </w:rPr>
      </w:pPr>
    </w:p>
    <w:p>
      <w:pPr>
        <w:jc w:val="both"/>
        <w:ind w:firstLine="320"/>
        <w:spacing w:after="0" w:line="292" w:lineRule="auto"/>
        <w:rPr>
          <w:sz w:val="20"/>
          <w:szCs w:val="20"/>
          <w:color w:val="auto"/>
        </w:rPr>
      </w:pPr>
      <w:r>
        <w:rPr>
          <w:rFonts w:ascii="Arial" w:cs="Arial" w:eastAsia="Arial" w:hAnsi="Arial"/>
          <w:sz w:val="16"/>
          <w:szCs w:val="16"/>
          <w:color w:val="auto"/>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Arial" w:cs="Arial" w:eastAsia="Arial" w:hAnsi="Arial"/>
          <w:sz w:val="16"/>
          <w:szCs w:val="16"/>
          <w:b w:val="1"/>
          <w:bCs w:val="1"/>
          <w:color w:val="auto"/>
        </w:rPr>
        <w:t>not be liable for any</w:t>
      </w:r>
      <w:r>
        <w:rPr>
          <w:rFonts w:ascii="Arial" w:cs="Arial" w:eastAsia="Arial" w:hAnsi="Arial"/>
          <w:sz w:val="16"/>
          <w:szCs w:val="16"/>
          <w:color w:val="auto"/>
        </w:rPr>
        <w:t xml:space="preserve"> delay or failure in the payment of funds due to inaccurate or incomplete payment information provided by Party B, resulting in </w:t>
      </w:r>
      <w:r>
        <w:rPr>
          <w:rFonts w:ascii="Arial" w:cs="Arial" w:eastAsia="Arial" w:hAnsi="Arial"/>
          <w:sz w:val="16"/>
          <w:szCs w:val="16"/>
          <w:b w:val="1"/>
          <w:bCs w:val="1"/>
          <w:color w:val="auto"/>
        </w:rPr>
        <w:t>Party B’s default or formation of other losses to its counterparty.</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9.3 Loan extensions</w:t>
      </w:r>
    </w:p>
    <w:p>
      <w:pPr>
        <w:spacing w:after="0" w:line="220"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 Events of default and handling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 An event of default shall be deemed to have occurred if Party B.</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10.1.1 Failure to perform or breach of each of its obligations under this Agreement</w:t>
      </w:r>
      <w:r>
        <w:rPr>
          <w:rFonts w:ascii="Arial" w:cs="Arial" w:eastAsia="Arial" w:hAnsi="Arial"/>
          <w:sz w:val="18"/>
          <w:szCs w:val="18"/>
          <w:color w:val="auto"/>
        </w:rPr>
        <w:t>.</w:t>
      </w:r>
    </w:p>
    <w:p>
      <w:pPr>
        <w:spacing w:after="0" w:line="22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10.1.2 if there is any untruthfulness or incompleteness in the Special Warranties by Party B under this Agreement, or if Party B breaches the Special Warranties and fails to rectify the same as required by Party A.</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spacing w:after="0" w:line="182"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10.1.4 a material breach by Party B under a legally valid contract with another creditor which is not satisfactorily resolved within three months from the date of the breach.</w:t>
      </w:r>
    </w:p>
    <w:p>
      <w:pPr>
        <w:spacing w:after="0" w:line="168"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 xml:space="preserve">The foregoing material breach means that Party B’s breach of contract results in its creditors being entitled to claim from it for an amount </w:t>
      </w:r>
      <w:r>
        <w:rPr>
          <w:rFonts w:ascii="Arial" w:cs="Arial" w:eastAsia="Arial" w:hAnsi="Arial"/>
          <w:sz w:val="18"/>
          <w:szCs w:val="18"/>
          <w:b w:val="1"/>
          <w:bCs w:val="1"/>
          <w:u w:val="single" w:color="auto"/>
          <w:color w:val="auto"/>
        </w:rPr>
        <w:t>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RMB1</w:t>
      </w:r>
      <w:r>
        <w:rPr>
          <w:rFonts w:ascii="Arial" w:cs="Arial" w:eastAsia="Arial" w:hAnsi="Arial"/>
          <w:sz w:val="18"/>
          <w:szCs w:val="18"/>
          <w:b w:val="1"/>
          <w:bCs w:val="1"/>
          <w:color w:val="auto"/>
        </w:rPr>
        <w:t xml:space="preserve"> million or more.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2" w:name="page373"/>
    <w:bookmarkEnd w:id="372"/>
    <w:p>
      <w:pPr>
        <w:jc w:val="both"/>
        <w:ind w:firstLine="320"/>
        <w:spacing w:after="0" w:line="255" w:lineRule="auto"/>
        <w:rPr>
          <w:sz w:val="20"/>
          <w:szCs w:val="20"/>
          <w:color w:val="auto"/>
        </w:rPr>
      </w:pPr>
      <w:r>
        <w:rPr>
          <w:rFonts w:ascii="Arial" w:cs="Arial" w:eastAsia="Arial" w:hAnsi="Arial"/>
          <w:sz w:val="18"/>
          <w:szCs w:val="18"/>
          <w:color w:val="auto"/>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spacing w:after="0" w:line="188"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spacing w:after="0" w:line="188"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spacing w:after="0" w:line="13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10.1.8 where Party B draws down the loan in a “fractional” manner in order to circumvent the requirement under this Agreement that Party B should entrust Party A with the external disbursement of the loan funds.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10.1.9 Your business activities may pose anti-money laundering or sanctions compliance risks to us.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10.1.10 occurrence of other circumstances which we consider to be detrimental to our legitimate rights and interests.</w:t>
      </w:r>
    </w:p>
    <w:p>
      <w:pPr>
        <w:spacing w:after="0" w:line="216"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spacing w:after="0" w:line="18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10.2.1 the occurrence of one of the circumstances similar to those described in clause 6.2.6 of this Agreement, or the occurrence of a circumstance described in clause 6.2.8 without our consent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10.2.2 the issuance of an irrevocable guarantee conceals its actual capacity to assume liability or is not authorized by a competent authority.</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10.2.3 Failure to comply with registration, annual business report procedures and/or extension/extension of business term procedures, etc. on time.</w:t>
      </w:r>
    </w:p>
    <w:p>
      <w:pPr>
        <w:spacing w:after="0" w:line="24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10.2.4 neglects to manage and pursue its claims as they become due or disposes of existing major property without compensation or in any other improper manner.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10.2.5 breach of any obligation, undertaking or statement in an irrevocable undertaking signed by it.</w:t>
      </w:r>
    </w:p>
    <w:p>
      <w:pPr>
        <w:spacing w:after="0" w:line="216" w:lineRule="exact"/>
        <w:rPr>
          <w:sz w:val="20"/>
          <w:szCs w:val="20"/>
          <w:color w:val="auto"/>
        </w:rPr>
      </w:pPr>
    </w:p>
    <w:p>
      <w:pPr>
        <w:jc w:val="both"/>
        <w:ind w:firstLine="320"/>
        <w:spacing w:after="0" w:line="308" w:lineRule="auto"/>
        <w:rPr>
          <w:sz w:val="20"/>
          <w:szCs w:val="20"/>
          <w:color w:val="auto"/>
        </w:rPr>
      </w:pPr>
      <w:r>
        <w:rPr>
          <w:rFonts w:ascii="Arial" w:cs="Arial" w:eastAsia="Arial" w:hAnsi="Arial"/>
          <w:sz w:val="16"/>
          <w:szCs w:val="16"/>
          <w:b w:val="1"/>
          <w:bCs w:val="1"/>
          <w:color w:val="auto"/>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73" w:name="page374"/>
    <w:bookmarkEnd w:id="373"/>
    <w:p>
      <w:pPr>
        <w:ind w:left="320"/>
        <w:spacing w:after="0"/>
        <w:rPr>
          <w:sz w:val="20"/>
          <w:szCs w:val="20"/>
          <w:color w:val="auto"/>
        </w:rPr>
      </w:pPr>
      <w:r>
        <w:rPr>
          <w:rFonts w:ascii="Arial" w:cs="Arial" w:eastAsia="Arial" w:hAnsi="Arial"/>
          <w:sz w:val="18"/>
          <w:szCs w:val="18"/>
          <w:color w:val="auto"/>
        </w:rPr>
        <w:t>10.3.1 there is no right of ownership or disposition of the collateral (or pledge), or the ownership is disputed.</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spacing w:after="0" w:line="186"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10.3.5 where the mortgaged property has been or may be included in the scope of government demolition or expropriation and the mortgagor fails to immediately inform us and perform the relevant obligations as agreed in the mortgage contract.</w:t>
      </w:r>
    </w:p>
    <w:p>
      <w:pPr>
        <w:spacing w:after="0" w:line="175"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10.3.7 where the pledgee pledges financial products, the source of funding for the subscription of the financial products is not legal/compliant.</w:t>
      </w:r>
    </w:p>
    <w:p>
      <w:pPr>
        <w:spacing w:after="0" w:line="231"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10.3.8 other matters occurring or likely to occur in relation to the mortgage (pledge) affecting the value of the mortgage (pledge) or affecting our mortgage (pledge) rights, etc.</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10.3.9 the mortgagor (or pledgee) breaches any obligation, promise or representation in the mortgage contract/pledge contract signed by him.</w:t>
      </w:r>
    </w:p>
    <w:p>
      <w:pPr>
        <w:spacing w:after="0" w:line="227"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b w:val="1"/>
          <w:bCs w:val="1"/>
          <w:color w:val="auto"/>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4" w:name="page375"/>
    <w:bookmarkEnd w:id="374"/>
    <w:p>
      <w:pPr>
        <w:ind w:left="320"/>
        <w:spacing w:after="0"/>
        <w:rPr>
          <w:sz w:val="20"/>
          <w:szCs w:val="20"/>
          <w:color w:val="auto"/>
        </w:rPr>
      </w:pPr>
      <w:r>
        <w:rPr>
          <w:rFonts w:ascii="Arial" w:cs="Arial" w:eastAsia="Arial" w:hAnsi="Arial"/>
          <w:sz w:val="18"/>
          <w:szCs w:val="18"/>
          <w:color w:val="auto"/>
        </w:rPr>
        <w:t>10.5 In the event of any of the above events of default, we shall be entitled to take the following measures separately or concurrently.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10.5.1 reduce the amount of credit granted under this Agreement or discontinue the use of the remaining credit line.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10.5.2 early recovery of principal, interest and related fees on loans granted within the credit limit.</w:t>
      </w:r>
    </w:p>
    <w:p>
      <w:pPr>
        <w:spacing w:after="0" w:line="22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spacing w:after="0" w:line="19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spacing w:after="0" w:line="163"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color w:val="auto"/>
        </w:rPr>
        <w:t xml:space="preserve">10.5.5 Party A may also directly request Party B to provide other property acceptable to Party A as new security as appropriate. </w:t>
      </w:r>
      <w:r>
        <w:rPr>
          <w:rFonts w:ascii="Arial" w:cs="Arial" w:eastAsia="Arial" w:hAnsi="Arial"/>
          <w:sz w:val="18"/>
          <w:szCs w:val="18"/>
          <w:b w:val="1"/>
          <w:bCs w:val="1"/>
          <w:color w:val="auto"/>
        </w:rPr>
        <w:t>If Party B fails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provide new security as requested, Party B shall be liable for liquidated damages equivalent to </w:t>
      </w:r>
      <w:r>
        <w:rPr>
          <w:rFonts w:ascii="Arial" w:cs="Arial" w:eastAsia="Arial" w:hAnsi="Arial"/>
          <w:sz w:val="18"/>
          <w:szCs w:val="18"/>
          <w:b w:val="1"/>
          <w:bCs w:val="1"/>
          <w:u w:val="single" w:color="auto"/>
          <w:color w:val="auto"/>
        </w:rPr>
        <w:t>30% of the</w:t>
      </w:r>
      <w:r>
        <w:rPr>
          <w:rFonts w:ascii="Arial" w:cs="Arial" w:eastAsia="Arial" w:hAnsi="Arial"/>
          <w:sz w:val="18"/>
          <w:szCs w:val="18"/>
          <w:b w:val="1"/>
          <w:bCs w:val="1"/>
          <w:color w:val="auto"/>
        </w:rPr>
        <w:t xml:space="preserve"> amount of the credit facility under this Agreement.</w:t>
      </w:r>
    </w:p>
    <w:p>
      <w:pPr>
        <w:spacing w:after="0" w:line="179" w:lineRule="exact"/>
        <w:rPr>
          <w:sz w:val="20"/>
          <w:szCs w:val="20"/>
          <w:color w:val="auto"/>
        </w:rPr>
      </w:pPr>
    </w:p>
    <w:p>
      <w:pPr>
        <w:jc w:val="both"/>
        <w:ind w:firstLine="320"/>
        <w:spacing w:after="0" w:line="339" w:lineRule="auto"/>
        <w:rPr>
          <w:sz w:val="20"/>
          <w:szCs w:val="20"/>
          <w:color w:val="auto"/>
        </w:rPr>
      </w:pPr>
      <w:r>
        <w:rPr>
          <w:rFonts w:ascii="Arial" w:cs="Arial" w:eastAsia="Arial" w:hAnsi="Arial"/>
          <w:sz w:val="16"/>
          <w:szCs w:val="16"/>
          <w:b w:val="1"/>
          <w:bCs w:val="1"/>
          <w:color w:val="auto"/>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spacing w:after="0" w:line="121" w:lineRule="exact"/>
        <w:rPr>
          <w:sz w:val="20"/>
          <w:szCs w:val="20"/>
          <w:color w:val="auto"/>
        </w:rPr>
      </w:pPr>
    </w:p>
    <w:p>
      <w:pPr>
        <w:jc w:val="both"/>
        <w:ind w:firstLine="320"/>
        <w:spacing w:after="0" w:line="305" w:lineRule="auto"/>
        <w:rPr>
          <w:sz w:val="20"/>
          <w:szCs w:val="20"/>
          <w:color w:val="auto"/>
        </w:rPr>
      </w:pPr>
      <w:r>
        <w:rPr>
          <w:rFonts w:ascii="Arial" w:cs="Arial" w:eastAsia="Arial" w:hAnsi="Arial"/>
          <w:sz w:val="17"/>
          <w:szCs w:val="17"/>
          <w:b w:val="1"/>
          <w:bCs w:val="1"/>
          <w:color w:val="auto"/>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10.5.8 dispose of the pledge and/or recover it from the guarantor in accordance with the provisions of the security text.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10.5.9 for working capital loans under the credit facility, change the terms of the loan funds entrusted to you and remove the use of the loan by you on a “self-pay” basis.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10.5.10 Recourse in accordance with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5" w:name="page376"/>
    <w:bookmarkEnd w:id="375"/>
    <w:p>
      <w:pPr>
        <w:jc w:val="both"/>
        <w:ind w:firstLine="320"/>
        <w:spacing w:after="0" w:line="258" w:lineRule="auto"/>
        <w:rPr>
          <w:sz w:val="20"/>
          <w:szCs w:val="20"/>
          <w:color w:val="auto"/>
        </w:rPr>
      </w:pPr>
      <w:r>
        <w:rPr>
          <w:rFonts w:ascii="Arial" w:cs="Arial" w:eastAsia="Arial" w:hAnsi="Arial"/>
          <w:sz w:val="18"/>
          <w:szCs w:val="18"/>
          <w:color w:val="auto"/>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Party A has the right to unilaterally adjust the above repayment order, unless otherwise required by law or regulation.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11. Changes and additions to the agreement</w:t>
      </w:r>
    </w:p>
    <w:p>
      <w:pPr>
        <w:spacing w:after="0" w:line="220"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This agreement may be varied by mutual agreement and written agreement between A and B. Until such time as a written agreement is reached, this Agreement shall remain in force. Neither party may make unilateral changes to this agreement.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The written supplemental agreements reached by consensus between A and B in respect of matters not covered by this Agreement and changes thereto, as well as each specific business text under this Agreement, shall form an integral part of this Agreement.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12. Other matters</w:t>
      </w:r>
    </w:p>
    <w:p>
      <w:pPr>
        <w:spacing w:after="0" w:line="220"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spacing w:after="0" w:line="188"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spacing w:after="0" w:line="182"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If, as a result of changes in applicable laws and policy requirements, Party A incurs additional costs in performing its obligations under the Agreement, Party B shall reimburse Party A for the additional costs incurred at Party A’s request.</w:t>
      </w:r>
    </w:p>
    <w:p>
      <w:pPr>
        <w:spacing w:after="0" w:line="17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6" w:name="page377"/>
    <w:bookmarkEnd w:id="376"/>
    <w:p>
      <w:pPr>
        <w:jc w:val="both"/>
        <w:ind w:firstLine="320"/>
        <w:spacing w:after="0" w:line="289" w:lineRule="auto"/>
        <w:rPr>
          <w:sz w:val="20"/>
          <w:szCs w:val="20"/>
          <w:color w:val="auto"/>
        </w:rPr>
      </w:pPr>
      <w:r>
        <w:rPr>
          <w:rFonts w:ascii="Arial" w:cs="Arial" w:eastAsia="Arial" w:hAnsi="Arial"/>
          <w:sz w:val="16"/>
          <w:szCs w:val="16"/>
          <w:color w:val="auto"/>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spacing w:after="0" w:line="16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Service by Party A, the Court of Appeal and the Notary Public by the means of service agreed in this Agreement to the address for service agreed in the preceding paragraph shall be deemed to be valid service.</w:t>
      </w:r>
    </w:p>
    <w:p>
      <w:pPr>
        <w:spacing w:after="0" w:line="17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Arial" w:cs="Arial" w:eastAsia="Arial" w:hAnsi="Arial"/>
          <w:sz w:val="17"/>
          <w:szCs w:val="17"/>
          <w:b w:val="1"/>
          <w:bCs w:val="1"/>
          <w:color w:val="auto"/>
        </w:rPr>
        <w:t>recipient refuses to accept, delivery shall be deemed to have been</w:t>
      </w:r>
      <w:r>
        <w:rPr>
          <w:rFonts w:ascii="Arial" w:cs="Arial" w:eastAsia="Arial" w:hAnsi="Arial"/>
          <w:sz w:val="17"/>
          <w:szCs w:val="17"/>
          <w:color w:val="auto"/>
        </w:rPr>
        <w:t xml:space="preserve"> </w:t>
      </w:r>
      <w:r>
        <w:rPr>
          <w:rFonts w:ascii="Arial" w:cs="Arial" w:eastAsia="Arial" w:hAnsi="Arial"/>
          <w:sz w:val="17"/>
          <w:szCs w:val="17"/>
          <w:b w:val="1"/>
          <w:bCs w:val="1"/>
          <w:color w:val="auto"/>
        </w:rPr>
        <w:t>effected upon the expiry of seven days from the date of refusal/return or the date of posting, whichever is earlier</w:t>
      </w:r>
      <w:r>
        <w:rPr>
          <w:rFonts w:ascii="Arial" w:cs="Arial" w:eastAsia="Arial" w:hAnsi="Arial"/>
          <w:sz w:val="17"/>
          <w:szCs w:val="17"/>
          <w:color w:val="auto"/>
        </w:rPr>
        <w:t>);</w:t>
      </w:r>
      <w:r>
        <w:rPr>
          <w:rFonts w:ascii="Arial" w:cs="Arial" w:eastAsia="Arial" w:hAnsi="Arial"/>
          <w:sz w:val="17"/>
          <w:szCs w:val="17"/>
          <w:b w:val="1"/>
          <w:bCs w:val="1"/>
          <w:color w:val="auto"/>
        </w:rPr>
        <w:t xml:space="preserve"> if delivered by postal letter, delivery shall be deemed to have been effected upon the expiry of seven days from the date of posting; if delivered </w:t>
      </w:r>
      <w:r>
        <w:rPr>
          <w:rFonts w:ascii="Arial" w:cs="Arial" w:eastAsia="Arial" w:hAnsi="Arial"/>
          <w:sz w:val="17"/>
          <w:szCs w:val="17"/>
          <w:color w:val="auto"/>
        </w:rPr>
        <w:t>by fax, email, China Merchants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 Corporate Internet Banking/Enterprise App (i.e. delivery to Party B’s China 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Arial" w:cs="Arial" w:eastAsia="Arial" w:hAnsi="Arial"/>
          <w:sz w:val="17"/>
          <w:szCs w:val="17"/>
          <w:b w:val="1"/>
          <w:bCs w:val="1"/>
          <w:color w:val="auto"/>
        </w:rPr>
        <w:t>If Party A</w:t>
      </w:r>
      <w:r>
        <w:rPr>
          <w:rFonts w:ascii="Arial" w:cs="Arial" w:eastAsia="Arial" w:hAnsi="Arial"/>
          <w:sz w:val="17"/>
          <w:szCs w:val="17"/>
          <w:color w:val="auto"/>
        </w:rPr>
        <w:t xml:space="preserve"> </w:t>
      </w:r>
      <w:r>
        <w:rPr>
          <w:rFonts w:ascii="Arial" w:cs="Arial" w:eastAsia="Arial" w:hAnsi="Arial"/>
          <w:sz w:val="17"/>
          <w:szCs w:val="17"/>
          <w:b w:val="1"/>
          <w:bCs w:val="1"/>
          <w:color w:val="auto"/>
        </w:rPr>
        <w:t>notifies Party B of the transfer of debts or makes a collection call on Party B by way of announcement in the public media, the date of announcement shall be deemed to be the date of service.</w:t>
      </w:r>
    </w:p>
    <w:p>
      <w:pPr>
        <w:spacing w:after="0" w:line="182"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spacing w:after="0" w:line="160"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17"/>
          <w:szCs w:val="17"/>
          <w:color w:val="auto"/>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77" w:name="page378"/>
    <w:bookmarkEnd w:id="377"/>
    <w:p>
      <w:pPr>
        <w:jc w:val="both"/>
        <w:ind w:firstLine="320"/>
        <w:spacing w:after="0" w:line="270" w:lineRule="auto"/>
        <w:rPr>
          <w:sz w:val="20"/>
          <w:szCs w:val="20"/>
          <w:color w:val="auto"/>
        </w:rPr>
      </w:pPr>
      <w:r>
        <w:rPr>
          <w:rFonts w:ascii="Arial" w:cs="Arial" w:eastAsia="Arial" w:hAnsi="Arial"/>
          <w:sz w:val="18"/>
          <w:szCs w:val="18"/>
          <w:color w:val="auto"/>
        </w:rPr>
        <w:t>12.3.5 The address and mode of service agreed in this article apply to all stages of the contract performance, dispute resolution, arbitration, court hearing (first trial, second trial, retrial) and enforcement.</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12.4 The Parties agree that for each application for business under the Trade Finance Business, it is sufficient for Party B to affix its reserved seal on Party A and both Parties acknowledge the validity of such signature.</w:t>
      </w:r>
    </w:p>
    <w:p>
      <w:pPr>
        <w:spacing w:after="0" w:line="17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b w:val="1"/>
          <w:bCs w:val="1"/>
          <w:color w:val="auto"/>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spacing w:after="0" w:line="190" w:lineRule="exact"/>
        <w:rPr>
          <w:sz w:val="20"/>
          <w:szCs w:val="20"/>
          <w:color w:val="auto"/>
        </w:rPr>
      </w:pPr>
    </w:p>
    <w:p>
      <w:pPr>
        <w:jc w:val="both"/>
        <w:ind w:firstLine="320"/>
        <w:spacing w:after="0" w:line="352" w:lineRule="auto"/>
        <w:rPr>
          <w:sz w:val="20"/>
          <w:szCs w:val="20"/>
          <w:color w:val="auto"/>
        </w:rPr>
      </w:pPr>
      <w:r>
        <w:rPr>
          <w:rFonts w:ascii="Arial" w:cs="Arial" w:eastAsia="Arial" w:hAnsi="Arial"/>
          <w:sz w:val="14"/>
          <w:szCs w:val="14"/>
          <w:b w:val="1"/>
          <w:bCs w:val="1"/>
          <w:color w:val="auto"/>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spacing w:after="0" w:line="127"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12.7 The annexes under this Agreement form an integral part of this Agreement and shall automatically apply to the corresponding specific operations actually occurring between the Parties.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12.8 Covering costs</w:t>
      </w:r>
    </w:p>
    <w:p>
      <w:pPr>
        <w:spacing w:after="0" w:line="220" w:lineRule="exact"/>
        <w:rPr>
          <w:sz w:val="20"/>
          <w:szCs w:val="20"/>
          <w:color w:val="auto"/>
        </w:rPr>
      </w:pPr>
    </w:p>
    <w:p>
      <w:pPr>
        <w:ind w:firstLine="327"/>
        <w:spacing w:after="0" w:line="235" w:lineRule="exact"/>
        <w:tabs>
          <w:tab w:leader="none" w:pos="525" w:val="left"/>
        </w:tabs>
        <w:numPr>
          <w:ilvl w:val="0"/>
          <w:numId w:val="356"/>
        </w:numPr>
        <w:rPr>
          <w:rFonts w:ascii="MS PGothic" w:cs="MS PGothic" w:eastAsia="MS PGothic" w:hAnsi="MS PGothic"/>
          <w:sz w:val="18"/>
          <w:szCs w:val="18"/>
          <w:color w:val="auto"/>
        </w:rPr>
      </w:pPr>
      <w:r>
        <w:rPr>
          <w:rFonts w:ascii="Arial" w:cs="Arial" w:eastAsia="Arial" w:hAnsi="Arial"/>
          <w:sz w:val="18"/>
          <w:szCs w:val="18"/>
          <w:color w:val="auto"/>
        </w:rPr>
        <w:t>12.8.1 Where this Agreement involves Party B taking out accident insurance with Party A as the first beneficiary, the relevant insurance costs shall be borne in the following form (a tick in “</w:t>
      </w:r>
      <w:r>
        <w:rPr>
          <w:rFonts w:ascii="MS PGothic" w:cs="MS PGothic" w:eastAsia="MS PGothic" w:hAnsi="MS PGothic"/>
          <w:sz w:val="18"/>
          <w:szCs w:val="18"/>
          <w:color w:val="auto"/>
        </w:rPr>
        <w:t>☐</w:t>
      </w:r>
      <w:r>
        <w:rPr>
          <w:rFonts w:ascii="Arial" w:cs="Arial" w:eastAsia="Arial" w:hAnsi="Arial"/>
          <w:sz w:val="18"/>
          <w:szCs w:val="18"/>
          <w:color w:val="auto"/>
        </w:rPr>
        <w:t>” indicates that the provisions of this clause apply).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tick one of the following.</w:t>
      </w:r>
    </w:p>
    <w:p>
      <w:pPr>
        <w:spacing w:after="0" w:line="220" w:lineRule="exact"/>
        <w:rPr>
          <w:sz w:val="20"/>
          <w:szCs w:val="20"/>
          <w:color w:val="auto"/>
        </w:rPr>
      </w:pPr>
    </w:p>
    <w:p>
      <w:pPr>
        <w:ind w:left="520" w:hanging="193"/>
        <w:spacing w:after="0"/>
        <w:tabs>
          <w:tab w:leader="none" w:pos="520" w:val="left"/>
        </w:tabs>
        <w:numPr>
          <w:ilvl w:val="0"/>
          <w:numId w:val="357"/>
        </w:numPr>
        <w:rPr>
          <w:rFonts w:ascii="MS PGothic" w:cs="MS PGothic" w:eastAsia="MS PGothic" w:hAnsi="MS PGothic"/>
          <w:sz w:val="18"/>
          <w:szCs w:val="18"/>
          <w:color w:val="auto"/>
        </w:rPr>
      </w:pPr>
      <w:r>
        <w:rPr>
          <w:rFonts w:ascii="Arial" w:cs="Arial" w:eastAsia="Arial" w:hAnsi="Arial"/>
          <w:sz w:val="18"/>
          <w:szCs w:val="18"/>
          <w:color w:val="auto"/>
        </w:rPr>
        <w:t>The Party A is responsible for.</w:t>
      </w:r>
    </w:p>
    <w:p>
      <w:pPr>
        <w:spacing w:after="0" w:line="215" w:lineRule="exact"/>
        <w:rPr>
          <w:rFonts w:ascii="MS PGothic" w:cs="MS PGothic" w:eastAsia="MS PGothic" w:hAnsi="MS PGothic"/>
          <w:sz w:val="18"/>
          <w:szCs w:val="18"/>
          <w:color w:val="auto"/>
        </w:rPr>
      </w:pPr>
    </w:p>
    <w:p>
      <w:pPr>
        <w:ind w:left="520" w:hanging="193"/>
        <w:spacing w:after="0"/>
        <w:tabs>
          <w:tab w:leader="none" w:pos="520" w:val="left"/>
        </w:tabs>
        <w:numPr>
          <w:ilvl w:val="0"/>
          <w:numId w:val="357"/>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 and B share in the following proportions: Party A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 Party B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78" w:name="page379"/>
    <w:bookmarkEnd w:id="378"/>
    <w:p>
      <w:pPr>
        <w:ind w:right="20" w:firstLine="327"/>
        <w:spacing w:after="0" w:line="235" w:lineRule="exact"/>
        <w:tabs>
          <w:tab w:leader="none" w:pos="535" w:val="left"/>
        </w:tabs>
        <w:numPr>
          <w:ilvl w:val="0"/>
          <w:numId w:val="358"/>
        </w:numPr>
        <w:rPr>
          <w:rFonts w:ascii="MS PGothic" w:cs="MS PGothic" w:eastAsia="MS PGothic" w:hAnsi="MS PGothic"/>
          <w:sz w:val="18"/>
          <w:szCs w:val="18"/>
          <w:color w:val="auto"/>
        </w:rPr>
      </w:pPr>
      <w:r>
        <w:rPr>
          <w:rFonts w:ascii="Arial" w:cs="Arial" w:eastAsia="Arial" w:hAnsi="Arial"/>
          <w:sz w:val="18"/>
          <w:szCs w:val="18"/>
          <w:color w:val="auto"/>
        </w:rPr>
        <w:t>12.8.2 Where this Agreement relates to enforcement notary fees (other than the fee for the application for the issue of a certificate of enforcement), the following form of fee payment shall apply (a tick in “</w:t>
      </w:r>
      <w:r>
        <w:rPr>
          <w:rFonts w:ascii="MS PGothic" w:cs="MS PGothic" w:eastAsia="MS PGothic" w:hAnsi="MS PGothic"/>
          <w:sz w:val="18"/>
          <w:szCs w:val="18"/>
          <w:color w:val="auto"/>
        </w:rPr>
        <w:t>☐</w:t>
      </w:r>
      <w:r>
        <w:rPr>
          <w:rFonts w:ascii="Arial" w:cs="Arial" w:eastAsia="Arial" w:hAnsi="Arial"/>
          <w:sz w:val="18"/>
          <w:szCs w:val="18"/>
          <w:color w:val="auto"/>
        </w:rPr>
        <w:t>” indicates that the provisions of this clause apply).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tick one of the following.</w:t>
      </w:r>
    </w:p>
    <w:p>
      <w:pPr>
        <w:spacing w:after="0" w:line="220" w:lineRule="exact"/>
        <w:rPr>
          <w:sz w:val="20"/>
          <w:szCs w:val="20"/>
          <w:color w:val="auto"/>
        </w:rPr>
      </w:pPr>
    </w:p>
    <w:p>
      <w:pPr>
        <w:ind w:left="540" w:hanging="213"/>
        <w:spacing w:after="0"/>
        <w:tabs>
          <w:tab w:leader="none" w:pos="540" w:val="left"/>
        </w:tabs>
        <w:numPr>
          <w:ilvl w:val="0"/>
          <w:numId w:val="359"/>
        </w:numPr>
        <w:rPr>
          <w:rFonts w:ascii="MS PGothic" w:cs="MS PGothic" w:eastAsia="MS PGothic" w:hAnsi="MS PGothic"/>
          <w:sz w:val="18"/>
          <w:szCs w:val="18"/>
          <w:color w:val="auto"/>
        </w:rPr>
      </w:pPr>
      <w:r>
        <w:rPr>
          <w:rFonts w:ascii="Arial" w:cs="Arial" w:eastAsia="Arial" w:hAnsi="Arial"/>
          <w:sz w:val="18"/>
          <w:szCs w:val="18"/>
          <w:color w:val="auto"/>
        </w:rPr>
        <w:t>Party A bears</w:t>
      </w:r>
    </w:p>
    <w:p>
      <w:pPr>
        <w:spacing w:after="0" w:line="215" w:lineRule="exact"/>
        <w:rPr>
          <w:rFonts w:ascii="MS PGothic" w:cs="MS PGothic" w:eastAsia="MS PGothic" w:hAnsi="MS PGothic"/>
          <w:sz w:val="18"/>
          <w:szCs w:val="18"/>
          <w:color w:val="auto"/>
        </w:rPr>
      </w:pPr>
    </w:p>
    <w:p>
      <w:pPr>
        <w:ind w:left="520" w:hanging="193"/>
        <w:spacing w:after="0"/>
        <w:tabs>
          <w:tab w:leader="none" w:pos="520" w:val="left"/>
        </w:tabs>
        <w:numPr>
          <w:ilvl w:val="0"/>
          <w:numId w:val="359"/>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 and B share in the following proportions: Party A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 Party B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p>
    <w:p>
      <w:pPr>
        <w:spacing w:after="0" w:line="224"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12.8.3 In other matters where services are entrusted to a third party, the relevant costs shall be borne by the principal. If both parties are jointly acting as principal, each shall bear 50%.</w:t>
      </w:r>
    </w:p>
    <w:p>
      <w:pPr>
        <w:spacing w:after="0" w:line="175"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Arial" w:cs="Arial" w:eastAsia="Arial" w:hAnsi="Arial"/>
          <w:sz w:val="16"/>
          <w:szCs w:val="16"/>
          <w:b w:val="1"/>
          <w:bCs w:val="1"/>
          <w:color w:val="auto"/>
        </w:rPr>
        <w:t>authorises Party A to deduct them directly from Party B’s bank account with Party A. If there is</w:t>
      </w:r>
      <w:r>
        <w:rPr>
          <w:rFonts w:ascii="Arial" w:cs="Arial" w:eastAsia="Arial" w:hAnsi="Arial"/>
          <w:sz w:val="16"/>
          <w:szCs w:val="16"/>
          <w:color w:val="auto"/>
        </w:rPr>
        <w:t xml:space="preserve"> </w:t>
      </w:r>
      <w:r>
        <w:rPr>
          <w:rFonts w:ascii="Arial" w:cs="Arial" w:eastAsia="Arial" w:hAnsi="Arial"/>
          <w:sz w:val="16"/>
          <w:szCs w:val="16"/>
          <w:b w:val="1"/>
          <w:bCs w:val="1"/>
          <w:color w:val="auto"/>
        </w:rPr>
        <w:t>any shortfall, Party B guarantees to reimburse the full amount upon receipt of notice from Party A without any proof from Party A.</w:t>
      </w:r>
    </w:p>
    <w:p>
      <w:pPr>
        <w:spacing w:after="0" w:line="115" w:lineRule="exact"/>
        <w:rPr>
          <w:sz w:val="20"/>
          <w:szCs w:val="20"/>
          <w:color w:val="auto"/>
        </w:rPr>
      </w:pPr>
    </w:p>
    <w:p>
      <w:pPr>
        <w:ind w:left="320"/>
        <w:spacing w:after="0" w:line="207" w:lineRule="exact"/>
        <w:rPr>
          <w:sz w:val="20"/>
          <w:szCs w:val="20"/>
          <w:color w:val="auto"/>
        </w:rPr>
      </w:pPr>
      <w:r>
        <w:rPr>
          <w:rFonts w:ascii="Arial" w:cs="Arial" w:eastAsia="Arial" w:hAnsi="Arial"/>
          <w:sz w:val="18"/>
          <w:szCs w:val="18"/>
          <w:b w:val="1"/>
          <w:bCs w:val="1"/>
          <w:color w:val="auto"/>
        </w:rPr>
        <w:t xml:space="preserve">12.9 Party B shall, at Party A’s request (tick one of the following options at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w:t>
      </w:r>
    </w:p>
    <w:p>
      <w:pPr>
        <w:spacing w:after="0" w:line="261" w:lineRule="exact"/>
        <w:rPr>
          <w:sz w:val="20"/>
          <w:szCs w:val="20"/>
          <w:color w:val="auto"/>
        </w:rPr>
      </w:pPr>
    </w:p>
    <w:p>
      <w:pPr>
        <w:ind w:left="540" w:hanging="213"/>
        <w:spacing w:after="0"/>
        <w:tabs>
          <w:tab w:leader="none" w:pos="540" w:val="left"/>
        </w:tabs>
        <w:numPr>
          <w:ilvl w:val="0"/>
          <w:numId w:val="360"/>
        </w:numPr>
        <w:rPr>
          <w:rFonts w:ascii="MS PGothic" w:cs="MS PGothic" w:eastAsia="MS PGothic" w:hAnsi="MS PGothic"/>
          <w:sz w:val="18"/>
          <w:szCs w:val="18"/>
          <w:color w:val="auto"/>
        </w:rPr>
      </w:pPr>
      <w:r>
        <w:rPr>
          <w:rFonts w:ascii="Arial" w:cs="Arial" w:eastAsia="Arial" w:hAnsi="Arial"/>
          <w:sz w:val="18"/>
          <w:szCs w:val="18"/>
          <w:b w:val="1"/>
          <w:bCs w:val="1"/>
          <w:color w:val="auto"/>
        </w:rPr>
        <w:t>insure its core assets and designate us as the first-ranking beneficiary.</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360"/>
        </w:numPr>
        <w:rPr>
          <w:rFonts w:ascii="MS PGothic" w:cs="MS PGothic" w:eastAsia="MS PGothic" w:hAnsi="MS PGothic"/>
          <w:sz w:val="18"/>
          <w:szCs w:val="18"/>
          <w:color w:val="auto"/>
        </w:rPr>
      </w:pPr>
      <w:r>
        <w:rPr>
          <w:rFonts w:ascii="Arial" w:cs="Arial" w:eastAsia="Arial" w:hAnsi="Arial"/>
          <w:sz w:val="18"/>
          <w:szCs w:val="18"/>
          <w:b w:val="1"/>
          <w:bCs w:val="1"/>
          <w:color w:val="auto"/>
        </w:rPr>
        <w:t>No sale or encumbrance of assets designated by us until the credit debt has been settled.</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360"/>
        </w:numPr>
        <w:rPr>
          <w:rFonts w:ascii="MS PGothic" w:cs="MS PGothic" w:eastAsia="MS PGothic" w:hAnsi="MS PGothic"/>
          <w:sz w:val="16"/>
          <w:szCs w:val="16"/>
          <w:color w:val="auto"/>
        </w:rPr>
      </w:pPr>
      <w:r>
        <w:rPr>
          <w:rFonts w:ascii="Arial" w:cs="Arial" w:eastAsia="Arial" w:hAnsi="Arial"/>
          <w:sz w:val="16"/>
          <w:szCs w:val="16"/>
          <w:b w:val="1"/>
          <w:bCs w:val="1"/>
          <w:color w:val="auto"/>
        </w:rPr>
        <w:t>The dividends to its shareholders prior to the settlement of the credit debt are restricted in accordance with our requirements as follows.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-8890</wp:posOffset>
            </wp:positionV>
            <wp:extent cx="49999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12.10 You shall ensure that the financial indicators of Party B during the credit period do not fall below the following requirements.</w:t>
      </w:r>
    </w:p>
    <w:p>
      <w:pPr>
        <w:spacing w:after="0" w:line="2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-8890</wp:posOffset>
            </wp:positionV>
            <wp:extent cx="51409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5140960" cy="8255"/>
                    </a:xfrm>
                    <a:prstGeom prst="rect">
                      <a:avLst/>
                    </a:prstGeom>
                    <a:noFill/>
                  </pic:spPr>
                </pic:pic>
              </a:graphicData>
            </a:graphic>
          </wp:anchor>
        </w:drawing>
      </w:r>
    </w:p>
    <w:p>
      <w:pPr>
        <w:spacing w:after="0" w:line="200" w:lineRule="exact"/>
        <w:rPr>
          <w:sz w:val="20"/>
          <w:szCs w:val="20"/>
          <w:color w:val="auto"/>
        </w:rPr>
      </w:pPr>
    </w:p>
    <w:p>
      <w:pPr>
        <w:jc w:val="both"/>
        <w:ind w:firstLine="320"/>
        <w:spacing w:after="0" w:line="272" w:lineRule="auto"/>
        <w:rPr>
          <w:sz w:val="20"/>
          <w:szCs w:val="20"/>
          <w:color w:val="auto"/>
        </w:rPr>
      </w:pPr>
      <w:r>
        <w:rPr>
          <w:rFonts w:ascii="Arial" w:cs="Arial" w:eastAsia="Arial" w:hAnsi="Arial"/>
          <w:sz w:val="17"/>
          <w:szCs w:val="17"/>
          <w:b w:val="1"/>
          <w:bCs w:val="1"/>
          <w:color w:val="auto"/>
        </w:rPr>
        <w:t>12.11 You also acknowledge that China Merchants Bank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12.12 Other engagements.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9" w:name="page380"/>
    <w:bookmarkEnd w:id="379"/>
    <w:p>
      <w:pPr>
        <w:jc w:val="both"/>
        <w:ind w:firstLine="320"/>
        <w:spacing w:after="0" w:line="282" w:lineRule="auto"/>
        <w:rPr>
          <w:sz w:val="20"/>
          <w:szCs w:val="20"/>
          <w:color w:val="auto"/>
        </w:rPr>
      </w:pPr>
      <w:r>
        <w:rPr>
          <w:rFonts w:ascii="Arial" w:cs="Arial" w:eastAsia="Arial" w:hAnsi="Arial"/>
          <w:sz w:val="16"/>
          <w:szCs w:val="16"/>
          <w:b w:val="1"/>
          <w:bCs w:val="1"/>
          <w:color w:val="auto"/>
        </w:rPr>
        <w:t>12.12.1 (1) Party B shall not use false contracts with related parties or debts such as bills and receivables without trade background to conduct various businesses such as bill discounting, factoring, pledge, letter of credit and forfaiting in Party A. If Party B uses the connected transactions to damage or evade the claims of Party A or other branches of China Merchants Bank, it shall be regarded as an event of default under this Agreement and Party A shall have the right to take corresponding default handling measures in accordance with this Agreement. (2) If any related party of Party B defaults on its obligations to China Merchants Bank, it shall be deemed to be an event of default under the Group Credit Facility and Party A shall be entitled to decide whether or not to take the default handling measures as stipulated in this Agreement in accordance with the degree of impact of the event of default, irrespective of whether or not Party B has defaulted under this Agreement. (3) Related transaction means a transfer of resources or obligations between related parties, whether or not a price is received. A related party is defined as a party who has the ability to control, jointly control or exercise significant influence over another party, directly or indirectly, in the financial and operating decisions of the enterprise; two or more parties are also related if they are controlled by the same party. Both parties agree that the specific definition of related party shall be determined by Party A. (4) Group means a group of legal persons who have a direct or indirect controlling (control) or controlled (control) relationship, or other groups of legal persons who have a materially significant risk connection (such as being jointly controlled by a third party, having other related relationships and possibly not transferring assets and profits on a fair price basis). A control relationship is one in which you have effective control or exert significant influence over the operating decisions, capital operations or senior management appointments of the other party. Both parties agree that whether or not they are members of the Group is subject to Party A’s determination.</w:t>
      </w:r>
    </w:p>
    <w:p>
      <w:pPr>
        <w:spacing w:after="0" w:line="17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b w:val="1"/>
          <w:bCs w:val="1"/>
          <w:color w:val="auto"/>
        </w:rPr>
        <w:t>12.12.2 Party B guarantees that there will be no performance under the foreign insured domestic loan, and if there is such a situation, Party B shall notify Party A in a timely manner, and Party A has the right to suspend the conclusion of new foreign insured domestic loan contracts or the processing of new withdrawals; Party B guarantees that if there is performance under the guarantee, the sum of the outstanding principal balance and the stock of external liabilities will not exceed the risk-weighted balance of Party B’s cross-border financing, and the risk arising from exceeding the risk-weighted balance of Party B’s cross-border financing shall be borne by Party B The risk arising from exceeding the risk-weighted balance of your cross-border financing shall be borne by you.</w:t>
      </w:r>
    </w:p>
    <w:p>
      <w:pPr>
        <w:spacing w:after="0" w:line="175" w:lineRule="exact"/>
        <w:rPr>
          <w:sz w:val="20"/>
          <w:szCs w:val="20"/>
          <w:color w:val="auto"/>
        </w:rPr>
      </w:pPr>
    </w:p>
    <w:p>
      <w:pPr>
        <w:jc w:val="both"/>
        <w:ind w:firstLine="320"/>
        <w:spacing w:after="0" w:line="339" w:lineRule="auto"/>
        <w:rPr>
          <w:sz w:val="20"/>
          <w:szCs w:val="20"/>
          <w:color w:val="auto"/>
        </w:rPr>
      </w:pPr>
      <w:r>
        <w:rPr>
          <w:rFonts w:ascii="Arial" w:cs="Arial" w:eastAsia="Arial" w:hAnsi="Arial"/>
          <w:sz w:val="16"/>
          <w:szCs w:val="16"/>
          <w:b w:val="1"/>
          <w:bCs w:val="1"/>
          <w:u w:val="single" w:color="auto"/>
          <w:color w:val="auto"/>
        </w:rPr>
        <w:t>12.12.3 Party B undertakes that if the amount under this Agreement is used for affiliated procurement, the affiliated party shall open an account with Party A, and the funds shall be entrusted to the final seller for a second time or Party A shall directly handle the agency business.</w:t>
      </w:r>
    </w:p>
    <w:p>
      <w:pPr>
        <w:spacing w:after="0" w:line="121"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u w:val="single" w:color="auto"/>
          <w:color w:val="auto"/>
        </w:rPr>
        <w:t>12.12.4 Party B undertakes that until all credit obligations under this Agreement are settled, the terms of the guarantee provided by Party B to Party A for obtaining credit under this Agreement will not be weaker than the terms of the guarantee provided by Party B to other banks for new applications for financing by Party B in other banks.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80" w:name="page381"/>
    <w:bookmarkEnd w:id="380"/>
    <w:p>
      <w:pPr>
        <w:ind w:left="320"/>
        <w:spacing w:after="0"/>
        <w:rPr>
          <w:sz w:val="20"/>
          <w:szCs w:val="20"/>
          <w:color w:val="auto"/>
        </w:rPr>
      </w:pPr>
      <w:r>
        <w:rPr>
          <w:rFonts w:ascii="Arial" w:cs="Arial" w:eastAsia="Arial" w:hAnsi="Arial"/>
          <w:sz w:val="18"/>
          <w:szCs w:val="18"/>
          <w:color w:val="auto"/>
        </w:rPr>
        <w:t>13. Account information</w:t>
      </w:r>
    </w:p>
    <w:p>
      <w:pPr>
        <w:spacing w:after="0" w:line="220" w:lineRule="exact"/>
        <w:rPr>
          <w:sz w:val="20"/>
          <w:szCs w:val="20"/>
          <w:color w:val="auto"/>
        </w:rPr>
      </w:pPr>
    </w:p>
    <w:p>
      <w:pPr>
        <w:ind w:left="540" w:hanging="213"/>
        <w:spacing w:after="0"/>
        <w:tabs>
          <w:tab w:leader="none" w:pos="540" w:val="left"/>
        </w:tabs>
        <w:numPr>
          <w:ilvl w:val="0"/>
          <w:numId w:val="361"/>
        </w:numPr>
        <w:rPr>
          <w:rFonts w:ascii="MS PGothic" w:cs="MS PGothic" w:eastAsia="MS PGothic" w:hAnsi="MS PGothic"/>
          <w:sz w:val="18"/>
          <w:szCs w:val="18"/>
          <w:color w:val="auto"/>
        </w:rPr>
      </w:pPr>
      <w:r>
        <w:rPr>
          <w:rFonts w:ascii="Arial" w:cs="Arial" w:eastAsia="Arial" w:hAnsi="Arial"/>
          <w:sz w:val="18"/>
          <w:szCs w:val="18"/>
          <w:color w:val="auto"/>
        </w:rPr>
        <w:t>13.1 Special Loan Account (tick if applicable)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auto"/>
              </w:rPr>
              <w:t>Account name.</w:t>
            </w:r>
          </w:p>
        </w:tc>
        <w:tc>
          <w:tcPr>
            <w:tcW w:w="5240" w:type="dxa"/>
            <w:vAlign w:val="bottom"/>
            <w:gridSpan w:val="3"/>
          </w:tcPr>
          <w:p>
            <w:pPr>
              <w:ind w:left="60"/>
              <w:spacing w:after="0"/>
              <w:rPr>
                <w:sz w:val="20"/>
                <w:szCs w:val="20"/>
                <w:color w:val="auto"/>
              </w:rPr>
            </w:pPr>
            <w:r>
              <w:rPr>
                <w:rFonts w:ascii="Arial" w:cs="Arial" w:eastAsia="Arial" w:hAnsi="Arial"/>
                <w:sz w:val="18"/>
                <w:szCs w:val="18"/>
                <w:color w:val="auto"/>
              </w:rPr>
              <w:t> JAJI (Shanghai) Co., Ltd.</w:t>
            </w:r>
          </w:p>
        </w:tc>
      </w:tr>
      <w:tr>
        <w:trPr>
          <w:trHeight w:val="20"/>
        </w:trPr>
        <w:tc>
          <w:tcPr>
            <w:tcW w:w="10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07"/>
        </w:trPr>
        <w:tc>
          <w:tcPr>
            <w:tcW w:w="1300" w:type="dxa"/>
            <w:vAlign w:val="bottom"/>
            <w:gridSpan w:val="3"/>
          </w:tcPr>
          <w:p>
            <w:pPr>
              <w:spacing w:after="0"/>
              <w:rPr>
                <w:sz w:val="20"/>
                <w:szCs w:val="20"/>
                <w:color w:val="auto"/>
              </w:rPr>
            </w:pPr>
            <w:r>
              <w:rPr>
                <w:rFonts w:ascii="Arial" w:cs="Arial" w:eastAsia="Arial" w:hAnsi="Arial"/>
                <w:sz w:val="18"/>
                <w:szCs w:val="18"/>
                <w:color w:val="auto"/>
                <w:w w:val="94"/>
              </w:rPr>
              <w:t>Account number.</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w w:val="95"/>
              </w:rPr>
              <w:t>121923728310801</w:t>
            </w:r>
          </w:p>
        </w:tc>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
        </w:trPr>
        <w:tc>
          <w:tcPr>
            <w:tcW w:w="122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r>
      <w:tr>
        <w:trPr>
          <w:trHeight w:val="407"/>
        </w:trPr>
        <w:tc>
          <w:tcPr>
            <w:tcW w:w="1300" w:type="dxa"/>
            <w:vAlign w:val="bottom"/>
            <w:gridSpan w:val="3"/>
          </w:tcPr>
          <w:p>
            <w:pPr>
              <w:spacing w:after="0"/>
              <w:rPr>
                <w:sz w:val="20"/>
                <w:szCs w:val="20"/>
                <w:color w:val="auto"/>
              </w:rPr>
            </w:pPr>
            <w:r>
              <w:rPr>
                <w:rFonts w:ascii="Arial" w:cs="Arial" w:eastAsia="Arial" w:hAnsi="Arial"/>
                <w:sz w:val="18"/>
                <w:szCs w:val="18"/>
                <w:color w:val="auto"/>
                <w:w w:val="94"/>
              </w:rPr>
              <w:t>Bank of Account.</w:t>
            </w:r>
          </w:p>
        </w:tc>
        <w:tc>
          <w:tcPr>
            <w:tcW w:w="5240" w:type="dxa"/>
            <w:vAlign w:val="bottom"/>
            <w:gridSpan w:val="3"/>
          </w:tcPr>
          <w:p>
            <w:pPr>
              <w:ind w:left="360"/>
              <w:spacing w:after="0"/>
              <w:rPr>
                <w:sz w:val="20"/>
                <w:szCs w:val="20"/>
                <w:color w:val="auto"/>
              </w:rPr>
            </w:pPr>
            <w:r>
              <w:rPr>
                <w:rFonts w:ascii="Arial" w:cs="Arial" w:eastAsia="Arial" w:hAnsi="Arial"/>
                <w:sz w:val="18"/>
                <w:szCs w:val="18"/>
                <w:color w:val="auto"/>
              </w:rPr>
              <w:t>Century Avenue Branch of China Merchants Bank Co., LTD</w:t>
            </w:r>
          </w:p>
        </w:tc>
      </w:tr>
      <w:tr>
        <w:trPr>
          <w:trHeight w:val="20"/>
        </w:trPr>
        <w:tc>
          <w:tcPr>
            <w:tcW w:w="1220" w:type="dxa"/>
            <w:vAlign w:val="bottom"/>
            <w:gridSpan w:val="2"/>
          </w:tcPr>
          <w:p>
            <w:pPr>
              <w:spacing w:after="0" w:line="20" w:lineRule="exact"/>
              <w:rPr>
                <w:sz w:val="1"/>
                <w:szCs w:val="1"/>
                <w:color w:val="auto"/>
              </w:rPr>
            </w:pPr>
          </w:p>
        </w:tc>
        <w:tc>
          <w:tcPr>
            <w:tcW w:w="5320" w:type="dxa"/>
            <w:vAlign w:val="bottom"/>
            <w:gridSpan w:val="4"/>
            <w:shd w:val="clear" w:color="auto" w:fill="000000"/>
          </w:tcPr>
          <w:p>
            <w:pPr>
              <w:spacing w:after="0" w:line="20" w:lineRule="exact"/>
              <w:rPr>
                <w:sz w:val="1"/>
                <w:szCs w:val="1"/>
                <w:color w:val="auto"/>
              </w:rPr>
            </w:pPr>
          </w:p>
        </w:tc>
      </w:tr>
      <w:tr>
        <w:trPr>
          <w:trHeight w:val="446"/>
        </w:trPr>
        <w:tc>
          <w:tcPr>
            <w:tcW w:w="6540" w:type="dxa"/>
            <w:vAlign w:val="bottom"/>
            <w:gridSpan w:val="6"/>
          </w:tcPr>
          <w:p>
            <w:pPr>
              <w:spacing w:after="0"/>
              <w:rPr>
                <w:sz w:val="20"/>
                <w:szCs w:val="20"/>
                <w:color w:val="auto"/>
              </w:rPr>
            </w:pPr>
            <w:r>
              <w:rPr>
                <w:rFonts w:ascii="Arial" w:cs="Arial" w:eastAsia="Arial" w:hAnsi="Arial"/>
                <w:sz w:val="18"/>
                <w:szCs w:val="18"/>
                <w:color w:val="auto"/>
              </w:rPr>
              <w:t>13.2 Funds back account</w:t>
            </w:r>
          </w:p>
        </w:tc>
      </w:tr>
    </w:tbl>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1"/>
              </w:rPr>
              <w:t>13.2.1</w:t>
            </w:r>
          </w:p>
        </w:tc>
        <w:tc>
          <w:tcPr>
            <w:tcW w:w="6180" w:type="dxa"/>
            <w:vAlign w:val="bottom"/>
            <w:gridSpan w:val="10"/>
          </w:tcPr>
          <w:p>
            <w:pPr>
              <w:ind w:left="20"/>
              <w:spacing w:after="0"/>
              <w:rPr>
                <w:sz w:val="20"/>
                <w:szCs w:val="20"/>
                <w:color w:val="auto"/>
              </w:rPr>
            </w:pPr>
            <w:r>
              <w:rPr>
                <w:rFonts w:ascii="Arial" w:cs="Arial" w:eastAsia="Arial" w:hAnsi="Arial"/>
                <w:sz w:val="18"/>
                <w:szCs w:val="18"/>
                <w:color w:val="auto"/>
                <w:w w:val="88"/>
              </w:rPr>
              <w:t>We both agree to designate the following account as Party B’s funds recovery account.</w:t>
            </w:r>
          </w:p>
        </w:tc>
      </w:tr>
      <w:tr>
        <w:trPr>
          <w:trHeight w:val="388"/>
        </w:trPr>
        <w:tc>
          <w:tcPr>
            <w:tcW w:w="1300" w:type="dxa"/>
            <w:vAlign w:val="bottom"/>
            <w:gridSpan w:val="4"/>
          </w:tcPr>
          <w:p>
            <w:pPr>
              <w:spacing w:after="0"/>
              <w:rPr>
                <w:sz w:val="20"/>
                <w:szCs w:val="20"/>
                <w:color w:val="auto"/>
              </w:rPr>
            </w:pPr>
            <w:r>
              <w:rPr>
                <w:rFonts w:ascii="Arial" w:cs="Arial" w:eastAsia="Arial" w:hAnsi="Arial"/>
                <w:sz w:val="18"/>
                <w:szCs w:val="18"/>
                <w:color w:val="auto"/>
              </w:rPr>
              <w:t>Account name.</w:t>
            </w:r>
          </w:p>
        </w:tc>
        <w:tc>
          <w:tcPr>
            <w:tcW w:w="3160" w:type="dxa"/>
            <w:vAlign w:val="bottom"/>
            <w:gridSpan w:val="4"/>
          </w:tcPr>
          <w:p>
            <w:pPr>
              <w:ind w:left="60"/>
              <w:spacing w:after="0"/>
              <w:rPr>
                <w:sz w:val="20"/>
                <w:szCs w:val="20"/>
                <w:color w:val="auto"/>
              </w:rPr>
            </w:pPr>
            <w:r>
              <w:rPr>
                <w:rFonts w:ascii="Arial" w:cs="Arial" w:eastAsia="Arial" w:hAnsi="Arial"/>
                <w:sz w:val="18"/>
                <w:szCs w:val="18"/>
                <w:color w:val="auto"/>
              </w:rPr>
              <w:t>JAJI (Shanghai) Co., Ltd.</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040" w:type="dxa"/>
            <w:vAlign w:val="bottom"/>
            <w:gridSpan w:val="2"/>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7"/>
        </w:trPr>
        <w:tc>
          <w:tcPr>
            <w:tcW w:w="1300" w:type="dxa"/>
            <w:vAlign w:val="bottom"/>
            <w:gridSpan w:val="4"/>
          </w:tcPr>
          <w:p>
            <w:pPr>
              <w:spacing w:after="0"/>
              <w:rPr>
                <w:sz w:val="20"/>
                <w:szCs w:val="20"/>
                <w:color w:val="auto"/>
              </w:rPr>
            </w:pPr>
            <w:r>
              <w:rPr>
                <w:rFonts w:ascii="Arial" w:cs="Arial" w:eastAsia="Arial" w:hAnsi="Arial"/>
                <w:sz w:val="18"/>
                <w:szCs w:val="18"/>
                <w:color w:val="auto"/>
                <w:w w:val="94"/>
              </w:rPr>
              <w:t>Account number.</w:t>
            </w:r>
          </w:p>
        </w:tc>
        <w:tc>
          <w:tcPr>
            <w:tcW w:w="2160" w:type="dxa"/>
            <w:vAlign w:val="bottom"/>
          </w:tcPr>
          <w:p>
            <w:pPr>
              <w:jc w:val="right"/>
              <w:ind w:right="531"/>
              <w:spacing w:after="0"/>
              <w:rPr>
                <w:sz w:val="20"/>
                <w:szCs w:val="20"/>
                <w:color w:val="auto"/>
              </w:rPr>
            </w:pPr>
            <w:r>
              <w:rPr>
                <w:rFonts w:ascii="Arial" w:cs="Arial" w:eastAsia="Arial" w:hAnsi="Arial"/>
                <w:sz w:val="18"/>
                <w:szCs w:val="18"/>
                <w:color w:val="auto"/>
              </w:rPr>
              <w:t>121923728310801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22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7"/>
        </w:trPr>
        <w:tc>
          <w:tcPr>
            <w:tcW w:w="1300" w:type="dxa"/>
            <w:vAlign w:val="bottom"/>
            <w:gridSpan w:val="4"/>
          </w:tcPr>
          <w:p>
            <w:pPr>
              <w:spacing w:after="0"/>
              <w:rPr>
                <w:sz w:val="20"/>
                <w:szCs w:val="20"/>
                <w:color w:val="auto"/>
              </w:rPr>
            </w:pPr>
            <w:r>
              <w:rPr>
                <w:rFonts w:ascii="Arial" w:cs="Arial" w:eastAsia="Arial" w:hAnsi="Arial"/>
                <w:sz w:val="18"/>
                <w:szCs w:val="18"/>
                <w:color w:val="auto"/>
                <w:w w:val="94"/>
              </w:rPr>
              <w:t>Bank of Account.</w:t>
            </w:r>
          </w:p>
        </w:tc>
        <w:tc>
          <w:tcPr>
            <w:tcW w:w="5360" w:type="dxa"/>
            <w:vAlign w:val="bottom"/>
            <w:gridSpan w:val="7"/>
          </w:tcPr>
          <w:p>
            <w:pPr>
              <w:ind w:left="360"/>
              <w:spacing w:after="0"/>
              <w:rPr>
                <w:sz w:val="20"/>
                <w:szCs w:val="20"/>
                <w:color w:val="auto"/>
              </w:rPr>
            </w:pPr>
            <w:r>
              <w:rPr>
                <w:rFonts w:ascii="Arial" w:cs="Arial" w:eastAsia="Arial" w:hAnsi="Arial"/>
                <w:sz w:val="18"/>
                <w:szCs w:val="18"/>
                <w:color w:val="auto"/>
              </w:rPr>
              <w:t>Century Avenue Branch of China Merchants Bank Co., LTD</w:t>
            </w:r>
          </w:p>
        </w:tc>
      </w:tr>
      <w:tr>
        <w:trPr>
          <w:trHeight w:val="20"/>
        </w:trPr>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8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7"/>
        </w:trPr>
        <w:tc>
          <w:tcPr>
            <w:tcW w:w="480" w:type="dxa"/>
            <w:vAlign w:val="bottom"/>
          </w:tcPr>
          <w:p>
            <w:pPr>
              <w:spacing w:after="0"/>
              <w:rPr>
                <w:sz w:val="20"/>
                <w:szCs w:val="20"/>
                <w:color w:val="auto"/>
              </w:rPr>
            </w:pPr>
            <w:r>
              <w:rPr>
                <w:rFonts w:ascii="Arial" w:cs="Arial" w:eastAsia="Arial" w:hAnsi="Arial"/>
                <w:sz w:val="18"/>
                <w:szCs w:val="18"/>
                <w:color w:val="auto"/>
                <w:w w:val="91"/>
              </w:rPr>
              <w:t>13.2.2</w:t>
            </w:r>
          </w:p>
        </w:tc>
        <w:tc>
          <w:tcPr>
            <w:tcW w:w="3980" w:type="dxa"/>
            <w:vAlign w:val="bottom"/>
            <w:gridSpan w:val="7"/>
          </w:tcPr>
          <w:p>
            <w:pPr>
              <w:ind w:left="20"/>
              <w:spacing w:after="0"/>
              <w:rPr>
                <w:sz w:val="20"/>
                <w:szCs w:val="20"/>
                <w:color w:val="auto"/>
              </w:rPr>
            </w:pPr>
            <w:r>
              <w:rPr>
                <w:rFonts w:ascii="Arial" w:cs="Arial" w:eastAsia="Arial" w:hAnsi="Arial"/>
                <w:sz w:val="18"/>
                <w:szCs w:val="18"/>
                <w:color w:val="auto"/>
                <w:w w:val="94"/>
              </w:rPr>
              <w:t>The account monitoring requirements are as follows.</w:t>
            </w:r>
          </w:p>
        </w:tc>
        <w:tc>
          <w:tcPr>
            <w:tcW w:w="920" w:type="dxa"/>
            <w:vAlign w:val="bottom"/>
          </w:tcPr>
          <w:p>
            <w:pPr>
              <w:jc w:val="right"/>
              <w:ind w:right="59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18"/>
          <w:szCs w:val="18"/>
          <w:b w:val="1"/>
          <w:bCs w:val="1"/>
          <w:color w:val="auto"/>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spacing w:after="0" w:line="18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13.3 Party B shall provide quarterly information on the movement of funds in and out of the above accounts and cooperate with Party A in the monitoring of the relevant accounts and the return of funds.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14. Applicable law and dispute resolution</w:t>
      </w:r>
    </w:p>
    <w:p>
      <w:pPr>
        <w:spacing w:after="0" w:line="220" w:lineRule="exact"/>
        <w:rPr>
          <w:sz w:val="20"/>
          <w:szCs w:val="20"/>
          <w:color w:val="auto"/>
        </w:rPr>
      </w:pPr>
    </w:p>
    <w:p>
      <w:pPr>
        <w:jc w:val="both"/>
        <w:ind w:firstLine="320"/>
        <w:spacing w:after="0" w:line="333" w:lineRule="auto"/>
        <w:rPr>
          <w:sz w:val="20"/>
          <w:szCs w:val="20"/>
          <w:color w:val="auto"/>
        </w:rPr>
      </w:pPr>
      <w:r>
        <w:rPr>
          <w:rFonts w:ascii="Arial" w:cs="Arial" w:eastAsia="Arial" w:hAnsi="Arial"/>
          <w:sz w:val="16"/>
          <w:szCs w:val="16"/>
          <w:color w:val="auto"/>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spacing w:after="0" w:line="126"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8"/>
          <w:szCs w:val="18"/>
          <w:b w:val="1"/>
          <w:bCs w:val="1"/>
          <w:color w:val="auto"/>
        </w:rPr>
        <w:t>14.2 Disputes arising in the course of the performance of this Agreement between A and B shall be settled by mutual agreement. If consultation fails, either party shall (choose one of the three, tick one of the following).</w:t>
      </w:r>
    </w:p>
    <w:p>
      <w:pPr>
        <w:spacing w:after="0" w:line="168" w:lineRule="exact"/>
        <w:rPr>
          <w:sz w:val="20"/>
          <w:szCs w:val="20"/>
          <w:color w:val="auto"/>
        </w:rPr>
      </w:pPr>
    </w:p>
    <w:p>
      <w:pPr>
        <w:ind w:left="540" w:hanging="213"/>
        <w:spacing w:after="0"/>
        <w:tabs>
          <w:tab w:leader="none" w:pos="540" w:val="left"/>
        </w:tabs>
        <w:numPr>
          <w:ilvl w:val="0"/>
          <w:numId w:val="362"/>
        </w:numPr>
        <w:rPr>
          <w:rFonts w:ascii="MS PGothic" w:cs="MS PGothic" w:eastAsia="MS PGothic" w:hAnsi="MS PGothic"/>
          <w:sz w:val="18"/>
          <w:szCs w:val="18"/>
          <w:color w:val="auto"/>
        </w:rPr>
      </w:pPr>
      <w:r>
        <w:rPr>
          <w:rFonts w:ascii="Arial" w:cs="Arial" w:eastAsia="Arial" w:hAnsi="Arial"/>
          <w:sz w:val="18"/>
          <w:szCs w:val="18"/>
          <w:b w:val="1"/>
          <w:bCs w:val="1"/>
          <w:color w:val="auto"/>
        </w:rPr>
        <w:t>14.2.1 to the People’s Court of competent jurisdiction in the location of Party A.</w:t>
      </w:r>
    </w:p>
    <w:p>
      <w:pPr>
        <w:spacing w:after="0" w:line="219" w:lineRule="exact"/>
        <w:rPr>
          <w:rFonts w:ascii="MS PGothic" w:cs="MS PGothic" w:eastAsia="MS PGothic" w:hAnsi="MS PGothic"/>
          <w:sz w:val="18"/>
          <w:szCs w:val="18"/>
          <w:color w:val="auto"/>
        </w:rPr>
      </w:pPr>
    </w:p>
    <w:p>
      <w:pPr>
        <w:ind w:left="540" w:hanging="213"/>
        <w:spacing w:after="0"/>
        <w:tabs>
          <w:tab w:leader="none" w:pos="540" w:val="left"/>
        </w:tabs>
        <w:numPr>
          <w:ilvl w:val="0"/>
          <w:numId w:val="362"/>
        </w:numPr>
        <w:rPr>
          <w:rFonts w:ascii="MS PGothic" w:cs="MS PGothic" w:eastAsia="MS PGothic" w:hAnsi="MS PGothic"/>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14.2.2 to the people’s court with jurisdiction in the place where the agreement was signed, which is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Century Avenue Branch of China</w:t>
      </w:r>
    </w:p>
    <w:p>
      <w:pPr>
        <w:spacing w:after="0" w:line="49"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b w:val="1"/>
          <w:bCs w:val="1"/>
          <w:u w:val="single" w:color="auto"/>
          <w:color w:val="auto"/>
        </w:rPr>
        <w:t>Merchants Bank Co., LTD</w:t>
      </w:r>
    </w:p>
    <w:p>
      <w:pPr>
        <w:spacing w:after="0" w:line="199" w:lineRule="exact"/>
        <w:rPr>
          <w:rFonts w:ascii="MS PGothic" w:cs="MS PGothic" w:eastAsia="MS PGothic" w:hAnsi="MS PGothic"/>
          <w:sz w:val="16"/>
          <w:szCs w:val="16"/>
          <w:color w:val="auto"/>
        </w:rPr>
      </w:pPr>
    </w:p>
    <w:p>
      <w:pPr>
        <w:ind w:left="540" w:hanging="213"/>
        <w:spacing w:after="0"/>
        <w:tabs>
          <w:tab w:leader="none" w:pos="540" w:val="left"/>
        </w:tabs>
        <w:numPr>
          <w:ilvl w:val="0"/>
          <w:numId w:val="36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14.2.3 Application for arbitration to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(insert name of specific arbitration institution), where the arbitration will take place.</w:t>
      </w:r>
    </w:p>
    <w:p>
      <w:pPr>
        <w:spacing w:after="0" w:line="224" w:lineRule="exact"/>
        <w:rPr>
          <w:sz w:val="20"/>
          <w:szCs w:val="20"/>
          <w:color w:val="auto"/>
        </w:rPr>
      </w:pPr>
    </w:p>
    <w:p>
      <w:pPr>
        <w:ind w:firstLine="320"/>
        <w:spacing w:after="0" w:line="333" w:lineRule="auto"/>
        <w:rPr>
          <w:sz w:val="20"/>
          <w:szCs w:val="20"/>
          <w:color w:val="auto"/>
        </w:rPr>
      </w:pPr>
      <w:r>
        <w:rPr>
          <w:rFonts w:ascii="Arial" w:cs="Arial" w:eastAsia="Arial" w:hAnsi="Arial"/>
          <w:sz w:val="16"/>
          <w:szCs w:val="16"/>
          <w:color w:val="auto"/>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1" w:name="page382"/>
    <w:bookmarkEnd w:id="381"/>
    <w:p>
      <w:pPr>
        <w:ind w:left="320"/>
        <w:spacing w:after="0"/>
        <w:rPr>
          <w:sz w:val="20"/>
          <w:szCs w:val="20"/>
          <w:color w:val="auto"/>
        </w:rPr>
      </w:pPr>
      <w:r>
        <w:rPr>
          <w:rFonts w:ascii="Arial" w:cs="Arial" w:eastAsia="Arial" w:hAnsi="Arial"/>
          <w:sz w:val="18"/>
          <w:szCs w:val="18"/>
          <w:color w:val="auto"/>
        </w:rPr>
        <w:t>15. Entry into force of the agreement</w:t>
      </w:r>
    </w:p>
    <w:p>
      <w:pPr>
        <w:spacing w:after="0" w:line="220"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7"/>
          <w:szCs w:val="17"/>
          <w:color w:val="auto"/>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16. By-laws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This agreement is made in </w:t>
      </w:r>
      <w:r>
        <w:rPr>
          <w:rFonts w:ascii="Arial" w:cs="Arial" w:eastAsia="Arial" w:hAnsi="Arial"/>
          <w:sz w:val="18"/>
          <w:szCs w:val="18"/>
          <w:u w:val="single" w:color="auto"/>
          <w:color w:val="auto"/>
        </w:rPr>
        <w:t>four copy</w:t>
      </w:r>
      <w:r>
        <w:rPr>
          <w:rFonts w:ascii="Arial" w:cs="Arial" w:eastAsia="Arial" w:hAnsi="Arial"/>
          <w:sz w:val="18"/>
          <w:szCs w:val="18"/>
          <w:color w:val="auto"/>
        </w:rPr>
        <w:t>, one for Party A, one for Party B and one for each with the same legal effect.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1. Special Terms and Conditions for Cross-border Trade Finance Business</w:t>
      </w:r>
    </w:p>
    <w:p>
      <w:pPr>
        <w:spacing w:after="0" w:line="220" w:lineRule="exact"/>
        <w:rPr>
          <w:sz w:val="20"/>
          <w:szCs w:val="20"/>
          <w:color w:val="auto"/>
        </w:rPr>
      </w:pPr>
    </w:p>
    <w:p>
      <w:pPr>
        <w:ind w:left="820" w:hanging="173"/>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Special Terms for Buyer/Import Factoring</w:t>
      </w:r>
    </w:p>
    <w:p>
      <w:pPr>
        <w:spacing w:after="0" w:line="219" w:lineRule="exact"/>
        <w:rPr>
          <w:rFonts w:ascii="Arial" w:cs="Arial" w:eastAsia="Arial" w:hAnsi="Arial"/>
          <w:sz w:val="18"/>
          <w:szCs w:val="18"/>
          <w:color w:val="auto"/>
        </w:rPr>
      </w:pPr>
    </w:p>
    <w:p>
      <w:pPr>
        <w:ind w:left="820" w:hanging="173"/>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Special Terms for Order Credit Business</w:t>
      </w:r>
    </w:p>
    <w:p>
      <w:pPr>
        <w:spacing w:after="0" w:line="219" w:lineRule="exact"/>
        <w:rPr>
          <w:rFonts w:ascii="Arial" w:cs="Arial" w:eastAsia="Arial" w:hAnsi="Arial"/>
          <w:sz w:val="18"/>
          <w:szCs w:val="18"/>
          <w:color w:val="auto"/>
        </w:rPr>
      </w:pPr>
    </w:p>
    <w:p>
      <w:pPr>
        <w:ind w:left="820" w:hanging="173"/>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Special Terms for Commercial Acceptance Guarantee Business</w:t>
      </w:r>
    </w:p>
    <w:p>
      <w:pPr>
        <w:spacing w:after="0" w:line="219" w:lineRule="exact"/>
        <w:rPr>
          <w:rFonts w:ascii="Arial" w:cs="Arial" w:eastAsia="Arial" w:hAnsi="Arial"/>
          <w:sz w:val="18"/>
          <w:szCs w:val="18"/>
          <w:color w:val="auto"/>
        </w:rPr>
      </w:pPr>
    </w:p>
    <w:p>
      <w:pPr>
        <w:ind w:left="820" w:hanging="173"/>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Special provisions for derivative business</w:t>
      </w:r>
    </w:p>
    <w:p>
      <w:pPr>
        <w:spacing w:after="0" w:line="219" w:lineRule="exact"/>
        <w:rPr>
          <w:rFonts w:ascii="Arial" w:cs="Arial" w:eastAsia="Arial" w:hAnsi="Arial"/>
          <w:sz w:val="18"/>
          <w:szCs w:val="18"/>
          <w:color w:val="auto"/>
        </w:rPr>
      </w:pPr>
    </w:p>
    <w:p>
      <w:pPr>
        <w:ind w:left="820" w:hanging="173"/>
        <w:spacing w:after="0"/>
        <w:tabs>
          <w:tab w:leader="none" w:pos="8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Special Terms for Gold Leasing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t>Attachment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for Cross-border Trade Finance Business</w:t>
      </w:r>
    </w:p>
    <w:p>
      <w:pPr>
        <w:spacing w:after="0" w:line="220" w:lineRule="exact"/>
        <w:rPr>
          <w:sz w:val="20"/>
          <w:szCs w:val="20"/>
          <w:color w:val="auto"/>
        </w:rPr>
      </w:pPr>
    </w:p>
    <w:p>
      <w:pPr>
        <w:jc w:val="both"/>
        <w:ind w:firstLine="327"/>
        <w:spacing w:after="0" w:line="258" w:lineRule="auto"/>
        <w:tabs>
          <w:tab w:leader="none" w:pos="51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spacing w:after="0" w:line="186" w:lineRule="exact"/>
        <w:rPr>
          <w:rFonts w:ascii="Arial" w:cs="Arial" w:eastAsia="Arial" w:hAnsi="Arial"/>
          <w:sz w:val="18"/>
          <w:szCs w:val="18"/>
          <w:color w:val="auto"/>
        </w:rPr>
      </w:pPr>
    </w:p>
    <w:p>
      <w:pPr>
        <w:jc w:val="both"/>
        <w:ind w:firstLine="327"/>
        <w:spacing w:after="0" w:line="258" w:lineRule="auto"/>
        <w:tabs>
          <w:tab w:leader="none" w:pos="5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spacing w:after="0" w:line="186" w:lineRule="exact"/>
        <w:rPr>
          <w:rFonts w:ascii="Arial" w:cs="Arial" w:eastAsia="Arial" w:hAnsi="Arial"/>
          <w:sz w:val="18"/>
          <w:szCs w:val="18"/>
          <w:color w:val="auto"/>
        </w:rPr>
      </w:pPr>
    </w:p>
    <w:p>
      <w:pPr>
        <w:jc w:val="both"/>
        <w:ind w:firstLine="327"/>
        <w:spacing w:after="0" w:line="281" w:lineRule="auto"/>
        <w:tabs>
          <w:tab w:leader="none" w:pos="501" w:val="left"/>
        </w:tabs>
        <w:numPr>
          <w:ilvl w:val="0"/>
          <w:numId w:val="364"/>
        </w:numPr>
        <w:rPr>
          <w:rFonts w:ascii="Arial" w:cs="Arial" w:eastAsia="Arial" w:hAnsi="Arial"/>
          <w:sz w:val="17"/>
          <w:szCs w:val="17"/>
          <w:color w:val="auto"/>
        </w:rPr>
      </w:pPr>
      <w:r>
        <w:rPr>
          <w:rFonts w:ascii="Arial" w:cs="Arial" w:eastAsia="Arial" w:hAnsi="Arial"/>
          <w:sz w:val="17"/>
          <w:szCs w:val="17"/>
          <w:color w:val="auto"/>
        </w:rPr>
        <w:t>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spacing w:after="0" w:line="167"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17"/>
          <w:szCs w:val="17"/>
          <w:color w:val="auto"/>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spacing w:after="0" w:line="175" w:lineRule="exact"/>
        <w:rPr>
          <w:sz w:val="20"/>
          <w:szCs w:val="20"/>
          <w:color w:val="auto"/>
        </w:rPr>
      </w:pPr>
    </w:p>
    <w:p>
      <w:pPr>
        <w:jc w:val="both"/>
        <w:ind w:firstLine="320"/>
        <w:spacing w:after="0" w:line="306" w:lineRule="auto"/>
        <w:rPr>
          <w:sz w:val="20"/>
          <w:szCs w:val="20"/>
          <w:color w:val="auto"/>
        </w:rPr>
      </w:pPr>
      <w:r>
        <w:rPr>
          <w:rFonts w:ascii="Arial" w:cs="Arial" w:eastAsia="Arial" w:hAnsi="Arial"/>
          <w:sz w:val="16"/>
          <w:szCs w:val="16"/>
          <w:color w:val="auto"/>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spacing w:after="0" w:line="15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spacing w:after="0" w:line="19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t>Attachment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for Buyer/Import Factoring</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Definition clause</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spacing w:after="0" w:line="186"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spacing w:after="0" w:line="186" w:lineRule="exact"/>
        <w:rPr>
          <w:sz w:val="20"/>
          <w:szCs w:val="20"/>
          <w:color w:val="auto"/>
        </w:rPr>
      </w:pPr>
    </w:p>
    <w:p>
      <w:pPr>
        <w:jc w:val="both"/>
        <w:ind w:firstLine="320"/>
        <w:spacing w:after="0" w:line="300" w:lineRule="auto"/>
        <w:rPr>
          <w:sz w:val="20"/>
          <w:szCs w:val="20"/>
          <w:color w:val="auto"/>
        </w:rPr>
      </w:pPr>
      <w:r>
        <w:rPr>
          <w:rFonts w:ascii="Arial" w:cs="Arial" w:eastAsia="Arial" w:hAnsi="Arial"/>
          <w:sz w:val="17"/>
          <w:szCs w:val="17"/>
          <w:color w:val="auto"/>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spacing w:after="0" w:line="152"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6"/>
          <w:szCs w:val="16"/>
          <w:color w:val="auto"/>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Arial" w:cs="Arial" w:eastAsia="Arial" w:hAnsi="Arial"/>
          <w:sz w:val="16"/>
          <w:szCs w:val="16"/>
          <w:b w:val="1"/>
          <w:bCs w:val="1"/>
          <w:color w:val="auto"/>
        </w:rPr>
        <w:t>and the assertion by</w:t>
      </w:r>
      <w:r>
        <w:rPr>
          <w:rFonts w:ascii="Arial" w:cs="Arial" w:eastAsia="Arial" w:hAnsi="Arial"/>
          <w:sz w:val="16"/>
          <w:szCs w:val="16"/>
          <w:color w:val="auto"/>
        </w:rPr>
        <w:t xml:space="preserve"> </w:t>
      </w:r>
      <w:r>
        <w:rPr>
          <w:rFonts w:ascii="Arial" w:cs="Arial" w:eastAsia="Arial" w:hAnsi="Arial"/>
          <w:sz w:val="16"/>
          <w:szCs w:val="16"/>
          <w:b w:val="1"/>
          <w:bCs w:val="1"/>
          <w:color w:val="auto"/>
        </w:rPr>
        <w:t>a third party of its rights or application for seizure of the receivables under this Agreement. A dispute shall be deemed to have arisen whenever the receivables assigned to us are not fully or partially realised as a result of any credit risk other than that of the buyer.</w:t>
      </w:r>
    </w:p>
    <w:p>
      <w:pPr>
        <w:spacing w:after="0" w:line="160" w:lineRule="exact"/>
        <w:rPr>
          <w:sz w:val="20"/>
          <w:szCs w:val="20"/>
          <w:color w:val="auto"/>
        </w:rPr>
      </w:pPr>
    </w:p>
    <w:p>
      <w:pPr>
        <w:jc w:val="both"/>
        <w:ind w:right="20" w:firstLine="320"/>
        <w:spacing w:after="0" w:line="270" w:lineRule="auto"/>
        <w:rPr>
          <w:sz w:val="20"/>
          <w:szCs w:val="20"/>
          <w:color w:val="auto"/>
        </w:rPr>
      </w:pPr>
      <w:r>
        <w:rPr>
          <w:rFonts w:ascii="Arial" w:cs="Arial" w:eastAsia="Arial" w:hAnsi="Arial"/>
          <w:sz w:val="18"/>
          <w:szCs w:val="18"/>
          <w:color w:val="auto"/>
        </w:rPr>
        <w:t>1.4 Commercial Contract: A contract for a transaction between Party B and a receivable creditor for the purpose of a commodity transaction and/or a service transaction, settled on credit.</w:t>
      </w:r>
    </w:p>
    <w:p>
      <w:pPr>
        <w:spacing w:after="0" w:line="175" w:lineRule="exact"/>
        <w:rPr>
          <w:sz w:val="20"/>
          <w:szCs w:val="20"/>
          <w:color w:val="auto"/>
        </w:rPr>
      </w:pPr>
    </w:p>
    <w:p>
      <w:pPr>
        <w:jc w:val="both"/>
        <w:ind w:right="20" w:firstLine="320"/>
        <w:spacing w:after="0" w:line="300" w:lineRule="auto"/>
        <w:rPr>
          <w:sz w:val="20"/>
          <w:szCs w:val="20"/>
          <w:color w:val="auto"/>
        </w:rPr>
      </w:pPr>
      <w:r>
        <w:rPr>
          <w:rFonts w:ascii="Arial" w:cs="Arial" w:eastAsia="Arial" w:hAnsi="Arial"/>
          <w:sz w:val="17"/>
          <w:szCs w:val="17"/>
          <w:color w:val="auto"/>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spacing w:after="0" w:line="152" w:lineRule="exact"/>
        <w:rPr>
          <w:sz w:val="20"/>
          <w:szCs w:val="20"/>
          <w:color w:val="auto"/>
        </w:rPr>
      </w:pPr>
    </w:p>
    <w:p>
      <w:pPr>
        <w:ind w:firstLine="327"/>
        <w:spacing w:after="0" w:line="300" w:lineRule="auto"/>
        <w:tabs>
          <w:tab w:leader="none" w:pos="507" w:val="left"/>
        </w:tabs>
        <w:numPr>
          <w:ilvl w:val="0"/>
          <w:numId w:val="365"/>
        </w:numPr>
        <w:rPr>
          <w:rFonts w:ascii="Arial" w:cs="Arial" w:eastAsia="Arial" w:hAnsi="Arial"/>
          <w:sz w:val="17"/>
          <w:szCs w:val="17"/>
          <w:color w:val="auto"/>
        </w:rPr>
      </w:pPr>
      <w:r>
        <w:rPr>
          <w:rFonts w:ascii="Arial" w:cs="Arial" w:eastAsia="Arial" w:hAnsi="Arial"/>
          <w:sz w:val="17"/>
          <w:szCs w:val="17"/>
          <w:color w:val="auto"/>
        </w:rPr>
        <w:t>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84" w:name="page385"/>
    <w:bookmarkEnd w:id="384"/>
    <w:p>
      <w:pPr>
        <w:jc w:val="both"/>
        <w:ind w:firstLine="320"/>
        <w:spacing w:after="0" w:line="266" w:lineRule="auto"/>
        <w:rPr>
          <w:sz w:val="20"/>
          <w:szCs w:val="20"/>
          <w:color w:val="auto"/>
        </w:rPr>
      </w:pPr>
      <w:r>
        <w:rPr>
          <w:rFonts w:ascii="Arial" w:cs="Arial" w:eastAsia="Arial" w:hAnsi="Arial"/>
          <w:sz w:val="17"/>
          <w:szCs w:val="17"/>
          <w:color w:val="auto"/>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Arial" w:cs="Arial" w:eastAsia="Arial" w:hAnsi="Arial"/>
          <w:sz w:val="17"/>
          <w:szCs w:val="17"/>
          <w:b w:val="1"/>
          <w:bCs w:val="1"/>
          <w:color w:val="auto"/>
        </w:rPr>
        <w:t>As long as the seller/export factor (whether or not it is Party A) assigns the receivables within the credit period, Party A shall have the right of</w:t>
      </w:r>
      <w:r>
        <w:rPr>
          <w:rFonts w:ascii="Arial" w:cs="Arial" w:eastAsia="Arial" w:hAnsi="Arial"/>
          <w:sz w:val="17"/>
          <w:szCs w:val="17"/>
          <w:color w:val="auto"/>
        </w:rPr>
        <w:t xml:space="preserve"> </w:t>
      </w:r>
      <w:r>
        <w:rPr>
          <w:rFonts w:ascii="Arial" w:cs="Arial" w:eastAsia="Arial" w:hAnsi="Arial"/>
          <w:sz w:val="17"/>
          <w:szCs w:val="17"/>
          <w:b w:val="1"/>
          <w:bCs w:val="1"/>
          <w:color w:val="auto"/>
        </w:rPr>
        <w:t>recourse against Party B in accordance with the Credit Agreement and the Commercial Contract, even if Party A fulfils its approved payment obligations beyond the credit period.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Buyer/Import Factoring Charges</w:t>
      </w:r>
    </w:p>
    <w:p>
      <w:pPr>
        <w:spacing w:after="0" w:line="22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spacing w:after="0" w:line="186" w:lineRule="exact"/>
        <w:rPr>
          <w:sz w:val="20"/>
          <w:szCs w:val="20"/>
          <w:color w:val="auto"/>
        </w:rPr>
      </w:pPr>
    </w:p>
    <w:p>
      <w:pPr>
        <w:jc w:val="both"/>
        <w:ind w:firstLine="327"/>
        <w:spacing w:after="0" w:line="258" w:lineRule="auto"/>
        <w:tabs>
          <w:tab w:leader="none" w:pos="5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t>Annex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for Order Credit Business</w:t>
      </w:r>
    </w:p>
    <w:p>
      <w:pPr>
        <w:spacing w:after="0" w:line="220" w:lineRule="exact"/>
        <w:rPr>
          <w:sz w:val="20"/>
          <w:szCs w:val="20"/>
          <w:color w:val="auto"/>
        </w:rPr>
      </w:pPr>
    </w:p>
    <w:p>
      <w:pPr>
        <w:jc w:val="both"/>
        <w:ind w:firstLine="327"/>
        <w:spacing w:after="0" w:line="258" w:lineRule="auto"/>
        <w:tabs>
          <w:tab w:leader="none" w:pos="49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spacing w:after="0" w:line="186" w:lineRule="exact"/>
        <w:rPr>
          <w:rFonts w:ascii="Arial" w:cs="Arial" w:eastAsia="Arial" w:hAnsi="Arial"/>
          <w:sz w:val="18"/>
          <w:szCs w:val="18"/>
          <w:color w:val="auto"/>
        </w:rPr>
      </w:pPr>
    </w:p>
    <w:p>
      <w:pPr>
        <w:jc w:val="both"/>
        <w:ind w:firstLine="327"/>
        <w:spacing w:after="0" w:line="253" w:lineRule="auto"/>
        <w:tabs>
          <w:tab w:leader="none" w:pos="51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spacing w:after="0" w:line="189" w:lineRule="exact"/>
        <w:rPr>
          <w:rFonts w:ascii="Arial" w:cs="Arial" w:eastAsia="Arial" w:hAnsi="Arial"/>
          <w:sz w:val="18"/>
          <w:szCs w:val="18"/>
          <w:color w:val="auto"/>
        </w:rPr>
      </w:pPr>
    </w:p>
    <w:p>
      <w:pPr>
        <w:ind w:firstLine="327"/>
        <w:spacing w:after="0" w:line="270" w:lineRule="auto"/>
        <w:tabs>
          <w:tab w:leader="none" w:pos="50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Party A may immediately stop the use of Party B’s credit line under the Credit Agreement and take default handling measures as agreed in the Credit Agreement when the following circumstances occur</w:t>
      </w:r>
    </w:p>
    <w:p>
      <w:pPr>
        <w:spacing w:after="0" w:line="17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8"/>
          <w:szCs w:val="18"/>
          <w:color w:val="auto"/>
        </w:rPr>
        <w:t>3.1 circumstances that are not conducive to the protection of our claims, such as three consecutive late payments by Party B’s downstream customers or, in our reasonable judgement, a deterioration in their financial position.</w:t>
      </w:r>
    </w:p>
    <w:p>
      <w:pPr>
        <w:spacing w:after="0" w:line="175" w:lineRule="exact"/>
        <w:rPr>
          <w:sz w:val="20"/>
          <w:szCs w:val="20"/>
          <w:color w:val="auto"/>
        </w:rPr>
      </w:pPr>
    </w:p>
    <w:p>
      <w:pPr>
        <w:jc w:val="both"/>
        <w:ind w:firstLine="320"/>
        <w:spacing w:after="0" w:line="289" w:lineRule="auto"/>
        <w:rPr>
          <w:sz w:val="20"/>
          <w:szCs w:val="20"/>
          <w:color w:val="auto"/>
        </w:rPr>
      </w:pPr>
      <w:r>
        <w:rPr>
          <w:rFonts w:ascii="Arial" w:cs="Arial" w:eastAsia="Arial" w:hAnsi="Arial"/>
          <w:sz w:val="16"/>
          <w:szCs w:val="16"/>
          <w:color w:val="auto"/>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t>Annex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and Conditions for Commercial Acceptance Guarantee Business</w:t>
      </w:r>
    </w:p>
    <w:p>
      <w:pPr>
        <w:spacing w:after="0" w:line="220" w:lineRule="exact"/>
        <w:rPr>
          <w:sz w:val="20"/>
          <w:szCs w:val="20"/>
          <w:color w:val="auto"/>
        </w:rPr>
      </w:pPr>
    </w:p>
    <w:p>
      <w:pPr>
        <w:jc w:val="both"/>
        <w:ind w:firstLine="327"/>
        <w:spacing w:after="0" w:line="306" w:lineRule="auto"/>
        <w:tabs>
          <w:tab w:leader="none" w:pos="513" w:val="left"/>
        </w:tabs>
        <w:numPr>
          <w:ilvl w:val="0"/>
          <w:numId w:val="368"/>
        </w:numPr>
        <w:rPr>
          <w:rFonts w:ascii="Arial" w:cs="Arial" w:eastAsia="Arial" w:hAnsi="Arial"/>
          <w:sz w:val="16"/>
          <w:szCs w:val="16"/>
          <w:color w:val="auto"/>
        </w:rPr>
      </w:pPr>
      <w:r>
        <w:rPr>
          <w:rFonts w:ascii="Arial" w:cs="Arial" w:eastAsia="Arial" w:hAnsi="Arial"/>
          <w:sz w:val="16"/>
          <w:szCs w:val="16"/>
          <w:color w:val="auto"/>
        </w:rPr>
        <w:t>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spacing w:after="0" w:line="15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18"/>
          <w:szCs w:val="18"/>
          <w:color w:val="auto"/>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spacing w:after="0" w:line="186" w:lineRule="exact"/>
        <w:rPr>
          <w:sz w:val="20"/>
          <w:szCs w:val="20"/>
          <w:color w:val="auto"/>
        </w:rPr>
      </w:pPr>
    </w:p>
    <w:p>
      <w:pPr>
        <w:jc w:val="both"/>
        <w:ind w:firstLine="327"/>
        <w:spacing w:after="0" w:line="258" w:lineRule="auto"/>
        <w:tabs>
          <w:tab w:leader="none" w:pos="53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spacing w:after="0" w:line="186" w:lineRule="exact"/>
        <w:rPr>
          <w:rFonts w:ascii="Arial" w:cs="Arial" w:eastAsia="Arial" w:hAnsi="Arial"/>
          <w:sz w:val="18"/>
          <w:szCs w:val="18"/>
          <w:color w:val="auto"/>
        </w:rPr>
      </w:pPr>
    </w:p>
    <w:p>
      <w:pPr>
        <w:jc w:val="both"/>
        <w:ind w:firstLine="327"/>
        <w:spacing w:after="0" w:line="306" w:lineRule="auto"/>
        <w:tabs>
          <w:tab w:leader="none" w:pos="50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spacing w:after="0" w:line="150" w:lineRule="exact"/>
        <w:rPr>
          <w:sz w:val="20"/>
          <w:szCs w:val="20"/>
          <w:color w:val="auto"/>
        </w:rPr>
      </w:pPr>
    </w:p>
    <w:p>
      <w:pPr>
        <w:ind w:firstLine="320"/>
        <w:spacing w:after="0" w:line="270" w:lineRule="auto"/>
        <w:rPr>
          <w:sz w:val="20"/>
          <w:szCs w:val="20"/>
          <w:color w:val="auto"/>
        </w:rPr>
      </w:pPr>
      <w:r>
        <w:rPr>
          <w:rFonts w:ascii="Arial" w:cs="Arial" w:eastAsia="Arial" w:hAnsi="Arial"/>
          <w:sz w:val="18"/>
          <w:szCs w:val="18"/>
          <w:color w:val="auto"/>
        </w:rPr>
        <w:t>If Party B is the acceptor of a commercial acceptances, Party B shall deposit the full amount of each commercial acceptances payable in its margin account opened with Party A before the maturity of the bill.</w:t>
      </w:r>
    </w:p>
    <w:p>
      <w:pPr>
        <w:spacing w:after="0" w:line="175" w:lineRule="exact"/>
        <w:rPr>
          <w:sz w:val="20"/>
          <w:szCs w:val="20"/>
          <w:color w:val="auto"/>
        </w:rPr>
      </w:pPr>
    </w:p>
    <w:p>
      <w:pPr>
        <w:jc w:val="both"/>
        <w:ind w:firstLine="327"/>
        <w:spacing w:after="0" w:line="255" w:lineRule="auto"/>
        <w:tabs>
          <w:tab w:leader="none" w:pos="50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spacing w:after="0" w:line="188"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87" w:name="page388"/>
    <w:bookmarkEnd w:id="387"/>
    <w:p>
      <w:pPr>
        <w:jc w:val="both"/>
        <w:ind w:firstLine="327"/>
        <w:spacing w:after="0" w:line="296" w:lineRule="auto"/>
        <w:tabs>
          <w:tab w:leader="none" w:pos="50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spacing w:after="0" w:line="159" w:lineRule="exact"/>
        <w:rPr>
          <w:rFonts w:ascii="Arial" w:cs="Arial" w:eastAsia="Arial" w:hAnsi="Arial"/>
          <w:sz w:val="16"/>
          <w:szCs w:val="16"/>
          <w:color w:val="auto"/>
        </w:rPr>
      </w:pPr>
    </w:p>
    <w:p>
      <w:pPr>
        <w:jc w:val="both"/>
        <w:ind w:firstLine="327"/>
        <w:spacing w:after="0" w:line="258" w:lineRule="auto"/>
        <w:tabs>
          <w:tab w:leader="none" w:pos="50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spacing w:after="0" w:line="186" w:lineRule="exact"/>
        <w:rPr>
          <w:rFonts w:ascii="Arial" w:cs="Arial" w:eastAsia="Arial" w:hAnsi="Arial"/>
          <w:sz w:val="18"/>
          <w:szCs w:val="18"/>
          <w:color w:val="auto"/>
        </w:rPr>
      </w:pPr>
    </w:p>
    <w:p>
      <w:pPr>
        <w:jc w:val="both"/>
        <w:ind w:firstLine="327"/>
        <w:spacing w:after="0" w:line="269" w:lineRule="auto"/>
        <w:tabs>
          <w:tab w:leader="none" w:pos="49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Arial" w:cs="Arial" w:eastAsia="Arial" w:hAnsi="Arial"/>
          <w:sz w:val="17"/>
          <w:szCs w:val="17"/>
          <w:b w:val="1"/>
          <w:bCs w:val="1"/>
          <w:color w:val="auto"/>
        </w:rPr>
        <w:t>penalty interest charge by Party</w:t>
      </w:r>
      <w:r>
        <w:rPr>
          <w:rFonts w:ascii="Arial" w:cs="Arial" w:eastAsia="Arial" w:hAnsi="Arial"/>
          <w:sz w:val="17"/>
          <w:szCs w:val="17"/>
          <w:color w:val="auto"/>
        </w:rPr>
        <w:t xml:space="preserve"> A </w:t>
      </w:r>
      <w:r>
        <w:rPr>
          <w:rFonts w:ascii="Arial" w:cs="Arial" w:eastAsia="Arial" w:hAnsi="Arial"/>
          <w:sz w:val="17"/>
          <w:szCs w:val="17"/>
          <w:b w:val="1"/>
          <w:bCs w:val="1"/>
          <w:color w:val="auto"/>
        </w:rPr>
        <w:t>to Party B</w:t>
      </w:r>
      <w:r>
        <w:rPr>
          <w:rFonts w:ascii="Arial" w:cs="Arial" w:eastAsia="Arial" w:hAnsi="Arial"/>
          <w:sz w:val="17"/>
          <w:szCs w:val="17"/>
          <w:color w:val="auto"/>
        </w:rPr>
        <w:t xml:space="preserve"> at the rate of </w:t>
      </w:r>
      <w:r>
        <w:rPr>
          <w:rFonts w:ascii="Arial" w:cs="Arial" w:eastAsia="Arial" w:hAnsi="Arial"/>
          <w:sz w:val="17"/>
          <w:szCs w:val="17"/>
          <w:b w:val="1"/>
          <w:bCs w:val="1"/>
          <w:u w:val="single" w:color="auto"/>
          <w:color w:val="auto"/>
        </w:rPr>
        <w:t>5% per</w:t>
      </w:r>
      <w:r>
        <w:rPr>
          <w:rFonts w:ascii="Arial" w:cs="Arial" w:eastAsia="Arial" w:hAnsi="Arial"/>
          <w:sz w:val="17"/>
          <w:szCs w:val="17"/>
          <w:color w:val="auto"/>
        </w:rPr>
        <w:t xml:space="preserve"> </w:t>
      </w:r>
      <w:r>
        <w:rPr>
          <w:rFonts w:ascii="Arial" w:cs="Arial" w:eastAsia="Arial" w:hAnsi="Arial"/>
          <w:sz w:val="17"/>
          <w:szCs w:val="17"/>
          <w:b w:val="1"/>
          <w:bCs w:val="1"/>
          <w:color w:val="auto"/>
        </w:rPr>
        <w:t>day of</w:t>
      </w:r>
      <w:r>
        <w:rPr>
          <w:rFonts w:ascii="Arial" w:cs="Arial" w:eastAsia="Arial" w:hAnsi="Arial"/>
          <w:sz w:val="17"/>
          <w:szCs w:val="17"/>
          <w:color w:val="auto"/>
        </w:rPr>
        <w:t xml:space="preserve"> the amount advanced in accordance with the relevant provisions of the Payment and Settlement Measures.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t>Annex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for Derivative Trading Business</w:t>
      </w:r>
    </w:p>
    <w:p>
      <w:pPr>
        <w:spacing w:after="0" w:line="220" w:lineRule="exact"/>
        <w:rPr>
          <w:sz w:val="20"/>
          <w:szCs w:val="20"/>
          <w:color w:val="auto"/>
        </w:rPr>
      </w:pPr>
    </w:p>
    <w:p>
      <w:pPr>
        <w:jc w:val="both"/>
        <w:ind w:firstLine="327"/>
        <w:spacing w:after="0" w:line="269" w:lineRule="auto"/>
        <w:tabs>
          <w:tab w:leader="none" w:pos="524"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Arial" w:cs="Arial" w:eastAsia="Arial" w:hAnsi="Arial"/>
          <w:sz w:val="17"/>
          <w:szCs w:val="17"/>
          <w:b w:val="1"/>
          <w:bCs w:val="1"/>
          <w:color w:val="auto"/>
        </w:rPr>
        <w:t>time of each transaction, Party A shall determine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specific amount of credit line to be taken up in accordance with the variety, maturity and risk level of the transaction, the business to which the credit line is deducted, etc.). The </w:t>
      </w:r>
      <w:r>
        <w:rPr>
          <w:rFonts w:ascii="Arial" w:cs="Arial" w:eastAsia="Arial" w:hAnsi="Arial"/>
          <w:sz w:val="17"/>
          <w:szCs w:val="17"/>
          <w:color w:val="auto"/>
        </w:rPr>
        <w:t>actual amount of credit line to be taken up shall be determined by the transaction documents such as the notification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credit line taking up and/or the confirmation/certification of the transaction issued by Party A.</w:t>
      </w:r>
    </w:p>
    <w:p>
      <w:pPr>
        <w:spacing w:after="0" w:line="175" w:lineRule="exact"/>
        <w:rPr>
          <w:rFonts w:ascii="Arial" w:cs="Arial" w:eastAsia="Arial" w:hAnsi="Arial"/>
          <w:sz w:val="17"/>
          <w:szCs w:val="17"/>
          <w:color w:val="auto"/>
        </w:rPr>
      </w:pPr>
    </w:p>
    <w:p>
      <w:pPr>
        <w:ind w:firstLine="327"/>
        <w:spacing w:after="0" w:line="274" w:lineRule="auto"/>
        <w:tabs>
          <w:tab w:leader="none" w:pos="501"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Any derivative transaction that has a balance or loss during the credit period, whether or not the transaction occurs within the credit period, will be charged to the credit line in accordance with the previous article.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color w:val="auto"/>
        </w:rPr>
        <w:t>Annex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for Gold Leasing Business</w:t>
      </w:r>
    </w:p>
    <w:p>
      <w:pPr>
        <w:spacing w:after="0" w:line="220" w:lineRule="exact"/>
        <w:rPr>
          <w:sz w:val="20"/>
          <w:szCs w:val="20"/>
          <w:color w:val="auto"/>
        </w:rPr>
      </w:pPr>
    </w:p>
    <w:p>
      <w:pPr>
        <w:ind w:firstLine="327"/>
        <w:spacing w:after="0" w:line="270" w:lineRule="auto"/>
        <w:tabs>
          <w:tab w:leader="none" w:pos="50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“Gold Leasing” is a business in which we lease out physical gold to Party B. Upon expiry, Party B returns an equivalent amount of gold of the same quality and property and pays the leasing fee to Party A in RMB on a regular basis.</w:t>
      </w:r>
    </w:p>
    <w:p>
      <w:pPr>
        <w:spacing w:after="0" w:line="174" w:lineRule="exact"/>
        <w:rPr>
          <w:rFonts w:ascii="Arial" w:cs="Arial" w:eastAsia="Arial" w:hAnsi="Arial"/>
          <w:sz w:val="18"/>
          <w:szCs w:val="18"/>
          <w:color w:val="auto"/>
        </w:rPr>
      </w:pPr>
    </w:p>
    <w:p>
      <w:pPr>
        <w:jc w:val="both"/>
        <w:ind w:firstLine="327"/>
        <w:spacing w:after="0" w:line="258" w:lineRule="auto"/>
        <w:tabs>
          <w:tab w:leader="none" w:pos="51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Party B declares that</w:t>
      </w:r>
    </w:p>
    <w:p>
      <w:pPr>
        <w:spacing w:after="0" w:line="220"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b w:val="1"/>
          <w:bCs w:val="1"/>
          <w:color w:val="auto"/>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text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0" w:name="page391"/>
    <w:bookmarkEnd w:id="390"/>
    <w:p>
      <w:pPr>
        <w:spacing w:after="0"/>
        <w:rPr>
          <w:sz w:val="20"/>
          <w:szCs w:val="20"/>
          <w:color w:val="auto"/>
        </w:rPr>
      </w:pPr>
      <w:r>
        <w:rPr>
          <w:rFonts w:ascii="Arial" w:cs="Arial" w:eastAsia="Arial" w:hAnsi="Arial"/>
          <w:sz w:val="17"/>
          <w:szCs w:val="17"/>
          <w:color w:val="auto"/>
        </w:rPr>
        <w:t>(The following is the signature line of the Credit Agreement (for liquidity loans without a separate loan contract) numbered:121XY2023010596)</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r>
        <w:rPr>
          <w:rFonts w:ascii="Arial" w:cs="Arial" w:eastAsia="Arial" w:hAnsi="Arial"/>
          <w:sz w:val="18"/>
          <w:szCs w:val="18"/>
          <w:color w:val="auto"/>
        </w:rPr>
        <w:t>: China Merchants Bank Co. LTD. Shanghai Branch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Principal or authorised agent (signature/name seal).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address. </w:t>
      </w:r>
      <w:r>
        <w:rPr>
          <w:rFonts w:ascii="Arial" w:cs="Arial" w:eastAsia="Arial" w:hAnsi="Arial"/>
          <w:sz w:val="18"/>
          <w:szCs w:val="18"/>
          <w:u w:val="single" w:color="auto"/>
          <w:color w:val="auto"/>
        </w:rPr>
        <w:t>1088 Lujiazui Ring Road, Pudong New Area, Shanghai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Unit e-mail address.</w:t>
      </w:r>
      <w:r>
        <w:rPr>
          <w:rFonts w:ascii="Arial" w:cs="Arial" w:eastAsia="Arial" w:hAnsi="Arial"/>
          <w:sz w:val="18"/>
          <w:szCs w:val="18"/>
          <w:u w:val="single" w:color="auto"/>
          <w:color w:val="auto"/>
        </w:rPr>
        <w:t>qsong@cmbchina.com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Unit fax number. </w:t>
      </w:r>
      <w:r>
        <w:rPr>
          <w:rFonts w:ascii="Arial" w:cs="Arial" w:eastAsia="Arial" w:hAnsi="Arial"/>
          <w:sz w:val="18"/>
          <w:szCs w:val="18"/>
          <w:u w:val="single" w:color="auto"/>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mobile number. </w:t>
      </w:r>
      <w:r>
        <w:rPr>
          <w:rFonts w:ascii="Arial" w:cs="Arial" w:eastAsia="Arial" w:hAnsi="Arial"/>
          <w:sz w:val="18"/>
          <w:szCs w:val="18"/>
          <w:u w:val="single" w:color="auto"/>
          <w:color w:val="auto"/>
        </w:rPr>
        <w:t>Song Qian 13585859417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Unit micro signal. </w:t>
      </w:r>
      <w:r>
        <w:rPr>
          <w:rFonts w:ascii="Arial" w:cs="Arial" w:eastAsia="Arial" w:hAnsi="Arial"/>
          <w:sz w:val="18"/>
          <w:szCs w:val="18"/>
          <w:u w:val="single" w:color="auto"/>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r>
        <w:rPr>
          <w:rFonts w:ascii="Arial" w:cs="Arial" w:eastAsia="Arial" w:hAnsi="Arial"/>
          <w:sz w:val="18"/>
          <w:szCs w:val="18"/>
          <w:color w:val="auto"/>
        </w:rPr>
        <w:t>: (seal)</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JAJI (Shanghai) Co., Ltd.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representative/principal person in charge or authorised agent (signature/name seal).</w:t>
      </w:r>
    </w:p>
    <w:p>
      <w:pPr>
        <w:spacing w:after="0" w:line="220" w:lineRule="exact"/>
        <w:rPr>
          <w:sz w:val="20"/>
          <w:szCs w:val="20"/>
          <w:color w:val="auto"/>
        </w:rPr>
      </w:pPr>
    </w:p>
    <w:p>
      <w:pPr>
        <w:ind w:right="3700"/>
        <w:spacing w:after="0" w:line="495" w:lineRule="auto"/>
        <w:rPr>
          <w:sz w:val="20"/>
          <w:szCs w:val="20"/>
          <w:color w:val="auto"/>
        </w:rPr>
      </w:pPr>
      <w:r>
        <w:rPr>
          <w:rFonts w:ascii="Arial" w:cs="Arial" w:eastAsia="Arial" w:hAnsi="Arial"/>
          <w:sz w:val="18"/>
          <w:szCs w:val="18"/>
          <w:color w:val="auto"/>
        </w:rPr>
        <w:t xml:space="preserve">Contact address. </w:t>
      </w:r>
      <w:r>
        <w:rPr>
          <w:rFonts w:ascii="Arial" w:cs="Arial" w:eastAsia="Arial" w:hAnsi="Arial"/>
          <w:sz w:val="18"/>
          <w:szCs w:val="18"/>
          <w:u w:val="single" w:color="auto"/>
          <w:color w:val="auto"/>
        </w:rPr>
        <w:t>Room 511, Building 1,Chuangzhi Space 2966, Jinke Road, Pudong New Area, Shanghai</w:t>
      </w:r>
      <w:r>
        <w:rPr>
          <w:rFonts w:ascii="Arial" w:cs="Arial" w:eastAsia="Arial" w:hAnsi="Arial"/>
          <w:sz w:val="18"/>
          <w:szCs w:val="18"/>
          <w:color w:val="auto"/>
        </w:rPr>
        <w:t xml:space="preserve"> Unit e-mail address.</w:t>
      </w:r>
      <w:r>
        <w:rPr>
          <w:rFonts w:ascii="Arial" w:cs="Arial" w:eastAsia="Arial" w:hAnsi="Arial"/>
          <w:sz w:val="18"/>
          <w:szCs w:val="18"/>
          <w:u w:val="single" w:color="auto"/>
          <w:color w:val="auto"/>
        </w:rPr>
        <w:t>penny.dai@jajiglobal.com</w:t>
      </w:r>
    </w:p>
    <w:p>
      <w:pPr>
        <w:spacing w:after="0"/>
        <w:rPr>
          <w:sz w:val="20"/>
          <w:szCs w:val="20"/>
          <w:color w:val="auto"/>
        </w:rPr>
      </w:pPr>
      <w:r>
        <w:rPr>
          <w:rFonts w:ascii="Arial" w:cs="Arial" w:eastAsia="Arial" w:hAnsi="Arial"/>
          <w:sz w:val="18"/>
          <w:szCs w:val="18"/>
          <w:color w:val="auto"/>
        </w:rPr>
        <w:t xml:space="preserve">Unit fax number. </w:t>
      </w:r>
      <w:r>
        <w:rPr>
          <w:rFonts w:ascii="Arial" w:cs="Arial" w:eastAsia="Arial" w:hAnsi="Arial"/>
          <w:sz w:val="18"/>
          <w:szCs w:val="18"/>
          <w:u w:val="single" w:color="auto"/>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mobile number. </w:t>
      </w:r>
      <w:r>
        <w:rPr>
          <w:rFonts w:ascii="Arial" w:cs="Arial" w:eastAsia="Arial" w:hAnsi="Arial"/>
          <w:sz w:val="18"/>
          <w:szCs w:val="18"/>
          <w:u w:val="single" w:color="auto"/>
          <w:color w:val="auto"/>
        </w:rPr>
        <w:t>Dai Panpan 15721320032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Unit micro signal. </w:t>
      </w:r>
      <w:r>
        <w:rPr>
          <w:rFonts w:ascii="Arial" w:cs="Arial" w:eastAsia="Arial" w:hAnsi="Arial"/>
          <w:sz w:val="18"/>
          <w:szCs w:val="18"/>
          <w:u w:val="single" w:color="auto"/>
          <w:color w:val="auto"/>
        </w:rPr>
        <w: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2023.4.4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21"/>
          <w:szCs w:val="21"/>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Raymond Ming Hui Lin, certify that:</w:t>
      </w:r>
    </w:p>
    <w:p>
      <w:pPr>
        <w:spacing w:after="0" w:line="220" w:lineRule="exact"/>
        <w:rPr>
          <w:sz w:val="20"/>
          <w:szCs w:val="20"/>
          <w:color w:val="auto"/>
        </w:rPr>
      </w:pPr>
    </w:p>
    <w:p>
      <w:pPr>
        <w:ind w:left="320" w:hanging="313"/>
        <w:spacing w:after="0"/>
        <w:tabs>
          <w:tab w:leader="none" w:pos="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19" w:lineRule="exact"/>
        <w:rPr>
          <w:rFonts w:ascii="Arial" w:cs="Arial" w:eastAsia="Arial" w:hAnsi="Arial"/>
          <w:sz w:val="18"/>
          <w:szCs w:val="18"/>
          <w:color w:val="auto"/>
        </w:rPr>
      </w:pPr>
    </w:p>
    <w:p>
      <w:pPr>
        <w:ind w:left="320" w:hanging="313"/>
        <w:spacing w:after="0" w:line="333" w:lineRule="auto"/>
        <w:tabs>
          <w:tab w:leader="none" w:pos="32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hanging="313"/>
        <w:spacing w:after="0" w:line="270" w:lineRule="auto"/>
        <w:tabs>
          <w:tab w:leader="none" w:pos="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37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right="20" w:hanging="313"/>
        <w:spacing w:after="0" w:line="333" w:lineRule="auto"/>
        <w:tabs>
          <w:tab w:leader="none" w:pos="64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6"/>
          <w:szCs w:val="16"/>
          <w:color w:val="auto"/>
        </w:rPr>
      </w:pPr>
    </w:p>
    <w:p>
      <w:pPr>
        <w:ind w:left="360" w:hanging="353"/>
        <w:spacing w:after="0" w:line="300" w:lineRule="auto"/>
        <w:tabs>
          <w:tab w:leader="none" w:pos="3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21590</wp:posOffset>
            </wp:positionV>
            <wp:extent cx="256730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0">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1"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Rui Yang, certify that:</w:t>
      </w:r>
    </w:p>
    <w:p>
      <w:pPr>
        <w:spacing w:after="0" w:line="220" w:lineRule="exact"/>
        <w:rPr>
          <w:sz w:val="20"/>
          <w:szCs w:val="20"/>
          <w:color w:val="auto"/>
        </w:rPr>
      </w:pPr>
    </w:p>
    <w:p>
      <w:pPr>
        <w:ind w:left="320" w:hanging="313"/>
        <w:spacing w:after="0"/>
        <w:tabs>
          <w:tab w:leader="none" w:pos="3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19" w:lineRule="exact"/>
        <w:rPr>
          <w:rFonts w:ascii="Arial" w:cs="Arial" w:eastAsia="Arial" w:hAnsi="Arial"/>
          <w:sz w:val="18"/>
          <w:szCs w:val="18"/>
          <w:color w:val="auto"/>
        </w:rPr>
      </w:pPr>
    </w:p>
    <w:p>
      <w:pPr>
        <w:ind w:left="320" w:hanging="313"/>
        <w:spacing w:after="0" w:line="333" w:lineRule="auto"/>
        <w:tabs>
          <w:tab w:leader="none" w:pos="3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20" w:hanging="313"/>
        <w:spacing w:after="0" w:line="270" w:lineRule="auto"/>
        <w:tabs>
          <w:tab w:leader="none" w:pos="3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hanging="313"/>
        <w:spacing w:after="0" w:line="333" w:lineRule="auto"/>
        <w:tabs>
          <w:tab w:leader="none" w:pos="64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9" w:lineRule="exact"/>
        <w:rPr>
          <w:rFonts w:ascii="Arial" w:cs="Arial" w:eastAsia="Arial" w:hAnsi="Arial"/>
          <w:sz w:val="16"/>
          <w:szCs w:val="16"/>
          <w:color w:val="auto"/>
        </w:rPr>
      </w:pPr>
    </w:p>
    <w:p>
      <w:pPr>
        <w:ind w:left="320" w:hanging="313"/>
        <w:spacing w:after="0" w:line="300" w:lineRule="auto"/>
        <w:tabs>
          <w:tab w:leader="none" w:pos="32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Arial" w:cs="Arial" w:eastAsia="Arial" w:hAnsi="Arial"/>
          <w:sz w:val="17"/>
          <w:szCs w:val="17"/>
          <w:color w:val="auto"/>
        </w:rPr>
      </w:pPr>
    </w:p>
    <w:p>
      <w:pPr>
        <w:ind w:left="640" w:hanging="313"/>
        <w:spacing w:after="0" w:line="270" w:lineRule="auto"/>
        <w:tabs>
          <w:tab w:leader="none" w:pos="6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8"/>
          <w:szCs w:val="18"/>
          <w:color w:val="auto"/>
        </w:rPr>
      </w:pPr>
    </w:p>
    <w:p>
      <w:pPr>
        <w:ind w:left="640" w:right="20" w:hanging="313"/>
        <w:spacing w:after="0" w:line="270" w:lineRule="auto"/>
        <w:tabs>
          <w:tab w:leader="none" w:pos="6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1">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Rui Yang</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Financial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2023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5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4"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2">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Ming Hui Lin</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October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13335</wp:posOffset>
            </wp:positionV>
            <wp:extent cx="256730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3">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Rui Yang</w:t>
      </w:r>
    </w:p>
    <w:p>
      <w:pPr>
        <w:spacing w:after="0" w:line="19"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Chief Financial Officer</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94" w:name="page395"/>
    <w:bookmarkEnd w:id="394"/>
    <w:p>
      <w:pPr>
        <w:ind w:left="10140"/>
        <w:spacing w:after="0"/>
        <w:rPr>
          <w:sz w:val="20"/>
          <w:szCs w:val="20"/>
          <w:color w:val="auto"/>
        </w:rPr>
      </w:pPr>
      <w:r>
        <w:rPr>
          <w:rFonts w:ascii="Arial" w:cs="Arial" w:eastAsia="Arial" w:hAnsi="Arial"/>
          <w:sz w:val="19"/>
          <w:szCs w:val="19"/>
          <w:b w:val="1"/>
          <w:bCs w:val="1"/>
          <w:color w:val="auto"/>
        </w:rPr>
        <w:t>Exhibit 21.1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r>
              <w:rPr>
                <w:rFonts w:ascii="Arial" w:cs="Arial" w:eastAsia="Arial" w:hAnsi="Arial"/>
                <w:sz w:val="18"/>
                <w:szCs w:val="18"/>
                <w:b w:val="1"/>
                <w:bCs w:val="1"/>
                <w:color w:val="auto"/>
              </w:rPr>
              <w:t>Name of the Entity</w:t>
            </w:r>
          </w:p>
        </w:tc>
        <w:tc>
          <w:tcPr>
            <w:tcW w:w="29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Jurisdiction</w:t>
            </w:r>
          </w:p>
        </w:tc>
      </w:tr>
      <w:tr>
        <w:trPr>
          <w:trHeight w:val="213"/>
        </w:trPr>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Qinheng Co., Limited</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Qiner Co., Limited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Shanghai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Dalian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Ruicheng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Beijing Hengtong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JAJI (Shanghai)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JAJI (Shanghai) Human Resource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Ridik Technology (Australia) Pty.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Australia</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Technology (Singapore) Pte.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Technology (HK)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Shenzhen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Guangzhou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Technology (US)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Delware</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Technology (California) Inc.</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California</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Hangzhou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Ridik Pte.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Singapore</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Ridik Consulting Private Limited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India</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Ridik Sdn. Bhd.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Malaysia</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Ridik Software Solutions Pte.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Technology Japan</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Japan</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Qinson Credit Card Services Limited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Hainan Qincheng Software Technology Co.Ltd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Xian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Shanghai Chenqin Information Technology Services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Growth Ring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Arabian Jasmine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Noni (SINGAPORE) PTE.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CLPS-Beefinance Holding Limited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LinkCrypto Finance Technology Limited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Qinson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LQE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Technology (Philippines) Corp</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Philippines</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MSCT Investment Holdings Limited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MNYC HOLDINGS (HK) LIMITED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Hong Kong</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Haikou Huaqin Minshang Software Development Co.,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CLPS Chengdu Co.,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CLPS Investment Management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BVI</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Ridik Technology Canada Limited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Canada</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JAJI Global Incorporation</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Cayman Islands</w:t>
            </w:r>
          </w:p>
        </w:tc>
      </w:tr>
      <w:tr>
        <w:trPr>
          <w:trHeight w:val="213"/>
        </w:trPr>
        <w:tc>
          <w:tcPr>
            <w:tcW w:w="8340" w:type="dxa"/>
            <w:vAlign w:val="bottom"/>
          </w:tcPr>
          <w:p>
            <w:pPr>
              <w:spacing w:after="0"/>
              <w:rPr>
                <w:sz w:val="20"/>
                <w:szCs w:val="20"/>
                <w:color w:val="auto"/>
              </w:rPr>
            </w:pPr>
            <w:r>
              <w:rPr>
                <w:rFonts w:ascii="Arial" w:cs="Arial" w:eastAsia="Arial" w:hAnsi="Arial"/>
                <w:sz w:val="18"/>
                <w:szCs w:val="18"/>
                <w:color w:val="auto"/>
              </w:rPr>
              <w:t>JAJI Singapore Pte. Ltd.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Singapore</w:t>
            </w:r>
          </w:p>
        </w:tc>
      </w:tr>
      <w:tr>
        <w:trPr>
          <w:trHeight w:val="21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Qinson Singapore Pte. Ltd</w:t>
            </w: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Singapore</w:t>
            </w: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Shanghai Yingjia Technology Limited</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PRC</w:t>
            </w:r>
          </w:p>
        </w:tc>
      </w:tr>
    </w:tbl>
    <w:p>
      <w:pPr>
        <w:sectPr>
          <w:pgSz w:w="11900" w:h="16838" w:orient="portrait"/>
          <w:cols w:equalWidth="0" w:num="1">
            <w:col w:w="11240"/>
          </w:cols>
          <w:pgMar w:left="320" w:top="112" w:right="3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0" w:lineRule="exact"/>
        <w:rPr>
          <w:sz w:val="20"/>
          <w:szCs w:val="20"/>
          <w:color w:val="auto"/>
        </w:rPr>
      </w:pPr>
    </w:p>
    <w:p>
      <w:pPr>
        <w:ind w:left="640" w:hanging="313"/>
        <w:spacing w:after="0"/>
        <w:tabs>
          <w:tab w:leader="none" w:pos="6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Registration Statement (Form S-8 No. 333-271860) pertaining to the 2023 Equity Incentive Plan of CLPS Incorporation,</w:t>
      </w:r>
    </w:p>
    <w:p>
      <w:pPr>
        <w:spacing w:after="0" w:line="246"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Registration Statement (Form F-3 No. 333-254910) and Amendment No.1 to the Registration Statement (Form F-3 No. 333-254910) of CLPS Incorporation, and</w:t>
      </w:r>
    </w:p>
    <w:p>
      <w:pPr>
        <w:spacing w:after="0" w:line="201"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Registration Statement (Form F-3 No. 333-266951) and Amendments No.1, No.2, No.3 and No.4 to the Registration Statement (Form F-3 No. 333-266951) of CLPS Incorporation;</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of our report dated October 18, 2023, with respect to the consolidated financial statements of CLPS Incorporation included in this Annual Report (Form 20-F) of CLPS Incorporation for the year ended June 30,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October 18,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5973E32"/>
    <w:multiLevelType w:val="hybridMultilevel"/>
    <w:lvl w:ilvl="0">
      <w:lvlJc w:val="left"/>
      <w:lvlText w:val="☐"/>
      <w:numFmt w:val="bullet"/>
      <w:start w:val="1"/>
    </w:lvl>
    <w:lvl w:ilvl="1">
      <w:lvlJc w:val="left"/>
      <w:lvlText w:val="☒"/>
      <w:numFmt w:val="bullet"/>
      <w:start w:val="1"/>
    </w:lvl>
  </w:abstractNum>
  <w:abstractNum w:abstractNumId="1">
    <w:nsid w:val="EAD6F57"/>
    <w:multiLevelType w:val="hybridMultilevel"/>
    <w:lvl w:ilvl="0">
      <w:lvlJc w:val="left"/>
      <w:lvlText w:val="☐"/>
      <w:numFmt w:val="bullet"/>
      <w:start w:val="1"/>
    </w:lvl>
    <w:lvl w:ilvl="1">
      <w:lvlJc w:val="left"/>
      <w:lvlText w:val="☐"/>
      <w:numFmt w:val="bullet"/>
      <w:start w:val="1"/>
    </w:lvl>
  </w:abstractNum>
  <w:abstractNum w:abstractNumId="2">
    <w:nsid w:val="6EC9D844"/>
    <w:multiLevelType w:val="hybridMultilevel"/>
    <w:lvl w:ilvl="0">
      <w:lvlJc w:val="left"/>
      <w:lvlText w:val="●"/>
      <w:numFmt w:val="bullet"/>
      <w:start w:val="1"/>
    </w:lvl>
  </w:abstractNum>
  <w:abstractNum w:abstractNumId="3">
    <w:nsid w:val="5C49EAEE"/>
    <w:multiLevelType w:val="hybridMultilevel"/>
    <w:lvl w:ilvl="0">
      <w:lvlJc w:val="left"/>
      <w:lvlText w:val="●"/>
      <w:numFmt w:val="bullet"/>
      <w:start w:val="1"/>
    </w:lvl>
  </w:abstractNum>
  <w:abstractNum w:abstractNumId="4">
    <w:nsid w:val="64AF49B"/>
    <w:multiLevelType w:val="hybridMultilevel"/>
    <w:lvl w:ilvl="0">
      <w:lvlJc w:val="left"/>
      <w:lvlText w:val="●"/>
      <w:numFmt w:val="bullet"/>
      <w:start w:val="1"/>
    </w:lvl>
  </w:abstractNum>
  <w:abstractNum w:abstractNumId="5">
    <w:nsid w:val="397C46BC"/>
    <w:multiLevelType w:val="hybridMultilevel"/>
    <w:lvl w:ilvl="0">
      <w:lvlJc w:val="left"/>
      <w:lvlText w:val="(%1)"/>
      <w:numFmt w:val="decimal"/>
      <w:start w:val="1"/>
    </w:lvl>
  </w:abstractNum>
  <w:abstractNum w:abstractNumId="6">
    <w:nsid w:val="7E448DE9"/>
    <w:multiLevelType w:val="hybridMultilevel"/>
    <w:lvl w:ilvl="0">
      <w:lvlJc w:val="left"/>
      <w:lvlText w:val="%1."/>
      <w:numFmt w:val="upperLetter"/>
      <w:start w:val="3"/>
    </w:lvl>
  </w:abstractNum>
  <w:abstractNum w:abstractNumId="7">
    <w:nsid w:val="5A9CC3E5"/>
    <w:multiLevelType w:val="hybridMultilevel"/>
    <w:lvl w:ilvl="0">
      <w:lvlJc w:val="left"/>
      <w:lvlText w:val="%1."/>
      <w:numFmt w:val="upperLetter"/>
      <w:start w:val="4"/>
    </w:lvl>
  </w:abstractNum>
  <w:abstractNum w:abstractNumId="8">
    <w:nsid w:val="1AFE3625"/>
    <w:multiLevelType w:val="hybridMultilevel"/>
    <w:lvl w:ilvl="0">
      <w:lvlJc w:val="left"/>
      <w:lvlText w:val="●"/>
      <w:numFmt w:val="bullet"/>
      <w:start w:val="1"/>
    </w:lvl>
  </w:abstractNum>
  <w:abstractNum w:abstractNumId="9">
    <w:nsid w:val="3CA88ECF"/>
    <w:multiLevelType w:val="hybridMultilevel"/>
    <w:lvl w:ilvl="0">
      <w:lvlJc w:val="left"/>
      <w:lvlText w:val="●"/>
      <w:numFmt w:val="bullet"/>
      <w:start w:val="1"/>
    </w:lvl>
  </w:abstractNum>
  <w:abstractNum w:abstractNumId="10">
    <w:nsid w:val="6EBE4208"/>
    <w:multiLevelType w:val="hybridMultilevel"/>
    <w:lvl w:ilvl="0">
      <w:lvlJc w:val="left"/>
      <w:lvlText w:val="●"/>
      <w:numFmt w:val="bullet"/>
      <w:start w:val="1"/>
    </w:lvl>
  </w:abstractNum>
  <w:abstractNum w:abstractNumId="11">
    <w:nsid w:val="C058DF5"/>
    <w:multiLevelType w:val="hybridMultilevel"/>
    <w:lvl w:ilvl="0">
      <w:lvlJc w:val="left"/>
      <w:lvlText w:val="●"/>
      <w:numFmt w:val="bullet"/>
      <w:start w:val="1"/>
    </w:lvl>
  </w:abstractNum>
  <w:abstractNum w:abstractNumId="12">
    <w:nsid w:val="CBE5BE9"/>
    <w:multiLevelType w:val="hybridMultilevel"/>
    <w:lvl w:ilvl="0">
      <w:lvlJc w:val="left"/>
      <w:lvlText w:val="●"/>
      <w:numFmt w:val="bullet"/>
      <w:start w:val="1"/>
    </w:lvl>
  </w:abstractNum>
  <w:abstractNum w:abstractNumId="13">
    <w:nsid w:val="3102BBE2"/>
    <w:multiLevelType w:val="hybridMultilevel"/>
    <w:lvl w:ilvl="0">
      <w:lvlJc w:val="left"/>
      <w:lvlText w:val="●"/>
      <w:numFmt w:val="bullet"/>
      <w:start w:val="1"/>
    </w:lvl>
  </w:abstractNum>
  <w:abstractNum w:abstractNumId="14">
    <w:nsid w:val="26A02C5E"/>
    <w:multiLevelType w:val="hybridMultilevel"/>
    <w:lvl w:ilvl="0">
      <w:lvlJc w:val="left"/>
      <w:lvlText w:val="●"/>
      <w:numFmt w:val="bullet"/>
      <w:start w:val="1"/>
    </w:lvl>
  </w:abstractNum>
  <w:abstractNum w:abstractNumId="15">
    <w:nsid w:val="541C8153"/>
    <w:multiLevelType w:val="hybridMultilevel"/>
    <w:lvl w:ilvl="0">
      <w:lvlJc w:val="left"/>
      <w:lvlText w:val="●"/>
      <w:numFmt w:val="bullet"/>
      <w:start w:val="1"/>
    </w:lvl>
  </w:abstractNum>
  <w:abstractNum w:abstractNumId="16">
    <w:nsid w:val="67906F60"/>
    <w:multiLevelType w:val="hybridMultilevel"/>
    <w:lvl w:ilvl="0">
      <w:lvlJc w:val="left"/>
      <w:lvlText w:val="●"/>
      <w:numFmt w:val="bullet"/>
      <w:start w:val="1"/>
    </w:lvl>
  </w:abstractNum>
  <w:abstractNum w:abstractNumId="17">
    <w:nsid w:val="10DB9DAA"/>
    <w:multiLevelType w:val="hybridMultilevel"/>
    <w:lvl w:ilvl="0">
      <w:lvlJc w:val="left"/>
      <w:lvlText w:val="●"/>
      <w:numFmt w:val="bullet"/>
      <w:start w:val="1"/>
    </w:lvl>
  </w:abstractNum>
  <w:abstractNum w:abstractNumId="18">
    <w:nsid w:val="697D2D2"/>
    <w:multiLevelType w:val="hybridMultilevel"/>
    <w:lvl w:ilvl="0">
      <w:lvlJc w:val="left"/>
      <w:lvlText w:val="(%1)"/>
      <w:numFmt w:val="decimal"/>
      <w:start w:val="1"/>
    </w:lvl>
  </w:abstractNum>
  <w:abstractNum w:abstractNumId="19">
    <w:nsid w:val="6D68AB2"/>
    <w:multiLevelType w:val="hybridMultilevel"/>
    <w:lvl w:ilvl="0">
      <w:lvlJc w:val="left"/>
      <w:lvlText w:val="●"/>
      <w:numFmt w:val="bullet"/>
      <w:start w:val="1"/>
    </w:lvl>
  </w:abstractNum>
  <w:abstractNum w:abstractNumId="20">
    <w:nsid w:val="3A966CD0"/>
    <w:multiLevelType w:val="hybridMultilevel"/>
    <w:lvl w:ilvl="0">
      <w:lvlJc w:val="left"/>
      <w:lvlText w:val="●"/>
      <w:numFmt w:val="bullet"/>
      <w:start w:val="1"/>
    </w:lvl>
  </w:abstractNum>
  <w:abstractNum w:abstractNumId="21">
    <w:nsid w:val="63F37E85"/>
    <w:multiLevelType w:val="hybridMultilevel"/>
    <w:lvl w:ilvl="0">
      <w:lvlJc w:val="left"/>
      <w:lvlText w:val="●"/>
      <w:numFmt w:val="bullet"/>
      <w:start w:val="1"/>
    </w:lvl>
  </w:abstractNum>
  <w:abstractNum w:abstractNumId="22">
    <w:nsid w:val="5895F5FA"/>
    <w:multiLevelType w:val="hybridMultilevel"/>
    <w:lvl w:ilvl="0">
      <w:lvlJc w:val="left"/>
      <w:lvlText w:val="●"/>
      <w:numFmt w:val="bullet"/>
      <w:start w:val="1"/>
    </w:lvl>
  </w:abstractNum>
  <w:abstractNum w:abstractNumId="23">
    <w:nsid w:val="38A5D054"/>
    <w:multiLevelType w:val="hybridMultilevel"/>
    <w:lvl w:ilvl="0">
      <w:lvlJc w:val="left"/>
      <w:lvlText w:val="●"/>
      <w:numFmt w:val="bullet"/>
      <w:start w:val="1"/>
    </w:lvl>
  </w:abstractNum>
  <w:abstractNum w:abstractNumId="24">
    <w:nsid w:val="F3F09D8"/>
    <w:multiLevelType w:val="hybridMultilevel"/>
    <w:lvl w:ilvl="0">
      <w:lvlJc w:val="left"/>
      <w:lvlText w:val="●"/>
      <w:numFmt w:val="bullet"/>
      <w:start w:val="1"/>
    </w:lvl>
  </w:abstractNum>
  <w:abstractNum w:abstractNumId="25">
    <w:nsid w:val="4B793735"/>
    <w:multiLevelType w:val="hybridMultilevel"/>
    <w:lvl w:ilvl="0">
      <w:lvlJc w:val="left"/>
      <w:lvlText w:val="%1."/>
      <w:numFmt w:val="upperLetter"/>
      <w:start w:val="2"/>
    </w:lvl>
  </w:abstractNum>
  <w:abstractNum w:abstractNumId="26">
    <w:nsid w:val="4A10B4E8"/>
    <w:multiLevelType w:val="hybridMultilevel"/>
    <w:lvl w:ilvl="0">
      <w:lvlJc w:val="left"/>
      <w:lvlText w:val="●"/>
      <w:numFmt w:val="bullet"/>
      <w:start w:val="1"/>
    </w:lvl>
  </w:abstractNum>
  <w:abstractNum w:abstractNumId="27">
    <w:nsid w:val="43D3BCD4"/>
    <w:multiLevelType w:val="hybridMultilevel"/>
    <w:lvl w:ilvl="0">
      <w:lvlJc w:val="left"/>
      <w:lvlText w:val="●"/>
      <w:numFmt w:val="bullet"/>
      <w:start w:val="1"/>
    </w:lvl>
  </w:abstractNum>
  <w:abstractNum w:abstractNumId="28">
    <w:nsid w:val="4C2A7166"/>
    <w:multiLevelType w:val="hybridMultilevel"/>
    <w:lvl w:ilvl="0">
      <w:lvlJc w:val="left"/>
      <w:lvlText w:val="●"/>
      <w:numFmt w:val="bullet"/>
      <w:start w:val="1"/>
    </w:lvl>
  </w:abstractNum>
  <w:abstractNum w:abstractNumId="29">
    <w:nsid w:val="2E534A82"/>
    <w:multiLevelType w:val="hybridMultilevel"/>
    <w:lvl w:ilvl="0">
      <w:lvlJc w:val="left"/>
      <w:lvlText w:val="●"/>
      <w:numFmt w:val="bullet"/>
      <w:start w:val="1"/>
    </w:lvl>
  </w:abstractNum>
  <w:abstractNum w:abstractNumId="30">
    <w:nsid w:val="26F2D364"/>
    <w:multiLevelType w:val="hybridMultilevel"/>
    <w:lvl w:ilvl="0">
      <w:lvlJc w:val="left"/>
      <w:lvlText w:val="●"/>
      <w:numFmt w:val="bullet"/>
      <w:start w:val="1"/>
    </w:lvl>
  </w:abstractNum>
  <w:abstractNum w:abstractNumId="31">
    <w:nsid w:val="71C1AF98"/>
    <w:multiLevelType w:val="hybridMultilevel"/>
    <w:lvl w:ilvl="0">
      <w:lvlJc w:val="left"/>
      <w:lvlText w:val="%1."/>
      <w:numFmt w:val="decimal"/>
      <w:start w:val="2"/>
    </w:lvl>
    <w:lvl w:ilvl="1">
      <w:lvlJc w:val="left"/>
      <w:lvlText w:val="●"/>
      <w:numFmt w:val="bullet"/>
      <w:start w:val="1"/>
    </w:lvl>
  </w:abstractNum>
  <w:abstractNum w:abstractNumId="32">
    <w:nsid w:val="3D00B9D9"/>
    <w:multiLevelType w:val="hybridMultilevel"/>
    <w:lvl w:ilvl="0">
      <w:lvlJc w:val="left"/>
      <w:lvlText w:val="●"/>
      <w:numFmt w:val="bullet"/>
      <w:start w:val="1"/>
    </w:lvl>
  </w:abstractNum>
  <w:abstractNum w:abstractNumId="33">
    <w:nsid w:val="15BCABA8"/>
    <w:multiLevelType w:val="hybridMultilevel"/>
    <w:lvl w:ilvl="0">
      <w:lvlJc w:val="left"/>
      <w:lvlText w:val="●"/>
      <w:numFmt w:val="bullet"/>
      <w:start w:val="1"/>
    </w:lvl>
  </w:abstractNum>
  <w:abstractNum w:abstractNumId="34">
    <w:nsid w:val="4E0B9A87"/>
    <w:multiLevelType w:val="hybridMultilevel"/>
    <w:lvl w:ilvl="0">
      <w:lvlJc w:val="left"/>
      <w:lvlText w:val="●"/>
      <w:numFmt w:val="bullet"/>
      <w:start w:val="1"/>
    </w:lvl>
  </w:abstractNum>
  <w:abstractNum w:abstractNumId="35">
    <w:nsid w:val="434BAE75"/>
    <w:multiLevelType w:val="hybridMultilevel"/>
    <w:lvl w:ilvl="0">
      <w:lvlJc w:val="left"/>
      <w:lvlText w:val="●"/>
      <w:numFmt w:val="bullet"/>
      <w:start w:val="1"/>
    </w:lvl>
  </w:abstractNum>
  <w:abstractNum w:abstractNumId="36">
    <w:nsid w:val="4F38F265"/>
    <w:multiLevelType w:val="hybridMultilevel"/>
    <w:lvl w:ilvl="0">
      <w:lvlJc w:val="left"/>
      <w:lvlText w:val="●"/>
      <w:numFmt w:val="bullet"/>
      <w:start w:val="1"/>
    </w:lvl>
  </w:abstractNum>
  <w:abstractNum w:abstractNumId="37">
    <w:nsid w:val="4C502870"/>
    <w:multiLevelType w:val="hybridMultilevel"/>
    <w:lvl w:ilvl="0">
      <w:lvlJc w:val="left"/>
      <w:lvlText w:val="$"/>
      <w:numFmt w:val="bullet"/>
      <w:start w:val="1"/>
    </w:lvl>
  </w:abstractNum>
  <w:abstractNum w:abstractNumId="38">
    <w:nsid w:val="1DE8725A"/>
    <w:multiLevelType w:val="hybridMultilevel"/>
    <w:lvl w:ilvl="0">
      <w:lvlJc w:val="left"/>
      <w:lvlText w:val="$"/>
      <w:numFmt w:val="bullet"/>
      <w:start w:val="1"/>
    </w:lvl>
  </w:abstractNum>
  <w:abstractNum w:abstractNumId="39">
    <w:nsid w:val="6A37288A"/>
    <w:multiLevelType w:val="hybridMultilevel"/>
    <w:lvl w:ilvl="0">
      <w:lvlJc w:val="left"/>
      <w:lvlText w:val="%1."/>
      <w:numFmt w:val="upperLetter"/>
      <w:start w:val="1"/>
    </w:lvl>
  </w:abstractNum>
  <w:abstractNum w:abstractNumId="40">
    <w:nsid w:val="8F8B73F"/>
    <w:multiLevelType w:val="hybridMultilevel"/>
    <w:lvl w:ilvl="0">
      <w:lvlJc w:val="left"/>
      <w:lvlText w:val="(%1)"/>
      <w:numFmt w:val="decimal"/>
      <w:start w:val="1"/>
    </w:lvl>
  </w:abstractNum>
  <w:abstractNum w:abstractNumId="41">
    <w:nsid w:val="CA6B462"/>
    <w:multiLevelType w:val="hybridMultilevel"/>
    <w:lvl w:ilvl="0">
      <w:lvlJc w:val="left"/>
      <w:lvlText w:val="(%1)"/>
      <w:numFmt w:val="decimal"/>
      <w:start w:val="1"/>
    </w:lvl>
  </w:abstractNum>
  <w:abstractNum w:abstractNumId="42">
    <w:nsid w:val="763CB680"/>
    <w:multiLevelType w:val="hybridMultilevel"/>
    <w:lvl w:ilvl="0">
      <w:lvlJc w:val="left"/>
      <w:lvlText w:val="(%1)"/>
      <w:numFmt w:val="lowerRoman"/>
      <w:start w:val="3"/>
    </w:lvl>
  </w:abstractNum>
  <w:abstractNum w:abstractNumId="43">
    <w:nsid w:val="15B71329"/>
    <w:multiLevelType w:val="hybridMultilevel"/>
    <w:lvl w:ilvl="0">
      <w:lvlJc w:val="left"/>
      <w:lvlText w:val="%1."/>
      <w:numFmt w:val="upperLetter"/>
      <w:start w:val="3"/>
    </w:lvl>
  </w:abstractNum>
  <w:abstractNum w:abstractNumId="44">
    <w:nsid w:val="3DA97044"/>
    <w:multiLevelType w:val="hybridMultilevel"/>
    <w:lvl w:ilvl="0">
      <w:lvlJc w:val="left"/>
      <w:lvlText w:val="●"/>
      <w:numFmt w:val="bullet"/>
      <w:start w:val="1"/>
    </w:lvl>
  </w:abstractNum>
  <w:abstractNum w:abstractNumId="45">
    <w:nsid w:val="1CDCE2DE"/>
    <w:multiLevelType w:val="hybridMultilevel"/>
    <w:lvl w:ilvl="0">
      <w:lvlJc w:val="left"/>
      <w:lvlText w:val="●"/>
      <w:numFmt w:val="bullet"/>
      <w:start w:val="1"/>
    </w:lvl>
  </w:abstractNum>
  <w:abstractNum w:abstractNumId="46">
    <w:nsid w:val="69D3947C"/>
    <w:multiLevelType w:val="hybridMultilevel"/>
    <w:lvl w:ilvl="0">
      <w:lvlJc w:val="left"/>
      <w:lvlText w:val="●"/>
      <w:numFmt w:val="bullet"/>
      <w:start w:val="1"/>
    </w:lvl>
  </w:abstractNum>
  <w:abstractNum w:abstractNumId="47">
    <w:nsid w:val="2539DFA5"/>
    <w:multiLevelType w:val="hybridMultilevel"/>
    <w:lvl w:ilvl="0">
      <w:lvlJc w:val="left"/>
      <w:lvlText w:val="●"/>
      <w:numFmt w:val="bullet"/>
      <w:start w:val="1"/>
    </w:lvl>
  </w:abstractNum>
  <w:abstractNum w:abstractNumId="48">
    <w:nsid w:val="2DB88089"/>
    <w:multiLevelType w:val="hybridMultilevel"/>
    <w:lvl w:ilvl="0">
      <w:lvlJc w:val="left"/>
      <w:lvlText w:val="%1."/>
      <w:numFmt w:val="upperLetter"/>
      <w:start w:val="4"/>
    </w:lvl>
  </w:abstractNum>
  <w:abstractNum w:abstractNumId="49">
    <w:nsid w:val="706B674E"/>
    <w:multiLevelType w:val="hybridMultilevel"/>
    <w:lvl w:ilvl="0">
      <w:lvlJc w:val="left"/>
      <w:lvlText w:val="%1."/>
      <w:numFmt w:val="upperLetter"/>
      <w:start w:val="5"/>
    </w:lvl>
  </w:abstractNum>
  <w:abstractNum w:abstractNumId="50">
    <w:nsid w:val="2C106A57"/>
    <w:multiLevelType w:val="hybridMultilevel"/>
    <w:lvl w:ilvl="0">
      <w:lvlJc w:val="left"/>
      <w:lvlText w:val="%1."/>
      <w:numFmt w:val="upperLetter"/>
      <w:start w:val="1"/>
    </w:lvl>
  </w:abstractNum>
  <w:abstractNum w:abstractNumId="51">
    <w:nsid w:val="684EED59"/>
    <w:multiLevelType w:val="hybridMultilevel"/>
    <w:lvl w:ilvl="0">
      <w:lvlJc w:val="left"/>
      <w:lvlText w:val="(%1)"/>
      <w:numFmt w:val="decimal"/>
      <w:start w:val="1"/>
    </w:lvl>
  </w:abstractNum>
  <w:abstractNum w:abstractNumId="52">
    <w:nsid w:val="545EE5D3"/>
    <w:multiLevelType w:val="hybridMultilevel"/>
    <w:lvl w:ilvl="0">
      <w:lvlJc w:val="left"/>
      <w:lvlText w:val="(%1)"/>
      <w:numFmt w:val="decimal"/>
      <w:start w:val="2"/>
    </w:lvl>
  </w:abstractNum>
  <w:abstractNum w:abstractNumId="53">
    <w:nsid w:val="4A66051"/>
    <w:multiLevelType w:val="hybridMultilevel"/>
    <w:lvl w:ilvl="0">
      <w:lvlJc w:val="left"/>
      <w:lvlText w:val="(%1)"/>
      <w:numFmt w:val="decimal"/>
      <w:start w:val="6"/>
    </w:lvl>
  </w:abstractNum>
  <w:abstractNum w:abstractNumId="54">
    <w:nsid w:val="20F4BDAD"/>
    <w:multiLevelType w:val="hybridMultilevel"/>
    <w:lvl w:ilvl="0">
      <w:lvlJc w:val="left"/>
      <w:lvlText w:val="%1."/>
      <w:numFmt w:val="upperLetter"/>
      <w:start w:val="2"/>
    </w:lvl>
  </w:abstractNum>
  <w:abstractNum w:abstractNumId="55">
    <w:nsid w:val="639DEFAC"/>
    <w:multiLevelType w:val="hybridMultilevel"/>
    <w:lvl w:ilvl="0">
      <w:lvlJc w:val="left"/>
      <w:lvlText w:val="(%1)"/>
      <w:numFmt w:val="lowerLetter"/>
      <w:start w:val="2"/>
    </w:lvl>
  </w:abstractNum>
  <w:abstractNum w:abstractNumId="56">
    <w:nsid w:val="501F9786"/>
    <w:multiLevelType w:val="hybridMultilevel"/>
    <w:lvl w:ilvl="0">
      <w:lvlJc w:val="left"/>
      <w:lvlText w:val="%1)"/>
      <w:numFmt w:val="lowerLetter"/>
      <w:start w:val="3"/>
    </w:lvl>
  </w:abstractNum>
  <w:abstractNum w:abstractNumId="57">
    <w:nsid w:val="6B057295"/>
    <w:multiLevelType w:val="hybridMultilevel"/>
    <w:lvl w:ilvl="0">
      <w:lvlJc w:val="left"/>
      <w:lvlText w:val="%1)"/>
      <w:numFmt w:val="lowerLetter"/>
      <w:start w:val="4"/>
    </w:lvl>
  </w:abstractNum>
  <w:abstractNum w:abstractNumId="58">
    <w:nsid w:val="2771AC80"/>
    <w:multiLevelType w:val="hybridMultilevel"/>
    <w:lvl w:ilvl="0">
      <w:lvlJc w:val="left"/>
      <w:lvlText w:val="%1)"/>
      <w:numFmt w:val="lowerLetter"/>
      <w:start w:val="5"/>
    </w:lvl>
  </w:abstractNum>
  <w:abstractNum w:abstractNumId="59">
    <w:nsid w:val="1C4A08EC"/>
    <w:multiLevelType w:val="hybridMultilevel"/>
    <w:lvl w:ilvl="0">
      <w:lvlJc w:val="left"/>
      <w:lvlText w:val="%1."/>
      <w:numFmt w:val="upperLetter"/>
      <w:start w:val="3"/>
    </w:lvl>
  </w:abstractNum>
  <w:abstractNum w:abstractNumId="60">
    <w:nsid w:val="1958BD17"/>
    <w:multiLevelType w:val="hybridMultilevel"/>
    <w:lvl w:ilvl="0">
      <w:lvlJc w:val="left"/>
      <w:lvlText w:val="%1."/>
      <w:numFmt w:val="upperLetter"/>
      <w:start w:val="1"/>
    </w:lvl>
  </w:abstractNum>
  <w:abstractNum w:abstractNumId="61">
    <w:nsid w:val="4E647FE4"/>
    <w:multiLevelType w:val="hybridMultilevel"/>
    <w:lvl w:ilvl="0">
      <w:lvlJc w:val="left"/>
      <w:lvlText w:val="%1."/>
      <w:numFmt w:val="upperLetter"/>
      <w:start w:val="2"/>
    </w:lvl>
  </w:abstractNum>
  <w:abstractNum w:abstractNumId="62">
    <w:nsid w:val="E0BB885"/>
    <w:multiLevelType w:val="hybridMultilevel"/>
    <w:lvl w:ilvl="0">
      <w:lvlJc w:val="left"/>
      <w:lvlText w:val="%1."/>
      <w:numFmt w:val="upperLetter"/>
      <w:start w:val="1"/>
    </w:lvl>
  </w:abstractNum>
  <w:abstractNum w:abstractNumId="63">
    <w:nsid w:val="565976F1"/>
    <w:multiLevelType w:val="hybridMultilevel"/>
    <w:lvl w:ilvl="0">
      <w:lvlJc w:val="left"/>
      <w:lvlText w:val="%1."/>
      <w:numFmt w:val="upperLetter"/>
      <w:start w:val="2"/>
    </w:lvl>
  </w:abstractNum>
  <w:abstractNum w:abstractNumId="64">
    <w:nsid w:val="64212B8C"/>
    <w:multiLevelType w:val="hybridMultilevel"/>
    <w:lvl w:ilvl="0">
      <w:lvlJc w:val="left"/>
      <w:lvlText w:val="%1."/>
      <w:numFmt w:val="upperLetter"/>
      <w:start w:val="3"/>
    </w:lvl>
  </w:abstractNum>
  <w:abstractNum w:abstractNumId="65">
    <w:nsid w:val="5C17530C"/>
    <w:multiLevelType w:val="hybridMultilevel"/>
    <w:lvl w:ilvl="0">
      <w:lvlJc w:val="left"/>
      <w:lvlText w:val="%1."/>
      <w:numFmt w:val="upperLetter"/>
      <w:start w:val="4"/>
    </w:lvl>
  </w:abstractNum>
  <w:abstractNum w:abstractNumId="66">
    <w:nsid w:val="19A52566"/>
    <w:multiLevelType w:val="hybridMultilevel"/>
    <w:lvl w:ilvl="0">
      <w:lvlJc w:val="left"/>
      <w:lvlText w:val="%1."/>
      <w:numFmt w:val="upperLetter"/>
      <w:start w:val="5"/>
    </w:lvl>
  </w:abstractNum>
  <w:abstractNum w:abstractNumId="67">
    <w:nsid w:val="335A1DF1"/>
    <w:multiLevelType w:val="hybridMultilevel"/>
    <w:lvl w:ilvl="0">
      <w:lvlJc w:val="left"/>
      <w:lvlText w:val="%1."/>
      <w:numFmt w:val="upperLetter"/>
      <w:start w:val="6"/>
    </w:lvl>
  </w:abstractNum>
  <w:abstractNum w:abstractNumId="68">
    <w:nsid w:val="28677B7C"/>
    <w:multiLevelType w:val="hybridMultilevel"/>
    <w:lvl w:ilvl="0">
      <w:lvlJc w:val="left"/>
      <w:lvlText w:val="%1."/>
      <w:numFmt w:val="upperLetter"/>
      <w:start w:val="1"/>
    </w:lvl>
  </w:abstractNum>
  <w:abstractNum w:abstractNumId="69">
    <w:nsid w:val="378D97C0"/>
    <w:multiLevelType w:val="hybridMultilevel"/>
    <w:lvl w:ilvl="0">
      <w:lvlJc w:val="left"/>
      <w:lvlText w:val="%1."/>
      <w:numFmt w:val="upperLetter"/>
      <w:start w:val="2"/>
    </w:lvl>
  </w:abstractNum>
  <w:abstractNum w:abstractNumId="70">
    <w:nsid w:val="1D91467C"/>
    <w:multiLevelType w:val="hybridMultilevel"/>
    <w:lvl w:ilvl="0">
      <w:lvlJc w:val="left"/>
      <w:lvlText w:val="%1."/>
      <w:numFmt w:val="upperLetter"/>
      <w:start w:val="3"/>
    </w:lvl>
  </w:abstractNum>
  <w:abstractNum w:abstractNumId="71">
    <w:nsid w:val="316032BB"/>
    <w:multiLevelType w:val="hybridMultilevel"/>
    <w:lvl w:ilvl="0">
      <w:lvlJc w:val="left"/>
      <w:lvlText w:val="%1."/>
      <w:numFmt w:val="upperLetter"/>
      <w:start w:val="4"/>
    </w:lvl>
  </w:abstractNum>
  <w:abstractNum w:abstractNumId="72">
    <w:nsid w:val="44344C22"/>
    <w:multiLevelType w:val="hybridMultilevel"/>
    <w:lvl w:ilvl="0">
      <w:lvlJc w:val="left"/>
      <w:lvlText w:val="%1."/>
      <w:numFmt w:val="upperLetter"/>
      <w:start w:val="5"/>
    </w:lvl>
  </w:abstractNum>
  <w:abstractNum w:abstractNumId="73">
    <w:nsid w:val="13CDFCFC"/>
    <w:multiLevelType w:val="hybridMultilevel"/>
    <w:lvl w:ilvl="0">
      <w:lvlJc w:val="left"/>
      <w:lvlText w:val="●"/>
      <w:numFmt w:val="bullet"/>
      <w:start w:val="1"/>
    </w:lvl>
  </w:abstractNum>
  <w:abstractNum w:abstractNumId="74">
    <w:nsid w:val="471745E4"/>
    <w:multiLevelType w:val="hybridMultilevel"/>
    <w:lvl w:ilvl="0">
      <w:lvlJc w:val="left"/>
      <w:lvlText w:val="●"/>
      <w:numFmt w:val="bullet"/>
      <w:start w:val="1"/>
    </w:lvl>
  </w:abstractNum>
  <w:abstractNum w:abstractNumId="75">
    <w:nsid w:val="1DDBC66"/>
    <w:multiLevelType w:val="hybridMultilevel"/>
    <w:lvl w:ilvl="0">
      <w:lvlJc w:val="left"/>
      <w:lvlText w:val="●"/>
      <w:numFmt w:val="bullet"/>
      <w:start w:val="1"/>
    </w:lvl>
  </w:abstractNum>
  <w:abstractNum w:abstractNumId="76">
    <w:nsid w:val="30AADFDA"/>
    <w:multiLevelType w:val="hybridMultilevel"/>
    <w:lvl w:ilvl="0">
      <w:lvlJc w:val="left"/>
      <w:lvlText w:val="●"/>
      <w:numFmt w:val="bullet"/>
      <w:start w:val="1"/>
    </w:lvl>
  </w:abstractNum>
  <w:abstractNum w:abstractNumId="77">
    <w:nsid w:val="30EADA61"/>
    <w:multiLevelType w:val="hybridMultilevel"/>
    <w:lvl w:ilvl="0">
      <w:lvlJc w:val="left"/>
      <w:lvlText w:val="●"/>
      <w:numFmt w:val="bullet"/>
      <w:start w:val="1"/>
    </w:lvl>
  </w:abstractNum>
  <w:abstractNum w:abstractNumId="78">
    <w:nsid w:val="27179C0B"/>
    <w:multiLevelType w:val="hybridMultilevel"/>
    <w:lvl w:ilvl="0">
      <w:lvlJc w:val="left"/>
      <w:lvlText w:val="●"/>
      <w:numFmt w:val="bullet"/>
      <w:start w:val="1"/>
    </w:lvl>
  </w:abstractNum>
  <w:abstractNum w:abstractNumId="79">
    <w:nsid w:val="5E636063"/>
    <w:multiLevelType w:val="hybridMultilevel"/>
    <w:lvl w:ilvl="0">
      <w:lvlJc w:val="left"/>
      <w:lvlText w:val="%1."/>
      <w:numFmt w:val="lowerLetter"/>
      <w:start w:val="1"/>
    </w:lvl>
  </w:abstractNum>
  <w:abstractNum w:abstractNumId="80">
    <w:nsid w:val="215641AF"/>
    <w:multiLevelType w:val="hybridMultilevel"/>
    <w:lvl w:ilvl="0">
      <w:lvlJc w:val="left"/>
      <w:lvlText w:val="%1."/>
      <w:numFmt w:val="lowerLetter"/>
      <w:start w:val="4"/>
    </w:lvl>
  </w:abstractNum>
  <w:abstractNum w:abstractNumId="81">
    <w:nsid w:val="53280662"/>
    <w:multiLevelType w:val="hybridMultilevel"/>
    <w:lvl w:ilvl="0">
      <w:lvlJc w:val="left"/>
      <w:lvlText w:val="*"/>
      <w:numFmt w:val="bullet"/>
      <w:start w:val="1"/>
    </w:lvl>
  </w:abstractNum>
  <w:abstractNum w:abstractNumId="82">
    <w:nsid w:val="46B24DBC"/>
    <w:multiLevelType w:val="hybridMultilevel"/>
    <w:lvl w:ilvl="0">
      <w:lvlJc w:val="left"/>
      <w:lvlText w:val="-"/>
      <w:numFmt w:val="bullet"/>
      <w:start w:val="1"/>
    </w:lvl>
  </w:abstractNum>
  <w:abstractNum w:abstractNumId="83">
    <w:nsid w:val="75B52783"/>
    <w:multiLevelType w:val="hybridMultilevel"/>
    <w:lvl w:ilvl="0">
      <w:lvlJc w:val="left"/>
      <w:lvlText w:val="$"/>
      <w:numFmt w:val="bullet"/>
      <w:start w:val="1"/>
    </w:lvl>
  </w:abstractNum>
  <w:abstractNum w:abstractNumId="84">
    <w:nsid w:val="57CE66B4"/>
    <w:multiLevelType w:val="hybridMultilevel"/>
    <w:lvl w:ilvl="0">
      <w:lvlJc w:val="left"/>
      <w:lvlText w:val="$"/>
      <w:numFmt w:val="bullet"/>
      <w:start w:val="1"/>
    </w:lvl>
  </w:abstractNum>
  <w:abstractNum w:abstractNumId="85">
    <w:nsid w:val="67A70B69"/>
    <w:multiLevelType w:val="hybridMultilevel"/>
    <w:lvl w:ilvl="0">
      <w:lvlJc w:val="left"/>
      <w:lvlText w:val="$"/>
      <w:numFmt w:val="bullet"/>
      <w:start w:val="1"/>
    </w:lvl>
  </w:abstractNum>
  <w:abstractNum w:abstractNumId="86">
    <w:nsid w:val="5953172F"/>
    <w:multiLevelType w:val="hybridMultilevel"/>
    <w:lvl w:ilvl="0">
      <w:lvlJc w:val="left"/>
      <w:lvlText w:val="$"/>
      <w:numFmt w:val="bullet"/>
      <w:start w:val="1"/>
    </w:lvl>
  </w:abstractNum>
  <w:abstractNum w:abstractNumId="87">
    <w:nsid w:val="27EDFE3A"/>
    <w:multiLevelType w:val="hybridMultilevel"/>
    <w:lvl w:ilvl="0">
      <w:lvlJc w:val="left"/>
      <w:lvlText w:val="$"/>
      <w:numFmt w:val="bullet"/>
      <w:start w:val="1"/>
    </w:lvl>
  </w:abstractNum>
  <w:abstractNum w:abstractNumId="88">
    <w:nsid w:val="52AC7DFF"/>
    <w:multiLevelType w:val="hybridMultilevel"/>
    <w:lvl w:ilvl="0">
      <w:lvlJc w:val="left"/>
      <w:lvlText w:val="-"/>
      <w:numFmt w:val="bullet"/>
      <w:start w:val="1"/>
    </w:lvl>
  </w:abstractNum>
  <w:abstractNum w:abstractNumId="89">
    <w:nsid w:val="C4C3AF"/>
    <w:multiLevelType w:val="hybridMultilevel"/>
    <w:lvl w:ilvl="0">
      <w:lvlJc w:val="left"/>
      <w:lvlText w:val="%1)"/>
      <w:numFmt w:val="lowerLetter"/>
      <w:start w:val="3"/>
    </w:lvl>
  </w:abstractNum>
  <w:abstractNum w:abstractNumId="90">
    <w:nsid w:val="44380727"/>
    <w:multiLevelType w:val="hybridMultilevel"/>
    <w:lvl w:ilvl="0">
      <w:lvlJc w:val="left"/>
      <w:lvlText w:val="2"/>
      <w:numFmt w:val="bullet"/>
      <w:start w:val="1"/>
    </w:lvl>
  </w:abstractNum>
  <w:abstractNum w:abstractNumId="91">
    <w:nsid w:val="6C053B16"/>
    <w:multiLevelType w:val="hybridMultilevel"/>
    <w:lvl w:ilvl="0">
      <w:lvlJc w:val="left"/>
      <w:lvlText w:val="(%1)"/>
      <w:numFmt w:val="decimal"/>
      <w:start w:val="1"/>
    </w:lvl>
  </w:abstractNum>
  <w:abstractNum w:abstractNumId="92">
    <w:nsid w:val="4F294393"/>
    <w:multiLevelType w:val="hybridMultilevel"/>
    <w:lvl w:ilvl="0">
      <w:lvlJc w:val="left"/>
      <w:lvlText w:val="(%1)"/>
      <w:numFmt w:val="decimal"/>
      <w:start w:val="1"/>
    </w:lvl>
  </w:abstractNum>
  <w:abstractNum w:abstractNumId="93">
    <w:nsid w:val="5243BFAC"/>
    <w:multiLevelType w:val="hybridMultilevel"/>
    <w:lvl w:ilvl="0">
      <w:lvlJc w:val="left"/>
      <w:lvlText w:val="%1"/>
      <w:numFmt w:val="decimal"/>
      <w:start w:val="1"/>
    </w:lvl>
    <w:lvl w:ilvl="1">
      <w:lvlJc w:val="left"/>
      <w:lvlText w:val="(%2)"/>
      <w:numFmt w:val="decimal"/>
      <w:start w:val="2"/>
    </w:lvl>
  </w:abstractNum>
  <w:abstractNum w:abstractNumId="94">
    <w:nsid w:val="425EB207"/>
    <w:multiLevelType w:val="hybridMultilevel"/>
    <w:lvl w:ilvl="0">
      <w:lvlJc w:val="left"/>
      <w:lvlText w:val="%1."/>
      <w:numFmt w:val="decimal"/>
      <w:start w:val="13"/>
    </w:lvl>
    <w:lvl w:ilvl="1">
      <w:lvlJc w:val="left"/>
      <w:lvlText w:val="%2"/>
      <w:numFmt w:val="decimal"/>
      <w:start w:val="1"/>
    </w:lvl>
  </w:abstractNum>
  <w:abstractNum w:abstractNumId="95">
    <w:nsid w:val="334A6F1F"/>
    <w:multiLevelType w:val="hybridMultilevel"/>
    <w:lvl w:ilvl="0">
      <w:lvlJc w:val="left"/>
      <w:lvlText w:val="(%1)"/>
      <w:numFmt w:val="decimal"/>
      <w:start w:val="1"/>
    </w:lvl>
  </w:abstractNum>
  <w:abstractNum w:abstractNumId="96">
    <w:nsid w:val="2E5B12B8"/>
    <w:multiLevelType w:val="hybridMultilevel"/>
    <w:lvl w:ilvl="0">
      <w:lvlJc w:val="left"/>
      <w:lvlText w:val="(%1)"/>
      <w:numFmt w:val="decimal"/>
      <w:start w:val="1"/>
    </w:lvl>
    <w:lvl w:ilvl="1">
      <w:lvlJc w:val="left"/>
      <w:lvlText w:val="(%2)"/>
      <w:numFmt w:val="decimal"/>
      <w:start w:val="1"/>
    </w:lvl>
  </w:abstractNum>
  <w:abstractNum w:abstractNumId="97">
    <w:nsid w:val="5C03D76D"/>
    <w:multiLevelType w:val="hybridMultilevel"/>
    <w:lvl w:ilvl="0">
      <w:lvlJc w:val="left"/>
      <w:lvlText w:val="%1"/>
      <w:numFmt w:val="decimal"/>
      <w:start w:val="1"/>
    </w:lvl>
    <w:lvl w:ilvl="1">
      <w:lvlJc w:val="left"/>
      <w:lvlText w:val="(%2)"/>
      <w:numFmt w:val="decimal"/>
      <w:start w:val="2"/>
    </w:lvl>
  </w:abstractNum>
  <w:abstractNum w:abstractNumId="98">
    <w:nsid w:val="66A48D11"/>
    <w:multiLevelType w:val="hybridMultilevel"/>
    <w:lvl w:ilvl="0">
      <w:lvlJc w:val="left"/>
      <w:lvlText w:val="%1."/>
      <w:numFmt w:val="decimal"/>
      <w:start w:val="14"/>
    </w:lvl>
    <w:lvl w:ilvl="1">
      <w:lvlJc w:val="left"/>
      <w:lvlText w:val="%2"/>
      <w:numFmt w:val="decimal"/>
      <w:start w:val="1"/>
    </w:lvl>
  </w:abstractNum>
  <w:abstractNum w:abstractNumId="99">
    <w:nsid w:val="56C28E34"/>
    <w:multiLevelType w:val="hybridMultilevel"/>
    <w:lvl w:ilvl="0">
      <w:lvlJc w:val="left"/>
      <w:lvlText w:val="(%1)"/>
      <w:numFmt w:val="decimal"/>
      <w:start w:val="1"/>
    </w:lvl>
  </w:abstractNum>
  <w:abstractNum w:abstractNumId="100">
    <w:nsid w:val="13916F2D"/>
    <w:multiLevelType w:val="hybridMultilevel"/>
    <w:lvl w:ilvl="0">
      <w:lvlJc w:val="left"/>
      <w:lvlText w:val="(%1)"/>
      <w:numFmt w:val="decimal"/>
      <w:start w:val="1"/>
    </w:lvl>
  </w:abstractNum>
  <w:abstractNum w:abstractNumId="101">
    <w:nsid w:val="435D38D"/>
    <w:multiLevelType w:val="hybridMultilevel"/>
    <w:lvl w:ilvl="0">
      <w:lvlJc w:val="left"/>
      <w:lvlText w:val="%1)"/>
      <w:numFmt w:val="lowerLetter"/>
      <w:start w:val="1"/>
    </w:lvl>
    <w:lvl w:ilvl="1">
      <w:lvlJc w:val="left"/>
      <w:lvlText w:val="(%2)"/>
      <w:numFmt w:val="decimal"/>
      <w:start w:val="1"/>
    </w:lvl>
  </w:abstractNum>
  <w:abstractNum w:abstractNumId="102">
    <w:nsid w:val="822C0EF"/>
    <w:multiLevelType w:val="hybridMultilevel"/>
    <w:lvl w:ilvl="0">
      <w:lvlJc w:val="left"/>
      <w:lvlText w:val="(%1)"/>
      <w:numFmt w:val="decimal"/>
      <w:start w:val="1"/>
    </w:lvl>
  </w:abstractNum>
  <w:abstractNum w:abstractNumId="103">
    <w:nsid w:val="57C5BB4F"/>
    <w:multiLevelType w:val="hybridMultilevel"/>
    <w:lvl w:ilvl="0">
      <w:lvlJc w:val="left"/>
      <w:lvlText w:val="%1."/>
      <w:numFmt w:val="decimal"/>
      <w:start w:val="1"/>
    </w:lvl>
  </w:abstractNum>
  <w:abstractNum w:abstractNumId="104">
    <w:nsid w:val="1803D089"/>
    <w:multiLevelType w:val="hybridMultilevel"/>
    <w:lvl w:ilvl="0">
      <w:lvlJc w:val="left"/>
      <w:lvlText w:val="%1."/>
      <w:numFmt w:val="decimal"/>
      <w:start w:val="1"/>
    </w:lvl>
    <w:lvl w:ilvl="1">
      <w:lvlJc w:val="left"/>
      <w:lvlText w:val="%2."/>
      <w:numFmt w:val="decimal"/>
      <w:start w:val="1"/>
    </w:lvl>
  </w:abstractNum>
  <w:abstractNum w:abstractNumId="105">
    <w:nsid w:val="4F3A06D4"/>
    <w:multiLevelType w:val="hybridMultilevel"/>
    <w:lvl w:ilvl="0">
      <w:lvlJc w:val="left"/>
      <w:lvlText w:val="%1"/>
      <w:numFmt w:val="decimal"/>
      <w:start w:val="1"/>
    </w:lvl>
    <w:lvl w:ilvl="1">
      <w:lvlJc w:val="left"/>
      <w:lvlText w:val="%2."/>
      <w:numFmt w:val="decimal"/>
      <w:start w:val="4"/>
    </w:lvl>
  </w:abstractNum>
  <w:abstractNum w:abstractNumId="106">
    <w:nsid w:val="59A377B6"/>
    <w:multiLevelType w:val="hybridMultilevel"/>
    <w:lvl w:ilvl="0">
      <w:lvlJc w:val="left"/>
      <w:lvlText w:val="%1."/>
      <w:numFmt w:val="decimal"/>
      <w:start w:val="3"/>
    </w:lvl>
    <w:lvl w:ilvl="1">
      <w:lvlJc w:val="left"/>
      <w:lvlText w:val="%2."/>
      <w:numFmt w:val="decimal"/>
      <w:start w:val="1"/>
    </w:lvl>
  </w:abstractNum>
  <w:abstractNum w:abstractNumId="107">
    <w:nsid w:val="48AEB063"/>
    <w:multiLevelType w:val="hybridMultilevel"/>
    <w:lvl w:ilvl="0">
      <w:lvlJc w:val="left"/>
      <w:lvlText w:val="(%1)"/>
      <w:numFmt w:val="decimal"/>
      <w:start w:val="1"/>
    </w:lvl>
  </w:abstractNum>
  <w:abstractNum w:abstractNumId="108">
    <w:nsid w:val="24E135"/>
    <w:multiLevelType w:val="hybridMultilevel"/>
    <w:lvl w:ilvl="0">
      <w:lvlJc w:val="left"/>
      <w:lvlText w:val="%1"/>
      <w:numFmt w:val="decimal"/>
      <w:start w:val="1"/>
    </w:lvl>
    <w:lvl w:ilvl="1">
      <w:lvlJc w:val="left"/>
      <w:lvlText w:val="(%2)"/>
      <w:numFmt w:val="decimal"/>
      <w:start w:val="2"/>
    </w:lvl>
  </w:abstractNum>
  <w:abstractNum w:abstractNumId="109">
    <w:nsid w:val="BB13C1"/>
    <w:multiLevelType w:val="hybridMultilevel"/>
    <w:lvl w:ilvl="0">
      <w:lvlJc w:val="left"/>
      <w:lvlText w:val="%1."/>
      <w:numFmt w:val="decimal"/>
      <w:start w:val="13"/>
    </w:lvl>
    <w:lvl w:ilvl="1">
      <w:lvlJc w:val="left"/>
      <w:lvlText w:val="%2"/>
      <w:numFmt w:val="decimal"/>
      <w:start w:val="1"/>
    </w:lvl>
  </w:abstractNum>
  <w:abstractNum w:abstractNumId="110">
    <w:nsid w:val="271210C7"/>
    <w:multiLevelType w:val="hybridMultilevel"/>
    <w:lvl w:ilvl="0">
      <w:lvlJc w:val="left"/>
      <w:lvlText w:val="(%1)"/>
      <w:numFmt w:val="decimal"/>
      <w:start w:val="1"/>
    </w:lvl>
  </w:abstractNum>
  <w:abstractNum w:abstractNumId="111">
    <w:nsid w:val="217B22E4"/>
    <w:multiLevelType w:val="hybridMultilevel"/>
    <w:lvl w:ilvl="0">
      <w:lvlJc w:val="left"/>
      <w:lvlText w:val="(%1)"/>
      <w:numFmt w:val="decimal"/>
      <w:start w:val="1"/>
    </w:lvl>
    <w:lvl w:ilvl="1">
      <w:lvlJc w:val="left"/>
      <w:lvlText w:val="(%2)"/>
      <w:numFmt w:val="decimal"/>
      <w:start w:val="1"/>
    </w:lvl>
  </w:abstractNum>
  <w:abstractNum w:abstractNumId="112">
    <w:nsid w:val="53E31A24"/>
    <w:multiLevelType w:val="hybridMultilevel"/>
    <w:lvl w:ilvl="0">
      <w:lvlJc w:val="left"/>
      <w:lvlText w:val="%1"/>
      <w:numFmt w:val="decimal"/>
      <w:start w:val="1"/>
    </w:lvl>
    <w:lvl w:ilvl="1">
      <w:lvlJc w:val="left"/>
      <w:lvlText w:val="(%2)"/>
      <w:numFmt w:val="decimal"/>
      <w:start w:val="2"/>
    </w:lvl>
  </w:abstractNum>
  <w:abstractNum w:abstractNumId="113">
    <w:nsid w:val="6DC45E83"/>
    <w:multiLevelType w:val="hybridMultilevel"/>
    <w:lvl w:ilvl="0">
      <w:lvlJc w:val="left"/>
      <w:lvlText w:val="%1."/>
      <w:numFmt w:val="decimal"/>
      <w:start w:val="14"/>
    </w:lvl>
    <w:lvl w:ilvl="1">
      <w:lvlJc w:val="left"/>
      <w:lvlText w:val="%2"/>
      <w:numFmt w:val="decimal"/>
      <w:start w:val="1"/>
    </w:lvl>
  </w:abstractNum>
  <w:abstractNum w:abstractNumId="114">
    <w:nsid w:val="17304A67"/>
    <w:multiLevelType w:val="hybridMultilevel"/>
    <w:lvl w:ilvl="0">
      <w:lvlJc w:val="left"/>
      <w:lvlText w:val="(%1)"/>
      <w:numFmt w:val="decimal"/>
      <w:start w:val="1"/>
    </w:lvl>
  </w:abstractNum>
  <w:abstractNum w:abstractNumId="115">
    <w:nsid w:val="2BB180D8"/>
    <w:multiLevelType w:val="hybridMultilevel"/>
    <w:lvl w:ilvl="0">
      <w:lvlJc w:val="left"/>
      <w:lvlText w:val="(%1)"/>
      <w:numFmt w:val="decimal"/>
      <w:start w:val="1"/>
    </w:lvl>
  </w:abstractNum>
  <w:abstractNum w:abstractNumId="116">
    <w:nsid w:val="556B69ED"/>
    <w:multiLevelType w:val="hybridMultilevel"/>
    <w:lvl w:ilvl="0">
      <w:lvlJc w:val="left"/>
      <w:lvlText w:val="%1)"/>
      <w:numFmt w:val="lowerLetter"/>
      <w:start w:val="1"/>
    </w:lvl>
    <w:lvl w:ilvl="1">
      <w:lvlJc w:val="left"/>
      <w:lvlText w:val="(%2)"/>
      <w:numFmt w:val="decimal"/>
      <w:start w:val="1"/>
    </w:lvl>
  </w:abstractNum>
  <w:abstractNum w:abstractNumId="117">
    <w:nsid w:val="70836196"/>
    <w:multiLevelType w:val="hybridMultilevel"/>
    <w:lvl w:ilvl="0">
      <w:lvlJc w:val="left"/>
      <w:lvlText w:val="(%1)"/>
      <w:numFmt w:val="decimal"/>
      <w:start w:val="1"/>
    </w:lvl>
  </w:abstractNum>
  <w:abstractNum w:abstractNumId="118">
    <w:nsid w:val="539F7F12"/>
    <w:multiLevelType w:val="hybridMultilevel"/>
    <w:lvl w:ilvl="0">
      <w:lvlJc w:val="left"/>
      <w:lvlText w:val="%1."/>
      <w:numFmt w:val="decimal"/>
      <w:start w:val="1"/>
    </w:lvl>
    <w:lvl w:ilvl="1">
      <w:lvlJc w:val="left"/>
      <w:lvlText w:val="%2."/>
      <w:numFmt w:val="decimal"/>
      <w:start w:val="1"/>
    </w:lvl>
  </w:abstractNum>
  <w:abstractNum w:abstractNumId="119">
    <w:nsid w:val="2817E7EC"/>
    <w:multiLevelType w:val="hybridMultilevel"/>
    <w:lvl w:ilvl="0">
      <w:lvlJc w:val="left"/>
      <w:lvlText w:val="%1"/>
      <w:numFmt w:val="decimal"/>
      <w:start w:val="1"/>
    </w:lvl>
    <w:lvl w:ilvl="1">
      <w:lvlJc w:val="left"/>
      <w:lvlText w:val="%2."/>
      <w:numFmt w:val="decimal"/>
      <w:start w:val="4"/>
    </w:lvl>
  </w:abstractNum>
  <w:abstractNum w:abstractNumId="120">
    <w:nsid w:val="71482545"/>
    <w:multiLevelType w:val="hybridMultilevel"/>
    <w:lvl w:ilvl="0">
      <w:lvlJc w:val="left"/>
      <w:lvlText w:val="%1."/>
      <w:numFmt w:val="decimal"/>
      <w:start w:val="3"/>
    </w:lvl>
    <w:lvl w:ilvl="1">
      <w:lvlJc w:val="left"/>
      <w:lvlText w:val="%2."/>
      <w:numFmt w:val="decimal"/>
      <w:start w:val="1"/>
    </w:lvl>
  </w:abstractNum>
  <w:abstractNum w:abstractNumId="121">
    <w:nsid w:val="17D78639"/>
    <w:multiLevelType w:val="hybridMultilevel"/>
    <w:lvl w:ilvl="0">
      <w:lvlJc w:val="left"/>
      <w:lvlText w:val="%1."/>
      <w:numFmt w:val="decimal"/>
      <w:start w:val="5"/>
    </w:lvl>
  </w:abstractNum>
  <w:abstractNum w:abstractNumId="122">
    <w:nsid w:val="141D2302"/>
    <w:multiLevelType w:val="hybridMultilevel"/>
    <w:lvl w:ilvl="0">
      <w:lvlJc w:val="left"/>
      <w:lvlText w:val="%1."/>
      <w:numFmt w:val="decimal"/>
      <w:start w:val="11"/>
    </w:lvl>
  </w:abstractNum>
  <w:abstractNum w:abstractNumId="123">
    <w:nsid w:val="407168D8"/>
    <w:multiLevelType w:val="hybridMultilevel"/>
    <w:lvl w:ilvl="0">
      <w:lvlJc w:val="left"/>
      <w:lvlText w:val="(%1)"/>
      <w:numFmt w:val="decimal"/>
      <w:start w:val="1"/>
    </w:lvl>
  </w:abstractNum>
  <w:abstractNum w:abstractNumId="124">
    <w:nsid w:val="6A1B45E5"/>
    <w:multiLevelType w:val="hybridMultilevel"/>
    <w:lvl w:ilvl="0">
      <w:lvlJc w:val="left"/>
      <w:lvlText w:val="(%1)"/>
      <w:numFmt w:val="decimal"/>
      <w:start w:val="2"/>
    </w:lvl>
  </w:abstractNum>
  <w:abstractNum w:abstractNumId="125">
    <w:nsid w:val="567BD50A"/>
    <w:multiLevelType w:val="hybridMultilevel"/>
    <w:lvl w:ilvl="0">
      <w:lvlJc w:val="left"/>
      <w:lvlText w:val="(%1)"/>
      <w:numFmt w:val="decimal"/>
      <w:start w:val="1"/>
    </w:lvl>
  </w:abstractNum>
  <w:abstractNum w:abstractNumId="126">
    <w:nsid w:val="73BBD7F8"/>
    <w:multiLevelType w:val="hybridMultilevel"/>
    <w:lvl w:ilvl="0">
      <w:lvlJc w:val="left"/>
      <w:lvlText w:val="%1)"/>
      <w:numFmt w:val="decimal"/>
      <w:start w:val="3"/>
    </w:lvl>
  </w:abstractNum>
  <w:abstractNum w:abstractNumId="127">
    <w:nsid w:val="1876589D"/>
    <w:multiLevelType w:val="hybridMultilevel"/>
    <w:lvl w:ilvl="0">
      <w:lvlJc w:val="left"/>
      <w:lvlText w:val="%1."/>
      <w:numFmt w:val="decimal"/>
      <w:start w:val="19"/>
    </w:lvl>
  </w:abstractNum>
  <w:abstractNum w:abstractNumId="128">
    <w:nsid w:val="327FAC77"/>
    <w:multiLevelType w:val="hybridMultilevel"/>
    <w:lvl w:ilvl="0">
      <w:lvlJc w:val="left"/>
      <w:lvlText w:val="%1."/>
      <w:numFmt w:val="decimal"/>
      <w:start w:val="1"/>
    </w:lvl>
  </w:abstractNum>
  <w:abstractNum w:abstractNumId="129">
    <w:nsid w:val="5A606509"/>
    <w:multiLevelType w:val="hybridMultilevel"/>
    <w:lvl w:ilvl="0">
      <w:lvlJc w:val="left"/>
      <w:lvlText w:val="%1."/>
      <w:numFmt w:val="decimal"/>
      <w:start w:val="1"/>
    </w:lvl>
  </w:abstractNum>
  <w:abstractNum w:abstractNumId="130">
    <w:nsid w:val="6F38E6D1"/>
    <w:multiLevelType w:val="hybridMultilevel"/>
    <w:lvl w:ilvl="0">
      <w:lvlJc w:val="left"/>
      <w:lvlText w:val="%1."/>
      <w:numFmt w:val="decimal"/>
      <w:start w:val="1"/>
    </w:lvl>
  </w:abstractNum>
  <w:abstractNum w:abstractNumId="131">
    <w:nsid w:val="46111BA5"/>
    <w:multiLevelType w:val="hybridMultilevel"/>
    <w:lvl w:ilvl="0">
      <w:lvlJc w:val="left"/>
      <w:lvlText w:val="%1."/>
      <w:numFmt w:val="decimal"/>
      <w:start w:val="1"/>
    </w:lvl>
  </w:abstractNum>
  <w:abstractNum w:abstractNumId="132">
    <w:nsid w:val="5E963896"/>
    <w:multiLevelType w:val="hybridMultilevel"/>
    <w:lvl w:ilvl="0">
      <w:lvlJc w:val="left"/>
      <w:lvlText w:val="%1."/>
      <w:numFmt w:val="decimal"/>
      <w:start w:val="1"/>
    </w:lvl>
  </w:abstractNum>
  <w:abstractNum w:abstractNumId="133">
    <w:nsid w:val="775BA7C1"/>
    <w:multiLevelType w:val="hybridMultilevel"/>
    <w:lvl w:ilvl="0">
      <w:lvlJc w:val="left"/>
      <w:lvlText w:val="%1."/>
      <w:numFmt w:val="decimal"/>
      <w:start w:val="2"/>
    </w:lvl>
  </w:abstractNum>
  <w:abstractNum w:abstractNumId="134">
    <w:nsid w:val="1DD6D6F4"/>
    <w:multiLevelType w:val="hybridMultilevel"/>
    <w:lvl w:ilvl="0">
      <w:lvlJc w:val="left"/>
      <w:lvlText w:val="%1."/>
      <w:numFmt w:val="decimal"/>
      <w:start w:val="1"/>
    </w:lvl>
  </w:abstractNum>
  <w:abstractNum w:abstractNumId="135">
    <w:nsid w:val="769A091F"/>
    <w:multiLevelType w:val="hybridMultilevel"/>
    <w:lvl w:ilvl="0">
      <w:lvlJc w:val="left"/>
      <w:lvlText w:val="%1."/>
      <w:numFmt w:val="decimal"/>
      <w:start w:val="1"/>
    </w:lvl>
  </w:abstractNum>
  <w:abstractNum w:abstractNumId="136">
    <w:nsid w:val="4695AE95"/>
    <w:multiLevelType w:val="hybridMultilevel"/>
    <w:lvl w:ilvl="0">
      <w:lvlJc w:val="left"/>
      <w:lvlText w:val="%1."/>
      <w:numFmt w:val="decimal"/>
      <w:start w:val="2"/>
    </w:lvl>
  </w:abstractNum>
  <w:abstractNum w:abstractNumId="137">
    <w:nsid w:val="777A4EAA"/>
    <w:multiLevelType w:val="hybridMultilevel"/>
    <w:lvl w:ilvl="0">
      <w:lvlJc w:val="left"/>
      <w:lvlText w:val="%1."/>
      <w:numFmt w:val="decimal"/>
      <w:start w:val="4"/>
    </w:lvl>
  </w:abstractNum>
  <w:abstractNum w:abstractNumId="138">
    <w:nsid w:val="3F48B982"/>
    <w:multiLevelType w:val="hybridMultilevel"/>
    <w:lvl w:ilvl="0">
      <w:lvlJc w:val="left"/>
      <w:lvlText w:val="%1."/>
      <w:numFmt w:val="decimal"/>
      <w:start w:val="1"/>
    </w:lvl>
  </w:abstractNum>
  <w:abstractNum w:abstractNumId="139">
    <w:nsid w:val="46BA8FCA"/>
    <w:multiLevelType w:val="hybridMultilevel"/>
    <w:lvl w:ilvl="0">
      <w:lvlJc w:val="left"/>
      <w:lvlText w:val="%1."/>
      <w:numFmt w:val="decimal"/>
      <w:start w:val="3"/>
    </w:lvl>
  </w:abstractNum>
  <w:abstractNum w:abstractNumId="140">
    <w:nsid w:val="7835626C"/>
    <w:multiLevelType w:val="hybridMultilevel"/>
    <w:lvl w:ilvl="0">
      <w:lvlJc w:val="left"/>
      <w:lvlText w:val="%1."/>
      <w:numFmt w:val="decimal"/>
      <w:start w:val="1"/>
    </w:lvl>
  </w:abstractNum>
  <w:abstractNum w:abstractNumId="141">
    <w:nsid w:val="665ACA49"/>
    <w:multiLevelType w:val="hybridMultilevel"/>
    <w:lvl w:ilvl="0">
      <w:lvlJc w:val="left"/>
      <w:lvlText w:val="%1."/>
      <w:numFmt w:val="decimal"/>
      <w:start w:val="4"/>
    </w:lvl>
  </w:abstractNum>
  <w:abstractNum w:abstractNumId="142">
    <w:nsid w:val="6835B2AE"/>
    <w:multiLevelType w:val="hybridMultilevel"/>
    <w:lvl w:ilvl="0">
      <w:lvlJc w:val="left"/>
      <w:lvlText w:val="%1."/>
      <w:numFmt w:val="decimal"/>
      <w:start w:val="1"/>
    </w:lvl>
  </w:abstractNum>
  <w:abstractNum w:abstractNumId="143">
    <w:nsid w:val="4C187C90"/>
    <w:multiLevelType w:val="hybridMultilevel"/>
    <w:lvl w:ilvl="0">
      <w:lvlJc w:val="left"/>
      <w:lvlText w:val="(%1)"/>
      <w:numFmt w:val="upperLetter"/>
      <w:start w:val="1"/>
    </w:lvl>
  </w:abstractNum>
  <w:abstractNum w:abstractNumId="144">
    <w:nsid w:val="541F28CD"/>
    <w:multiLevelType w:val="hybridMultilevel"/>
    <w:lvl w:ilvl="0">
      <w:lvlJc w:val="left"/>
      <w:lvlText w:val="%1."/>
      <w:numFmt w:val="decimal"/>
      <w:start w:val="3"/>
    </w:lvl>
  </w:abstractNum>
  <w:abstractNum w:abstractNumId="145">
    <w:nsid w:val="7F65FD16"/>
    <w:multiLevelType w:val="hybridMultilevel"/>
    <w:lvl w:ilvl="0">
      <w:lvlJc w:val="left"/>
      <w:lvlText w:val="%1."/>
      <w:numFmt w:val="decimal"/>
      <w:start w:val="4"/>
    </w:lvl>
  </w:abstractNum>
  <w:abstractNum w:abstractNumId="146">
    <w:nsid w:val="77C9FD68"/>
    <w:multiLevelType w:val="hybridMultilevel"/>
    <w:lvl w:ilvl="0">
      <w:lvlJc w:val="left"/>
      <w:lvlText w:val="%1."/>
      <w:numFmt w:val="decimal"/>
      <w:start w:val="10"/>
    </w:lvl>
  </w:abstractNum>
  <w:abstractNum w:abstractNumId="147">
    <w:nsid w:val="298A92BA"/>
    <w:multiLevelType w:val="hybridMultilevel"/>
    <w:lvl w:ilvl="0">
      <w:lvlJc w:val="left"/>
      <w:lvlText w:val="%1."/>
      <w:numFmt w:val="decimal"/>
      <w:start w:val="15"/>
    </w:lvl>
  </w:abstractNum>
  <w:abstractNum w:abstractNumId="148">
    <w:nsid w:val="6FE95EAC"/>
    <w:multiLevelType w:val="hybridMultilevel"/>
    <w:lvl w:ilvl="0">
      <w:lvlJc w:val="left"/>
      <w:lvlText w:val="%1."/>
      <w:numFmt w:val="decimal"/>
      <w:start w:val="1"/>
    </w:lvl>
  </w:abstractNum>
  <w:abstractNum w:abstractNumId="149">
    <w:nsid w:val="4B697C7A"/>
    <w:multiLevelType w:val="hybridMultilevel"/>
    <w:lvl w:ilvl="0">
      <w:lvlJc w:val="left"/>
      <w:lvlText w:val="%1."/>
      <w:numFmt w:val="decimal"/>
      <w:start w:val="4"/>
    </w:lvl>
  </w:abstractNum>
  <w:abstractNum w:abstractNumId="150">
    <w:nsid w:val="51A27AA6"/>
    <w:multiLevelType w:val="hybridMultilevel"/>
    <w:lvl w:ilvl="0">
      <w:lvlJc w:val="left"/>
      <w:lvlText w:val="%1."/>
      <w:numFmt w:val="decimal"/>
      <w:start w:val="5"/>
    </w:lvl>
  </w:abstractNum>
  <w:abstractNum w:abstractNumId="151">
    <w:nsid w:val="613183F2"/>
    <w:multiLevelType w:val="hybridMultilevel"/>
    <w:lvl w:ilvl="0">
      <w:lvlJc w:val="left"/>
      <w:lvlText w:val="%1."/>
      <w:numFmt w:val="decimal"/>
      <w:start w:val="1"/>
    </w:lvl>
  </w:abstractNum>
  <w:abstractNum w:abstractNumId="152">
    <w:nsid w:val="634102B4"/>
    <w:multiLevelType w:val="hybridMultilevel"/>
    <w:lvl w:ilvl="0">
      <w:lvlJc w:val="left"/>
      <w:lvlText w:val="%1."/>
      <w:numFmt w:val="decimal"/>
      <w:start w:val="3"/>
    </w:lvl>
  </w:abstractNum>
  <w:abstractNum w:abstractNumId="153">
    <w:nsid w:val="65BF9DA8"/>
    <w:multiLevelType w:val="hybridMultilevel"/>
    <w:lvl w:ilvl="0">
      <w:lvlJc w:val="left"/>
      <w:lvlText w:val="(%1)"/>
      <w:numFmt w:val="decimal"/>
      <w:start w:val="1"/>
    </w:lvl>
  </w:abstractNum>
  <w:abstractNum w:abstractNumId="154">
    <w:nsid w:val="21A2ECCA"/>
    <w:multiLevelType w:val="hybridMultilevel"/>
    <w:lvl w:ilvl="0">
      <w:lvlJc w:val="left"/>
      <w:lvlText w:val="%1."/>
      <w:numFmt w:val="decimal"/>
      <w:start w:val="1"/>
    </w:lvl>
  </w:abstractNum>
  <w:abstractNum w:abstractNumId="155">
    <w:nsid w:val="4D5C4899"/>
    <w:multiLevelType w:val="hybridMultilevel"/>
    <w:lvl w:ilvl="0">
      <w:lvlJc w:val="left"/>
      <w:lvlText w:val="%1."/>
      <w:numFmt w:val="decimal"/>
      <w:start w:val="2"/>
    </w:lvl>
  </w:abstractNum>
  <w:abstractNum w:abstractNumId="156">
    <w:nsid w:val="3C3B72B2"/>
    <w:multiLevelType w:val="hybridMultilevel"/>
    <w:lvl w:ilvl="0">
      <w:lvlJc w:val="left"/>
      <w:lvlText w:val="%1."/>
      <w:numFmt w:val="decimal"/>
      <w:start w:val="1"/>
    </w:lvl>
  </w:abstractNum>
  <w:abstractNum w:abstractNumId="157">
    <w:nsid w:val="155EC4C2"/>
    <w:multiLevelType w:val="hybridMultilevel"/>
    <w:lvl w:ilvl="0">
      <w:lvlJc w:val="left"/>
      <w:lvlText w:val="%1."/>
      <w:numFmt w:val="decimal"/>
      <w:start w:val="5"/>
    </w:lvl>
  </w:abstractNum>
  <w:abstractNum w:abstractNumId="158">
    <w:nsid w:val="65D2A137"/>
    <w:multiLevelType w:val="hybridMultilevel"/>
    <w:lvl w:ilvl="0">
      <w:lvlJc w:val="left"/>
      <w:lvlText w:val="%1."/>
      <w:numFmt w:val="decimal"/>
      <w:start w:val="1"/>
    </w:lvl>
  </w:abstractNum>
  <w:abstractNum w:abstractNumId="159">
    <w:nsid w:val="6EBB1F2A"/>
    <w:multiLevelType w:val="hybridMultilevel"/>
    <w:lvl w:ilvl="0">
      <w:lvlJc w:val="left"/>
      <w:lvlText w:val="%1."/>
      <w:numFmt w:val="decimal"/>
      <w:start w:val="2"/>
    </w:lvl>
  </w:abstractNum>
  <w:abstractNum w:abstractNumId="160">
    <w:nsid w:val="6FBF29CB"/>
    <w:multiLevelType w:val="hybridMultilevel"/>
    <w:lvl w:ilvl="0">
      <w:lvlJc w:val="left"/>
      <w:lvlText w:val="%1."/>
      <w:numFmt w:val="decimal"/>
      <w:start w:val="1"/>
    </w:lvl>
  </w:abstractNum>
  <w:abstractNum w:abstractNumId="161">
    <w:nsid w:val="550B8808"/>
    <w:multiLevelType w:val="hybridMultilevel"/>
    <w:lvl w:ilvl="0">
      <w:lvlJc w:val="left"/>
      <w:lvlText w:val="%1."/>
      <w:numFmt w:val="decimal"/>
      <w:start w:val="1"/>
    </w:lvl>
  </w:abstractNum>
  <w:abstractNum w:abstractNumId="162">
    <w:nsid w:val="34CC3ACF"/>
    <w:multiLevelType w:val="hybridMultilevel"/>
    <w:lvl w:ilvl="0">
      <w:lvlJc w:val="left"/>
      <w:lvlText w:val="%1."/>
      <w:numFmt w:val="decimal"/>
      <w:start w:val="2"/>
    </w:lvl>
  </w:abstractNum>
  <w:abstractNum w:abstractNumId="163">
    <w:nsid w:val="4E556261"/>
    <w:multiLevelType w:val="hybridMultilevel"/>
    <w:lvl w:ilvl="0">
      <w:lvlJc w:val="left"/>
      <w:lvlText w:val="%1."/>
      <w:numFmt w:val="decimal"/>
      <w:start w:val="4"/>
    </w:lvl>
  </w:abstractNum>
  <w:abstractNum w:abstractNumId="164">
    <w:nsid w:val="4C672FC9"/>
    <w:multiLevelType w:val="hybridMultilevel"/>
    <w:lvl w:ilvl="0">
      <w:lvlJc w:val="left"/>
      <w:lvlText w:val="%1."/>
      <w:numFmt w:val="decimal"/>
      <w:start w:val="1"/>
    </w:lvl>
  </w:abstractNum>
  <w:abstractNum w:abstractNumId="165">
    <w:nsid w:val="52A311C3"/>
    <w:multiLevelType w:val="hybridMultilevel"/>
    <w:lvl w:ilvl="0">
      <w:lvlJc w:val="left"/>
      <w:lvlText w:val="%1."/>
      <w:numFmt w:val="decimal"/>
      <w:start w:val="3"/>
    </w:lvl>
  </w:abstractNum>
  <w:abstractNum w:abstractNumId="166">
    <w:nsid w:val="44EF6B80"/>
    <w:multiLevelType w:val="hybridMultilevel"/>
    <w:lvl w:ilvl="0">
      <w:lvlJc w:val="left"/>
      <w:lvlText w:val="%1."/>
      <w:numFmt w:val="decimal"/>
      <w:start w:val="1"/>
    </w:lvl>
  </w:abstractNum>
  <w:abstractNum w:abstractNumId="167">
    <w:nsid w:val="12FCDE5E"/>
    <w:multiLevelType w:val="hybridMultilevel"/>
    <w:lvl w:ilvl="0">
      <w:lvlJc w:val="left"/>
      <w:lvlText w:val="%1."/>
      <w:numFmt w:val="decimal"/>
      <w:start w:val="4"/>
    </w:lvl>
  </w:abstractNum>
  <w:abstractNum w:abstractNumId="168">
    <w:nsid w:val="4A1D606E"/>
    <w:multiLevelType w:val="hybridMultilevel"/>
    <w:lvl w:ilvl="0">
      <w:lvlJc w:val="left"/>
      <w:lvlText w:val="%1."/>
      <w:numFmt w:val="decimal"/>
      <w:start w:val="1"/>
    </w:lvl>
  </w:abstractNum>
  <w:abstractNum w:abstractNumId="169">
    <w:nsid w:val="4382503"/>
    <w:multiLevelType w:val="hybridMultilevel"/>
    <w:lvl w:ilvl="0">
      <w:lvlJc w:val="left"/>
      <w:lvlText w:val="(%1)"/>
      <w:numFmt w:val="upperLetter"/>
      <w:start w:val="1"/>
    </w:lvl>
  </w:abstractNum>
  <w:abstractNum w:abstractNumId="170">
    <w:nsid w:val="59B76E28"/>
    <w:multiLevelType w:val="hybridMultilevel"/>
    <w:lvl w:ilvl="0">
      <w:lvlJc w:val="left"/>
      <w:lvlText w:val="%1."/>
      <w:numFmt w:val="decimal"/>
      <w:start w:val="3"/>
    </w:lvl>
  </w:abstractNum>
  <w:abstractNum w:abstractNumId="171">
    <w:nsid w:val="4252C2DA"/>
    <w:multiLevelType w:val="hybridMultilevel"/>
    <w:lvl w:ilvl="0">
      <w:lvlJc w:val="left"/>
      <w:lvlText w:val="%1."/>
      <w:numFmt w:val="decimal"/>
      <w:start w:val="4"/>
    </w:lvl>
  </w:abstractNum>
  <w:abstractNum w:abstractNumId="172">
    <w:nsid w:val="6A92EF4C"/>
    <w:multiLevelType w:val="hybridMultilevel"/>
    <w:lvl w:ilvl="0">
      <w:lvlJc w:val="left"/>
      <w:lvlText w:val="%1."/>
      <w:numFmt w:val="decimal"/>
      <w:start w:val="10"/>
    </w:lvl>
  </w:abstractNum>
  <w:abstractNum w:abstractNumId="173">
    <w:nsid w:val="41ED20D7"/>
    <w:multiLevelType w:val="hybridMultilevel"/>
    <w:lvl w:ilvl="0">
      <w:lvlJc w:val="left"/>
      <w:lvlText w:val="%1."/>
      <w:numFmt w:val="decimal"/>
      <w:start w:val="15"/>
    </w:lvl>
  </w:abstractNum>
  <w:abstractNum w:abstractNumId="174">
    <w:nsid w:val="E6B3F6A"/>
    <w:multiLevelType w:val="hybridMultilevel"/>
    <w:lvl w:ilvl="0">
      <w:lvlJc w:val="left"/>
      <w:lvlText w:val="%1."/>
      <w:numFmt w:val="decimal"/>
      <w:start w:val="1"/>
    </w:lvl>
  </w:abstractNum>
  <w:abstractNum w:abstractNumId="175">
    <w:nsid w:val="3EB21819"/>
    <w:multiLevelType w:val="hybridMultilevel"/>
    <w:lvl w:ilvl="0">
      <w:lvlJc w:val="left"/>
      <w:lvlText w:val="%1."/>
      <w:numFmt w:val="decimal"/>
      <w:start w:val="4"/>
    </w:lvl>
  </w:abstractNum>
  <w:abstractNum w:abstractNumId="176">
    <w:nsid w:val="41531DED"/>
    <w:multiLevelType w:val="hybridMultilevel"/>
    <w:lvl w:ilvl="0">
      <w:lvlJc w:val="left"/>
      <w:lvlText w:val="%1."/>
      <w:numFmt w:val="decimal"/>
      <w:start w:val="5"/>
    </w:lvl>
  </w:abstractNum>
  <w:abstractNum w:abstractNumId="177">
    <w:nsid w:val="6353CD2"/>
    <w:multiLevelType w:val="hybridMultilevel"/>
    <w:lvl w:ilvl="0">
      <w:lvlJc w:val="left"/>
      <w:lvlText w:val="%1."/>
      <w:numFmt w:val="decimal"/>
      <w:start w:val="1"/>
    </w:lvl>
  </w:abstractNum>
  <w:abstractNum w:abstractNumId="178">
    <w:nsid w:val="683CAAD3"/>
    <w:multiLevelType w:val="hybridMultilevel"/>
    <w:lvl w:ilvl="0">
      <w:lvlJc w:val="left"/>
      <w:lvlText w:val="%1."/>
      <w:numFmt w:val="decimal"/>
      <w:start w:val="3"/>
    </w:lvl>
  </w:abstractNum>
  <w:abstractNum w:abstractNumId="179">
    <w:nsid w:val="313C7C99"/>
    <w:multiLevelType w:val="hybridMultilevel"/>
    <w:lvl w:ilvl="0">
      <w:lvlJc w:val="left"/>
      <w:lvlText w:val="(%1)"/>
      <w:numFmt w:val="decimal"/>
      <w:start w:val="1"/>
    </w:lvl>
  </w:abstractNum>
  <w:abstractNum w:abstractNumId="180">
    <w:nsid w:val="519EB94C"/>
    <w:multiLevelType w:val="hybridMultilevel"/>
    <w:lvl w:ilvl="0">
      <w:lvlJc w:val="left"/>
      <w:lvlText w:val="%1."/>
      <w:numFmt w:val="decimal"/>
      <w:start w:val="1"/>
    </w:lvl>
  </w:abstractNum>
  <w:abstractNum w:abstractNumId="181">
    <w:nsid w:val="39DF2579"/>
    <w:multiLevelType w:val="hybridMultilevel"/>
    <w:lvl w:ilvl="0">
      <w:lvlJc w:val="left"/>
      <w:lvlText w:val="%1."/>
      <w:numFmt w:val="decimal"/>
      <w:start w:val="1"/>
    </w:lvl>
  </w:abstractNum>
  <w:abstractNum w:abstractNumId="182">
    <w:nsid w:val="126E008B"/>
    <w:multiLevelType w:val="hybridMultilevel"/>
    <w:lvl w:ilvl="0">
      <w:lvlJc w:val="left"/>
      <w:lvlText w:val="%1."/>
      <w:numFmt w:val="decimal"/>
      <w:start w:val="6"/>
    </w:lvl>
  </w:abstractNum>
  <w:abstractNum w:abstractNumId="183">
    <w:nsid w:val="34DFBC00"/>
    <w:multiLevelType w:val="hybridMultilevel"/>
    <w:lvl w:ilvl="0">
      <w:lvlJc w:val="left"/>
      <w:lvlText w:val="☒"/>
      <w:numFmt w:val="bullet"/>
      <w:start w:val="1"/>
    </w:lvl>
  </w:abstractNum>
  <w:abstractNum w:abstractNumId="184">
    <w:nsid w:val="1F9EC322"/>
    <w:multiLevelType w:val="hybridMultilevel"/>
    <w:lvl w:ilvl="0">
      <w:lvlJc w:val="left"/>
      <w:lvlText w:val="þ"/>
      <w:numFmt w:val="bullet"/>
      <w:start w:val="1"/>
    </w:lvl>
  </w:abstractNum>
  <w:abstractNum w:abstractNumId="185">
    <w:nsid w:val="3410ED56"/>
    <w:multiLevelType w:val="hybridMultilevel"/>
    <w:lvl w:ilvl="0">
      <w:lvlJc w:val="left"/>
      <w:lvlText w:val="☒"/>
      <w:numFmt w:val="bullet"/>
      <w:start w:val="1"/>
    </w:lvl>
  </w:abstractNum>
  <w:abstractNum w:abstractNumId="186">
    <w:nsid w:val="23C049A"/>
    <w:multiLevelType w:val="hybridMultilevel"/>
    <w:lvl w:ilvl="0">
      <w:lvlJc w:val="left"/>
      <w:lvlText w:val="%1."/>
      <w:numFmt w:val="decimal"/>
      <w:start w:val="1"/>
    </w:lvl>
  </w:abstractNum>
  <w:abstractNum w:abstractNumId="187">
    <w:nsid w:val="5BDA35D4"/>
    <w:multiLevelType w:val="hybridMultilevel"/>
    <w:lvl w:ilvl="0">
      <w:lvlJc w:val="left"/>
      <w:lvlText w:val="þ"/>
      <w:numFmt w:val="bullet"/>
      <w:start w:val="1"/>
    </w:lvl>
  </w:abstractNum>
  <w:abstractNum w:abstractNumId="188">
    <w:nsid w:val="496FB218"/>
    <w:multiLevelType w:val="hybridMultilevel"/>
    <w:lvl w:ilvl="0">
      <w:lvlJc w:val="left"/>
      <w:lvlText w:val="☒"/>
      <w:numFmt w:val="bullet"/>
      <w:start w:val="1"/>
    </w:lvl>
  </w:abstractNum>
  <w:abstractNum w:abstractNumId="189">
    <w:nsid w:val="680EA5D1"/>
    <w:multiLevelType w:val="hybridMultilevel"/>
    <w:lvl w:ilvl="0">
      <w:lvlJc w:val="left"/>
      <w:lvlText w:val="☒"/>
      <w:numFmt w:val="bullet"/>
      <w:start w:val="1"/>
    </w:lvl>
  </w:abstractNum>
  <w:abstractNum w:abstractNumId="190">
    <w:nsid w:val="4A9554FE"/>
    <w:multiLevelType w:val="hybridMultilevel"/>
    <w:lvl w:ilvl="0">
      <w:lvlJc w:val="left"/>
      <w:lvlText w:val="☒"/>
      <w:numFmt w:val="bullet"/>
      <w:start w:val="1"/>
    </w:lvl>
  </w:abstractNum>
  <w:abstractNum w:abstractNumId="191">
    <w:nsid w:val="392EDBE4"/>
    <w:multiLevelType w:val="hybridMultilevel"/>
    <w:lvl w:ilvl="0">
      <w:lvlJc w:val="left"/>
      <w:lvlText w:val="%1"/>
      <w:numFmt w:val="decimal"/>
      <w:start w:val="1"/>
    </w:lvl>
    <w:lvl w:ilvl="1">
      <w:lvlJc w:val="left"/>
      <w:lvlText w:val="%2)"/>
      <w:numFmt w:val="decimal"/>
      <w:start w:val="2"/>
    </w:lvl>
  </w:abstractNum>
  <w:abstractNum w:abstractNumId="192">
    <w:nsid w:val="3D1A2DD9"/>
    <w:multiLevelType w:val="hybridMultilevel"/>
    <w:lvl w:ilvl="0">
      <w:lvlJc w:val="left"/>
      <w:lvlText w:val="%1."/>
      <w:numFmt w:val="decimal"/>
      <w:start w:val="6"/>
    </w:lvl>
    <w:lvl w:ilvl="1">
      <w:lvlJc w:val="left"/>
      <w:lvlText w:val="%2"/>
      <w:numFmt w:val="decimal"/>
      <w:start w:val="1"/>
    </w:lvl>
  </w:abstractNum>
  <w:abstractNum w:abstractNumId="193">
    <w:nsid w:val="7F618FCD"/>
    <w:multiLevelType w:val="hybridMultilevel"/>
    <w:lvl w:ilvl="0">
      <w:lvlJc w:val="left"/>
      <w:lvlText w:val="%1."/>
      <w:numFmt w:val="decimal"/>
      <w:start w:val="9"/>
    </w:lvl>
  </w:abstractNum>
  <w:abstractNum w:abstractNumId="194">
    <w:nsid w:val="7843E45"/>
    <w:multiLevelType w:val="hybridMultilevel"/>
    <w:lvl w:ilvl="0">
      <w:lvlJc w:val="left"/>
      <w:lvlText w:val="%1."/>
      <w:numFmt w:val="decimal"/>
      <w:start w:val="9"/>
    </w:lvl>
    <w:lvl w:ilvl="1">
      <w:lvlJc w:val="left"/>
      <w:lvlText w:val="þ"/>
      <w:numFmt w:val="bullet"/>
      <w:start w:val="1"/>
    </w:lvl>
  </w:abstractNum>
  <w:abstractNum w:abstractNumId="195">
    <w:nsid w:val="9815DA3"/>
    <w:multiLevelType w:val="hybridMultilevel"/>
    <w:lvl w:ilvl="0">
      <w:lvlJc w:val="left"/>
      <w:lvlText w:val="%1."/>
      <w:numFmt w:val="decimal"/>
      <w:start w:val="10"/>
    </w:lvl>
    <w:lvl w:ilvl="1">
      <w:lvlJc w:val="left"/>
      <w:lvlText w:val="þ"/>
      <w:numFmt w:val="bullet"/>
      <w:start w:val="1"/>
    </w:lvl>
  </w:abstractNum>
  <w:abstractNum w:abstractNumId="196">
    <w:nsid w:val="5204A191"/>
    <w:multiLevelType w:val="hybridMultilevel"/>
    <w:lvl w:ilvl="0">
      <w:lvlJc w:val="left"/>
      <w:lvlText w:val="%1."/>
      <w:numFmt w:val="decimal"/>
      <w:start w:val="13"/>
    </w:lvl>
  </w:abstractNum>
  <w:abstractNum w:abstractNumId="197">
    <w:nsid w:val="4C73A9C6"/>
    <w:multiLevelType w:val="hybridMultilevel"/>
    <w:lvl w:ilvl="0">
      <w:lvlJc w:val="left"/>
      <w:lvlText w:val="(%1)"/>
      <w:numFmt w:val="decimal"/>
      <w:start w:val="1"/>
    </w:lvl>
  </w:abstractNum>
  <w:abstractNum w:abstractNumId="198">
    <w:nsid w:val="1C7E3C01"/>
    <w:multiLevelType w:val="hybridMultilevel"/>
    <w:lvl w:ilvl="0">
      <w:lvlJc w:val="left"/>
      <w:lvlText w:val="(%1)"/>
      <w:numFmt w:val="decimal"/>
      <w:start w:val="1"/>
    </w:lvl>
  </w:abstractNum>
  <w:abstractNum w:abstractNumId="199">
    <w:nsid w:val="1C2201FF"/>
    <w:multiLevelType w:val="hybridMultilevel"/>
    <w:lvl w:ilvl="0">
      <w:lvlJc w:val="left"/>
      <w:lvlText w:val="%1."/>
      <w:numFmt w:val="decimal"/>
      <w:start w:val="14"/>
    </w:lvl>
  </w:abstractNum>
  <w:abstractNum w:abstractNumId="200">
    <w:nsid w:val="50ABCEC9"/>
    <w:multiLevelType w:val="hybridMultilevel"/>
    <w:lvl w:ilvl="0">
      <w:lvlJc w:val="left"/>
      <w:lvlText w:val="%1."/>
      <w:numFmt w:val="decimal"/>
      <w:start w:val="17"/>
    </w:lvl>
  </w:abstractNum>
  <w:abstractNum w:abstractNumId="201">
    <w:nsid w:val="7635AA2A"/>
    <w:multiLevelType w:val="hybridMultilevel"/>
    <w:lvl w:ilvl="0">
      <w:lvlJc w:val="left"/>
      <w:lvlText w:val="%1."/>
      <w:numFmt w:val="decimal"/>
      <w:start w:val="18"/>
    </w:lvl>
  </w:abstractNum>
  <w:abstractNum w:abstractNumId="202">
    <w:nsid w:val="5E74C4D9"/>
    <w:multiLevelType w:val="hybridMultilevel"/>
    <w:lvl w:ilvl="0">
      <w:lvlJc w:val="left"/>
      <w:lvlText w:val="%1."/>
      <w:numFmt w:val="decimal"/>
      <w:start w:val="1"/>
    </w:lvl>
  </w:abstractNum>
  <w:abstractNum w:abstractNumId="203">
    <w:nsid w:val="3B3EBE15"/>
    <w:multiLevelType w:val="hybridMultilevel"/>
    <w:lvl w:ilvl="0">
      <w:lvlJc w:val="left"/>
      <w:lvlText w:val="%1."/>
      <w:numFmt w:val="decimal"/>
      <w:start w:val="1"/>
    </w:lvl>
  </w:abstractNum>
  <w:abstractNum w:abstractNumId="204">
    <w:nsid w:val="3822CB01"/>
    <w:multiLevelType w:val="hybridMultilevel"/>
    <w:lvl w:ilvl="0">
      <w:lvlJc w:val="left"/>
      <w:lvlText w:val="(%1)"/>
      <w:numFmt w:val="decimal"/>
      <w:start w:val="1"/>
    </w:lvl>
  </w:abstractNum>
  <w:abstractNum w:abstractNumId="205">
    <w:nsid w:val="6CE00443"/>
    <w:multiLevelType w:val="hybridMultilevel"/>
    <w:lvl w:ilvl="0">
      <w:lvlJc w:val="left"/>
      <w:lvlText w:val="(%1)"/>
      <w:numFmt w:val="decimal"/>
      <w:start w:val="1"/>
    </w:lvl>
  </w:abstractNum>
  <w:abstractNum w:abstractNumId="206">
    <w:nsid w:val="79F0D62F"/>
    <w:multiLevelType w:val="hybridMultilevel"/>
    <w:lvl w:ilvl="0">
      <w:lvlJc w:val="left"/>
      <w:lvlText w:val="(%1)"/>
      <w:numFmt w:val="decimal"/>
      <w:start w:val="1"/>
    </w:lvl>
  </w:abstractNum>
  <w:abstractNum w:abstractNumId="207">
    <w:nsid w:val="7975E8EE"/>
    <w:multiLevelType w:val="hybridMultilevel"/>
    <w:lvl w:ilvl="0">
      <w:lvlJc w:val="left"/>
      <w:lvlText w:val="%1."/>
      <w:numFmt w:val="decimal"/>
      <w:start w:val="2"/>
    </w:lvl>
  </w:abstractNum>
  <w:abstractNum w:abstractNumId="208">
    <w:nsid w:val="73154115"/>
    <w:multiLevelType w:val="hybridMultilevel"/>
    <w:lvl w:ilvl="0">
      <w:lvlJc w:val="left"/>
      <w:lvlText w:val="%1."/>
      <w:numFmt w:val="decimal"/>
      <w:start w:val="3"/>
    </w:lvl>
  </w:abstractNum>
  <w:abstractNum w:abstractNumId="209">
    <w:nsid w:val="622D8102"/>
    <w:multiLevelType w:val="hybridMultilevel"/>
    <w:lvl w:ilvl="0">
      <w:lvlJc w:val="left"/>
      <w:lvlText w:val="%1."/>
      <w:numFmt w:val="decimal"/>
      <w:start w:val="2"/>
    </w:lvl>
  </w:abstractNum>
  <w:abstractNum w:abstractNumId="210">
    <w:nsid w:val="2AB26587"/>
    <w:multiLevelType w:val="hybridMultilevel"/>
    <w:lvl w:ilvl="0">
      <w:lvlJc w:val="left"/>
      <w:lvlText w:val="%1."/>
      <w:numFmt w:val="decimal"/>
      <w:start w:val="3"/>
    </w:lvl>
  </w:abstractNum>
  <w:abstractNum w:abstractNumId="211">
    <w:nsid w:val="44B3FA61"/>
    <w:multiLevelType w:val="hybridMultilevel"/>
    <w:lvl w:ilvl="0">
      <w:lvlJc w:val="left"/>
      <w:lvlText w:val="(%1)"/>
      <w:numFmt w:val="decimal"/>
      <w:start w:val="1"/>
    </w:lvl>
  </w:abstractNum>
  <w:abstractNum w:abstractNumId="212">
    <w:nsid w:val="1C0CA67C"/>
    <w:multiLevelType w:val="hybridMultilevel"/>
    <w:lvl w:ilvl="0">
      <w:lvlJc w:val="left"/>
      <w:lvlText w:val="%1."/>
      <w:numFmt w:val="decimal"/>
      <w:start w:val="4"/>
    </w:lvl>
  </w:abstractNum>
  <w:abstractNum w:abstractNumId="213">
    <w:nsid w:val="3D206613"/>
    <w:multiLevelType w:val="hybridMultilevel"/>
    <w:lvl w:ilvl="0">
      <w:lvlJc w:val="left"/>
      <w:lvlText w:val="%1."/>
      <w:numFmt w:val="decimal"/>
      <w:start w:val="5"/>
    </w:lvl>
  </w:abstractNum>
  <w:abstractNum w:abstractNumId="214">
    <w:nsid w:val="7993B662"/>
    <w:multiLevelType w:val="hybridMultilevel"/>
    <w:lvl w:ilvl="0">
      <w:lvlJc w:val="left"/>
      <w:lvlText w:val="%1."/>
      <w:numFmt w:val="decimal"/>
      <w:start w:val="6"/>
    </w:lvl>
  </w:abstractNum>
  <w:abstractNum w:abstractNumId="215">
    <w:nsid w:val="3BAB699E"/>
    <w:multiLevelType w:val="hybridMultilevel"/>
    <w:lvl w:ilvl="0">
      <w:lvlJc w:val="left"/>
      <w:lvlText w:val="(%1)"/>
      <w:numFmt w:val="decimal"/>
      <w:start w:val="1"/>
    </w:lvl>
  </w:abstractNum>
  <w:abstractNum w:abstractNumId="216">
    <w:nsid w:val="71315369"/>
    <w:multiLevelType w:val="hybridMultilevel"/>
    <w:lvl w:ilvl="0">
      <w:lvlJc w:val="left"/>
      <w:lvlText w:val="%1."/>
      <w:numFmt w:val="decimal"/>
      <w:start w:val="1"/>
    </w:lvl>
  </w:abstractNum>
  <w:abstractNum w:abstractNumId="217">
    <w:nsid w:val="7BCFBAFC"/>
    <w:multiLevelType w:val="hybridMultilevel"/>
    <w:lvl w:ilvl="0">
      <w:lvlJc w:val="left"/>
      <w:lvlText w:val="%1."/>
      <w:numFmt w:val="decimal"/>
      <w:start w:val="3"/>
    </w:lvl>
  </w:abstractNum>
  <w:abstractNum w:abstractNumId="218">
    <w:nsid w:val="17859F72"/>
    <w:multiLevelType w:val="hybridMultilevel"/>
    <w:lvl w:ilvl="0">
      <w:lvlJc w:val="left"/>
      <w:lvlText w:val="%1."/>
      <w:numFmt w:val="decimal"/>
      <w:start w:val="1"/>
    </w:lvl>
  </w:abstractNum>
  <w:abstractNum w:abstractNumId="219">
    <w:nsid w:val="3AA10581"/>
    <w:multiLevelType w:val="hybridMultilevel"/>
    <w:lvl w:ilvl="0">
      <w:lvlJc w:val="left"/>
      <w:lvlText w:val="%1."/>
      <w:numFmt w:val="decimal"/>
      <w:start w:val="11"/>
    </w:lvl>
  </w:abstractNum>
  <w:abstractNum w:abstractNumId="220">
    <w:nsid w:val="63DE60CD"/>
    <w:multiLevelType w:val="hybridMultilevel"/>
    <w:lvl w:ilvl="0">
      <w:lvlJc w:val="left"/>
      <w:lvlText w:val="%1."/>
      <w:numFmt w:val="decimal"/>
      <w:start w:val="1"/>
    </w:lvl>
  </w:abstractNum>
  <w:abstractNum w:abstractNumId="221">
    <w:nsid w:val="621AF471"/>
    <w:multiLevelType w:val="hybridMultilevel"/>
    <w:lvl w:ilvl="0">
      <w:lvlJc w:val="left"/>
      <w:lvlText w:val="(%1)"/>
      <w:numFmt w:val="decimal"/>
      <w:start w:val="1"/>
    </w:lvl>
  </w:abstractNum>
  <w:abstractNum w:abstractNumId="222">
    <w:nsid w:val="73CFE165"/>
    <w:multiLevelType w:val="hybridMultilevel"/>
    <w:lvl w:ilvl="0">
      <w:lvlJc w:val="left"/>
      <w:lvlText w:val="%1."/>
      <w:numFmt w:val="decimal"/>
      <w:start w:val="5"/>
    </w:lvl>
  </w:abstractNum>
  <w:abstractNum w:abstractNumId="223">
    <w:nsid w:val="20F88EA6"/>
    <w:multiLevelType w:val="hybridMultilevel"/>
    <w:lvl w:ilvl="0">
      <w:lvlJc w:val="left"/>
      <w:lvlText w:val="(%1)"/>
      <w:numFmt w:val="decimal"/>
      <w:start w:val="1"/>
    </w:lvl>
  </w:abstractNum>
  <w:abstractNum w:abstractNumId="224">
    <w:nsid w:val="617C843E"/>
    <w:multiLevelType w:val="hybridMultilevel"/>
    <w:lvl w:ilvl="0">
      <w:lvlJc w:val="left"/>
      <w:lvlText w:val="%1."/>
      <w:numFmt w:val="decimal"/>
      <w:start w:val="6"/>
    </w:lvl>
  </w:abstractNum>
  <w:abstractNum w:abstractNumId="225">
    <w:nsid w:val="7B541FAB"/>
    <w:multiLevelType w:val="hybridMultilevel"/>
    <w:lvl w:ilvl="0">
      <w:lvlJc w:val="left"/>
      <w:lvlText w:val="①"/>
      <w:numFmt w:val="bullet"/>
      <w:start w:val="1"/>
    </w:lvl>
    <w:lvl w:ilvl="1">
      <w:lvlJc w:val="left"/>
      <w:lvlText w:val="(%2)"/>
      <w:numFmt w:val="decimal"/>
      <w:start w:val="1"/>
    </w:lvl>
  </w:abstractNum>
  <w:abstractNum w:abstractNumId="226">
    <w:nsid w:val="2A79EC49"/>
    <w:multiLevelType w:val="hybridMultilevel"/>
    <w:lvl w:ilvl="0">
      <w:lvlJc w:val="left"/>
      <w:lvlText w:val="%1."/>
      <w:numFmt w:val="decimal"/>
      <w:start w:val="12"/>
    </w:lvl>
  </w:abstractNum>
  <w:abstractNum w:abstractNumId="227">
    <w:nsid w:val="338125CF"/>
    <w:multiLevelType w:val="hybridMultilevel"/>
    <w:lvl w:ilvl="0">
      <w:lvlJc w:val="left"/>
      <w:lvlText w:val="(%1)"/>
      <w:numFmt w:val="decimal"/>
      <w:start w:val="2"/>
    </w:lvl>
  </w:abstractNum>
  <w:abstractNum w:abstractNumId="228">
    <w:nsid w:val="47C7C971"/>
    <w:multiLevelType w:val="hybridMultilevel"/>
    <w:lvl w:ilvl="0">
      <w:lvlJc w:val="left"/>
      <w:lvlText w:val="%1."/>
      <w:numFmt w:val="decimal"/>
      <w:start w:val="14"/>
    </w:lvl>
  </w:abstractNum>
  <w:abstractNum w:abstractNumId="229">
    <w:nsid w:val="46F8284B"/>
    <w:multiLevelType w:val="hybridMultilevel"/>
    <w:lvl w:ilvl="0">
      <w:lvlJc w:val="left"/>
      <w:lvlText w:val="%1."/>
      <w:numFmt w:val="decimal"/>
      <w:start w:val="2"/>
    </w:lvl>
  </w:abstractNum>
  <w:abstractNum w:abstractNumId="230">
    <w:nsid w:val="4FA327CE"/>
    <w:multiLevelType w:val="hybridMultilevel"/>
    <w:lvl w:ilvl="0">
      <w:lvlJc w:val="left"/>
      <w:lvlText w:val="(%1)"/>
      <w:numFmt w:val="decimal"/>
      <w:start w:val="1"/>
    </w:lvl>
  </w:abstractNum>
  <w:abstractNum w:abstractNumId="231">
    <w:nsid w:val="1873983A"/>
    <w:multiLevelType w:val="hybridMultilevel"/>
    <w:lvl w:ilvl="0">
      <w:lvlJc w:val="left"/>
      <w:lvlText w:val="%1."/>
      <w:numFmt w:val="decimal"/>
      <w:start w:val="1"/>
    </w:lvl>
  </w:abstractNum>
  <w:abstractNum w:abstractNumId="232">
    <w:nsid w:val="3D2DD275"/>
    <w:multiLevelType w:val="hybridMultilevel"/>
    <w:lvl w:ilvl="0">
      <w:lvlJc w:val="left"/>
      <w:lvlText w:val="%1."/>
      <w:numFmt w:val="decimal"/>
      <w:start w:val="1"/>
    </w:lvl>
  </w:abstractNum>
  <w:abstractNum w:abstractNumId="233">
    <w:nsid w:val="2E17ECA7"/>
    <w:multiLevelType w:val="hybridMultilevel"/>
    <w:lvl w:ilvl="0">
      <w:lvlJc w:val="left"/>
      <w:lvlText w:val="(%1)"/>
      <w:numFmt w:val="decimal"/>
      <w:start w:val="1"/>
    </w:lvl>
  </w:abstractNum>
  <w:abstractNum w:abstractNumId="234">
    <w:nsid w:val="53B2564F"/>
    <w:multiLevelType w:val="hybridMultilevel"/>
    <w:lvl w:ilvl="0">
      <w:lvlJc w:val="left"/>
      <w:lvlText w:val="(%1)"/>
      <w:numFmt w:val="decimal"/>
      <w:start w:val="14"/>
    </w:lvl>
  </w:abstractNum>
  <w:abstractNum w:abstractNumId="235">
    <w:nsid w:val="75509D76"/>
    <w:multiLevelType w:val="hybridMultilevel"/>
    <w:lvl w:ilvl="0">
      <w:lvlJc w:val="left"/>
      <w:lvlText w:val="%1."/>
      <w:numFmt w:val="decimal"/>
      <w:start w:val="2"/>
    </w:lvl>
  </w:abstractNum>
  <w:abstractNum w:abstractNumId="236">
    <w:nsid w:val="1AF7F0EA"/>
    <w:multiLevelType w:val="hybridMultilevel"/>
    <w:lvl w:ilvl="0">
      <w:lvlJc w:val="left"/>
      <w:lvlText w:val="(%1)"/>
      <w:numFmt w:val="decimal"/>
      <w:start w:val="1"/>
    </w:lvl>
  </w:abstractNum>
  <w:abstractNum w:abstractNumId="237">
    <w:nsid w:val="4DA32C7E"/>
    <w:multiLevelType w:val="hybridMultilevel"/>
    <w:lvl w:ilvl="0">
      <w:lvlJc w:val="left"/>
      <w:lvlText w:val="①"/>
      <w:numFmt w:val="bullet"/>
      <w:start w:val="1"/>
    </w:lvl>
  </w:abstractNum>
  <w:abstractNum w:abstractNumId="238">
    <w:nsid w:val="6EC68664"/>
    <w:multiLevelType w:val="hybridMultilevel"/>
    <w:lvl w:ilvl="0">
      <w:lvlJc w:val="left"/>
      <w:lvlText w:val="②"/>
      <w:numFmt w:val="bullet"/>
      <w:start w:val="1"/>
    </w:lvl>
  </w:abstractNum>
  <w:abstractNum w:abstractNumId="239">
    <w:nsid w:val="E0D31FF"/>
    <w:multiLevelType w:val="hybridMultilevel"/>
    <w:lvl w:ilvl="0">
      <w:lvlJc w:val="left"/>
      <w:lvlText w:val="③"/>
      <w:numFmt w:val="bullet"/>
      <w:start w:val="1"/>
    </w:lvl>
  </w:abstractNum>
  <w:abstractNum w:abstractNumId="240">
    <w:nsid w:val="2FD0AD81"/>
    <w:multiLevelType w:val="hybridMultilevel"/>
    <w:lvl w:ilvl="0">
      <w:lvlJc w:val="left"/>
      <w:lvlText w:val="④"/>
      <w:numFmt w:val="bullet"/>
      <w:start w:val="1"/>
    </w:lvl>
  </w:abstractNum>
  <w:abstractNum w:abstractNumId="241">
    <w:nsid w:val="1978EBEB"/>
    <w:multiLevelType w:val="hybridMultilevel"/>
    <w:lvl w:ilvl="0">
      <w:lvlJc w:val="left"/>
      <w:lvlText w:val="⑤"/>
      <w:numFmt w:val="bullet"/>
      <w:start w:val="1"/>
    </w:lvl>
  </w:abstractNum>
  <w:abstractNum w:abstractNumId="242">
    <w:nsid w:val="52C12C61"/>
    <w:multiLevelType w:val="hybridMultilevel"/>
    <w:lvl w:ilvl="0">
      <w:lvlJc w:val="left"/>
      <w:lvlText w:val="⑥"/>
      <w:numFmt w:val="bullet"/>
      <w:start w:val="1"/>
    </w:lvl>
  </w:abstractNum>
  <w:abstractNum w:abstractNumId="243">
    <w:nsid w:val="4BDD53FD"/>
    <w:multiLevelType w:val="hybridMultilevel"/>
    <w:lvl w:ilvl="0">
      <w:lvlJc w:val="left"/>
      <w:lvlText w:val="⑦"/>
      <w:numFmt w:val="bullet"/>
      <w:start w:val="1"/>
    </w:lvl>
  </w:abstractNum>
  <w:abstractNum w:abstractNumId="244">
    <w:nsid w:val="569951FE"/>
    <w:multiLevelType w:val="hybridMultilevel"/>
    <w:lvl w:ilvl="0">
      <w:lvlJc w:val="left"/>
      <w:lvlText w:val="⑧"/>
      <w:numFmt w:val="bullet"/>
      <w:start w:val="1"/>
    </w:lvl>
  </w:abstractNum>
  <w:abstractNum w:abstractNumId="245">
    <w:nsid w:val="4C54E2C3"/>
    <w:multiLevelType w:val="hybridMultilevel"/>
    <w:lvl w:ilvl="0">
      <w:lvlJc w:val="left"/>
      <w:lvlText w:val="(%1)"/>
      <w:numFmt w:val="decimal"/>
      <w:start w:val="2"/>
    </w:lvl>
  </w:abstractNum>
  <w:abstractNum w:abstractNumId="246">
    <w:nsid w:val="788BD9B"/>
    <w:multiLevelType w:val="hybridMultilevel"/>
    <w:lvl w:ilvl="0">
      <w:lvlJc w:val="left"/>
      <w:lvlText w:val="%1."/>
      <w:numFmt w:val="decimal"/>
      <w:start w:val="1"/>
    </w:lvl>
  </w:abstractNum>
  <w:abstractNum w:abstractNumId="247">
    <w:nsid w:val="47CAA567"/>
    <w:multiLevelType w:val="hybridMultilevel"/>
    <w:lvl w:ilvl="0">
      <w:lvlJc w:val="left"/>
      <w:lvlText w:val="(%1)"/>
      <w:numFmt w:val="decimal"/>
      <w:start w:val="1"/>
    </w:lvl>
  </w:abstractNum>
  <w:abstractNum w:abstractNumId="248">
    <w:nsid w:val="48249DBF"/>
    <w:multiLevelType w:val="hybridMultilevel"/>
    <w:lvl w:ilvl="0">
      <w:lvlJc w:val="left"/>
      <w:lvlText w:val="(%1)"/>
      <w:numFmt w:val="decimal"/>
      <w:start w:val="1"/>
    </w:lvl>
  </w:abstractNum>
  <w:abstractNum w:abstractNumId="249">
    <w:nsid w:val="1F0E5D0D"/>
    <w:multiLevelType w:val="hybridMultilevel"/>
    <w:lvl w:ilvl="0">
      <w:lvlJc w:val="left"/>
      <w:lvlText w:val="(%1)"/>
      <w:numFmt w:val="decimal"/>
      <w:start w:val="4"/>
    </w:lvl>
  </w:abstractNum>
  <w:abstractNum w:abstractNumId="250">
    <w:nsid w:val="26BAAE9"/>
    <w:multiLevelType w:val="hybridMultilevel"/>
    <w:lvl w:ilvl="0">
      <w:lvlJc w:val="left"/>
      <w:lvlText w:val="☒"/>
      <w:numFmt w:val="bullet"/>
      <w:start w:val="1"/>
    </w:lvl>
  </w:abstractNum>
  <w:abstractNum w:abstractNumId="251">
    <w:nsid w:val="2C02FE8C"/>
    <w:multiLevelType w:val="hybridMultilevel"/>
    <w:lvl w:ilvl="0">
      <w:lvlJc w:val="left"/>
      <w:lvlText w:val="þ"/>
      <w:numFmt w:val="bullet"/>
      <w:start w:val="1"/>
    </w:lvl>
  </w:abstractNum>
  <w:abstractNum w:abstractNumId="252">
    <w:nsid w:val="129517E"/>
    <w:multiLevelType w:val="hybridMultilevel"/>
    <w:lvl w:ilvl="0">
      <w:lvlJc w:val="left"/>
      <w:lvlText w:val="☒"/>
      <w:numFmt w:val="bullet"/>
      <w:start w:val="1"/>
    </w:lvl>
  </w:abstractNum>
  <w:abstractNum w:abstractNumId="253">
    <w:nsid w:val="763B8C4E"/>
    <w:multiLevelType w:val="hybridMultilevel"/>
    <w:lvl w:ilvl="0">
      <w:lvlJc w:val="left"/>
      <w:lvlText w:val="%1."/>
      <w:numFmt w:val="decimal"/>
      <w:start w:val="1"/>
    </w:lvl>
  </w:abstractNum>
  <w:abstractNum w:abstractNumId="254">
    <w:nsid w:val="4CFB8D32"/>
    <w:multiLevelType w:val="hybridMultilevel"/>
    <w:lvl w:ilvl="0">
      <w:lvlJc w:val="left"/>
      <w:lvlText w:val="þ"/>
      <w:numFmt w:val="bullet"/>
      <w:start w:val="1"/>
    </w:lvl>
  </w:abstractNum>
  <w:abstractNum w:abstractNumId="255">
    <w:nsid w:val="62A5D5BD"/>
    <w:multiLevelType w:val="hybridMultilevel"/>
    <w:lvl w:ilvl="0">
      <w:lvlJc w:val="left"/>
      <w:lvlText w:val="☒"/>
      <w:numFmt w:val="bullet"/>
      <w:start w:val="1"/>
    </w:lvl>
  </w:abstractNum>
  <w:abstractNum w:abstractNumId="256">
    <w:nsid w:val="718FABF9"/>
    <w:multiLevelType w:val="hybridMultilevel"/>
    <w:lvl w:ilvl="0">
      <w:lvlJc w:val="left"/>
      <w:lvlText w:val="%1."/>
      <w:numFmt w:val="decimal"/>
      <w:start w:val="5"/>
    </w:lvl>
  </w:abstractNum>
  <w:abstractNum w:abstractNumId="257">
    <w:nsid w:val="7775797C"/>
    <w:multiLevelType w:val="hybridMultilevel"/>
    <w:lvl w:ilvl="0">
      <w:lvlJc w:val="left"/>
      <w:lvlText w:val="☒"/>
      <w:numFmt w:val="bullet"/>
      <w:start w:val="1"/>
    </w:lvl>
  </w:abstractNum>
  <w:abstractNum w:abstractNumId="258">
    <w:nsid w:val="1626FB8C"/>
    <w:multiLevelType w:val="hybridMultilevel"/>
    <w:lvl w:ilvl="0">
      <w:lvlJc w:val="left"/>
      <w:lvlText w:val="☒"/>
      <w:numFmt w:val="bullet"/>
      <w:start w:val="1"/>
    </w:lvl>
  </w:abstractNum>
  <w:abstractNum w:abstractNumId="259">
    <w:nsid w:val="3957756A"/>
    <w:multiLevelType w:val="hybridMultilevel"/>
    <w:lvl w:ilvl="0">
      <w:lvlJc w:val="left"/>
      <w:lvlText w:val="%1)"/>
      <w:numFmt w:val="decimal"/>
      <w:start w:val="1"/>
    </w:lvl>
  </w:abstractNum>
  <w:abstractNum w:abstractNumId="260">
    <w:nsid w:val="3E6DA1C7"/>
    <w:multiLevelType w:val="hybridMultilevel"/>
    <w:lvl w:ilvl="0">
      <w:lvlJc w:val="left"/>
      <w:lvlText w:val="☒"/>
      <w:numFmt w:val="bullet"/>
      <w:start w:val="1"/>
    </w:lvl>
  </w:abstractNum>
  <w:abstractNum w:abstractNumId="261">
    <w:nsid w:val="65CA235B"/>
    <w:multiLevelType w:val="hybridMultilevel"/>
    <w:lvl w:ilvl="0">
      <w:lvlJc w:val="left"/>
      <w:lvlText w:val="%1"/>
      <w:numFmt w:val="decimal"/>
      <w:start w:val="1"/>
    </w:lvl>
    <w:lvl w:ilvl="1">
      <w:lvlJc w:val="left"/>
      <w:lvlText w:val="%2)"/>
      <w:numFmt w:val="decimal"/>
      <w:start w:val="2"/>
    </w:lvl>
  </w:abstractNum>
  <w:abstractNum w:abstractNumId="262">
    <w:nsid w:val="51CB0DA4"/>
    <w:multiLevelType w:val="hybridMultilevel"/>
    <w:lvl w:ilvl="0">
      <w:lvlJc w:val="left"/>
      <w:lvlText w:val="%1."/>
      <w:numFmt w:val="decimal"/>
      <w:start w:val="6"/>
    </w:lvl>
    <w:lvl w:ilvl="1">
      <w:lvlJc w:val="left"/>
      <w:lvlText w:val="%2"/>
      <w:numFmt w:val="decimal"/>
      <w:start w:val="1"/>
    </w:lvl>
  </w:abstractNum>
  <w:abstractNum w:abstractNumId="263">
    <w:nsid w:val="7B9B743C"/>
    <w:multiLevelType w:val="hybridMultilevel"/>
    <w:lvl w:ilvl="0">
      <w:lvlJc w:val="left"/>
      <w:lvlText w:val="%1."/>
      <w:numFmt w:val="decimal"/>
      <w:start w:val="8"/>
    </w:lvl>
  </w:abstractNum>
  <w:abstractNum w:abstractNumId="264">
    <w:nsid w:val="13E21002"/>
    <w:multiLevelType w:val="hybridMultilevel"/>
    <w:lvl w:ilvl="0">
      <w:lvlJc w:val="left"/>
      <w:lvlText w:val="%1."/>
      <w:numFmt w:val="decimal"/>
      <w:start w:val="11"/>
    </w:lvl>
  </w:abstractNum>
  <w:abstractNum w:abstractNumId="265">
    <w:nsid w:val="257D63F4"/>
    <w:multiLevelType w:val="hybridMultilevel"/>
    <w:lvl w:ilvl="0">
      <w:lvlJc w:val="left"/>
      <w:lvlText w:val="(%1)"/>
      <w:numFmt w:val="decimal"/>
      <w:start w:val="1"/>
    </w:lvl>
  </w:abstractNum>
  <w:abstractNum w:abstractNumId="266">
    <w:nsid w:val="70EC11B2"/>
    <w:multiLevelType w:val="hybridMultilevel"/>
    <w:lvl w:ilvl="0">
      <w:lvlJc w:val="left"/>
      <w:lvlText w:val="(%1)"/>
      <w:numFmt w:val="decimal"/>
      <w:start w:val="1"/>
    </w:lvl>
  </w:abstractNum>
  <w:abstractNum w:abstractNumId="267">
    <w:nsid w:val="2EDA00ED"/>
    <w:multiLevelType w:val="hybridMultilevel"/>
    <w:lvl w:ilvl="0">
      <w:lvlJc w:val="left"/>
      <w:lvlText w:val="%1."/>
      <w:numFmt w:val="decimal"/>
      <w:start w:val="14"/>
    </w:lvl>
    <w:lvl w:ilvl="1">
      <w:lvlJc w:val="left"/>
      <w:lvlText w:val="☒"/>
      <w:numFmt w:val="bullet"/>
      <w:start w:val="1"/>
    </w:lvl>
  </w:abstractNum>
  <w:abstractNum w:abstractNumId="268">
    <w:nsid w:val="73209072"/>
    <w:multiLevelType w:val="hybridMultilevel"/>
    <w:lvl w:ilvl="0">
      <w:lvlJc w:val="left"/>
      <w:lvlText w:val="%1."/>
      <w:numFmt w:val="decimal"/>
      <w:start w:val="19"/>
    </w:lvl>
  </w:abstractNum>
  <w:abstractNum w:abstractNumId="269">
    <w:nsid w:val="5FB29816"/>
    <w:multiLevelType w:val="hybridMultilevel"/>
    <w:lvl w:ilvl="0">
      <w:lvlJc w:val="left"/>
      <w:lvlText w:val="%1."/>
      <w:numFmt w:val="decimal"/>
      <w:start w:val="1"/>
    </w:lvl>
  </w:abstractNum>
  <w:abstractNum w:abstractNumId="270">
    <w:nsid w:val="3CE732EC"/>
    <w:multiLevelType w:val="hybridMultilevel"/>
    <w:lvl w:ilvl="0">
      <w:lvlJc w:val="left"/>
      <w:lvlText w:val="%1."/>
      <w:numFmt w:val="decimal"/>
      <w:start w:val="1"/>
    </w:lvl>
  </w:abstractNum>
  <w:abstractNum w:abstractNumId="271">
    <w:nsid w:val="22F13DF3"/>
    <w:multiLevelType w:val="hybridMultilevel"/>
    <w:lvl w:ilvl="0">
      <w:lvlJc w:val="left"/>
      <w:lvlText w:val="%1."/>
      <w:numFmt w:val="decimal"/>
      <w:start w:val="5"/>
    </w:lvl>
  </w:abstractNum>
  <w:abstractNum w:abstractNumId="272">
    <w:nsid w:val="792B8401"/>
    <w:multiLevelType w:val="hybridMultilevel"/>
    <w:lvl w:ilvl="0">
      <w:lvlJc w:val="left"/>
      <w:lvlText w:val="%1."/>
      <w:numFmt w:val="decimal"/>
      <w:start w:val="1"/>
    </w:lvl>
  </w:abstractNum>
  <w:abstractNum w:abstractNumId="273">
    <w:nsid w:val="FA85F4D"/>
    <w:multiLevelType w:val="hybridMultilevel"/>
    <w:lvl w:ilvl="0">
      <w:lvlJc w:val="left"/>
      <w:lvlText w:val="(%1)"/>
      <w:numFmt w:val="decimal"/>
      <w:start w:val="1"/>
    </w:lvl>
  </w:abstractNum>
  <w:abstractNum w:abstractNumId="274">
    <w:nsid w:val="6ECE91F0"/>
    <w:multiLevelType w:val="hybridMultilevel"/>
    <w:lvl w:ilvl="0">
      <w:lvlJc w:val="left"/>
      <w:lvlText w:val="%1."/>
      <w:numFmt w:val="decimal"/>
      <w:start w:val="2"/>
    </w:lvl>
  </w:abstractNum>
  <w:abstractNum w:abstractNumId="275">
    <w:nsid w:val="4FC4D600"/>
    <w:multiLevelType w:val="hybridMultilevel"/>
    <w:lvl w:ilvl="0">
      <w:lvlJc w:val="left"/>
      <w:lvlText w:val="(%1)"/>
      <w:numFmt w:val="decimal"/>
      <w:start w:val="1"/>
    </w:lvl>
  </w:abstractNum>
  <w:abstractNum w:abstractNumId="276">
    <w:nsid w:val="5BFD4210"/>
    <w:multiLevelType w:val="hybridMultilevel"/>
    <w:lvl w:ilvl="0">
      <w:lvlJc w:val="left"/>
      <w:lvlText w:val="%1."/>
      <w:numFmt w:val="decimal"/>
      <w:start w:val="3"/>
    </w:lvl>
  </w:abstractNum>
  <w:abstractNum w:abstractNumId="277">
    <w:nsid w:val="76574F8B"/>
    <w:multiLevelType w:val="hybridMultilevel"/>
    <w:lvl w:ilvl="0">
      <w:lvlJc w:val="left"/>
      <w:lvlText w:val="(%1)"/>
      <w:numFmt w:val="decimal"/>
      <w:start w:val="1"/>
    </w:lvl>
  </w:abstractNum>
  <w:abstractNum w:abstractNumId="278">
    <w:nsid w:val="178F7B67"/>
    <w:multiLevelType w:val="hybridMultilevel"/>
    <w:lvl w:ilvl="0">
      <w:lvlJc w:val="left"/>
      <w:lvlText w:val="%1."/>
      <w:numFmt w:val="decimal"/>
      <w:start w:val="1"/>
    </w:lvl>
  </w:abstractNum>
  <w:abstractNum w:abstractNumId="279">
    <w:nsid w:val="2421DFCF"/>
    <w:multiLevelType w:val="hybridMultilevel"/>
    <w:lvl w:ilvl="0">
      <w:lvlJc w:val="left"/>
      <w:lvlText w:val="%1."/>
      <w:numFmt w:val="decimal"/>
      <w:start w:val="3"/>
    </w:lvl>
  </w:abstractNum>
  <w:abstractNum w:abstractNumId="280">
    <w:nsid w:val="1565AC99"/>
    <w:multiLevelType w:val="hybridMultilevel"/>
    <w:lvl w:ilvl="0">
      <w:lvlJc w:val="left"/>
      <w:lvlText w:val="%1."/>
      <w:numFmt w:val="decimal"/>
      <w:start w:val="1"/>
    </w:lvl>
  </w:abstractNum>
  <w:abstractNum w:abstractNumId="281">
    <w:nsid w:val="19FB2650"/>
    <w:multiLevelType w:val="hybridMultilevel"/>
    <w:lvl w:ilvl="0">
      <w:lvlJc w:val="left"/>
      <w:lvlText w:val="%1."/>
      <w:numFmt w:val="decimal"/>
      <w:start w:val="2"/>
    </w:lvl>
  </w:abstractNum>
  <w:abstractNum w:abstractNumId="282">
    <w:nsid w:val="5024DE5B"/>
    <w:multiLevelType w:val="hybridMultilevel"/>
    <w:lvl w:ilvl="0">
      <w:lvlJc w:val="left"/>
      <w:lvlText w:val="%1."/>
      <w:numFmt w:val="decimal"/>
      <w:start w:val="3"/>
    </w:lvl>
  </w:abstractNum>
  <w:abstractNum w:abstractNumId="283">
    <w:nsid w:val="168EFE17"/>
    <w:multiLevelType w:val="hybridMultilevel"/>
    <w:lvl w:ilvl="0">
      <w:lvlJc w:val="left"/>
      <w:lvlText w:val="(%1)"/>
      <w:numFmt w:val="decimal"/>
      <w:start w:val="1"/>
    </w:lvl>
  </w:abstractNum>
  <w:abstractNum w:abstractNumId="284">
    <w:nsid w:val="1036B29F"/>
    <w:multiLevelType w:val="hybridMultilevel"/>
    <w:lvl w:ilvl="0">
      <w:lvlJc w:val="left"/>
      <w:lvlText w:val="%1."/>
      <w:numFmt w:val="decimal"/>
      <w:start w:val="4"/>
    </w:lvl>
  </w:abstractNum>
  <w:abstractNum w:abstractNumId="285">
    <w:nsid w:val="1D206B8E"/>
    <w:multiLevelType w:val="hybridMultilevel"/>
    <w:lvl w:ilvl="0">
      <w:lvlJc w:val="left"/>
      <w:lvlText w:val="%1."/>
      <w:numFmt w:val="decimal"/>
      <w:start w:val="5"/>
    </w:lvl>
  </w:abstractNum>
  <w:abstractNum w:abstractNumId="286">
    <w:nsid w:val="7934D3D4"/>
    <w:multiLevelType w:val="hybridMultilevel"/>
    <w:lvl w:ilvl="0">
      <w:lvlJc w:val="left"/>
      <w:lvlText w:val="(%1)"/>
      <w:numFmt w:val="decimal"/>
      <w:start w:val="1"/>
    </w:lvl>
  </w:abstractNum>
  <w:abstractNum w:abstractNumId="287">
    <w:nsid w:val="1C65E98"/>
    <w:multiLevelType w:val="hybridMultilevel"/>
    <w:lvl w:ilvl="0">
      <w:lvlJc w:val="left"/>
      <w:lvlText w:val="%1."/>
      <w:numFmt w:val="decimal"/>
      <w:start w:val="1"/>
    </w:lvl>
  </w:abstractNum>
  <w:abstractNum w:abstractNumId="288">
    <w:nsid w:val="1495E50A"/>
    <w:multiLevelType w:val="hybridMultilevel"/>
    <w:lvl w:ilvl="0">
      <w:lvlJc w:val="left"/>
      <w:lvlText w:val="%1."/>
      <w:numFmt w:val="decimal"/>
      <w:start w:val="3"/>
    </w:lvl>
  </w:abstractNum>
  <w:abstractNum w:abstractNumId="289">
    <w:nsid w:val="F5BCF61"/>
    <w:multiLevelType w:val="hybridMultilevel"/>
    <w:lvl w:ilvl="0">
      <w:lvlJc w:val="left"/>
      <w:lvlText w:val="%1."/>
      <w:numFmt w:val="decimal"/>
      <w:start w:val="1"/>
    </w:lvl>
  </w:abstractNum>
  <w:abstractNum w:abstractNumId="290">
    <w:nsid w:val="3B1DD403"/>
    <w:multiLevelType w:val="hybridMultilevel"/>
    <w:lvl w:ilvl="0">
      <w:lvlJc w:val="left"/>
      <w:lvlText w:val="%1."/>
      <w:numFmt w:val="decimal"/>
      <w:start w:val="5"/>
    </w:lvl>
  </w:abstractNum>
  <w:abstractNum w:abstractNumId="291">
    <w:nsid w:val="530386D1"/>
    <w:multiLevelType w:val="hybridMultilevel"/>
    <w:lvl w:ilvl="0">
      <w:lvlJc w:val="left"/>
      <w:lvlText w:val="%1."/>
      <w:numFmt w:val="decimal"/>
      <w:start w:val="11"/>
    </w:lvl>
  </w:abstractNum>
  <w:abstractNum w:abstractNumId="292">
    <w:nsid w:val="7525F2BC"/>
    <w:multiLevelType w:val="hybridMultilevel"/>
    <w:lvl w:ilvl="0">
      <w:lvlJc w:val="left"/>
      <w:lvlText w:val="%1."/>
      <w:numFmt w:val="decimal"/>
      <w:start w:val="1"/>
    </w:lvl>
  </w:abstractNum>
  <w:abstractNum w:abstractNumId="293">
    <w:nsid w:val="CE8E1A7"/>
    <w:multiLevelType w:val="hybridMultilevel"/>
    <w:lvl w:ilvl="0">
      <w:lvlJc w:val="left"/>
      <w:lvlText w:val="(%1)"/>
      <w:numFmt w:val="decimal"/>
      <w:start w:val="1"/>
    </w:lvl>
  </w:abstractNum>
  <w:abstractNum w:abstractNumId="294">
    <w:nsid w:val="4E9EFB0D"/>
    <w:multiLevelType w:val="hybridMultilevel"/>
    <w:lvl w:ilvl="0">
      <w:lvlJc w:val="left"/>
      <w:lvlText w:val="(%1)"/>
      <w:numFmt w:val="decimal"/>
      <w:start w:val="5"/>
    </w:lvl>
  </w:abstractNum>
  <w:abstractNum w:abstractNumId="295">
    <w:nsid w:val="90802BE"/>
    <w:multiLevelType w:val="hybridMultilevel"/>
    <w:lvl w:ilvl="0">
      <w:lvlJc w:val="left"/>
      <w:lvlText w:val="%1."/>
      <w:numFmt w:val="decimal"/>
      <w:start w:val="5"/>
    </w:lvl>
  </w:abstractNum>
  <w:abstractNum w:abstractNumId="296">
    <w:nsid w:val="3266459B"/>
    <w:multiLevelType w:val="hybridMultilevel"/>
    <w:lvl w:ilvl="0">
      <w:lvlJc w:val="left"/>
      <w:lvlText w:val="(%1)"/>
      <w:numFmt w:val="decimal"/>
      <w:start w:val="1"/>
    </w:lvl>
  </w:abstractNum>
  <w:abstractNum w:abstractNumId="297">
    <w:nsid w:val="3F8B0CBF"/>
    <w:multiLevelType w:val="hybridMultilevel"/>
    <w:lvl w:ilvl="0">
      <w:lvlJc w:val="left"/>
      <w:lvlText w:val="%1."/>
      <w:numFmt w:val="decimal"/>
      <w:start w:val="6"/>
    </w:lvl>
  </w:abstractNum>
  <w:abstractNum w:abstractNumId="298">
    <w:nsid w:val="37E203AB"/>
    <w:multiLevelType w:val="hybridMultilevel"/>
    <w:lvl w:ilvl="0">
      <w:lvlJc w:val="left"/>
      <w:lvlText w:val="%1."/>
      <w:numFmt w:val="decimal"/>
      <w:start w:val="8"/>
    </w:lvl>
  </w:abstractNum>
  <w:abstractNum w:abstractNumId="299">
    <w:nsid w:val="2586D60E"/>
    <w:multiLevelType w:val="hybridMultilevel"/>
    <w:lvl w:ilvl="0">
      <w:lvlJc w:val="left"/>
      <w:lvlText w:val="(%1)"/>
      <w:numFmt w:val="decimal"/>
      <w:start w:val="1"/>
    </w:lvl>
  </w:abstractNum>
  <w:abstractNum w:abstractNumId="300">
    <w:nsid w:val="1F3DA4D5"/>
    <w:multiLevelType w:val="hybridMultilevel"/>
    <w:lvl w:ilvl="0">
      <w:lvlJc w:val="left"/>
      <w:lvlText w:val="①"/>
      <w:numFmt w:val="bullet"/>
      <w:start w:val="1"/>
    </w:lvl>
    <w:lvl w:ilvl="1">
      <w:lvlJc w:val="left"/>
      <w:lvlText w:val="(%2)"/>
      <w:numFmt w:val="decimal"/>
      <w:start w:val="2"/>
    </w:lvl>
  </w:abstractNum>
  <w:abstractNum w:abstractNumId="301">
    <w:nsid w:val="74C93698"/>
    <w:multiLevelType w:val="hybridMultilevel"/>
    <w:lvl w:ilvl="0">
      <w:lvlJc w:val="left"/>
      <w:lvlText w:val="%1."/>
      <w:numFmt w:val="decimal"/>
      <w:start w:val="12"/>
    </w:lvl>
  </w:abstractNum>
  <w:abstractNum w:abstractNumId="302">
    <w:nsid w:val="48781401"/>
    <w:multiLevelType w:val="hybridMultilevel"/>
    <w:lvl w:ilvl="0">
      <w:lvlJc w:val="left"/>
      <w:lvlText w:val="(%1)"/>
      <w:numFmt w:val="decimal"/>
      <w:start w:val="1"/>
    </w:lvl>
  </w:abstractNum>
  <w:abstractNum w:abstractNumId="303">
    <w:nsid w:val="186928D6"/>
    <w:multiLevelType w:val="hybridMultilevel"/>
    <w:lvl w:ilvl="0">
      <w:lvlJc w:val="left"/>
      <w:lvlText w:val="(%1)"/>
      <w:numFmt w:val="decimal"/>
      <w:start w:val="3"/>
    </w:lvl>
  </w:abstractNum>
  <w:abstractNum w:abstractNumId="304">
    <w:nsid w:val="47195E5"/>
    <w:multiLevelType w:val="hybridMultilevel"/>
    <w:lvl w:ilvl="0">
      <w:lvlJc w:val="left"/>
      <w:lvlText w:val="%1."/>
      <w:numFmt w:val="decimal"/>
      <w:start w:val="14"/>
    </w:lvl>
  </w:abstractNum>
  <w:abstractNum w:abstractNumId="305">
    <w:nsid w:val="3746A5F2"/>
    <w:multiLevelType w:val="hybridMultilevel"/>
    <w:lvl w:ilvl="0">
      <w:lvlJc w:val="left"/>
      <w:lvlText w:val="%1."/>
      <w:numFmt w:val="decimal"/>
      <w:start w:val="2"/>
    </w:lvl>
  </w:abstractNum>
  <w:abstractNum w:abstractNumId="306">
    <w:nsid w:val="682DFED6"/>
    <w:multiLevelType w:val="hybridMultilevel"/>
    <w:lvl w:ilvl="0">
      <w:lvlJc w:val="left"/>
      <w:lvlText w:val="(%1)"/>
      <w:numFmt w:val="decimal"/>
      <w:start w:val="1"/>
    </w:lvl>
  </w:abstractNum>
  <w:abstractNum w:abstractNumId="307">
    <w:nsid w:val="606ED7F6"/>
    <w:multiLevelType w:val="hybridMultilevel"/>
    <w:lvl w:ilvl="0">
      <w:lvlJc w:val="left"/>
      <w:lvlText w:val="%1."/>
      <w:numFmt w:val="decimal"/>
      <w:start w:val="1"/>
    </w:lvl>
  </w:abstractNum>
  <w:abstractNum w:abstractNumId="308">
    <w:nsid w:val="2D9DF57D"/>
    <w:multiLevelType w:val="hybridMultilevel"/>
    <w:lvl w:ilvl="0">
      <w:lvlJc w:val="left"/>
      <w:lvlText w:val="(%1)"/>
      <w:numFmt w:val="decimal"/>
      <w:start w:val="1"/>
    </w:lvl>
  </w:abstractNum>
  <w:abstractNum w:abstractNumId="309">
    <w:nsid w:val="7FBD7A3E"/>
    <w:multiLevelType w:val="hybridMultilevel"/>
    <w:lvl w:ilvl="0">
      <w:lvlJc w:val="left"/>
      <w:lvlText w:val="(%1)"/>
      <w:numFmt w:val="decimal"/>
      <w:start w:val="6"/>
    </w:lvl>
  </w:abstractNum>
  <w:abstractNum w:abstractNumId="310">
    <w:nsid w:val="490B7C5"/>
    <w:multiLevelType w:val="hybridMultilevel"/>
    <w:lvl w:ilvl="0">
      <w:lvlJc w:val="left"/>
      <w:lvlText w:val="(%1)"/>
      <w:numFmt w:val="decimal"/>
      <w:start w:val="14"/>
    </w:lvl>
  </w:abstractNum>
  <w:abstractNum w:abstractNumId="311">
    <w:nsid w:val="4303A216"/>
    <w:multiLevelType w:val="hybridMultilevel"/>
    <w:lvl w:ilvl="0">
      <w:lvlJc w:val="left"/>
      <w:lvlText w:val="(%1)"/>
      <w:numFmt w:val="decimal"/>
      <w:start w:val="1"/>
    </w:lvl>
  </w:abstractNum>
  <w:abstractNum w:abstractNumId="312">
    <w:nsid w:val="19B8A08E"/>
    <w:multiLevelType w:val="hybridMultilevel"/>
    <w:lvl w:ilvl="0">
      <w:lvlJc w:val="left"/>
      <w:lvlText w:val="①"/>
      <w:numFmt w:val="bullet"/>
      <w:start w:val="1"/>
    </w:lvl>
  </w:abstractNum>
  <w:abstractNum w:abstractNumId="313">
    <w:nsid w:val="54B59621"/>
    <w:multiLevelType w:val="hybridMultilevel"/>
    <w:lvl w:ilvl="0">
      <w:lvlJc w:val="left"/>
      <w:lvlText w:val="②"/>
      <w:numFmt w:val="bullet"/>
      <w:start w:val="1"/>
    </w:lvl>
  </w:abstractNum>
  <w:abstractNum w:abstractNumId="314">
    <w:nsid w:val="5992A02E"/>
    <w:multiLevelType w:val="hybridMultilevel"/>
    <w:lvl w:ilvl="0">
      <w:lvlJc w:val="left"/>
      <w:lvlText w:val="③"/>
      <w:numFmt w:val="bullet"/>
      <w:start w:val="1"/>
    </w:lvl>
  </w:abstractNum>
  <w:abstractNum w:abstractNumId="315">
    <w:nsid w:val="29EF532D"/>
    <w:multiLevelType w:val="hybridMultilevel"/>
    <w:lvl w:ilvl="0">
      <w:lvlJc w:val="left"/>
      <w:lvlText w:val="④"/>
      <w:numFmt w:val="bullet"/>
      <w:start w:val="1"/>
    </w:lvl>
  </w:abstractNum>
  <w:abstractNum w:abstractNumId="316">
    <w:nsid w:val="71D601AF"/>
    <w:multiLevelType w:val="hybridMultilevel"/>
    <w:lvl w:ilvl="0">
      <w:lvlJc w:val="left"/>
      <w:lvlText w:val="⑤"/>
      <w:numFmt w:val="bullet"/>
      <w:start w:val="1"/>
    </w:lvl>
  </w:abstractNum>
  <w:abstractNum w:abstractNumId="317">
    <w:nsid w:val="52C77402"/>
    <w:multiLevelType w:val="hybridMultilevel"/>
    <w:lvl w:ilvl="0">
      <w:lvlJc w:val="left"/>
      <w:lvlText w:val="⑥"/>
      <w:numFmt w:val="bullet"/>
      <w:start w:val="1"/>
    </w:lvl>
  </w:abstractNum>
  <w:abstractNum w:abstractNumId="318">
    <w:nsid w:val="2BB5B1C6"/>
    <w:multiLevelType w:val="hybridMultilevel"/>
    <w:lvl w:ilvl="0">
      <w:lvlJc w:val="left"/>
      <w:lvlText w:val="⑦"/>
      <w:numFmt w:val="bullet"/>
      <w:start w:val="1"/>
    </w:lvl>
  </w:abstractNum>
  <w:abstractNum w:abstractNumId="319">
    <w:nsid w:val="66BE6B9"/>
    <w:multiLevelType w:val="hybridMultilevel"/>
    <w:lvl w:ilvl="0">
      <w:lvlJc w:val="left"/>
      <w:lvlText w:val="⑧"/>
      <w:numFmt w:val="bullet"/>
      <w:start w:val="1"/>
    </w:lvl>
  </w:abstractNum>
  <w:abstractNum w:abstractNumId="320">
    <w:nsid w:val="62234363"/>
    <w:multiLevelType w:val="hybridMultilevel"/>
    <w:lvl w:ilvl="0">
      <w:lvlJc w:val="left"/>
      <w:lvlText w:val="(%1)"/>
      <w:numFmt w:val="decimal"/>
      <w:start w:val="2"/>
    </w:lvl>
  </w:abstractNum>
  <w:abstractNum w:abstractNumId="321">
    <w:nsid w:val="66D385C9"/>
    <w:multiLevelType w:val="hybridMultilevel"/>
    <w:lvl w:ilvl="0">
      <w:lvlJc w:val="left"/>
      <w:lvlText w:val="%1."/>
      <w:numFmt w:val="decimal"/>
      <w:start w:val="1"/>
    </w:lvl>
  </w:abstractNum>
  <w:abstractNum w:abstractNumId="322">
    <w:nsid w:val="596F6D8A"/>
    <w:multiLevelType w:val="hybridMultilevel"/>
    <w:lvl w:ilvl="0">
      <w:lvlJc w:val="left"/>
      <w:lvlText w:val="(%1)"/>
      <w:numFmt w:val="decimal"/>
      <w:start w:val="1"/>
    </w:lvl>
  </w:abstractNum>
  <w:abstractNum w:abstractNumId="323">
    <w:nsid w:val="5749361F"/>
    <w:multiLevelType w:val="hybridMultilevel"/>
    <w:lvl w:ilvl="0">
      <w:lvlJc w:val="left"/>
      <w:lvlText w:val="(%1)"/>
      <w:numFmt w:val="decimal"/>
      <w:start w:val="1"/>
    </w:lvl>
  </w:abstractNum>
  <w:abstractNum w:abstractNumId="324">
    <w:nsid w:val="73BC6770"/>
    <w:multiLevelType w:val="hybridMultilevel"/>
    <w:lvl w:ilvl="0">
      <w:lvlJc w:val="left"/>
      <w:lvlText w:val="(%1)"/>
      <w:numFmt w:val="decimal"/>
      <w:start w:val="4"/>
    </w:lvl>
  </w:abstractNum>
  <w:abstractNum w:abstractNumId="325">
    <w:nsid w:val="280E6897"/>
    <w:multiLevelType w:val="hybridMultilevel"/>
    <w:lvl w:ilvl="0">
      <w:lvlJc w:val="left"/>
      <w:lvlText w:val="(%1)"/>
      <w:numFmt w:val="decimal"/>
      <w:start w:val="1"/>
    </w:lvl>
  </w:abstractNum>
  <w:abstractNum w:abstractNumId="326">
    <w:nsid w:val="605138DE"/>
    <w:multiLevelType w:val="hybridMultilevel"/>
    <w:lvl w:ilvl="0">
      <w:lvlJc w:val="left"/>
      <w:lvlText w:val="▲▲"/>
      <w:numFmt w:val="bullet"/>
      <w:start w:val="1"/>
    </w:lvl>
  </w:abstractNum>
  <w:abstractNum w:abstractNumId="327">
    <w:nsid w:val="2622AD0C"/>
    <w:multiLevelType w:val="hybridMultilevel"/>
    <w:lvl w:ilvl="0">
      <w:lvlJc w:val="left"/>
      <w:lvlText w:val="(%1)"/>
      <w:numFmt w:val="decimal"/>
      <w:start w:val="1"/>
    </w:lvl>
  </w:abstractNum>
  <w:abstractNum w:abstractNumId="328">
    <w:nsid w:val="67997556"/>
    <w:multiLevelType w:val="hybridMultilevel"/>
    <w:lvl w:ilvl="0">
      <w:lvlJc w:val="left"/>
      <w:lvlText w:val="▲▲"/>
      <w:numFmt w:val="bullet"/>
      <w:start w:val="1"/>
    </w:lvl>
  </w:abstractNum>
  <w:abstractNum w:abstractNumId="329">
    <w:nsid w:val="18333C89"/>
    <w:multiLevelType w:val="hybridMultilevel"/>
    <w:lvl w:ilvl="0">
      <w:lvlJc w:val="left"/>
      <w:lvlText w:val="(%1)"/>
      <w:numFmt w:val="decimal"/>
      <w:start w:val="1"/>
    </w:lvl>
  </w:abstractNum>
  <w:abstractNum w:abstractNumId="330">
    <w:nsid w:val="4BA9831A"/>
    <w:multiLevelType w:val="hybridMultilevel"/>
    <w:lvl w:ilvl="0">
      <w:lvlJc w:val="left"/>
      <w:lvlText w:val="▲▲"/>
      <w:numFmt w:val="bullet"/>
      <w:start w:val="1"/>
    </w:lvl>
  </w:abstractNum>
  <w:abstractNum w:abstractNumId="331">
    <w:nsid w:val="6D71A2B"/>
    <w:multiLevelType w:val="hybridMultilevel"/>
    <w:lvl w:ilvl="0">
      <w:lvlJc w:val="left"/>
      <w:lvlText w:val="(%1)"/>
      <w:numFmt w:val="decimal"/>
      <w:start w:val="1"/>
    </w:lvl>
  </w:abstractNum>
  <w:abstractNum w:abstractNumId="332">
    <w:nsid w:val="CFC7321"/>
    <w:multiLevelType w:val="hybridMultilevel"/>
    <w:lvl w:ilvl="0">
      <w:lvlJc w:val="left"/>
      <w:lvlText w:val="(%1)"/>
      <w:numFmt w:val="decimal"/>
      <w:start w:val="1"/>
    </w:lvl>
  </w:abstractNum>
  <w:abstractNum w:abstractNumId="333">
    <w:nsid w:val="1421971B"/>
    <w:multiLevelType w:val="hybridMultilevel"/>
    <w:lvl w:ilvl="0">
      <w:lvlJc w:val="left"/>
      <w:lvlText w:val="(%1)"/>
      <w:numFmt w:val="decimal"/>
      <w:start w:val="18"/>
    </w:lvl>
  </w:abstractNum>
  <w:abstractNum w:abstractNumId="334">
    <w:nsid w:val="1F404301"/>
    <w:multiLevelType w:val="hybridMultilevel"/>
    <w:lvl w:ilvl="0">
      <w:lvlJc w:val="left"/>
      <w:lvlText w:val="①"/>
      <w:numFmt w:val="bullet"/>
      <w:start w:val="1"/>
    </w:lvl>
  </w:abstractNum>
  <w:abstractNum w:abstractNumId="335">
    <w:nsid w:val="116E0907"/>
    <w:multiLevelType w:val="hybridMultilevel"/>
    <w:lvl w:ilvl="0">
      <w:lvlJc w:val="left"/>
      <w:lvlText w:val="②"/>
      <w:numFmt w:val="bullet"/>
      <w:start w:val="1"/>
    </w:lvl>
  </w:abstractNum>
  <w:abstractNum w:abstractNumId="336">
    <w:nsid w:val="4B683D0D"/>
    <w:multiLevelType w:val="hybridMultilevel"/>
    <w:lvl w:ilvl="0">
      <w:lvlJc w:val="left"/>
      <w:lvlText w:val="③"/>
      <w:numFmt w:val="bullet"/>
      <w:start w:val="1"/>
    </w:lvl>
  </w:abstractNum>
  <w:abstractNum w:abstractNumId="337">
    <w:nsid w:val="76E41D8"/>
    <w:multiLevelType w:val="hybridMultilevel"/>
    <w:lvl w:ilvl="0">
      <w:lvlJc w:val="left"/>
      <w:lvlText w:val="④"/>
      <w:numFmt w:val="bullet"/>
      <w:start w:val="1"/>
    </w:lvl>
  </w:abstractNum>
  <w:abstractNum w:abstractNumId="338">
    <w:nsid w:val="71DCE0FD"/>
    <w:multiLevelType w:val="hybridMultilevel"/>
    <w:lvl w:ilvl="0">
      <w:lvlJc w:val="left"/>
      <w:lvlText w:val="⑤"/>
      <w:numFmt w:val="bullet"/>
      <w:start w:val="1"/>
    </w:lvl>
  </w:abstractNum>
  <w:abstractNum w:abstractNumId="339">
    <w:nsid w:val="7906328B"/>
    <w:multiLevelType w:val="hybridMultilevel"/>
    <w:lvl w:ilvl="0">
      <w:lvlJc w:val="left"/>
      <w:lvlText w:val="⑥"/>
      <w:numFmt w:val="bullet"/>
      <w:start w:val="1"/>
    </w:lvl>
  </w:abstractNum>
  <w:abstractNum w:abstractNumId="340">
    <w:nsid w:val="72BBC16"/>
    <w:multiLevelType w:val="hybridMultilevel"/>
    <w:lvl w:ilvl="0">
      <w:lvlJc w:val="left"/>
      <w:lvlText w:val="⑦"/>
      <w:numFmt w:val="bullet"/>
      <w:start w:val="1"/>
    </w:lvl>
  </w:abstractNum>
  <w:abstractNum w:abstractNumId="341">
    <w:nsid w:val="766D98C2"/>
    <w:multiLevelType w:val="hybridMultilevel"/>
    <w:lvl w:ilvl="0">
      <w:lvlJc w:val="left"/>
      <w:lvlText w:val="⑧"/>
      <w:numFmt w:val="bullet"/>
      <w:start w:val="1"/>
    </w:lvl>
  </w:abstractNum>
  <w:abstractNum w:abstractNumId="342">
    <w:nsid w:val="3C09D4A1"/>
    <w:multiLevelType w:val="hybridMultilevel"/>
    <w:lvl w:ilvl="0">
      <w:lvlJc w:val="left"/>
      <w:lvlText w:val="(%1)"/>
      <w:numFmt w:val="decimal"/>
      <w:start w:val="1"/>
    </w:lvl>
  </w:abstractNum>
  <w:abstractNum w:abstractNumId="343">
    <w:nsid w:val="20E45CA4"/>
    <w:multiLevelType w:val="hybridMultilevel"/>
    <w:lvl w:ilvl="0">
      <w:lvlJc w:val="left"/>
      <w:lvlText w:val="(%1)"/>
      <w:numFmt w:val="decimal"/>
      <w:start w:val="1"/>
    </w:lvl>
  </w:abstractNum>
  <w:abstractNum w:abstractNumId="344">
    <w:nsid w:val="4B232EE3"/>
    <w:multiLevelType w:val="hybridMultilevel"/>
    <w:lvl w:ilvl="0">
      <w:lvlJc w:val="left"/>
      <w:lvlText w:val="①"/>
      <w:numFmt w:val="bullet"/>
      <w:start w:val="1"/>
    </w:lvl>
  </w:abstractNum>
  <w:abstractNum w:abstractNumId="345">
    <w:nsid w:val="159C74CF"/>
    <w:multiLevelType w:val="hybridMultilevel"/>
    <w:lvl w:ilvl="0">
      <w:lvlJc w:val="left"/>
      <w:lvlText w:val="②"/>
      <w:numFmt w:val="bullet"/>
      <w:start w:val="1"/>
    </w:lvl>
  </w:abstractNum>
  <w:abstractNum w:abstractNumId="346">
    <w:nsid w:val="4AD3AFD2"/>
    <w:multiLevelType w:val="hybridMultilevel"/>
    <w:lvl w:ilvl="0">
      <w:lvlJc w:val="left"/>
      <w:lvlText w:val="③"/>
      <w:numFmt w:val="bullet"/>
      <w:start w:val="1"/>
    </w:lvl>
  </w:abstractNum>
  <w:abstractNum w:abstractNumId="347">
    <w:nsid w:val="3CF93092"/>
    <w:multiLevelType w:val="hybridMultilevel"/>
    <w:lvl w:ilvl="0">
      <w:lvlJc w:val="left"/>
      <w:lvlText w:val="(%1)"/>
      <w:numFmt w:val="decimal"/>
      <w:start w:val="4"/>
    </w:lvl>
  </w:abstractNum>
  <w:abstractNum w:abstractNumId="348">
    <w:nsid w:val="6863E8D2"/>
    <w:multiLevelType w:val="hybridMultilevel"/>
    <w:lvl w:ilvl="0">
      <w:lvlJc w:val="left"/>
      <w:lvlText w:val="(%1)"/>
      <w:numFmt w:val="decimal"/>
      <w:start w:val="1"/>
    </w:lvl>
  </w:abstractNum>
  <w:abstractNum w:abstractNumId="349">
    <w:nsid w:val="76896198"/>
    <w:multiLevelType w:val="hybridMultilevel"/>
    <w:lvl w:ilvl="0">
      <w:lvlJc w:val="left"/>
      <w:lvlText w:val="(%1)"/>
      <w:numFmt w:val="decimal"/>
      <w:start w:val="1"/>
    </w:lvl>
  </w:abstractNum>
  <w:abstractNum w:abstractNumId="350">
    <w:nsid w:val="4365174B"/>
    <w:multiLevelType w:val="hybridMultilevel"/>
    <w:lvl w:ilvl="0">
      <w:lvlJc w:val="left"/>
      <w:lvlText w:val="(%1)"/>
      <w:numFmt w:val="decimal"/>
      <w:start w:val="1"/>
    </w:lvl>
  </w:abstractNum>
  <w:abstractNum w:abstractNumId="351">
    <w:nsid w:val="4A872C35"/>
    <w:multiLevelType w:val="hybridMultilevel"/>
    <w:lvl w:ilvl="0">
      <w:lvlJc w:val="left"/>
      <w:lvlText w:val="(%1)"/>
      <w:numFmt w:val="decimal"/>
      <w:start w:val="1"/>
    </w:lvl>
  </w:abstractNum>
  <w:abstractNum w:abstractNumId="352">
    <w:nsid w:val="5D5CE761"/>
    <w:multiLevelType w:val="hybridMultilevel"/>
    <w:lvl w:ilvl="0">
      <w:lvlJc w:val="left"/>
      <w:lvlText w:val="(%1)"/>
      <w:numFmt w:val="decimal"/>
      <w:start w:val="1"/>
    </w:lvl>
  </w:abstractNum>
  <w:abstractNum w:abstractNumId="353">
    <w:nsid w:val="1CD484D5"/>
    <w:multiLevelType w:val="hybridMultilevel"/>
    <w:lvl w:ilvl="0">
      <w:lvlJc w:val="left"/>
      <w:lvlText w:val="(%1)"/>
      <w:numFmt w:val="decimal"/>
      <w:start w:val="1"/>
    </w:lvl>
  </w:abstractNum>
  <w:abstractNum w:abstractNumId="354">
    <w:nsid w:val="21D06255"/>
    <w:multiLevelType w:val="hybridMultilevel"/>
    <w:lvl w:ilvl="0">
      <w:lvlJc w:val="left"/>
      <w:lvlText w:val="%1."/>
      <w:numFmt w:val="decimal"/>
      <w:start w:val="9"/>
    </w:lvl>
  </w:abstractNum>
  <w:abstractNum w:abstractNumId="355">
    <w:nsid w:val="51194ED1"/>
    <w:multiLevelType w:val="hybridMultilevel"/>
    <w:lvl w:ilvl="0">
      <w:lvlJc w:val="left"/>
      <w:lvlText w:val="☐"/>
      <w:numFmt w:val="bullet"/>
      <w:start w:val="1"/>
    </w:lvl>
  </w:abstractNum>
  <w:abstractNum w:abstractNumId="356">
    <w:nsid w:val="44E2ED6C"/>
    <w:multiLevelType w:val="hybridMultilevel"/>
    <w:lvl w:ilvl="0">
      <w:lvlJc w:val="left"/>
      <w:lvlText w:val="☐"/>
      <w:numFmt w:val="bullet"/>
      <w:start w:val="1"/>
    </w:lvl>
  </w:abstractNum>
  <w:abstractNum w:abstractNumId="357">
    <w:nsid w:val="2219B33"/>
    <w:multiLevelType w:val="hybridMultilevel"/>
    <w:lvl w:ilvl="0">
      <w:lvlJc w:val="left"/>
      <w:lvlText w:val="☐"/>
      <w:numFmt w:val="bullet"/>
      <w:start w:val="1"/>
    </w:lvl>
  </w:abstractNum>
  <w:abstractNum w:abstractNumId="358">
    <w:nsid w:val="773BFBDD"/>
    <w:multiLevelType w:val="hybridMultilevel"/>
    <w:lvl w:ilvl="0">
      <w:lvlJc w:val="left"/>
      <w:lvlText w:val="☐"/>
      <w:numFmt w:val="bullet"/>
      <w:start w:val="1"/>
    </w:lvl>
  </w:abstractNum>
  <w:abstractNum w:abstractNumId="359">
    <w:nsid w:val="2C7C62C2"/>
    <w:multiLevelType w:val="hybridMultilevel"/>
    <w:lvl w:ilvl="0">
      <w:lvlJc w:val="left"/>
      <w:lvlText w:val="☐"/>
      <w:numFmt w:val="bullet"/>
      <w:start w:val="1"/>
    </w:lvl>
  </w:abstractNum>
  <w:abstractNum w:abstractNumId="360">
    <w:nsid w:val="1A54D7BC"/>
    <w:multiLevelType w:val="hybridMultilevel"/>
    <w:lvl w:ilvl="0">
      <w:lvlJc w:val="left"/>
      <w:lvlText w:val="☐"/>
      <w:numFmt w:val="bullet"/>
      <w:start w:val="1"/>
    </w:lvl>
  </w:abstractNum>
  <w:abstractNum w:abstractNumId="361">
    <w:nsid w:val="42E57EF7"/>
    <w:multiLevelType w:val="hybridMultilevel"/>
    <w:lvl w:ilvl="0">
      <w:lvlJc w:val="left"/>
      <w:lvlText w:val="☐"/>
      <w:numFmt w:val="bullet"/>
      <w:start w:val="1"/>
    </w:lvl>
  </w:abstractNum>
  <w:abstractNum w:abstractNumId="362">
    <w:nsid w:val="33537CED"/>
    <w:multiLevelType w:val="hybridMultilevel"/>
    <w:lvl w:ilvl="0">
      <w:lvlJc w:val="left"/>
      <w:lvlText w:val="%1."/>
      <w:numFmt w:val="decimal"/>
      <w:start w:val="2"/>
    </w:lvl>
  </w:abstractNum>
  <w:abstractNum w:abstractNumId="363">
    <w:nsid w:val="27514ADE"/>
    <w:multiLevelType w:val="hybridMultilevel"/>
    <w:lvl w:ilvl="0">
      <w:lvlJc w:val="left"/>
      <w:lvlText w:val="%1."/>
      <w:numFmt w:val="decimal"/>
      <w:start w:val="1"/>
    </w:lvl>
  </w:abstractNum>
  <w:abstractNum w:abstractNumId="364">
    <w:nsid w:val="57071613"/>
    <w:multiLevelType w:val="hybridMultilevel"/>
    <w:lvl w:ilvl="0">
      <w:lvlJc w:val="left"/>
      <w:lvlText w:val="%1."/>
      <w:numFmt w:val="decimal"/>
      <w:start w:val="2"/>
    </w:lvl>
  </w:abstractNum>
  <w:abstractNum w:abstractNumId="365">
    <w:nsid w:val="5293BFEF"/>
    <w:multiLevelType w:val="hybridMultilevel"/>
    <w:lvl w:ilvl="0">
      <w:lvlJc w:val="left"/>
      <w:lvlText w:val="%1."/>
      <w:numFmt w:val="decimal"/>
      <w:start w:val="4"/>
    </w:lvl>
  </w:abstractNum>
  <w:abstractNum w:abstractNumId="366">
    <w:nsid w:val="38BF53E5"/>
    <w:multiLevelType w:val="hybridMultilevel"/>
    <w:lvl w:ilvl="0">
      <w:lvlJc w:val="left"/>
      <w:lvlText w:val="%1."/>
      <w:numFmt w:val="decimal"/>
      <w:start w:val="1"/>
    </w:lvl>
  </w:abstractNum>
  <w:abstractNum w:abstractNumId="367">
    <w:nsid w:val="226F5320"/>
    <w:multiLevelType w:val="hybridMultilevel"/>
    <w:lvl w:ilvl="0">
      <w:lvlJc w:val="left"/>
      <w:lvlText w:val="%1."/>
      <w:numFmt w:val="decimal"/>
      <w:start w:val="1"/>
    </w:lvl>
  </w:abstractNum>
  <w:abstractNum w:abstractNumId="368">
    <w:nsid w:val="5A0201C7"/>
    <w:multiLevelType w:val="hybridMultilevel"/>
    <w:lvl w:ilvl="0">
      <w:lvlJc w:val="left"/>
      <w:lvlText w:val="%1."/>
      <w:numFmt w:val="decimal"/>
      <w:start w:val="2"/>
    </w:lvl>
  </w:abstractNum>
  <w:abstractNum w:abstractNumId="369">
    <w:nsid w:val="2A9C34E2"/>
    <w:multiLevelType w:val="hybridMultilevel"/>
    <w:lvl w:ilvl="0">
      <w:lvlJc w:val="left"/>
      <w:lvlText w:val="%1."/>
      <w:numFmt w:val="decimal"/>
      <w:start w:val="4"/>
    </w:lvl>
  </w:abstractNum>
  <w:abstractNum w:abstractNumId="370">
    <w:nsid w:val="1B7585AB"/>
    <w:multiLevelType w:val="hybridMultilevel"/>
    <w:lvl w:ilvl="0">
      <w:lvlJc w:val="left"/>
      <w:lvlText w:val="%1."/>
      <w:numFmt w:val="decimal"/>
      <w:start w:val="5"/>
    </w:lvl>
  </w:abstractNum>
  <w:abstractNum w:abstractNumId="371">
    <w:nsid w:val="612DBDDD"/>
    <w:multiLevelType w:val="hybridMultilevel"/>
    <w:lvl w:ilvl="0">
      <w:lvlJc w:val="left"/>
      <w:lvlText w:val="%1."/>
      <w:numFmt w:val="decimal"/>
      <w:start w:val="1"/>
    </w:lvl>
  </w:abstractNum>
  <w:abstractNum w:abstractNumId="372">
    <w:nsid w:val="2109CDA4"/>
    <w:multiLevelType w:val="hybridMultilevel"/>
    <w:lvl w:ilvl="0">
      <w:lvlJc w:val="left"/>
      <w:lvlText w:val="%1."/>
      <w:numFmt w:val="decimal"/>
      <w:start w:val="1"/>
    </w:lvl>
  </w:abstractNum>
  <w:abstractNum w:abstractNumId="373">
    <w:nsid w:val="577F5A4D"/>
    <w:multiLevelType w:val="hybridMultilevel"/>
    <w:lvl w:ilvl="0">
      <w:lvlJc w:val="left"/>
      <w:lvlText w:val="%1."/>
      <w:numFmt w:val="decimal"/>
      <w:start w:val="1"/>
    </w:lvl>
    <w:lvl w:ilvl="1">
      <w:lvlJc w:val="left"/>
      <w:lvlText w:val="%2."/>
      <w:numFmt w:val="lowerLetter"/>
      <w:start w:val="1"/>
    </w:lvl>
  </w:abstractNum>
  <w:abstractNum w:abstractNumId="374">
    <w:nsid w:val="2121A81"/>
    <w:multiLevelType w:val="hybridMultilevel"/>
    <w:lvl w:ilvl="0">
      <w:lvlJc w:val="left"/>
      <w:lvlText w:val="%1."/>
      <w:numFmt w:val="decimal"/>
      <w:start w:val="1"/>
    </w:lvl>
    <w:lvl w:ilvl="1">
      <w:lvlJc w:val="left"/>
      <w:lvlText w:val="%2."/>
      <w:numFmt w:val="lowerLetter"/>
      <w:start w:val="1"/>
    </w:lvl>
  </w:abstractNum>
  <w:abstractNum w:abstractNumId="375">
    <w:nsid w:val="6C2CFC8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9"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jpeg"/><Relationship Id="rId385" Type="http://schemas.openxmlformats.org/officeDocument/2006/relationships/image" Target="media/image356.png"/><Relationship Id="rId386" Type="http://schemas.openxmlformats.org/officeDocument/2006/relationships/image" Target="media/image357.jpeg"/><Relationship Id="rId387" Type="http://schemas.openxmlformats.org/officeDocument/2006/relationships/image" Target="media/image358.png"/><Relationship Id="rId388" Type="http://schemas.openxmlformats.org/officeDocument/2006/relationships/image" Target="media/image359.jpeg"/><Relationship Id="rId389" Type="http://schemas.openxmlformats.org/officeDocument/2006/relationships/image" Target="media/image360.png"/><Relationship Id="rId390" Type="http://schemas.openxmlformats.org/officeDocument/2006/relationships/image" Target="media/image361.jpeg"/><Relationship Id="rId391" Type="http://schemas.openxmlformats.org/officeDocument/2006/relationships/image" Target="media/image362.png"/><Relationship Id="rId392" Type="http://schemas.openxmlformats.org/officeDocument/2006/relationships/image" Target="media/image363.jpeg"/><Relationship Id="rId393" Type="http://schemas.openxmlformats.org/officeDocument/2006/relationships/image" Target="media/image364.png"/><Relationship Id="rId394" Type="http://schemas.openxmlformats.org/officeDocument/2006/relationships/image" Target="media/image365.jpeg"/><Relationship Id="rId395" Type="http://schemas.openxmlformats.org/officeDocument/2006/relationships/image" Target="media/image366.png"/><Relationship Id="rId396" Type="http://schemas.openxmlformats.org/officeDocument/2006/relationships/image" Target="media/image367.jpeg"/><Relationship Id="rId397" Type="http://schemas.openxmlformats.org/officeDocument/2006/relationships/image" Target="media/image368.png"/><Relationship Id="rId398" Type="http://schemas.openxmlformats.org/officeDocument/2006/relationships/image" Target="media/image369.jpeg"/><Relationship Id="rId399" Type="http://schemas.openxmlformats.org/officeDocument/2006/relationships/image" Target="media/image370.png"/><Relationship Id="rId400" Type="http://schemas.openxmlformats.org/officeDocument/2006/relationships/image" Target="media/image371.jpeg"/><Relationship Id="rId401" Type="http://schemas.openxmlformats.org/officeDocument/2006/relationships/image" Target="media/image372.png"/><Relationship Id="rId402" Type="http://schemas.openxmlformats.org/officeDocument/2006/relationships/image" Target="media/image373.jpeg"/><Relationship Id="rId403" Type="http://schemas.openxmlformats.org/officeDocument/2006/relationships/image" Target="media/image374.png"/><Relationship Id="rId404" Type="http://schemas.openxmlformats.org/officeDocument/2006/relationships/image" Target="media/image375.jpeg"/><Relationship Id="rId405" Type="http://schemas.openxmlformats.org/officeDocument/2006/relationships/image" Target="media/image376.png"/><Relationship Id="rId406" Type="http://schemas.openxmlformats.org/officeDocument/2006/relationships/image" Target="media/image377.jpeg"/><Relationship Id="rId407" Type="http://schemas.openxmlformats.org/officeDocument/2006/relationships/image" Target="media/image378.png"/><Relationship Id="rId408" Type="http://schemas.openxmlformats.org/officeDocument/2006/relationships/image" Target="media/image379.jpeg"/><Relationship Id="rId409" Type="http://schemas.openxmlformats.org/officeDocument/2006/relationships/image" Target="media/image380.png"/><Relationship Id="rId410" Type="http://schemas.openxmlformats.org/officeDocument/2006/relationships/image" Target="media/image381.jpeg"/><Relationship Id="rId411" Type="http://schemas.openxmlformats.org/officeDocument/2006/relationships/image" Target="media/image382.png"/><Relationship Id="rId412" Type="http://schemas.openxmlformats.org/officeDocument/2006/relationships/image" Target="media/image383.jpeg"/><Relationship Id="rId413" Type="http://schemas.openxmlformats.org/officeDocument/2006/relationships/image" Target="media/image384.png"/><Relationship Id="rId414" Type="http://schemas.openxmlformats.org/officeDocument/2006/relationships/image" Target="media/image385.jpeg"/><Relationship Id="rId415" Type="http://schemas.openxmlformats.org/officeDocument/2006/relationships/image" Target="media/image386.png"/><Relationship Id="rId416" Type="http://schemas.openxmlformats.org/officeDocument/2006/relationships/image" Target="media/image387.jpeg"/><Relationship Id="rId417" Type="http://schemas.openxmlformats.org/officeDocument/2006/relationships/image" Target="media/image388.png"/><Relationship Id="rId418" Type="http://schemas.openxmlformats.org/officeDocument/2006/relationships/image" Target="media/image389.jpeg"/><Relationship Id="rId419" Type="http://schemas.openxmlformats.org/officeDocument/2006/relationships/image" Target="media/image390.jpeg"/><Relationship Id="rId420" Type="http://schemas.openxmlformats.org/officeDocument/2006/relationships/image" Target="media/image391.jpeg"/><Relationship Id="rId421" Type="http://schemas.openxmlformats.org/officeDocument/2006/relationships/image" Target="media/image392.jpeg"/><Relationship Id="rId422" Type="http://schemas.openxmlformats.org/officeDocument/2006/relationships/image" Target="media/image393.png"/><Relationship Id="rId423" Type="http://schemas.openxmlformats.org/officeDocument/2006/relationships/image" Target="media/image394.jpeg"/><Relationship Id="rId424" Type="http://schemas.openxmlformats.org/officeDocument/2006/relationships/image" Target="media/image395.png"/><Relationship Id="rId425" Type="http://schemas.openxmlformats.org/officeDocument/2006/relationships/image" Target="media/image396.jpeg"/><Relationship Id="rId426" Type="http://schemas.openxmlformats.org/officeDocument/2006/relationships/image" Target="media/image397.png"/><Relationship Id="rId427" Type="http://schemas.openxmlformats.org/officeDocument/2006/relationships/image" Target="media/image398.jpeg"/><Relationship Id="rId428" Type="http://schemas.openxmlformats.org/officeDocument/2006/relationships/image" Target="media/image399.jpeg"/><Relationship Id="rId429" Type="http://schemas.openxmlformats.org/officeDocument/2006/relationships/image" Target="media/image400.png"/><Relationship Id="rId430" Type="http://schemas.openxmlformats.org/officeDocument/2006/relationships/image" Target="media/image401.jpe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pn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jpeg"/><Relationship Id="rId535" Type="http://schemas.openxmlformats.org/officeDocument/2006/relationships/image" Target="media/image506.jpeg"/><Relationship Id="rId536" Type="http://schemas.openxmlformats.org/officeDocument/2006/relationships/image" Target="media/image507.jpeg"/><Relationship Id="rId537" Type="http://schemas.openxmlformats.org/officeDocument/2006/relationships/image" Target="media/image508.jpe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543" Type="http://schemas.openxmlformats.org/officeDocument/2006/relationships/image" Target="media/image514.pn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png"/><Relationship Id="rId553" Type="http://schemas.openxmlformats.org/officeDocument/2006/relationships/image" Target="media/image524.pn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png"/><Relationship Id="rId563" Type="http://schemas.openxmlformats.org/officeDocument/2006/relationships/image" Target="media/image534.png"/><Relationship Id="rId564" Type="http://schemas.openxmlformats.org/officeDocument/2006/relationships/image" Target="media/image535.png"/><Relationship Id="rId565" Type="http://schemas.openxmlformats.org/officeDocument/2006/relationships/image" Target="media/image536.png"/><Relationship Id="rId566" Type="http://schemas.openxmlformats.org/officeDocument/2006/relationships/image" Target="media/image537.png"/><Relationship Id="rId567" Type="http://schemas.openxmlformats.org/officeDocument/2006/relationships/image" Target="media/image538.png"/><Relationship Id="rId568" Type="http://schemas.openxmlformats.org/officeDocument/2006/relationships/image" Target="media/image539.png"/><Relationship Id="rId569" Type="http://schemas.openxmlformats.org/officeDocument/2006/relationships/image" Target="media/image540.png"/><Relationship Id="rId570" Type="http://schemas.openxmlformats.org/officeDocument/2006/relationships/image" Target="media/image541.png"/><Relationship Id="rId571" Type="http://schemas.openxmlformats.org/officeDocument/2006/relationships/image" Target="media/image542.png"/><Relationship Id="rId572" Type="http://schemas.openxmlformats.org/officeDocument/2006/relationships/image" Target="media/image543.png"/><Relationship Id="rId573" Type="http://schemas.openxmlformats.org/officeDocument/2006/relationships/image" Target="media/image544.png"/><Relationship Id="rId318" Type="http://schemas.openxmlformats.org/officeDocument/2006/relationships/hyperlink" Target="http://www.sec.gov/Archives/edgar/data/1724542/000121390018006558/ff12018a2ex1-1_clpsinc.htm" TargetMode="External"/><Relationship Id="rId320" Type="http://schemas.openxmlformats.org/officeDocument/2006/relationships/hyperlink" Target="http://www.sec.gov/Archives/edgar/data/1724542/000121390018006724/f8a12b0518_clpsincorporation.htm" TargetMode="External"/><Relationship Id="rId321" Type="http://schemas.openxmlformats.org/officeDocument/2006/relationships/hyperlink" Target="http://www.sec.gov/Archives/edgar/data/1724542/000121390018003524/ff12018ex3-1_clpsincorp.htm" TargetMode="External"/><Relationship Id="rId322" Type="http://schemas.openxmlformats.org/officeDocument/2006/relationships/hyperlink" Target="http://www.sec.gov/Archives/edgar/data/1724542/000121390018003524/ff12018ex4-1_clpsincorp.htm" TargetMode="External"/><Relationship Id="rId323" Type="http://schemas.openxmlformats.org/officeDocument/2006/relationships/hyperlink" Target="http://www.sec.gov/Archives/edgar/data/1724542/000121390018003524/ff12018ex10-1_clpsincorp.htm" TargetMode="External"/><Relationship Id="rId324" Type="http://schemas.openxmlformats.org/officeDocument/2006/relationships/hyperlink" Target="http://www.sec.gov/Archives/edgar/data/1724542/000121390019007304/fs82019ex10-1_clpsincorp.htm" TargetMode="External"/><Relationship Id="rId325" Type="http://schemas.openxmlformats.org/officeDocument/2006/relationships/hyperlink" Target="http://www.sec.gov/Archives/edgar/data/1724542/000121390020010075/ea121022ex10-1_clpsincorp.htm" TargetMode="External"/><Relationship Id="rId326" Type="http://schemas.openxmlformats.org/officeDocument/2006/relationships/hyperlink" Target="http://www.sec.gov/Archives/edgar/data/1724542/000121390023038741/ea178469ex10-1_clpsincorp.htm" TargetMode="External"/><Relationship Id="rId327" Type="http://schemas.openxmlformats.org/officeDocument/2006/relationships/hyperlink" Target="http://www.sec.gov/Archives/edgar/data/1724542/000121390018003524/ff12018ex10-2_clpsincorp.htm" TargetMode="External"/><Relationship Id="rId328" Type="http://schemas.openxmlformats.org/officeDocument/2006/relationships/hyperlink" Target="http://www.sec.gov/Archives/edgar/data/1724542/000121390018003524/ff12018ex10-3_clpsincorp.htm" TargetMode="External"/><Relationship Id="rId329" Type="http://schemas.openxmlformats.org/officeDocument/2006/relationships/hyperlink" Target="http://www.sec.gov/Archives/edgar/data/1724542/000121390018003524/ff12018ex10-4_clpsincorp.htm" TargetMode="External"/><Relationship Id="rId330" Type="http://schemas.openxmlformats.org/officeDocument/2006/relationships/hyperlink" Target="http://www.sec.gov/Archives/edgar/data/1724542/000121390019021899/f6k110419ex99-1_clpsincorp.htm" TargetMode="External"/><Relationship Id="rId331" Type="http://schemas.openxmlformats.org/officeDocument/2006/relationships/hyperlink" Target="http://www.sec.gov/Archives/edgar/data/1724542/000121390020032817/f20f2020ex10-8_clpsincorp.htm" TargetMode="External"/><Relationship Id="rId332" Type="http://schemas.openxmlformats.org/officeDocument/2006/relationships/hyperlink" Target="http://www.sec.gov/Archives/edgar/data/1724542/000121390018003524/ff12018ex10-6_clpsincorp.htm" TargetMode="External"/><Relationship Id="rId333" Type="http://schemas.openxmlformats.org/officeDocument/2006/relationships/hyperlink" Target="http://www.sec.gov/Archives/edgar/data/1724542/000121390018003524/ff12018ex10-8_clpsincorp.htm" TargetMode="External"/><Relationship Id="rId334" Type="http://schemas.openxmlformats.org/officeDocument/2006/relationships/hyperlink" Target="http://www.sec.gov/Archives/edgar/data/1724542/000121390018006558/ff12018a2ex10-9_clpsinc.htm" TargetMode="External"/><Relationship Id="rId335" Type="http://schemas.openxmlformats.org/officeDocument/2006/relationships/hyperlink" Target="http://www.sec.gov/Archives/edgar/data/1724542/000121390018006558/ff12018a2ex10-10_clpsinc.htm" TargetMode="External"/><Relationship Id="rId336" Type="http://schemas.openxmlformats.org/officeDocument/2006/relationships/hyperlink" Target="http://www.sec.gov/Archives/edgar/data/1724542/000121390018006558/ff12018a2ex10-11_clpsinc.htm" TargetMode="External"/><Relationship Id="rId337" Type="http://schemas.openxmlformats.org/officeDocument/2006/relationships/hyperlink" Target="http://www.sec.gov/Archives/edgar/data/1724542/000121390018003524/ff12018ex14-1_clpsincorp.htm" TargetMode="External"/><Relationship Id="rId338" Type="http://schemas.openxmlformats.org/officeDocument/2006/relationships/hyperlink" Target="http://www.sec.gov/Archives/edgar/data/1724542/000121390018003524/ff12018ex99-1_clpsincorp.htm" TargetMode="External"/><Relationship Id="rId339" Type="http://schemas.openxmlformats.org/officeDocument/2006/relationships/hyperlink" Target="http://www.sec.gov/Archives/edgar/data/1724542/000121390018003524/ff12018ex99-2_clpsincorp.htm" TargetMode="External"/><Relationship Id="rId340"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2023-10-18T07:54:37Z</dcterms:created>
  <dcterms:modified xsi:type="dcterms:W3CDTF">2023-10-18T07:54:37Z</dcterms:modified>
</cp:coreProperties>
</file>