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November 10, 2022</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CLPS Incorporation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Unit 1102, 11th Floor, Millennium City III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370 Kwun Tong Road, Kwun Tong, Kowloon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Mitchell Nussbaum,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Zhang,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407-4000</w:t>
      </w: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Approximate date of commencement of proposed sale to the public: </w:t>
      </w:r>
      <w:r>
        <w:rPr>
          <w:rFonts w:ascii="Arial" w:cs="Arial" w:eastAsia="Arial" w:hAnsi="Arial"/>
          <w:sz w:val="17"/>
          <w:szCs w:val="17"/>
          <w:b w:val="1"/>
          <w:bCs w:val="1"/>
          <w:color w:val="auto"/>
        </w:rPr>
        <w:t>From time to time after the effective date of this registration statement.</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NOVEMBER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154305</wp:posOffset>
            </wp:positionV>
            <wp:extent cx="1894205" cy="814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US$80,000,000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CLPS Incorporation may offer and sell from time to time up to an aggregate of US$80,000,000 of common shares (issued separately or upon exercise of warrants or conversion of preferred shares, if convertible),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outstanding shares are listed for trading on the NASDAQ Stock Market, or NASDAQ, under the symbol “CLPS”. On November 9, 2022 the closing price of our shares on the NASDAQ Stock Market was US$1.15 per share. </w:t>
      </w:r>
      <w:r>
        <w:rPr>
          <w:rFonts w:ascii="Arial" w:cs="Arial" w:eastAsia="Arial" w:hAnsi="Arial"/>
          <w:sz w:val="18"/>
          <w:szCs w:val="18"/>
          <w:b w:val="1"/>
          <w:bCs w:val="1"/>
          <w:color w:val="auto"/>
        </w:rPr>
        <w:t>There is currently no established trading market through which the</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other than the common 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US$11 million as of November 9, 2022. We have not sold any securities pursuant to General Instruction I.B.5 of Form F-3 during the prior 12 calendar month period that ends on and includes the date of this prospectus.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not a Chinese operating company but a Cayman Islands holding company with operations conducted by our subsidiaries in China. This structure involves unique risks to our investors. Investors in our shares thus are not purchasing equity interest in our operating entities in China but instead are purchasing equity interest in a Cayman Islands holding company. The securities offered in this prospectus are securities of our Cayman Islands holding company, not of our operating subsidiaries. Our independent auditor, Ernst &amp; Young Hua Ming LLP, is subject to the determinations announced by the PCAOB on December 16, 2021. We are provisionally identified by SEC as a Commission-Identified Issuer under HFCAA on October 26, 2022 (see https://www.sec.gov/hfcaa). Please see the risk factors fully disclosed in Risk Factors under the paragraphs “Permissions Required from the PRC Authorities for Our Operations,” “Our subsidiaries in China are subject to restrictions on paying dividends and making other payments to our holding company,” , “Recent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 “The Holding Foreign Companies Accountable Act could result in delisting of our common stock from Nasdaq Capital Market and lack of a readily available market for our common stock,” and “There are uncertainties with respect to regulatory cooperation between PCAOB and Chinese regulators under the Statement of Protocol signed by the PCAOB and the CSRC of the People’s Republic of China on August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60"/>
        <w:spacing w:after="0"/>
        <w:rPr>
          <w:sz w:val="20"/>
          <w:szCs w:val="20"/>
          <w:color w:val="auto"/>
        </w:rPr>
      </w:pPr>
      <w:r>
        <w:rPr>
          <w:rFonts w:ascii="Arial" w:cs="Arial" w:eastAsia="Arial" w:hAnsi="Arial"/>
          <w:sz w:val="16"/>
          <w:szCs w:val="16"/>
          <w:color w:val="auto"/>
        </w:rPr>
        <w:t>The Company does not believe that recent statements and regulatory actions by China’s government will have a material negative impact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business operations in the following three areas of PRC law:</w:t>
      </w:r>
    </w:p>
    <w:p>
      <w:pPr>
        <w:spacing w:after="0" w:line="211" w:lineRule="exact"/>
        <w:rPr>
          <w:sz w:val="20"/>
          <w:szCs w:val="20"/>
          <w:color w:val="auto"/>
        </w:rPr>
      </w:pPr>
    </w:p>
    <w:p>
      <w:pPr>
        <w:jc w:val="both"/>
        <w:ind w:firstLine="656"/>
        <w:spacing w:after="0" w:line="275" w:lineRule="auto"/>
        <w:tabs>
          <w:tab w:leader="none" w:pos="915" w:val="left"/>
        </w:tabs>
        <w:numPr>
          <w:ilvl w:val="0"/>
          <w:numId w:val="1"/>
        </w:numPr>
        <w:rPr>
          <w:rFonts w:ascii="Arial" w:cs="Arial" w:eastAsia="Arial" w:hAnsi="Arial"/>
          <w:sz w:val="17"/>
          <w:szCs w:val="17"/>
          <w:color w:val="auto"/>
        </w:rPr>
      </w:pPr>
      <w:r>
        <w:rPr>
          <w:rFonts w:ascii="Arial" w:cs="Arial" w:eastAsia="Arial" w:hAnsi="Arial"/>
          <w:sz w:val="17"/>
          <w:szCs w:val="17"/>
          <w:color w:val="auto"/>
        </w:rPr>
        <w:t>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w:t>
      </w:r>
    </w:p>
    <w:p>
      <w:pPr>
        <w:spacing w:after="0" w:line="176" w:lineRule="exact"/>
        <w:rPr>
          <w:rFonts w:ascii="Arial" w:cs="Arial" w:eastAsia="Arial" w:hAnsi="Arial"/>
          <w:sz w:val="17"/>
          <w:szCs w:val="17"/>
          <w:color w:val="auto"/>
        </w:rPr>
      </w:pPr>
    </w:p>
    <w:p>
      <w:pPr>
        <w:jc w:val="both"/>
        <w:ind w:firstLine="656"/>
        <w:spacing w:after="0" w:line="301" w:lineRule="auto"/>
        <w:tabs>
          <w:tab w:leader="none" w:pos="917"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w:t>
      </w:r>
    </w:p>
    <w:p>
      <w:pPr>
        <w:spacing w:after="0" w:line="157" w:lineRule="exact"/>
        <w:rPr>
          <w:rFonts w:ascii="Arial" w:cs="Arial" w:eastAsia="Arial" w:hAnsi="Arial"/>
          <w:sz w:val="16"/>
          <w:szCs w:val="16"/>
          <w:color w:val="auto"/>
        </w:rPr>
      </w:pPr>
    </w:p>
    <w:p>
      <w:pPr>
        <w:jc w:val="both"/>
        <w:ind w:firstLine="656"/>
        <w:spacing w:after="0" w:line="269" w:lineRule="auto"/>
        <w:tabs>
          <w:tab w:leader="none" w:pos="9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China Securities Regulatory Commission (“CSRC”) published the draft of the Provisions of the State Council on the Administration of Overseas Securities Offering and Listing by Domestic Companies (“Provisions”) on December 24, 2021. According to the draft Provisions, a Chinese entity will be banned from listing overseas under six circumstances: (a) the issuer is under any circumstance in which listing for financing is expressly prohibited by any law, regulation or provision of the PRC, (b) the overseas offering and listing threatens or endangers the PRC’s national security, (c) the issuer is involved in any major ownership dispute concerning equity, main assets or core technology, (d) the PRC entity and its controlling shareholder or actual controller have, in the past three years, committed any criminal offense such as corruption, bribery, embezzlement of property, misappropriation of property or disruption of the order of the socialist market economy, or are under investigation by the judicial organ for being suspected of committing a crime or under investigation for being suspected of any major illegality or irregularity; (e) any of the directors, supervisors or senior managers has, in the past three years, been subject to any administrative penalty and the circumstance is serious, or is under investigation by the judicial organ for being suspected of committing a crime or being under investigation for being suspected of any major illegality or irregularity; or (f) there is any other circumstance as determined by the State Council of the PRC. Based on the draft version, we do not see any possible scenario that the Company will be banned from listing in the US.</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9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Neither the SEC, nor any securities commission of any state of the United States has approved or disapproved the securities offered hereby or determined if this prospectus is truthful or complete. Any representation to the contrary is a criminal offence.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0120" w:type="dxa"/>
            <w:vAlign w:val="bottom"/>
            <w:gridSpan w:val="22"/>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4"/>
              </w:rPr>
              <w:t>DOCUMENTS INCORPORATED BY REFERENCE</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5"/>
        </w:trPr>
        <w:tc>
          <w:tcPr>
            <w:tcW w:w="10120" w:type="dxa"/>
            <w:vAlign w:val="bottom"/>
            <w:gridSpan w:val="22"/>
          </w:tcPr>
          <w:p>
            <w:pPr>
              <w:spacing w:after="0" w:line="176" w:lineRule="exact"/>
              <w:rPr>
                <w:sz w:val="20"/>
                <w:szCs w:val="20"/>
                <w:color w:val="auto"/>
              </w:rPr>
            </w:pPr>
            <w:r>
              <w:rPr>
                <w:rFonts w:ascii="Arial" w:cs="Arial" w:eastAsia="Arial" w:hAnsi="Arial"/>
                <w:sz w:val="18"/>
                <w:szCs w:val="18"/>
                <w:color w:val="0000EE"/>
              </w:rPr>
              <w:t>SUMMARY</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8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0120" w:type="dxa"/>
            <w:vAlign w:val="bottom"/>
            <w:gridSpan w:val="22"/>
          </w:tcPr>
          <w:p>
            <w:pPr>
              <w:spacing w:after="0" w:line="176" w:lineRule="exact"/>
              <w:rPr>
                <w:sz w:val="20"/>
                <w:szCs w:val="20"/>
                <w:color w:val="auto"/>
              </w:rPr>
            </w:pPr>
            <w:r>
              <w:rPr>
                <w:rFonts w:ascii="Arial" w:cs="Arial" w:eastAsia="Arial" w:hAnsi="Arial"/>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6"/>
              </w:rPr>
              <w:t>EXCHANGE RATE INFORMATION</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176"/>
        </w:trPr>
        <w:tc>
          <w:tcPr>
            <w:tcW w:w="10120" w:type="dxa"/>
            <w:vAlign w:val="bottom"/>
            <w:gridSpan w:val="22"/>
          </w:tcPr>
          <w:p>
            <w:pPr>
              <w:spacing w:after="0" w:line="176" w:lineRule="exact"/>
              <w:rPr>
                <w:sz w:val="20"/>
                <w:szCs w:val="20"/>
                <w:color w:val="auto"/>
              </w:rPr>
            </w:pPr>
            <w:r>
              <w:rPr>
                <w:rFonts w:ascii="Arial" w:cs="Arial" w:eastAsia="Arial" w:hAnsi="Arial"/>
                <w:sz w:val="18"/>
                <w:szCs w:val="18"/>
                <w:color w:val="0000EE"/>
              </w:rPr>
              <w:t>USE OF PROCEEDS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PRICE RANGE OF COMMON SHARES AND TRADING MARKETS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175"/>
        </w:trPr>
        <w:tc>
          <w:tcPr>
            <w:tcW w:w="5260" w:type="dxa"/>
            <w:vAlign w:val="bottom"/>
            <w:tcBorders>
              <w:top w:val="single" w:sz="8" w:color="0000EE"/>
            </w:tcBorders>
            <w:gridSpan w:val="20"/>
          </w:tcPr>
          <w:p>
            <w:pPr>
              <w:spacing w:after="0" w:line="176" w:lineRule="exact"/>
              <w:rPr>
                <w:sz w:val="20"/>
                <w:szCs w:val="20"/>
                <w:color w:val="auto"/>
              </w:rPr>
            </w:pPr>
            <w:r>
              <w:rPr>
                <w:rFonts w:ascii="Arial" w:cs="Arial" w:eastAsia="Arial" w:hAnsi="Arial"/>
                <w:sz w:val="18"/>
                <w:szCs w:val="18"/>
                <w:color w:val="0000EE"/>
              </w:rPr>
              <w:t>DESCRIPTION OF COMMON SHARES</w:t>
            </w:r>
          </w:p>
        </w:tc>
        <w:tc>
          <w:tcPr>
            <w:tcW w:w="486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3"/>
              </w:rPr>
              <w:t>DESCRIPTION OF PREFERRED SHARES</w:t>
            </w:r>
          </w:p>
        </w:tc>
        <w:tc>
          <w:tcPr>
            <w:tcW w:w="686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176"/>
        </w:trPr>
        <w:tc>
          <w:tcPr>
            <w:tcW w:w="10120" w:type="dxa"/>
            <w:vAlign w:val="bottom"/>
            <w:gridSpan w:val="22"/>
          </w:tcPr>
          <w:p>
            <w:pPr>
              <w:spacing w:after="0" w:line="176" w:lineRule="exact"/>
              <w:rPr>
                <w:sz w:val="20"/>
                <w:szCs w:val="20"/>
                <w:color w:val="auto"/>
              </w:rPr>
            </w:pPr>
            <w:r>
              <w:rPr>
                <w:rFonts w:ascii="Arial" w:cs="Arial" w:eastAsia="Arial" w:hAnsi="Arial"/>
                <w:sz w:val="18"/>
                <w:szCs w:val="18"/>
                <w:color w:val="0000EE"/>
              </w:rPr>
              <w:t>DESCRIPTION OF WARRANTS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4"/>
              </w:rPr>
              <w:t>DESCRIPTION OF DEBT SECURITIES</w:t>
            </w:r>
          </w:p>
        </w:tc>
        <w:tc>
          <w:tcPr>
            <w:tcW w:w="708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10120" w:type="dxa"/>
            <w:vAlign w:val="bottom"/>
            <w:gridSpan w:val="22"/>
          </w:tcPr>
          <w:p>
            <w:pPr>
              <w:spacing w:after="0" w:line="176" w:lineRule="exact"/>
              <w:rPr>
                <w:sz w:val="20"/>
                <w:szCs w:val="20"/>
                <w:color w:val="auto"/>
              </w:rPr>
            </w:pPr>
            <w:r>
              <w:rPr>
                <w:rFonts w:ascii="Arial" w:cs="Arial" w:eastAsia="Arial" w:hAnsi="Arial"/>
                <w:sz w:val="18"/>
                <w:szCs w:val="18"/>
                <w:color w:val="0000EE"/>
              </w:rPr>
              <w:t>DESCRIPTION OF RIGHTS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DESCRIPTION OF DEPOSITARY SHARES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175"/>
        </w:trPr>
        <w:tc>
          <w:tcPr>
            <w:tcW w:w="3320" w:type="dxa"/>
            <w:vAlign w:val="bottom"/>
            <w:tcBorders>
              <w:top w:val="single" w:sz="8" w:color="0000EE"/>
            </w:tcBorders>
            <w:gridSpan w:val="16"/>
          </w:tcPr>
          <w:p>
            <w:pPr>
              <w:spacing w:after="0" w:line="176" w:lineRule="exact"/>
              <w:rPr>
                <w:sz w:val="20"/>
                <w:szCs w:val="20"/>
                <w:color w:val="auto"/>
              </w:rPr>
            </w:pPr>
            <w:r>
              <w:rPr>
                <w:rFonts w:ascii="Arial" w:cs="Arial" w:eastAsia="Arial" w:hAnsi="Arial"/>
                <w:sz w:val="18"/>
                <w:szCs w:val="18"/>
                <w:color w:val="0000EE"/>
              </w:rPr>
              <w:t>DESCRIPTION OF UNITS</w:t>
            </w:r>
          </w:p>
        </w:tc>
        <w:tc>
          <w:tcPr>
            <w:tcW w:w="680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7"/>
              </w:rPr>
              <w:t>PLAN OF DISTRIBUTION</w:t>
            </w:r>
          </w:p>
        </w:tc>
        <w:tc>
          <w:tcPr>
            <w:tcW w:w="80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176"/>
        </w:trPr>
        <w:tc>
          <w:tcPr>
            <w:tcW w:w="10120" w:type="dxa"/>
            <w:vAlign w:val="bottom"/>
            <w:gridSpan w:val="22"/>
          </w:tcPr>
          <w:p>
            <w:pPr>
              <w:spacing w:after="0" w:line="176" w:lineRule="exact"/>
              <w:rPr>
                <w:sz w:val="20"/>
                <w:szCs w:val="20"/>
                <w:color w:val="auto"/>
              </w:rPr>
            </w:pPr>
            <w:r>
              <w:rPr>
                <w:rFonts w:ascii="Arial" w:cs="Arial" w:eastAsia="Arial" w:hAnsi="Arial"/>
                <w:sz w:val="18"/>
                <w:szCs w:val="18"/>
                <w:color w:val="0000EE"/>
              </w:rPr>
              <w:t>CERTAIN INCOME TAX CONSIDERATIONS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9"/>
              </w:rPr>
              <w:t>ENFORCEMENT OF CIVIL LIABILITIES</w:t>
            </w:r>
          </w:p>
        </w:tc>
        <w:tc>
          <w:tcPr>
            <w:tcW w:w="690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176"/>
        </w:trPr>
        <w:tc>
          <w:tcPr>
            <w:tcW w:w="10120" w:type="dxa"/>
            <w:vAlign w:val="bottom"/>
            <w:gridSpan w:val="22"/>
          </w:tcPr>
          <w:p>
            <w:pPr>
              <w:spacing w:after="0" w:line="176" w:lineRule="exact"/>
              <w:rPr>
                <w:sz w:val="20"/>
                <w:szCs w:val="20"/>
                <w:color w:val="auto"/>
              </w:rPr>
            </w:pPr>
            <w:r>
              <w:rPr>
                <w:rFonts w:ascii="Arial" w:cs="Arial" w:eastAsia="Arial" w:hAnsi="Arial"/>
                <w:sz w:val="18"/>
                <w:szCs w:val="18"/>
                <w:color w:val="0000EE"/>
              </w:rPr>
              <w:t>EXPERTS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53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5953125"/>
                    </a:xfrm>
                    <a:prstGeom prst="rect">
                      <a:avLst/>
                    </a:prstGeom>
                    <a:noFill/>
                  </pic:spPr>
                </pic:pic>
              </a:graphicData>
            </a:graphic>
          </wp:anchor>
        </w:drawing>
        <w:t>ABOUT THIS PROSPECTUS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US$80,000,000.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this prospectus, unless the context otherwise requires, references to “CLPS,” the “company,” “we,” “us” or “our” refer to CLPS Incorporation.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61"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3072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3072765"/>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have filed with the SEC a registration statement on Form F-3, of which this prospectus forms a part. 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or the Exchange Act, and we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and other information regarding registrants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 The public may obtain information on the operation of the Public Reference Room by calling the SEC at 1-800-SEC-0330.</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principal executive office is located at Unit 1102, 11th Floor, Millennium City III, 370 Kwun Tong Road, Kwun Tong, Kowloon, Hong Kong SAR. Our telephone number is (852) 37073600. Our website is as follows www.clpsglobal.com. </w:t>
      </w:r>
      <w:r>
        <w:rPr>
          <w:rFonts w:ascii="Arial" w:cs="Arial" w:eastAsia="Arial" w:hAnsi="Arial"/>
          <w:sz w:val="18"/>
          <w:szCs w:val="18"/>
          <w:b w:val="1"/>
          <w:bCs w:val="1"/>
          <w:color w:val="auto"/>
        </w:rPr>
        <w:t>The information on our website is not part of</w:t>
      </w:r>
      <w:r>
        <w:rPr>
          <w:rFonts w:ascii="Arial" w:cs="Arial" w:eastAsia="Arial" w:hAnsi="Arial"/>
          <w:sz w:val="18"/>
          <w:szCs w:val="18"/>
          <w:color w:val="auto"/>
        </w:rPr>
        <w:t xml:space="preserve"> </w:t>
      </w:r>
      <w:r>
        <w:rPr>
          <w:rFonts w:ascii="Arial" w:cs="Arial" w:eastAsia="Arial" w:hAnsi="Arial"/>
          <w:sz w:val="18"/>
          <w:szCs w:val="18"/>
          <w:b w:val="1"/>
          <w:bCs w:val="1"/>
          <w:color w:val="auto"/>
        </w:rPr>
        <w:t>this prospectus.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6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430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4307205"/>
                    </a:xfrm>
                    <a:prstGeom prst="rect">
                      <a:avLst/>
                    </a:prstGeom>
                    <a:noFill/>
                  </pic:spPr>
                </pic:pic>
              </a:graphicData>
            </a:graphic>
          </wp:anchor>
        </w:drawing>
        <w:t>DOCUMENTS INCORPORATED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7" w:lineRule="exact"/>
        <w:rPr>
          <w:sz w:val="20"/>
          <w:szCs w:val="20"/>
          <w:color w:val="auto"/>
        </w:rPr>
      </w:pPr>
    </w:p>
    <w:p>
      <w:pPr>
        <w:ind w:left="980" w:hanging="325"/>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2">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years ended June 30, 2022;</w:t>
      </w:r>
    </w:p>
    <w:p>
      <w:pPr>
        <w:spacing w:after="0" w:line="225"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shares set forth in our registration statement on </w:t>
      </w:r>
      <w:hyperlink r:id="rId23">
        <w:r>
          <w:rPr>
            <w:rFonts w:ascii="Arial" w:cs="Arial" w:eastAsia="Arial" w:hAnsi="Arial"/>
            <w:sz w:val="18"/>
            <w:szCs w:val="18"/>
            <w:u w:val="single" w:color="auto"/>
            <w:color w:val="0000EE"/>
          </w:rPr>
          <w:t>Form 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333-223956) filed with the SEC on March 27, 2018 and declared effective on May 23, 2018, and our </w:t>
      </w:r>
      <w:hyperlink r:id="rId24">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22, 2018, including any amendment or report filed for the purpose of updating that description.</w:t>
      </w:r>
    </w:p>
    <w:p>
      <w:pPr>
        <w:spacing w:after="0" w:line="184" w:lineRule="exact"/>
        <w:rPr>
          <w:rFonts w:ascii="Arial" w:cs="Arial" w:eastAsia="Arial" w:hAnsi="Arial"/>
          <w:sz w:val="18"/>
          <w:szCs w:val="18"/>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documents filed by us pursuant to Sections 13(a), 13(c), 14 or 15(d) of the Exchange Act subsequent to the date of the initial filing of this registration statement and prior to effectiveness of the registration statement that contains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76" w:lineRule="exact"/>
        <w:rPr>
          <w:rFonts w:ascii="Arial" w:cs="Arial" w:eastAsia="Arial" w:hAnsi="Arial"/>
          <w:sz w:val="18"/>
          <w:szCs w:val="18"/>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88"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Unit 1102, 11th Floor, Millennium City III, 370 Kwun Tong Road, Kwun Tong, Kowloon, Hong Kong SAR.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61"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219075</wp:posOffset>
            </wp:positionH>
            <wp:positionV relativeFrom="page">
              <wp:posOffset>588010</wp:posOffset>
            </wp:positionV>
            <wp:extent cx="7118985" cy="9107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18985" cy="9107805"/>
                    </a:xfrm>
                    <a:prstGeom prst="rect">
                      <a:avLst/>
                    </a:prstGeom>
                    <a:noFill/>
                  </pic:spPr>
                </pic:pic>
              </a:graphicData>
            </a:graphic>
          </wp:anchor>
        </w:drawing>
        <w:t>SUMMARY</w:t>
      </w:r>
    </w:p>
    <w:p>
      <w:pPr>
        <w:spacing w:after="0" w:line="229"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8"/>
          <w:szCs w:val="18"/>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(hereinafter defined as the People’s Republic of China including Hong Kong SAR and Macau SAR)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w:t>
      </w:r>
    </w:p>
    <w:p>
      <w:pPr>
        <w:spacing w:after="0" w:line="188" w:lineRule="exact"/>
        <w:rPr>
          <w:sz w:val="20"/>
          <w:szCs w:val="20"/>
          <w:color w:val="auto"/>
        </w:rPr>
      </w:pPr>
    </w:p>
    <w:p>
      <w:pPr>
        <w:jc w:val="both"/>
        <w:ind w:firstLine="630"/>
        <w:spacing w:after="0" w:line="268" w:lineRule="auto"/>
        <w:rPr>
          <w:sz w:val="20"/>
          <w:szCs w:val="20"/>
          <w:color w:val="auto"/>
        </w:rPr>
      </w:pPr>
      <w:r>
        <w:rPr>
          <w:rFonts w:ascii="Arial" w:cs="Arial" w:eastAsia="Arial" w:hAnsi="Arial"/>
          <w:sz w:val="17"/>
          <w:szCs w:val="17"/>
          <w:color w:val="auto"/>
        </w:rPr>
        <w:t>CLPS Incorporation was incorporated under the laws of the Cayman Islands on May 11, 2017. 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to provide digital transformation services with focus on information technology in the banking, wealth management, e-commerce, and automotive industries, among others, through the utilization of innovative technology to achieve our client’s goals. We maintain 19 delivery and/or R&amp;D centers, of which 11 are located in Mainland China (hereinafter defined as the People’s Republic of China excluding Hong Kong SAR and Macau SAR) including Shanghai, Beijing, Dalian, Tianjin, Baoding, Xi’an, Chengdu, Guangzhou, Shenzhen, Hangzhou, and Hainan and eight are located globally (Hong Kong SAR, the United States, the Philippines,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86"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8"/>
          <w:szCs w:val="18"/>
          <w:color w:val="auto"/>
        </w:rPr>
        <w:t>The Company notes that the Provisions of the State Council of the PRC on the Administration of Overseas Securities Offering and Listing by Domestic Companies (the “Provisions”) are still a draft version for public comment, which means that currently they do not have legally bindingly effect. According to the current draft, the Provisions do not require the Company to submit an application to the CSRC for approval to continue to be listed overseas.</w:t>
      </w:r>
    </w:p>
    <w:p>
      <w:pPr>
        <w:spacing w:after="0" w:line="187"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The Company does not receive customer data and personal information from its clients in its day-to-day business operation. According to the current laws and regulations, we do not believe that there are any prohibitions or material obstacles for the Company to continue its current business or for the foreign investors to register their securities.</w:t>
      </w:r>
    </w:p>
    <w:p>
      <w:pPr>
        <w:spacing w:after="0" w:line="184"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17"/>
          <w:szCs w:val="17"/>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 xml:space="preserve">Our principal executive office is located at Unit 1102, 11th Floor, Millennium City III, 370 Kwun Tong Road, Kwun Tong, Kowloon, Hong Kong SAR. Our telephone number is (851) 37073600. Our website is as follows www.clpsglobal.com. </w:t>
      </w:r>
      <w:r>
        <w:rPr>
          <w:rFonts w:ascii="Arial" w:cs="Arial" w:eastAsia="Arial" w:hAnsi="Arial"/>
          <w:sz w:val="18"/>
          <w:szCs w:val="18"/>
          <w:b w:val="1"/>
          <w:bCs w:val="1"/>
          <w:color w:val="auto"/>
        </w:rPr>
        <w:t>The information on our website is not part of</w:t>
      </w:r>
      <w:r>
        <w:rPr>
          <w:rFonts w:ascii="Arial" w:cs="Arial" w:eastAsia="Arial" w:hAnsi="Arial"/>
          <w:sz w:val="18"/>
          <w:szCs w:val="18"/>
          <w:color w:val="auto"/>
        </w:rPr>
        <w:t xml:space="preserve"> </w:t>
      </w:r>
      <w:r>
        <w:rPr>
          <w:rFonts w:ascii="Arial" w:cs="Arial" w:eastAsia="Arial" w:hAnsi="Arial"/>
          <w:sz w:val="18"/>
          <w:szCs w:val="18"/>
          <w:b w:val="1"/>
          <w:bCs w:val="1"/>
          <w:color w:val="auto"/>
        </w:rPr>
        <w:t>this filing.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161" w:right="439" w:bottom="376"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2022, which section is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65" w:lineRule="exact"/>
        <w:rPr>
          <w:sz w:val="20"/>
          <w:szCs w:val="20"/>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intergovernmental conflicts or actions, including but not limited to armed conflict, trade wars, retaliatory tariffs, and acts of terrorism or war;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 foregoing or similar factors could result in reduced demand for our services which, in turn, could have material adverse effects on our business and results of operations.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Holding Foreign Companies Accountable Act could result in delisting of our common stock from Nasdaq Capital Market and lack of a readily available market for our common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18, 2020, the Holding Foreign Companies Accountable Act ("HFCAA") became law. Among other things, the HFCAA requires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 to identify public companies that have retained a registered public accounting firm to issue an audit report where that firm has a branch or office that:</w:t>
      </w:r>
    </w:p>
    <w:p>
      <w:pPr>
        <w:spacing w:after="0" w:line="32" w:lineRule="exact"/>
        <w:rPr>
          <w:sz w:val="20"/>
          <w:szCs w:val="20"/>
          <w:color w:val="auto"/>
        </w:rPr>
      </w:pPr>
    </w:p>
    <w:p>
      <w:pPr>
        <w:jc w:val="both"/>
        <w:ind w:firstLine="8"/>
        <w:spacing w:after="0" w:line="268" w:lineRule="auto"/>
        <w:tabs>
          <w:tab w:leader="none" w:pos="262" w:val="left"/>
        </w:tabs>
        <w:numPr>
          <w:ilvl w:val="0"/>
          <w:numId w:val="4"/>
        </w:numPr>
        <w:rPr>
          <w:rFonts w:ascii="Arial" w:cs="Arial" w:eastAsia="Arial" w:hAnsi="Arial"/>
          <w:sz w:val="17"/>
          <w:szCs w:val="17"/>
          <w:color w:val="auto"/>
        </w:rPr>
      </w:pPr>
      <w:r>
        <w:rPr>
          <w:rFonts w:ascii="Arial" w:cs="Arial" w:eastAsia="Arial" w:hAnsi="Arial"/>
          <w:sz w:val="17"/>
          <w:szCs w:val="17"/>
          <w:color w:val="auto"/>
        </w:rPr>
        <w:t>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2022 fiscal year audit and currently our public auditor is a Listed Auditor subject to the determinations announced by the PCAOB on December 16, 2021. Our Auditor is located in China.</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Accordingly, under the current law this could happen in 2024.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4" w:lineRule="auto"/>
        <w:rPr>
          <w:sz w:val="20"/>
          <w:szCs w:val="20"/>
          <w:color w:val="auto"/>
        </w:rPr>
      </w:pPr>
      <w:r>
        <w:rPr>
          <w:rFonts w:ascii="Arial" w:cs="Arial" w:eastAsia="Arial" w:hAnsi="Arial"/>
          <w:sz w:val="18"/>
          <w:szCs w:val="18"/>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being 2021, 2022 and 2023, then the SEC will impose an initial trading ban on the publicly traded securities of the Commission Identified Issuer in early 2024,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 Our Company is on the provisional list of identified companies under the HFCAA.</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is not currently audited or inspected completely by the PCAOB and is consequently a Listed Auditor.</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inability of the PCAOB to conduct unfettered inspections of public accounting firms in Mainland China and Hong Kong SAR, including our Auditor, prevents the PCAOB from fully evaluating audits and quality control procedures of our Auditor. This lack of full audit and inspection effectively deprives investors in our Common Stock of the benefits of PCAOB oversight and inspections. The inability of the PCAOB to conduct inspections of auditors in China and Hong Kong SAR makes it more difficult to evaluate the effectiveness of our Auditor’s audit procedures or quality control procedures as compared to auditors outside of Mainland China and Hong Kong SAR that are subject to complete audit and investigation by the PCAOB. This limitation on PCAOB audit and inspection could cause investors and potential investors in our Common Stock to lose confidence in our audit procedures and reported financial information and the quality of our financial statements. This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 Trading in our securities may be prohibited under the HFCAA if PCAOB determines that it cannot inspect or investigate completely our Auditor, and that as a result, Nasdaq may determine to delist our securities.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are uncertainties with respect to regulatory cooperation between PCAOB and Chinese regulators under the Statement of Protocol signed by the PCAOB and the CSRC of the People’s Republic of China on August 26, 2022.</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is now required to reassess its determinations with regard to inspecting and investigating in Mainland China and Hong Kong by the end of 2022. We have noted the positive progress and will closely follow the development under the Statement of Protocol. However, there are uncertainties with respect to regulatory cooperation between the PCAOB and the Chinese regulators. If the PCAOB determines that it cannot inspect or investigate completely our auditor, as a result Nasdaq Capital Market LLC may determine to delist our securities.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light of an independent auditor’s settlement with the SEC on September 29, 2022 for allegedly asking its clients to select their own samples for testing and to prepare audit documentation to show that the independent auditor itself had gotten and evaluated the supporting evidence for certain clients’ accounting entries, our independent auditor has never asked us to select our own samples for testing or to prepare audit documentation to show that our independent auditor itself had gotten and evaluated the supporting evidence for our accounting entries.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the PCAOB reassesses its determinations by the end of 2022, it could determine that it is still unable to inspect and investigate completely audit firms based in China and Hong Kong; as a result, we may be delisted by Nasdaq in accordance with HFCAA.</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Under the current version of HFCAA, an SEC ban on trading shares of Common Stock in the U.S. could take place in early 2024 if we have a Listed Auditor (a public auditor that cannot be completely audited and investigated by the PCAOB for three consecutive fiscal years (being 2021, 2022 and 2023)).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69" w:lineRule="auto"/>
        <w:rPr>
          <w:sz w:val="20"/>
          <w:szCs w:val="20"/>
          <w:color w:val="auto"/>
        </w:rPr>
      </w:pPr>
      <w:r>
        <w:rPr>
          <w:rFonts w:ascii="Arial" w:cs="Arial" w:eastAsia="Arial" w:hAnsi="Arial"/>
          <w:sz w:val="17"/>
          <w:szCs w:val="17"/>
          <w:color w:val="auto"/>
        </w:rPr>
        <w:t>The HFCAA or other efforts to increase U.S. regulatory access to audit information could cause investor uncertainty for affected issuers, like our company, and the market price of the shares could be adversely affected. Additionally, whether the PCAOB will be able to conduct inspections of our Auditor before the issuance of our financial statements to be included in our Form 20-F for the fiscal year 2023 or at all, is subject to substantial uncertainty and depends on factors out of our control and our Auditor’s control. If our Auditor is unable to be inspected in time, and we do not engage a public auditor who is not a Listed Auditor prior to the 2023 annual audit, we could be delisted from the Nasdaq Capital Market in 2024 and not eligible for trading on other tiers of the over the counter markets. A ban on trading of our Common Stock would substantially impair your ability to sell or purchase our shares when you wish to do so, and the risk and uncertainty associated with the ban would have a negative impact on the price of our shares of Common Stock. The ban on trading would also significantly affect our ability to raise capital on terms acceptable to us, or at all, which would have a material adverse impact on our business, financial condition, and prospects. If our shares are prohibited from trading in the U.S., there is no certainty that we will be able to list on a non-U.S. exchange or that a market for our shares will develop outside of the U.S.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Company intends to engage an auditor who is audited and investigated completely by the PCAOB in prior to fiscal year 2023, the Company has not engaged such an auditor as of the date of Form F-3. The Company, as a smaller reporting company, may experience delays or difficulties in engaging a public auditor who can be audited and investigated completely by the PCAOB and also audit our operations, which operations are located in Mainland China and Hong Kong SAR.</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Efforts to increase U.S. Regulatory access to information about companies in China or Hong Kong SAR in order to enhance transparency for investors in U.S. corporations traded on U.S. stock markets but with substantial operations in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potential enactment of the Accelerating Holding Foreign Companies Accountable Act, if it is enacted into law in the U.S., would decrease the number of non-inspection years from three to two years under HFCAA, thus reducing the time period before our shares of Common Stock may be banned from being traded in the U.S. If this bill were enacted as proposed, and we have a Listed Auditor for fiscal years 2021 and 2022, our shares may be banned from trading in the U.S. in early 2023, not early 2024.</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June 22, 2021, the U.S. Senate passed a bill known as the Accelerating Holding Foreign Companies Accountable Act, to amend Section 104(i) of the Sarbanes-Oxley Act of 2002 (15 U.S.C. 7214(i)) (“Proposed Law”) to prohibit securities of any registrant from being listed on any of the U.S. securities exchanges or traded over-the-counter if the auditor of the registrant’s financial statements is not subject to PCAOB investigation and inspection completely for two consecutive years, instead of three consecutive years as currently provided in the HFCAA.</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4, 2022, the U.S. House of Representatives passed the America Competes Act of 2022 which includes the same amendments as the bill passed by the Senate. The America Competes Act, however, includes a broader range of legislation not related to the HFCAA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 differences in the U.S. Innovation and Competition Act and the America Competes Act of 2022 bills currently passed, or when the U.S. President will sign the bill to make the amendment into law, if at all. In the case that the bill becomes the law, it may reduce the time period before our shares could be prohibited from trading in the U.S. from 2024 to 2023. Company is not certain as of the date of this Form F-3 of when and if the Proposed Law will become law and applicable to public companies like our company.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Form F-3.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The recent government regulation of business activities of U.S.-listed Chinese companies may negatively impact our operations.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Form F-3, there is no known regulatory involvement of the nature described in this paragraph and there is no discernible immediate impact on our company under the recent regulatory developments described in this paragraph.</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PRC legal system is based on written statutes and court decisions that have limited precedential value. The PRC legal system is evolving rapidly, and therefore the interpretations and enforcement of many laws, regulations and rules may contain inconsistencies and uncertainties.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These uncertainties may impede our contractual, property and procedural rights, which could adversely affect our business, financial condition and results of operations.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Permissions Required from the PRC Authorities for Our Operations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conduct our business primarily through our subsidiaries in China. Our operations in China are governed by PRC laws and regulations. As of the date of this Form F-3,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91" w:lineRule="auto"/>
        <w:rPr>
          <w:sz w:val="20"/>
          <w:szCs w:val="20"/>
          <w:color w:val="auto"/>
        </w:rPr>
      </w:pPr>
      <w:r>
        <w:rPr>
          <w:rFonts w:ascii="Arial" w:cs="Arial" w:eastAsia="Arial" w:hAnsi="Arial"/>
          <w:sz w:val="16"/>
          <w:szCs w:val="16"/>
          <w:color w:val="auto"/>
        </w:rPr>
        <w:t>Furthermore, in connection with our issuance of securities to foreign investors, under current PRC laws, regulations and regulatory rules, as of the date of this Form F-3, we, our PRC subsidiaries, (i) are not required to obtain permissions from the China Securities Regulatory Commission, or the CSRC,</w:t>
      </w:r>
    </w:p>
    <w:p>
      <w:pPr>
        <w:ind w:firstLine="8"/>
        <w:spacing w:after="0" w:line="260" w:lineRule="auto"/>
        <w:tabs>
          <w:tab w:leader="none" w:pos="278"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not required to go through cybersecurity review by the Cyberspace Administration of China, or the CAC, and (iii) have not been asked to obtain such permissions by any PRC authority.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However, the PRC government has recently indicated an intent to exert more oversight and control over offerings that are conducted overseas and/or foreign investment in China-based issuers.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December 24, 2021, the CSRC published the draft Regulations of the State Council on the Administration of Overseas Issuance and Listing of Securities by Domestic Companies (Draft for Comments) (the “Administrative Provisions”) and the draft Measures for the Record-Filing of Overseas Issuance and Listing of Securities by Domestic Companies (Draft for Comments) (the “Filing Measures”) for public comments till January 23, 2022. Pursuant to these drafts, a filing-based regulatory system will be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As of the date of this Form F-3, it remains uncertain when the final Administrative Provisions and Filing Measures will be adopted and whether they will be adopted in the current draft form. If the Administrative Provisions and Filing Measures are adopted in the current form, we may be required to file the relevant documents with the CSRC within three business days after submitting our listing application documents to the relevant regulator in the place of intended listing, and complete the filing procedures with the CSRC in connection with such future offshore securities offering. Failure to complete the filing under the Administrative Provisions and Filing Measures may subject a PRC domestic company to a warning and a fine of RMB1 million to RMB10 million. In the event of a serious violation of the Administrative Provisions, the PRC domestic company may be ordered to discontinue the related business or suspend its operations for rectification, and its permits or business licenses may be revoked.</w:t>
      </w:r>
    </w:p>
    <w:p>
      <w:pPr>
        <w:spacing w:after="0" w:line="3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Furthermore, on April 2, 2022, the CSRC published the draft Provisions on Strengthening the Confidentiality and Archives Management Related to Overseas Issuance and Listing of Securities by Domestic Companies (Draft for Comments), or the Draft Confidentiality and Archives Management Provisions, for public comments. Pursuant to the Draft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 As of the date of this Form F-3, the Draft Confidentiality and Archives Management Provisions were released for public comments only and the final version and effective date of such regulations are subject to change with substantial uncertainty.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470" w:gutter="0" w:footer="0" w:header="0"/>
        </w:sectPr>
      </w:pPr>
    </w:p>
    <w:bookmarkStart w:id="13" w:name="page14"/>
    <w:bookmarkEnd w:id="13"/>
    <w:p>
      <w:pPr>
        <w:jc w:val="both"/>
        <w:ind w:firstLine="648"/>
        <w:spacing w:after="0" w:line="268" w:lineRule="auto"/>
        <w:rPr>
          <w:sz w:val="20"/>
          <w:szCs w:val="20"/>
          <w:color w:val="auto"/>
        </w:rPr>
      </w:pPr>
      <w:r>
        <w:rPr>
          <w:rFonts w:ascii="Arial" w:cs="Arial" w:eastAsia="Arial" w:hAnsi="Arial"/>
          <w:sz w:val="17"/>
          <w:szCs w:val="17"/>
          <w:color w:val="auto"/>
        </w:rPr>
        <w:t>If the CSRC or other PRC regulatory authorities subsequently determine that we need to obtain their approval or complete the required filing or other administrative procedures for any future offshore securities offering or other financing activities,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subsidiaries in Mainland China are subject to restrictions on paying dividends and making other payments to our holding company.</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subsidiaries have not declared or paid any cash dividends to the holding company. CLPS Incorporation has not declared or paid any cash dividends to pay any cash dividends on its ordinary shares.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F-3,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F-3, the current applicable PRC laws on cybersecurity would have a material adverse impact on our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through Our Organization</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CLPS Incorporation is a holding company with no operations of its own. We conduct our operations in mainland China primarily through our subsidiaries in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has not declared or paid any cash dividends to pay any cash dividends on its ordinary shares. 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 For the years ended June 30, 2020, 2021 and 2022, cash and cash equivalents of PRC companies were 77.91 million (US$11.03 million), 62.66 million (US$9.71 million), and 99.0 million (US$14.8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On November 4, 2022, the buying rate announced by the Federal Reserve Statistical Release was RMB 7.2996 to $1.00.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Spot Exchange Rate</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Period</w:t>
            </w:r>
          </w:p>
        </w:tc>
        <w:tc>
          <w:tcPr>
            <w:tcW w:w="1420" w:type="dxa"/>
            <w:vAlign w:val="bottom"/>
          </w:tcPr>
          <w:p>
            <w:pPr>
              <w:jc w:val="right"/>
              <w:ind w:right="450"/>
              <w:spacing w:after="0" w:line="198" w:lineRule="exact"/>
              <w:rPr>
                <w:sz w:val="20"/>
                <w:szCs w:val="20"/>
                <w:color w:val="auto"/>
              </w:rPr>
            </w:pPr>
            <w:r>
              <w:rPr>
                <w:rFonts w:ascii="Arial" w:cs="Arial" w:eastAsia="Arial" w:hAnsi="Arial"/>
                <w:sz w:val="18"/>
                <w:szCs w:val="18"/>
                <w:b w:val="1"/>
                <w:bCs w:val="1"/>
                <w:color w:val="auto"/>
              </w:rPr>
              <w:t>Average</w:t>
            </w: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Ended</w:t>
            </w:r>
          </w:p>
        </w:tc>
        <w:tc>
          <w:tcPr>
            <w:tcW w:w="1420" w:type="dxa"/>
            <w:vAlign w:val="bottom"/>
          </w:tcPr>
          <w:p>
            <w:pPr>
              <w:jc w:val="right"/>
              <w:ind w:right="670"/>
              <w:spacing w:after="0"/>
              <w:rPr>
                <w:sz w:val="20"/>
                <w:szCs w:val="20"/>
                <w:color w:val="auto"/>
              </w:rPr>
            </w:pPr>
            <w:r>
              <w:rPr>
                <w:rFonts w:ascii="Arial" w:cs="Arial" w:eastAsia="Arial" w:hAnsi="Arial"/>
                <w:sz w:val="18"/>
                <w:szCs w:val="18"/>
                <w:b w:val="1"/>
                <w:bCs w:val="1"/>
                <w:color w:val="auto"/>
              </w:rPr>
              <w:t>(1)</w:t>
            </w: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8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6.9618</w:t>
            </w:r>
          </w:p>
        </w:tc>
        <w:tc>
          <w:tcPr>
            <w:tcW w:w="1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6.9081</w:t>
            </w:r>
          </w:p>
        </w:tc>
        <w:tc>
          <w:tcPr>
            <w:tcW w:w="1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7.1786</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6.5250</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6.9043</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7.1681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6.5208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6.3726</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6.4382</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6.3640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6.5518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July</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6.7433</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6.7352</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6.6945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6.7655</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August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6.8890</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6.8007</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6.7230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6.9100</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7.1135</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7.0195</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6.8985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7.1990</w:t>
            </w: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October</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7.3048</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7.1902</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7.1103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7.3048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Source: https://www.federalreserve.gov/releases/h10/hist/default.htm.</w:t>
      </w:r>
    </w:p>
    <w:p>
      <w:pPr>
        <w:spacing w:after="0" w:line="225"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averages, lows, and highs are calculated from month-end rates. Monthly averages, lows, and highs are calculated using the average of the daily rates during the relevant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SHARES AND TRADING MARKETS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ind w:left="840"/>
              <w:spacing w:after="0"/>
              <w:rPr>
                <w:sz w:val="20"/>
                <w:szCs w:val="20"/>
                <w:color w:val="auto"/>
              </w:rPr>
            </w:pPr>
            <w:r>
              <w:rPr>
                <w:rFonts w:ascii="Arial" w:cs="Arial" w:eastAsia="Arial" w:hAnsi="Arial"/>
                <w:sz w:val="18"/>
                <w:szCs w:val="18"/>
                <w:b w:val="1"/>
                <w:bCs w:val="1"/>
                <w:color w:val="auto"/>
              </w:rPr>
              <w:t>NASDAQ</w:t>
            </w: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w:t>
            </w: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4.26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840"/>
              <w:spacing w:after="0"/>
              <w:rPr>
                <w:sz w:val="20"/>
                <w:szCs w:val="20"/>
                <w:color w:val="auto"/>
              </w:rPr>
            </w:pPr>
            <w:r>
              <w:rPr>
                <w:rFonts w:ascii="Arial" w:cs="Arial" w:eastAsia="Arial" w:hAnsi="Arial"/>
                <w:sz w:val="18"/>
                <w:szCs w:val="18"/>
                <w:b w:val="1"/>
                <w:bCs w:val="1"/>
                <w:color w:val="auto"/>
              </w:rPr>
              <w:t>NASDAQ</w:t>
            </w: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1st Quarter ended 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1.92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common shares are entitled to vote at all meetings of our shareholders. The holders of common shares are entitled to receive dividends as and when declared by the board, if 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Companies Act (Revised) of the Cayman Islands, which we refer to as the Companies Act below. As of the date hereof, our authorized share capital consists of 100,000,000 common shares with a par value of US$0.0001 per share. As of November 9, 2022, there were 22,464,122 shares issued and outstanding. The following summary description sets forth some of the general terms and provisions of our common shares. Because this is a summary description, it does not contain all of the information that may be important to you. For a more detailed description of our common shares, you should refer to our Memorandum and Articles of Association in effect at the time of any offering.</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authorized and unissued common shares are available for issuance without further action by our shareholders, unless such action is required by applicable law or the rules of the Nasdaq Global Market, or any stock exchange on which our securities may be listed at such time. Unless approval of our shareholders is so required, our board of directors will not seek shareholders' approval for the issuance and sale of our common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of our outstanding common shares are fully paid and non-assessable. Certificates representing the common shares are issued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association provide that our board of directors may declare and pay dividends if justified by our financial position and permitted by law.</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In respect of all matters subject to a shareholders’ vote, each common share is entitled to one vote. Voting at any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Act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Act have been satisfied, including out of capital, as may be determined by our board of directors.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our list of shareholders or our corporate records. However, we will provide our shareholders with annual audited financial statements. See “Where You Can Find Additional Information.”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and articles of association also authorizes our board of directors to establish from time to time one or more series of shares and to determine, with respect to any series of shares, the terms and rights of that series, including:</w:t>
      </w:r>
    </w:p>
    <w:p>
      <w:pPr>
        <w:spacing w:after="0" w:line="18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may issue these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company or management that shareholders may consider favorable, including provisions that authorize our board of directors to issue shares in one or more series and to designate the price, rights, preferences, privileges and restrictions of such shares without any further vote or action by our shareholders, to the extent authorized but unissued.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 Exclusive Forum Provision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Act,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Companies Act is modeled after the corporate legislation of the United Kingdom but does not follow recent United Kingdom statutory enactments.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United States (particularly Delaware) and their shareholders.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Act provides for the merger or consolidation of two or more companies into a single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seventy-five percent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arrangement is such that an intelligent and honest man of that class acting in respect of his interest ;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 or that would amount to a "fraud on the minority".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 or may, within a two-month period commencing on the expiration of such four months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3"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8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duly effected if authorized by more than a simple majority vote that has not been obtained;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Indemnification of Directors and Executive Officers and Limitation of Liability. </w:t>
      </w:r>
      <w:r>
        <w:rPr>
          <w:rFonts w:ascii="Arial" w:cs="Arial" w:eastAsia="Arial" w:hAnsi="Arial"/>
          <w:sz w:val="17"/>
          <w:szCs w:val="17"/>
          <w:color w:val="auto"/>
        </w:rPr>
        <w:t>The Companies Act does not limit the extent to which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memorandum and articles of association permit indemnification of current and former officers and directors for all actions, proceedings, costs, charges, expenses, losses, damages or liabilities incurred or sustained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of each current and former officer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 a duty to act in good faith in what the directors bona fide consider to be the best interests of the company (and in this regard, it should be noted that the duty is owed to the company and not to associate companies, subsidiaries or holding companies); a duty not to personally profit from opportunities that arise from the office of director; a duty of trusteeship of the company’s assets, a duty not to put himself or herself in a position where the interests of the company conflict with his or her personal interest or his or her duty to a third party, and a duty to exercise powers for the purpose for which such powers were conferred. A director of a Cayman Islands company also owes to the company a duty to act with skill, care and diligence. A director need not exhibit in the performance of his or her duties a greater degree of skill than may reasonably be expected from a person of his or her knowledge and experience.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Under the Delaware General Corporation Law, a corporation may eliminate the right of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bring business before a general meeting or requisition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Under the Delaware General Corporation Law, a director of a corporation with a may be removed with the approval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outstanding shares entitled to vote, unless the certificate of incorporation provides otherwise. Under our articles of association, directors may be removed, by an ordinary resolution of our shareholders.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Act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the Companies Act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Amendment of Governing Documents. </w:t>
      </w:r>
      <w:r>
        <w:rPr>
          <w:rFonts w:ascii="Arial" w:cs="Arial" w:eastAsia="Arial" w:hAnsi="Arial"/>
          <w:sz w:val="17"/>
          <w:szCs w:val="17"/>
          <w:color w:val="auto"/>
        </w:rPr>
        <w:t>Under the Delaware General Corporation Law, a corporation’s governing documents may be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approval of a majority of the outstanding shares entitled to vote, unless the certificate of incorporation provides otherwise. As permitted by the Companies Act, our memorandum and articles of association may only be amended with a special resolution of our shareholders.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Rights of Non-resident or Foreign Shareholders. </w:t>
      </w:r>
      <w:r>
        <w:rPr>
          <w:rFonts w:ascii="Arial" w:cs="Arial" w:eastAsia="Arial" w:hAnsi="Arial"/>
          <w:sz w:val="17"/>
          <w:szCs w:val="17"/>
          <w:color w:val="auto"/>
        </w:rPr>
        <w:t>There are no limitations imposed by our memorandum and articles of association on the rights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DESCRIPTION OF PREFERRED SHARES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of preferred shares and the description of the terms of any particular series of preferred shares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shares of each series will be fixed by the certificate of designation relating to that series.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authorized share capital of the Company is currently US$10,000 divided into 100,000,000 shares of US$0.0001 par value each of a single class. Accordingly, the Company will need to obtain shareholders' approval to create a new class of preferred shares and to amend its memorandum and articles of association to provide for the rights of the preferred shares prior to its issuance. Subject to the Company having duly authorized the creation of the new class of preferred shares,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will have the authority, subject to limitations prescribed by law and the then effective memorandum and articles of association, to provide for the issuance of the preferred shares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19"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constituting that series;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 rights and rates;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terms;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rights and terms of redemption (including sinking fund provisions);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rights of the series in the event of liquidation, dissolution or winding up.</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preferred shares offered hereby (after the same have been duly created and authorized for issuance) will, when issued, be fully paid and nonassessable and will not have any preemptive or similar rights. Subject to the Company having duly authorized the creation of the new class of preferred shares and the rights of the preferred shares set out in the memorandum and article of association, our board of directors could authorize the issuance of preferred shares with terms and conditions that could have the effect of discouraging a takeover or other transaction that might involve a premium price for holders of the shares or which holders might believe to be in their best interests.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set forth in a prospectus supplement relating to the series of preferred shares being offered the following items:</w:t>
      </w:r>
    </w:p>
    <w:p>
      <w:pPr>
        <w:spacing w:after="0" w:line="15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and stated value of the preferred shares;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preferred shares offered, the liquidation preference per share and the offering price of the preferred shares;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applicable to the preferred shares;</w:t>
      </w:r>
    </w:p>
    <w:p>
      <w:pPr>
        <w:spacing w:after="0" w:line="15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dividends are cumulative or non-cumulative and, if cumulative, the date from which dividends on the preferred shares will accumulate;</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shares;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for a sinking fund, if any, for the preferred shares;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 for redemption, if applicable, of the preferred shares;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listing of the preferred shares on any securities exchange;</w:t>
      </w:r>
    </w:p>
    <w:p>
      <w:pPr>
        <w:spacing w:after="0" w:line="15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shares will be convertible into common shares, including the conversion price (or manner of calculation) and conversion period;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rights, if any, of the preferred shares;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discussion of any material and/or special United States federal income tax considerations applicable to the preferred shares;</w:t>
      </w:r>
    </w:p>
    <w:p>
      <w:pPr>
        <w:spacing w:after="0" w:line="15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shares as to dividend rights and rights upon the liquidation, dissolution or winding up of our affairs;</w:t>
      </w:r>
    </w:p>
    <w:p>
      <w:pPr>
        <w:spacing w:after="0" w:line="10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shares ranking senior to or on a parity with the class or series of preferred shares as to dividend rights and rights upon liquidation, dissolution or winding up of our affairs;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shares.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of preferred shares will be set forth in the applicable prospectus supplement.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particular terms of each issue of warrants will be described in the related prospectus supplement. This description will include some or all of the following:</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and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at which the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or currencies in which the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and terms of our common shares purchasable upon exercise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will be offered, if any, and the number of the warrants that will be offered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if any, on or after which the warrants and the related securities will be transferable separately;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whether the warrants will be subject to redemption or call and, if so, the terms of such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United States tax consequences of owning the warrants;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material terms or conditions of the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8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the principal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if any, the date interest will accrue, the interest payment dates and the regular record 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mandatory or optional redemption provisions;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portion of the principal amount that will be payable upon acceleration of stated maturity, if other than the entire principal amount;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defeasance provisions if different from those described below under “Satisfaction and Discharge; Defeasance”;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obligation to redeem or purchase the debt securities pursuant to a sinking fund;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subordination provisions, if different from those described below under “Subordination”;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or covenants;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potential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registered in the name of a depositary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jc w:val="center"/>
        <w:ind w:left="5540" w:right="660" w:hanging="4884"/>
        <w:spacing w:after="0" w:line="778" w:lineRule="auto"/>
        <w:tabs>
          <w:tab w:leader="none" w:pos="9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depositary has notified us that it is unwilling or unable to continue as depositary or has ceased to be qualified to act as depositary;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of default is continuing;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executes and delivers to the trustee an officers’ certificate stating that the global security is exchangeable.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84"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not be entitled to physical delivery of certificated debt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not be considered to be holders of those debt securities under the indentures.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Payments, transfers and exchanges relating to beneficial interests in a global security will be subject to policies and procedures of the depositary.</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46"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if any, is a U.S. corporation, limited liability company, partnership, trust or other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assumes our obligations on the debt securities and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inform you otherwise in the prospectus supplement, the indenture will define an event of default with respect to any series of debt securities as one or more of the following events:</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any interest on any debt security of that series for 30 days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perform any other covenant in the indenture continued for 90 days after being given the notice required in the indenture;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bankruptcy, insolvency or reorganization;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event of default specified in the prospectus supplement.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event of default of one series of debt securities is not necessarily an event of default for any other series of debt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A holder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60" w:hanging="304"/>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holder has previously given to the trustee written notice of a continuing event of default with respect to the debt securities of that series;</w:t>
      </w:r>
    </w:p>
    <w:p>
      <w:pPr>
        <w:spacing w:after="0" w:line="248" w:lineRule="exact"/>
        <w:rPr>
          <w:rFonts w:ascii="Arial" w:cs="Arial" w:eastAsia="Arial" w:hAnsi="Arial"/>
          <w:sz w:val="16"/>
          <w:szCs w:val="16"/>
          <w:color w:val="auto"/>
        </w:rPr>
      </w:pPr>
    </w:p>
    <w:p>
      <w:pPr>
        <w:ind w:left="960" w:hanging="304"/>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960" w:hanging="304"/>
        <w:spacing w:after="0" w:line="308"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may, however, sue to enforce the payment of principal or interest on any debt security on or after the due date without following the procedures listed in (1) through (3)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70" w:lineRule="exact"/>
        <w:rPr>
          <w:sz w:val="20"/>
          <w:szCs w:val="20"/>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 the principal on any debt security or reduce the amount of, or postpone the date fixed for, the payment of any sinking fund;</w:t>
      </w:r>
    </w:p>
    <w:p>
      <w:pPr>
        <w:spacing w:after="0" w:line="236" w:lineRule="exact"/>
        <w:rPr>
          <w:rFonts w:ascii="Arial" w:cs="Arial" w:eastAsia="Arial" w:hAnsi="Arial"/>
          <w:sz w:val="17"/>
          <w:szCs w:val="17"/>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on acceleration of maturity;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rate of interest or extend the time for payment of interest on any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 principal or interest payment on any debt security in any currency other than that stated in the debt security;</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60" w:hanging="30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waive any default or event of default in payment of the principal of, premium or interest on any debt security (except certain rescissions of acceleration); or</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waive a redemption payment or modify any of the redemption provisions of any debt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outstanding securities, we and the trustee may amend or supplement the indentures:</w:t>
      </w:r>
    </w:p>
    <w:p>
      <w:pPr>
        <w:spacing w:after="0" w:line="170" w:lineRule="exact"/>
        <w:rPr>
          <w:sz w:val="20"/>
          <w:szCs w:val="20"/>
          <w:color w:val="auto"/>
        </w:rPr>
      </w:pPr>
    </w:p>
    <w:p>
      <w:pPr>
        <w:ind w:left="960" w:hanging="304"/>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48" w:lineRule="exact"/>
        <w:rPr>
          <w:rFonts w:ascii="Arial" w:cs="Arial" w:eastAsia="Arial" w:hAnsi="Arial"/>
          <w:sz w:val="16"/>
          <w:szCs w:val="16"/>
          <w:color w:val="auto"/>
        </w:rPr>
      </w:pPr>
    </w:p>
    <w:p>
      <w:pPr>
        <w:ind w:left="960" w:hanging="30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960" w:hanging="30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for the assumption of our obligations to holders of any debt security in the case of a merger, consolidation, transfer or sale of all or substantially all of our assets;</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legal rights under the indenture of any such holder;</w:t>
      </w:r>
    </w:p>
    <w:p>
      <w:pPr>
        <w:spacing w:after="0" w:line="225" w:lineRule="exact"/>
        <w:rPr>
          <w:rFonts w:ascii="Arial" w:cs="Arial" w:eastAsia="Arial" w:hAnsi="Arial"/>
          <w:sz w:val="18"/>
          <w:szCs w:val="18"/>
          <w:color w:val="auto"/>
        </w:rPr>
      </w:pPr>
    </w:p>
    <w:p>
      <w:pPr>
        <w:ind w:left="960" w:hanging="30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comply with requirements of the Commission in order to effect or maintain the qualification of an indenture under the Trust Indenture Act; or</w:t>
      </w:r>
    </w:p>
    <w:p>
      <w:pPr>
        <w:spacing w:after="0" w:line="170" w:lineRule="exact"/>
        <w:rPr>
          <w:rFonts w:ascii="Arial" w:cs="Arial" w:eastAsia="Arial" w:hAnsi="Arial"/>
          <w:sz w:val="18"/>
          <w:szCs w:val="18"/>
          <w:color w:val="auto"/>
        </w:rPr>
      </w:pPr>
    </w:p>
    <w:p>
      <w:pPr>
        <w:jc w:val="both"/>
        <w:ind w:left="960" w:hanging="304"/>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w:t>
      </w:r>
    </w:p>
    <w:p>
      <w:pPr>
        <w:spacing w:after="0" w:line="225" w:lineRule="exact"/>
        <w:rPr>
          <w:sz w:val="20"/>
          <w:szCs w:val="20"/>
          <w:color w:val="auto"/>
        </w:rPr>
      </w:pPr>
    </w:p>
    <w:p>
      <w:pPr>
        <w:ind w:left="960" w:hanging="304"/>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be discharged from all of our obligations, subject to limited exceptions, with respect to any series of debt securities then outstanding; and/or</w:t>
      </w:r>
    </w:p>
    <w:p>
      <w:pPr>
        <w:spacing w:after="0" w:line="248" w:lineRule="exact"/>
        <w:rPr>
          <w:rFonts w:ascii="Arial" w:cs="Arial" w:eastAsia="Arial" w:hAnsi="Arial"/>
          <w:sz w:val="16"/>
          <w:szCs w:val="16"/>
          <w:color w:val="auto"/>
        </w:rPr>
      </w:pPr>
    </w:p>
    <w:p>
      <w:pPr>
        <w:ind w:left="960" w:hanging="304"/>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and the debt securities will be governed by, and construed under, the law of the State of New York.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limits the right of the trustee, should it become a creditor of us,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make any payment on subordinated debt securities, including upon redemption at the option of the holder of any subordinated debt securities or at our option, if:</w:t>
      </w:r>
    </w:p>
    <w:p>
      <w:pPr>
        <w:spacing w:after="0" w:line="170" w:lineRule="exact"/>
        <w:rPr>
          <w:sz w:val="20"/>
          <w:szCs w:val="20"/>
          <w:color w:val="auto"/>
        </w:rPr>
      </w:pPr>
    </w:p>
    <w:p>
      <w:pPr>
        <w:ind w:left="960" w:hanging="30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70" w:lineRule="exact"/>
        <w:rPr>
          <w:rFonts w:ascii="Arial" w:cs="Arial" w:eastAsia="Arial" w:hAnsi="Arial"/>
          <w:sz w:val="18"/>
          <w:szCs w:val="18"/>
          <w:color w:val="auto"/>
        </w:rPr>
      </w:pPr>
    </w:p>
    <w:p>
      <w:pPr>
        <w:jc w:val="both"/>
        <w:ind w:left="960" w:hanging="304"/>
        <w:spacing w:after="0" w:line="263"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prohibited from incurring debt, including senior indebtedness, under the indenture. We may from time to time incur additional debt, including senior indebtedness.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“indebtedness” means:</w:t>
      </w:r>
    </w:p>
    <w:p>
      <w:pPr>
        <w:spacing w:after="0" w:line="225" w:lineRule="exact"/>
        <w:rPr>
          <w:sz w:val="20"/>
          <w:szCs w:val="20"/>
          <w:color w:val="auto"/>
        </w:rPr>
      </w:pPr>
    </w:p>
    <w:p>
      <w:pPr>
        <w:jc w:val="both"/>
        <w:ind w:firstLine="656"/>
        <w:spacing w:after="0" w:line="259" w:lineRule="auto"/>
        <w:tabs>
          <w:tab w:leader="none" w:pos="9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reimbursement obligations and other liabilities with respect to letters of credit, bank guarantees or bankers’ acceptances;</w:t>
      </w:r>
    </w:p>
    <w:p>
      <w:pPr>
        <w:spacing w:after="0" w:line="225" w:lineRule="exact"/>
        <w:rPr>
          <w:rFonts w:ascii="Arial" w:cs="Arial" w:eastAsia="Arial" w:hAnsi="Arial"/>
          <w:sz w:val="18"/>
          <w:szCs w:val="18"/>
          <w:color w:val="auto"/>
        </w:rPr>
      </w:pPr>
    </w:p>
    <w:p>
      <w:pPr>
        <w:ind w:firstLine="656"/>
        <w:spacing w:after="0" w:line="277" w:lineRule="auto"/>
        <w:tabs>
          <w:tab w:leader="none" w:pos="9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170" w:lineRule="exact"/>
        <w:rPr>
          <w:rFonts w:ascii="Arial" w:cs="Arial" w:eastAsia="Arial" w:hAnsi="Arial"/>
          <w:sz w:val="18"/>
          <w:szCs w:val="18"/>
          <w:color w:val="auto"/>
        </w:rPr>
      </w:pPr>
    </w:p>
    <w:p>
      <w:pPr>
        <w:jc w:val="both"/>
        <w:ind w:firstLine="656"/>
        <w:spacing w:after="0" w:line="311" w:lineRule="auto"/>
        <w:tabs>
          <w:tab w:leader="none" w:pos="90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48" w:lineRule="exact"/>
        <w:rPr>
          <w:rFonts w:ascii="Arial" w:cs="Arial" w:eastAsia="Arial" w:hAnsi="Arial"/>
          <w:sz w:val="16"/>
          <w:szCs w:val="16"/>
          <w:color w:val="auto"/>
        </w:rPr>
      </w:pPr>
    </w:p>
    <w:p>
      <w:pPr>
        <w:ind w:firstLine="656"/>
        <w:spacing w:after="0" w:line="277" w:lineRule="auto"/>
        <w:tabs>
          <w:tab w:leader="none" w:pos="9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70" w:lineRule="exact"/>
        <w:rPr>
          <w:rFonts w:ascii="Arial" w:cs="Arial" w:eastAsia="Arial" w:hAnsi="Arial"/>
          <w:sz w:val="18"/>
          <w:szCs w:val="18"/>
          <w:color w:val="auto"/>
        </w:rPr>
      </w:pPr>
    </w:p>
    <w:p>
      <w:pPr>
        <w:ind w:right="20" w:firstLine="656"/>
        <w:spacing w:after="0" w:line="308" w:lineRule="auto"/>
        <w:tabs>
          <w:tab w:leader="none" w:pos="909"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46" w:lineRule="exact"/>
        <w:rPr>
          <w:rFonts w:ascii="Arial" w:cs="Arial" w:eastAsia="Arial" w:hAnsi="Arial"/>
          <w:sz w:val="17"/>
          <w:szCs w:val="17"/>
          <w:color w:val="auto"/>
        </w:rPr>
      </w:pPr>
    </w:p>
    <w:p>
      <w:pPr>
        <w:ind w:firstLine="656"/>
        <w:spacing w:after="0" w:line="277" w:lineRule="auto"/>
        <w:tabs>
          <w:tab w:leader="none" w:pos="9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indebtedness or other obligations described in (1) through (6) above secured by any mortgage, pledge, lien or other encumbrance existing on property which is owned or held by us; and</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87" w:lineRule="exact"/>
        <w:rPr>
          <w:sz w:val="20"/>
          <w:szCs w:val="20"/>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indebtedness to any of our majority-owned subsidiaries;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subordinated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DESCRIPTION OF THE RIGHTS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as a dividend at no cost, to holders of record of our securities or any class or series thereof on the applicable record date, rights to purchase common shares or preferred shares, to the extent duly authorized and created,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stockholder rights are issued, the applicable prospectus supplement will describe the terms of such stockholder rights including the following where applicable:</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subscription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subscription agent;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number of common shares, preferred shares, warrants, depositary shares or units, or principal amount of debt securities, purchasable upon exercise of such stockholder rights;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date on which the right to exercise such stockholder rights shall commence and the expiration date on which such right shall expire;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material terms of such stockholder rights.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Holders of stockholder rights will not be entitled by virtue of being such holders, to vote, to consent, to receive dividends, to receive notice with respect to any meeting of stockholders for the election of our directors or any other matter, or to exercise any rights whatsoever as shareholders of the Company, except to the extent described in the related prospectus supplement. In addition, holders of shareholder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at our option, elect to offer fractional shares rather than full shares of the common shares. In the event that we determine to do so, we will issue receipts for depositary shares, each of which will represent a fraction of a common share as more fully described below.</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fraction of common shares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common share by the depositary shares, to all the rights of the common shares represented thereby (including, as applicable, dividend, voting, redemption, subscription and liquidation rights).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common shares.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Immediately following our issuance of common shares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depositary will distribute all cash dividends or other cash distributions received in respect of the common shares to the record holders of depositary shares relating to the common shares in proportion to the number of the depositary shares owned by the 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93"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common shares underlying the depositary shares is subject to redemption, the depositary shares will be redeemed from the proceeds received by the depositary resulting from any redemption, in whole or in part, of the common shares held by the depositary. The redemption price per depositary shares will be equal to the applicable fraction of the redemption price per share payable with respect to the common shares. If we redeem common shares held by the depositary, the depositary will redeem as of the same redemption date the number of depositary shares representing the common shares so redeemed. If less than all the depositary shares are to be redeemed, the depositary shares to be redeemed will be selected by lot or substantially equivalent method determined by the depositary.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Common Shares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receipt of notice of any meeting at which the holders of any common shares are entitled to vote, the depositary will mail the information contained in the notice of meeting to the record holders of the depositary shares relating to the common shares. Each record holder of the depositary shares on the record date (which will be the same date as the record date for the related common shares) will be entitled to instruct the depositary as to the exercise of the voting rights pertaining to the number of common shares represented by that holder’s depositary shares. The depositary will endeavor, insofar as practicable, to vote or cause to be voted the number of common shares represented by the depositary shares in accordance with the instructions, provided the depositary receives the instructions sufficiently in advance of the meeting to enable it to so vote or cause to be voted the common shares, and we will agree to take all reasonable action that may be deemed necessary by the depositary in order to enable the depositary to do so. The depositary will abstain from voting the common shares to the extent it does not receive specific instructions from the holders of depositary shares representing the common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common shares and any money or other property, if any, represented by the depositary shares. Holders of depositary shares will be entitled to receive whole shares of the related common shares, but holders of the whole common shares will not thereafter be entitled to deposit the common shares with the depositary or to receive depositary shares therefor. If the depositary receipts delivered by the holder evidence a number of depositary shares in excess of the number of depositary shares representing the number of whole shares of the related common shares to be withdrawn, the depositary will deliver to the holder or upon his or her order at the same time a new depositary receipt evidencing the excess number of depositary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common shares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common shares as are represented by the depositary shares. The deposit agreement shall automatically terminate after all outstanding depositary shares have been redeemed or there has been a final distribution in respect of the related common shares in connection with any liquidation, dissolution or winding up of us and the distribution has been distributed to the holders of depositary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pay all transfer and other taxes and the governmental charges arising solely from the existence of the depositary arrangements. We will pay the charges of the depositary, including charges in connection with the initial deposit of the related common shares and the initial issuance of the depositary shares and all withdrawals of shares of the related common shares, except that holders of depositary shares will pay transfer and other taxes and governmental charges and any other charges as are expressly provided in the deposit agreement to be for their accounts.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depositary will forward to the holders of depositary shares all reports and communications from us that are delivered to the depositary and which we are required to furnish to the holders of the related common shares. The depositary’s corporate trust office will be identified in the applicable prospectus supplement. Unless otherwise set forth in the applicable prospectus supplement, the depositary will act as transfer agent and registrar for depositary receipts and if common shares are redeemable, the depositary will also act as redemption agent for the corresponding depositary receipts.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73" w:lineRule="auto"/>
        <w:rPr>
          <w:sz w:val="20"/>
          <w:szCs w:val="20"/>
          <w:color w:val="auto"/>
        </w:rPr>
      </w:pPr>
      <w:r>
        <w:rPr>
          <w:rFonts w:ascii="Arial" w:cs="Arial" w:eastAsia="Arial" w:hAnsi="Arial"/>
          <w:sz w:val="17"/>
          <w:szCs w:val="17"/>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place, time of delivery, and other terms of the offered securities will be described in the applicable prospectus supplement.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INCOME TAX CONSIDERATIONS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an exempted company with limited liability incorporated under the laws of the Cayman Islands and our affairs are governed by our memorandum and articles of association and the Companies Act, and the common law of the Cayman Islands. We are incorporated in the Cayman Islands because of certain benefits associated with being a Cayman Islands company, such as: (1) political and economic stability; (2) an effective judicial system; (3) a favorable tax system; (4) the absence of exchange control or currency restrictions; and (5) the availability of professional and support services.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provide less protection for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Ogier, our counsel as to Cayman Islands law, and Grandway Law Offices, our counsel as to PRC law, have advised us, respectively, that there is uncertainty as to whether the courts of the Cayman Islands and China, respectively, would:</w:t>
      </w:r>
    </w:p>
    <w:p>
      <w:pPr>
        <w:spacing w:after="0" w:line="170" w:lineRule="exact"/>
        <w:rPr>
          <w:sz w:val="20"/>
          <w:szCs w:val="20"/>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48"/>
        <w:spacing w:after="0" w:line="287" w:lineRule="auto"/>
        <w:rPr>
          <w:sz w:val="20"/>
          <w:szCs w:val="20"/>
          <w:color w:val="auto"/>
        </w:rPr>
      </w:pPr>
      <w:r>
        <w:rPr>
          <w:rFonts w:ascii="Arial" w:cs="Arial" w:eastAsia="Arial" w:hAnsi="Arial"/>
          <w:sz w:val="16"/>
          <w:szCs w:val="16"/>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(e) was not obtained in a manner and (f) is not of a kind the enforcement of which is contrary to natural justice or the public policy of the Cayman Islands.</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Grandway Law Offices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consolidated financial statements of CLPS Incorporation appearing in CLPS Incorporation’s Annual Report (Form 20-F) for the year ended June 30, 2022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The offices of Ernst &amp; Young Hua Ming LLP are located at 50/F, Shanghai World Financial Center, 100 Century Avenue, Pudong New Area, Shanghai, the People’s Republic of China.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matters as to U.S. federal law in connection with this offering will be passed upon for us by Loeb &amp; Loeb LLP. The validity of the shares and certain legal matters relating to the offering as to Cayman Islands law will be passed upon for us by Ogier. Certain legal matters relating to the offering as to Chinese law will be passed upon for us by Grandway Law Offices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rFonts w:ascii="Arial" w:cs="Arial" w:eastAsia="Arial" w:hAnsi="Arial"/>
                <w:sz w:val="18"/>
                <w:szCs w:val="18"/>
                <w:color w:val="0000EE"/>
                <w:w w:val="95"/>
              </w:rPr>
            </w:pPr>
            <w:hyperlink r:id="rId58">
              <w:r>
                <w:rPr>
                  <w:rFonts w:ascii="Arial" w:cs="Arial" w:eastAsia="Arial" w:hAnsi="Arial"/>
                  <w:sz w:val="18"/>
                  <w:szCs w:val="18"/>
                  <w:color w:val="0000EE"/>
                  <w:w w:val="95"/>
                </w:rPr>
                <w:t>Specimen Certificate for Common Shares (incorporated by reference to Exhibit 4.1 from Registration Statement on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223956) filed with the SEC on March 27, 2018).</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Form of Warrant</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Form of Indenture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Form of Warrant Agreement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Form of Debt Security</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Form of Deposit Agreement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Form of Unit Agreement</w:t>
            </w: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Consent of Ernst Young Hua Ming LLP</w:t>
            </w:r>
          </w:p>
        </w:tc>
        <w:tc>
          <w:tcPr>
            <w:tcW w:w="7220" w:type="dxa"/>
            <w:vAlign w:val="bottom"/>
            <w:tcBorders>
              <w:bottom w:val="single" w:sz="8" w:color="CCEEFF"/>
            </w:tcBorders>
            <w:gridSpan w:val="2"/>
            <w:shd w:val="clear" w:color="auto" w:fill="CCEEFF"/>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Statement of Eligibility on Form T-1</w:t>
            </w: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Calculation of Filing Fee Table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00" w:hanging="538"/>
        <w:spacing w:after="0" w:line="258"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be filed as an exhibit to a post-effective amendment to this registration statement or as an exhibit to a report filed on Form 6-K under the Exchange Act and incorporated herein by reference.</w:t>
      </w:r>
    </w:p>
    <w:p>
      <w:pPr>
        <w:spacing w:after="0" w:line="1" w:lineRule="exact"/>
        <w:rPr>
          <w:sz w:val="20"/>
          <w:szCs w:val="20"/>
          <w:color w:val="auto"/>
        </w:rPr>
      </w:pPr>
    </w:p>
    <w:p>
      <w:pPr>
        <w:ind w:left="600" w:hanging="53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as a 305B2 filing in connection with an offering of debt securities.</w:t>
      </w:r>
    </w:p>
    <w:p>
      <w:pPr>
        <w:spacing w:after="0" w:line="9" w:lineRule="exact"/>
        <w:rPr>
          <w:rFonts w:ascii="Arial" w:cs="Arial" w:eastAsia="Arial" w:hAnsi="Arial"/>
          <w:sz w:val="18"/>
          <w:szCs w:val="18"/>
          <w:color w:val="auto"/>
        </w:rPr>
      </w:pPr>
    </w:p>
    <w:p>
      <w:pPr>
        <w:ind w:left="600" w:hanging="53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73" w:lineRule="auto"/>
        <w:tabs>
          <w:tab w:leader="none" w:pos="92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7" w:lineRule="exact"/>
        <w:rPr>
          <w:rFonts w:ascii="Arial" w:cs="Arial" w:eastAsia="Arial" w:hAnsi="Arial"/>
          <w:sz w:val="17"/>
          <w:szCs w:val="17"/>
          <w:color w:val="auto"/>
        </w:rPr>
      </w:pPr>
    </w:p>
    <w:p>
      <w:pPr>
        <w:jc w:val="both"/>
        <w:ind w:firstLine="656"/>
        <w:spacing w:after="0" w:line="291" w:lineRule="auto"/>
        <w:tabs>
          <w:tab w:leader="none" w:pos="9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undertakings set forth in paragraphs (a)(1)(i), (a)(1)(ii) and (a)</w:t>
      </w: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(1)(iii) above do not apply if the information required to be included in a post-effective amendment by those paragraphs is contained in reports filed with or furnished to the SEC by the registrant pursuant to Section 13 or Section 15(d) of the Securities Exchange Act of 1934, or the Exchange Act, that are incorporated by reference into the registration statement, or is contained in a form of prospectus filed pursuant to Rule 424(b) that is part of the registration statement.</w:t>
      </w:r>
    </w:p>
    <w:p>
      <w:pPr>
        <w:spacing w:after="0" w:line="193" w:lineRule="exact"/>
        <w:rPr>
          <w:sz w:val="20"/>
          <w:szCs w:val="20"/>
          <w:color w:val="auto"/>
        </w:rPr>
      </w:pPr>
    </w:p>
    <w:p>
      <w:pPr>
        <w:ind w:right="20" w:firstLine="656"/>
        <w:spacing w:after="0" w:line="277" w:lineRule="auto"/>
        <w:tabs>
          <w:tab w:leader="none" w:pos="9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8" w:gutter="0" w:footer="0" w:header="0"/>
        </w:sectPr>
      </w:pPr>
    </w:p>
    <w:bookmarkStart w:id="39" w:name="page40"/>
    <w:bookmarkEnd w:id="39"/>
    <w:p>
      <w:pPr>
        <w:jc w:val="both"/>
        <w:ind w:firstLine="656"/>
        <w:spacing w:after="0" w:line="263" w:lineRule="auto"/>
        <w:tabs>
          <w:tab w:leader="none" w:pos="9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656"/>
        <w:spacing w:after="0" w:line="277" w:lineRule="auto"/>
        <w:tabs>
          <w:tab w:leader="none" w:pos="9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71" w:lineRule="auto"/>
        <w:tabs>
          <w:tab w:leader="none" w:pos="912"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 need not be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registrant includes in the prospectus, by means of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into the registration statement.</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sz w:val="20"/>
          <w:szCs w:val="20"/>
          <w:color w:val="auto"/>
        </w:rPr>
      </w:pPr>
    </w:p>
    <w:p>
      <w:pPr>
        <w:jc w:val="both"/>
        <w:ind w:firstLine="656"/>
        <w:spacing w:after="0" w:line="291" w:lineRule="auto"/>
        <w:tabs>
          <w:tab w:leader="none" w:pos="9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w:t>
      </w: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9" w:lineRule="exact"/>
        <w:rPr>
          <w:sz w:val="20"/>
          <w:szCs w:val="20"/>
          <w:color w:val="auto"/>
        </w:rPr>
      </w:pPr>
    </w:p>
    <w:p>
      <w:pPr>
        <w:jc w:val="both"/>
        <w:ind w:firstLine="656"/>
        <w:spacing w:after="0" w:line="257" w:lineRule="auto"/>
        <w:tabs>
          <w:tab w:leader="none" w:pos="9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right="20" w:firstLine="656"/>
        <w:spacing w:after="0" w:line="277" w:lineRule="auto"/>
        <w:tabs>
          <w:tab w:leader="none" w:pos="9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firstLine="656"/>
        <w:spacing w:after="0" w:line="277" w:lineRule="auto"/>
        <w:tabs>
          <w:tab w:leader="none" w:pos="9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79" w:lineRule="auto"/>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1" w:lineRule="exact"/>
        <w:rPr>
          <w:rFonts w:ascii="Arial" w:cs="Arial" w:eastAsia="Arial" w:hAnsi="Arial"/>
          <w:sz w:val="17"/>
          <w:szCs w:val="17"/>
          <w:color w:val="auto"/>
        </w:rPr>
      </w:pPr>
    </w:p>
    <w:p>
      <w:pPr>
        <w:jc w:val="both"/>
        <w:ind w:firstLine="656"/>
        <w:spacing w:after="0" w:line="29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Hong Kong SAR, on November 10, 2022.</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0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Xiao Feng Yang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640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Raymond Ming Hui Lin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03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Rui Yang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03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Zhaohui Feng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03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Chong Seng Kee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03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Jin He Shao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Chairman, President and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November 10, 2022</w:t>
            </w:r>
          </w:p>
        </w:tc>
      </w:tr>
      <w:tr>
        <w:trPr>
          <w:trHeight w:val="674"/>
        </w:trPr>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 and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November 10, 2022</w:t>
            </w:r>
          </w:p>
        </w:tc>
      </w:tr>
      <w:tr>
        <w:trPr>
          <w:trHeight w:val="230"/>
        </w:trPr>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480" w:type="dxa"/>
            <w:vAlign w:val="bottom"/>
          </w:tcPr>
          <w:p>
            <w:pPr>
              <w:spacing w:after="0"/>
              <w:rPr>
                <w:sz w:val="20"/>
                <w:szCs w:val="20"/>
                <w:color w:val="auto"/>
              </w:rPr>
            </w:pPr>
          </w:p>
        </w:tc>
      </w:tr>
      <w:tr>
        <w:trPr>
          <w:trHeight w:val="445"/>
        </w:trPr>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November 10, 2022</w:t>
            </w:r>
          </w:p>
        </w:tc>
      </w:tr>
      <w:tr>
        <w:trPr>
          <w:trHeight w:val="230"/>
        </w:trPr>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Accounting and Financial Officer)</w:t>
            </w:r>
          </w:p>
        </w:tc>
        <w:tc>
          <w:tcPr>
            <w:tcW w:w="2480" w:type="dxa"/>
            <w:vAlign w:val="bottom"/>
          </w:tcPr>
          <w:p>
            <w:pPr>
              <w:spacing w:after="0"/>
              <w:rPr>
                <w:sz w:val="20"/>
                <w:szCs w:val="20"/>
                <w:color w:val="auto"/>
              </w:rPr>
            </w:pPr>
          </w:p>
        </w:tc>
      </w:tr>
      <w:tr>
        <w:trPr>
          <w:trHeight w:val="445"/>
        </w:trPr>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Independent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November 10, 2022</w:t>
            </w:r>
          </w:p>
        </w:tc>
      </w:tr>
      <w:tr>
        <w:trPr>
          <w:trHeight w:val="675"/>
        </w:trPr>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Independent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November 10, 2022</w:t>
            </w:r>
          </w:p>
        </w:tc>
      </w:tr>
      <w:tr>
        <w:trPr>
          <w:trHeight w:val="675"/>
        </w:trPr>
        <w:tc>
          <w:tcPr>
            <w:tcW w:w="4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Independent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November 10, 2022</w:t>
            </w:r>
          </w:p>
        </w:tc>
      </w:tr>
    </w:tbl>
    <w:p>
      <w:pPr>
        <w:spacing w:after="0" w:line="200" w:lineRule="exact"/>
        <w:rPr>
          <w:sz w:val="20"/>
          <w:szCs w:val="20"/>
          <w:color w:val="auto"/>
        </w:rPr>
      </w:pPr>
    </w:p>
    <w:p>
      <w:pPr>
        <w:spacing w:after="0" w:line="245" w:lineRule="exact"/>
        <w:rPr>
          <w:sz w:val="20"/>
          <w:szCs w:val="20"/>
          <w:color w:val="auto"/>
        </w:rPr>
      </w:pPr>
    </w:p>
    <w:p>
      <w:pPr>
        <w:ind w:left="2360"/>
        <w:spacing w:after="0"/>
        <w:tabs>
          <w:tab w:leader="none" w:pos="2900" w:val="left"/>
        </w:tabs>
        <w:rPr>
          <w:sz w:val="20"/>
          <w:szCs w:val="20"/>
          <w:color w:val="auto"/>
        </w:rPr>
      </w:pPr>
      <w:r>
        <w:rPr>
          <w:rFonts w:ascii="Arial" w:cs="Arial" w:eastAsia="Arial" w:hAnsi="Arial"/>
          <w:sz w:val="18"/>
          <w:szCs w:val="18"/>
          <w:color w:val="auto"/>
        </w:rPr>
        <w:t>*By:</w:t>
        <w:tab/>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14605</wp:posOffset>
            </wp:positionV>
            <wp:extent cx="24942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ectPr>
          <w:pgSz w:w="11900" w:h="16838" w:orient="portrait"/>
          <w:cols w:equalWidth="0" w:num="2">
            <w:col w:w="3680" w:space="720"/>
            <w:col w:w="6840"/>
          </w:cols>
          <w:pgMar w:left="320" w:top="904" w:right="3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AUTHORIZED UNITED STATES REPRESENTATIVE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 of the Securities Act of 1933, the undersigned, the duly authorized representative in the United States of the aforementioned Registrant, has signed this registration statement in the City of Newark, State of Delaware, on November 10,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PUGLISI &amp; ASSOCIATES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Donald J. Puglisi</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reference to our firm under the caption “Experts” in Amendment No. 2 to the Registration Statement (Form F-3 No. 333-266951) and related prospectus of CLPS Incorporation for the registration of its common shares, preferred shares, warrants, debt securities, rights, depositary shares and units of its securities and to the incorporation by reference therein of our report dated October 20, 2022, with respect to the consolidated financial statements of CLPS Incorporation, included in its Annual Report (Form 20-F) for the year ended June 30, 2022, filed with the Securities and Exchange Commission.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lowerRoman"/>
      <w:start w:val="2"/>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9"/>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upperLetter"/>
      <w:start w:val="1"/>
    </w:lvl>
  </w:abstractNum>
  <w:abstractNum w:abstractNumId="39">
    <w:nsid w:val="153EA438"/>
    <w:multiLevelType w:val="hybridMultilevel"/>
    <w:lvl w:ilvl="0">
      <w:lvlJc w:val="left"/>
      <w:lvlText w:val="(%1)"/>
      <w:numFmt w:val="decimal"/>
      <w:start w:val="6"/>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22" Type="http://schemas.openxmlformats.org/officeDocument/2006/relationships/hyperlink" Target="http://www.sec.gov/ix?doc=/Archives/edgar/data/1724542/000121390022065082/f20f2022_clpsinc.htm" TargetMode="External"/><Relationship Id="rId23" Type="http://schemas.openxmlformats.org/officeDocument/2006/relationships/hyperlink" Target="http://www.sec.gov/Archives/edgar/data/1724542/000121390018003524/ff12018_clpsincorporation.htm" TargetMode="External"/><Relationship Id="rId24" Type="http://schemas.openxmlformats.org/officeDocument/2006/relationships/hyperlink" Target="http://www.sec.gov/Archives/edgar/data/1724542/000121390018006724/f8a12b0518_clpsincorporation.htm" TargetMode="External"/><Relationship Id="rId58" Type="http://schemas.openxmlformats.org/officeDocument/2006/relationships/hyperlink" Target="http://www.sec.gov/Archives/edgar/data/1724542/000121390018003524/ff12018ex4-1_clpsincorp.htm" TargetMode="External"/><Relationship Id="rId59" Type="http://schemas.openxmlformats.org/officeDocument/2006/relationships/hyperlink" Target="http://www.sec.gov/Archives/edgar/data/1724542/000121390022063551/ea167034ex4-3_clpsinc.htm" TargetMode="External"/><Relationship Id="rId60" Type="http://schemas.openxmlformats.org/officeDocument/2006/relationships/hyperlink" Target="http://www.sec.gov/Archives/edgar/data/1724542/000121390022049179/ea164343ex-fee_clp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2022-11-10T16:52:14Z</dcterms:created>
  <dcterms:modified xsi:type="dcterms:W3CDTF">2022-11-10T16:52:14Z</dcterms:modified>
</cp:coreProperties>
</file>