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0182-6k_clpsinc.htm"/>
      <w:bookmarkStart w:id="1" w:name="ksea02801826k_clpsinc"/>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PURSUANT </w:t>
      </w:r>
      <w:r>
        <w:rPr>
          <w:rFonts w:ascii="Times New Roman;Times;Serif" w:hAnsi="Times New Roman;Times;Serif"/>
          <w:b w:val="false"/>
          <w:i w:val="false"/>
          <w:caps w:val="false"/>
          <w:smallCaps w:val="false"/>
          <w:sz w:val="20"/>
        </w:rPr>
        <w:t xml:space="preserve">TO </w:t>
      </w:r>
      <w:r>
        <w:rPr>
          <w:rFonts w:ascii="Times New Roman;Times;Serif" w:hAnsi="Times New Roman;Times;Serif"/>
          <w:b/>
          <w:i w:val="false"/>
          <w:caps w:val="false"/>
          <w:smallCaps w:val="false"/>
          <w:sz w:val="20"/>
        </w:rPr>
        <w:t>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001-38505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Unit 1000, 10th Floor, Millennium City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 Kwun Tong Road, Kwun Tong,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(852) 37073600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CLPS Inc. (the “Company”) issued a press release announcing its unaudited financial results for the six months ended December 31, 2025, or the first half of the Company’s fiscal year 2026. A copy of this press release is filed as Exhibit 99.1 to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395"/>
        <w:gridCol w:w="60"/>
        <w:gridCol w:w="1115"/>
      </w:tblGrid>
      <w:tr>
        <w:trPr/>
        <w:tc>
          <w:tcPr>
            <w:tcW w:w="395" w:type="dxa"/>
            <w:tcBorders/>
            <w:vAlign w:val="center"/>
          </w:tcPr>
          <w:p>
            <w:pPr>
              <w:pStyle w:val="TableContents"/>
              <w:bidi w:val="0"/>
              <w:spacing w:before="0" w:after="283"/>
              <w:jc w:val="left"/>
              <w:rPr>
                <w:sz w:val="20"/>
              </w:rPr>
            </w:pPr>
            <w:r>
              <w:rPr>
                <w:sz w:val="20"/>
              </w:rPr>
              <w:t>99.1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both"/>
              <w:rPr/>
            </w:pPr>
            <w:hyperlink w:anchor="ea028018201ex99-1.htm">
              <w:r>
                <w:rPr>
                  <w:rStyle w:val="InternetLink"/>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36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710"/>
        <w:gridCol w:w="2615"/>
      </w:tblGrid>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b/>
              </w:rPr>
            </w:pPr>
            <w:r>
              <w:rPr>
                <w:b/>
              </w:rPr>
              <w:t>CLPS Incorporation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615" w:type="dxa"/>
            <w:tcBorders>
              <w:bottom w:val="single" w:sz="12" w:space="0" w:color="000000"/>
            </w:tcBorders>
            <w:tcMar>
              <w:bottom w:w="28" w:type="dxa"/>
            </w:tcMar>
            <w:vAlign w:val="center"/>
          </w:tcPr>
          <w:p>
            <w:pPr>
              <w:pStyle w:val="TableContents"/>
              <w:bidi w:val="0"/>
              <w:spacing w:before="0" w:after="283"/>
              <w:jc w:val="left"/>
              <w:rPr/>
            </w:pPr>
            <w:r>
              <w:rPr/>
              <w:t>/s/ Raymond Ming Hui Lin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615" w:type="dxa"/>
            <w:tcBorders/>
            <w:vAlign w:val="center"/>
          </w:tcPr>
          <w:p>
            <w:pPr>
              <w:pStyle w:val="TableContents"/>
              <w:bidi w:val="0"/>
              <w:spacing w:before="0" w:after="283"/>
              <w:jc w:val="left"/>
              <w:rPr/>
            </w:pPr>
            <w:r>
              <w:rPr/>
              <w:t>Raymond Ming Hui Lin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615" w:type="dxa"/>
            <w:tcBorders/>
            <w:vAlign w:val="center"/>
          </w:tcPr>
          <w:p>
            <w:pPr>
              <w:pStyle w:val="TableContents"/>
              <w:bidi w:val="0"/>
              <w:spacing w:before="0" w:after="283"/>
              <w:jc w:val="left"/>
              <w:rPr/>
            </w:pPr>
            <w:r>
              <w:rPr/>
              <w:t>Chief Executive Officer</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 w:name="ea028018201ex99-1.htm"/>
      <w:bookmarkStart w:id="3" w:name="ksea028018201ex991"/>
      <w:bookmarkEnd w:id="2"/>
      <w:bookmarkEnd w:id="3"/>
      <w:r>
        <w:rPr>
          <w:b/>
        </w:rPr>
        <w:t>Exhibit 99.1</w:t>
      </w:r>
      <w:r>
        <w:br w:type="page"/>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 Reports Financial Results for the First Half of Fiscal Year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March 6, 2026 /PRNewswire/ -- CLPS Incorporation (the “Company” or “CLPS”) (Nasdaq: CLPS), today announced its unaudited financial results for the six months ended December 31, 2025, or the first half of the Company’s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this period, while the downsizing of a key client’s China Solution Centers (CSCs) continued to create a significant financial impact, the Company delivered a robust financial performance, achieving growth across both the top and bottom lines. Total revenue continued its upward trajectory, and most significantly, the Company realized a year-over-year increase in net income. This growth trend highlights the effectiveness of our stringent resource allocation and our strategic pivot toward high-value international markets and cutting-edge technological integrations.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operational resilience was further demonstrated by its ability to secure new clients and achieve year-over-year growth in IT consulting services, successfully offsetting the impact triggered by a major client’s global restructuring strategy in the previous fiscal year. In addition, the digital transformation team’s focus on high-demand fields such as artificial intelligence (AI), robotic process automation (RPA), and payment technologies resulted in a remarkable 134.7% increase in customized IT solution services, reaching $2.2 million for the period. These successes were underpinned by the maintenance of long-standing relationships with existing clients and a deliberate reduction in revenue concentration in mainland China in favor of aggressive overseas expansion. As a result, revenue generated from outside of mainland China surged. This was driven by a strong performance of our IT services business in the APAC region, where aggregate revenue (excluding mainland China) rose from $16.9 million to $26.8 million, while the U.S. market saw exceptional growth, with revenue more than doubling—an increase of 101.6% to $4.1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Half of Fiscal 2026 Highlights (all results compared to the six months ended December 31, 2024) </w:t>
      </w:r>
    </w:p>
    <w:p>
      <w:pPr>
        <w:pStyle w:val="TextBody"/>
        <w:bidi w:val="0"/>
        <w:spacing w:before="0" w:after="0"/>
        <w:ind w:left="0" w:right="0" w:hanging="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sz w:val="20"/>
              </w:rPr>
            </w:pPr>
            <w:r>
              <w:rPr>
                <w:sz w:val="20"/>
              </w:rPr>
              <w:t>Revenue increased by 2.8% to $85.1 million from $82.8 million.</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Revenue from customized IT solution services increased by 134.7% to $2.2 million from $0.9 million.</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pPr>
            <w:r>
              <w:rPr/>
              <w:t>Revenue generated outside of mainland China increased by 63.1% to $31.0 million from $19.0 million.</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pPr>
            <w:r>
              <w:rPr/>
              <w:t>Gross profit increased by 2.1% to $19.5 million from $19.2 million.</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t>Operating income increased by 300.5% to $0.6 million from $0.2 million.</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170"/>
        <w:gridCol w:w="6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pPr>
            <w:r>
              <w:rPr/>
              <w:t>Net income increased by 74.9% to $0.3 million from $0.2 million.</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Total number of clients in IT services sector was 303 compared to 277.</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Total number of IT projects was 35 compared to 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Raymond Lin, Chief Executive Officer of CLPS, commented, “The first half of fiscal year 2026 marks a pivotal turning point for CLPS, demonstrating that our comprehensive strategic transformation is not merely a response to market shifts, but a successful engine for building future-oriented competitive advantages. In the current global economy environment, the deep integration of technology and business is no longer an option; it is essential for survival and leadership. We have acted decisively to diversify our geographic footprint and evolve our service offerings. By reducing our reliance on a single market and expanding our reach into North America, APAC, and the Middle East, we are establishing a more stable and scalable foundation for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transformation team has been at the forefront of this evolution, delivering high-impact solutions that streamline operational efficiency for financial institutions. Our recent partnership with The Bank of East Asia, Limited (BEA) to conduct a Proof of Concept for ‘Nibot’—our proprietary AI agent—within the HKMA’s GenA.I. Sandbox is a testament to our leadership in integrating RPA with Generative AI to enhance banking efficiency and risk management. Similarly, our successful modernization of a 30-year-old legacy mortgage system for a major Hong Kong bank, achieved in just seven months with a 70% automation rate, provides a clear blueprint for how we can help global institutions shed technical debt and embrace digital agility.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unveiled a Web3-ready issuance platform that bridges traditional finance and digital assets. This solution enables secure, compliant, and real-time stablecoin settlement, meeting the highest global regulatory standards. To support this accelerating global demand, our Japan subsidiary has officially established an Offshore Delivery Center, strengthening our international business footprint and ensuring we have the localized talent and R&amp;D capabilities to serve our clients 24/7.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continue to win new business and expand our reach, we remain focused on disciplined resource allocation to ensure that CLPS remains agile, profitable, and at the forefront of the global digital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Rui Yang, Chief Financial Officer of CLPS, said, “I am pleased to report that our disciplined strategic execution has delivered another period of solid growth and enhanced profitability. Total revenue increased by 2.8% to $85.1 million, underpinned by the early success of our corporate transformation efforts. Notably, revenue from customized IT solution services surged 134.7% to $2.2 million, a testament to the strength of our advanced technological capabilities and ability to address complex client requirements. Furthermore, our global expansion strategy continues to yield results, with revenue generated outside mainland China increasing by an impressive 63.1% to $31.0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commitment to operational efficiency is reflected in our bottom-line results. Gross profit increased by 2.1% to $19.5 million, while operating income tripled—rising 300.5% to $0.6 million. Additionally, net income grew by 74.9% to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period-end, reinforcing our confidence in the Company’s future and intrinsic value, our Board authorized a share repurchase program on February 4, 2026. Effective from February 5 through November 4, 2026, this initiative allows us to repurchase up to 1,000,000 shares in the open market at prices below $2.00 per share. This program underscores our belief that our equity represents a compelling value opportunity and reflects our commitment to enhancing shareholder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downsizing of a key client’s CSCs remained a headwind during this period, these results demonstrate the resilience of our business model, the effectiveness of our strategic pivot, and our unwavering focus on driving sustainable, profitable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of Fiscal Year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fiscal 2026, revenues increased by $2.3 million, or 2.8%, to $85.1 million from $82.8 million in the prior year period. The increase was primarily due to the increased in revenue from IT consulting and customized IT solution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Service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IT consulting services increased by $1.7 million, or 2.2%, to $81.8 million in the first half of fiscal year 2026 from $80.1 million in the prior year period. Revenue from IT consulting services accounted for 96.2% of total revenue compared to 96.7% in the prior year period. The increase was primarily due to a growth in client base and the successful execution of our global expansion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customized IT solution services increased by $1.3 million, or 134.7%, to $2.2 million in the first half of fiscal year 2026 from $0.9 million in the prior year period. Revenue from customized IT solution services accounted for 2.6% of total revenue compared to 1.1% in the prior year period. The increase was primarily due to initial success of our corporate transformation efforts and expanded investment in customized IT solution services. During this period, the successful market launch of Nibot began generating revenue. Furthermore, our project to modernize legacy banking systems using AI integration contributed to revenue growth within this service segment.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academic education services decreased by $0.2 million, or 19.0%, to $0.9 million in the first half of fiscal 2026, from $1.1 million in the prior year period. Revenue from academic education services accounted for 1.0% of total revenue, compared to 1.3% in the prior year period. The decrease was primarily attributable to resource integration following the acquisition of the College of Allied Educators (CAE). Looking ahead, we are focused on generating new momentum by launching innovative courses for CAE to boost enrollment and drive segment revenue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other services decreased by $0.6 million, or 79.9%, to $0.1 million in the first half of fiscal year 2026 from $0.7 million in the prior year period. Revenue from other services accounted for 0.2% of total revenue compared to 0.8% in the prior year period. The decrease was primarily due to the decrease in revenue from IT product sales and head hunting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Operational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the banking area decreased by $7.4 million, or 22.0%, to $26.1 million in the first half of fiscal year 2026 from $33.5 million in the prior year period. Revenue from banking area accounted for 30.7% and 40.4% of total revenues in the first half of fiscal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the wealth management area decreased by $0.8 million, or 5.1%, to $14.6 million in the first half of fiscal year 2026 from $15.4 million in the prior year period. Revenue from wealth management area accounted for 17.2% and 18.6% of total revenues in the first half of fiscal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the e-Commerce area increased by $0.3 million, or 1.9%, to $15.2 million in the first half of fiscal year 2026 from $14.9 million in the prior year period. Revenue from e-Commerce area accounted for 17.9% and 18.0% of total revenues in the first half of fiscal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the automotive area increased by $1.9 million, or 21.5%, to $11.1 million in the first half of fiscal year 2026 from $9.2 million in the prior year period. Revenue from automotive area accounted for 13.1% and 11.1% of total revenues in the first half of fiscal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Revenue from the other areas increased by $8.2 million, or 83.6%, to $18.0 million in the first half of fiscal year 2026 from $9.8 million in the prior year period. Revenue from other area accounted for 21.2% and 11.8% of total revenues in the first half of fiscal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outside of mainland China increased by 63.1% to $31.0 million in the first half of fiscal year 2026 from $19.0 million in the prior year period. The increase was primarily due to the strong operational performance in Singapore, Hong Kong SAR, Japan, and USA.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$0.3 million, or 2.1%, to $19.5 million in the first half of fiscal 2026 compared to $19.2 million in the prior year period. The increase was primarily due to an increase in total revenue. Gross margin decreased to 23.0% in the first half of fiscal 2026 compared to 23.1%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decreased by $0.4 million, or 13.6%, to $2.1 million in the first half of fiscal year 2026 from $2.5 million in the prior year period. As a percentage of total revenues, selling and marketing expenses decreased to 2.5% in the first half of fiscal 2026 compared to 3.0% in the prior year period. The decrease was primarily due to AI-driven automation, workforce optimization, and structural realignment, which reduced redundancies, targeted high-value tasks, and aligned resources with business goals, improving efficiency while lowering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$1.3 million, or 38.7%, to $2.0 million in the first half of fiscal year 2026 from $3.3 million in the prior year period. As a percentage of total revenues, research and development expenses decreased to 2.4% in the first half of fiscal 2026 compared to 4.0% in the prior year period. The decrease was primarily due to the redeployment of R&amp;D staff to deliver customized IT solutions, resulting in a reclassification of these expenses as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$0.8 million, or 5.8%, to $14.9 million in the first half of fiscal year 2026 from $14.1 million in the prior year period. As a percentage of total revenues, general and administrative expenses increased to 17.6% in the first half of fiscal 2026 compared to 17.1% in the prior year period. The increase was primarily due to the recognition of one-time employee severance costs, which were triggered by a major client’s global restructuring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increased by $0.4 million, or 300.5% to $0.6 million in the first half of fiscal 2026 from $0.2 million in the same period of the previous year. Operating margin was 0.7% in the first half of fiscal 2026 compared to 0.2%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of other income was $0.1 million in the first half of fiscal 2026 compared to $0.2 million total other income, net of other expenses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decreased by $0.1 million to $0.2 million in the first half of fiscal 2026 from $0.3 million in the same period of the previous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 and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increased by $0.1 million, or 74.9%, to $0.3 million in the first half of fiscal 2026 from $0.2 million net income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decreased by $0.2 million, or 9.5%, to $2.1 million in the first half of fiscal year 2026 from $2.3 million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CLPS Incorporation’s shareholders was $83.0 thousand, or $0.003 basic and diluted earnings per share in the first half of fiscal 2026 compared to a net loss attributable to CLPS Incorporation’s shareholders of $0.4 million, or $0.015 basic and diluted losses per share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CLPS Incorporation’s shareholders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was $1.8 million, or $0.06 basic and diluted earnings per share in the first half of fiscal 2026 compared to $1.7 million, or $0.06 basic and diluted earnings per share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cash equivalents of $28.4 million compared to $28.2 million as of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approximately $4.7 million. Net cash used in investing activities was approximately $0.2 million. Net cash used in financing activities was approximately $4.6 million. The effect of exchange rate change on cash was approximately positive $0.4 million. The Company believes that its current cash position and cash flow from operations are sufficient to meet its anticipated cash needs for at least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Undeterred by the short-term challenges, we remain confident about our long-term business growth. For fiscal year 2026, the Company expects, considering our financial numbers could be affected by the floating exchange rate, and absent material acquisitions or non-recurring transactions, total sales growth in the range of approximately 10% to 15% compared to fiscal year 2025 financial results, and non-GAAP net income in the range of approximately $4.4 million to $5.0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forecast reflects the Company’s current and preliminary views, which are subject to change and are subject to risks and uncertainties, including, but not limited to various risks and uncertainties facing the Company’s business and operations as identified in its public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sheet amounts with the exception of equity as of December 31, 2025, were translated at 6.9931 RMB to 1.00 USD compared to 7.1636 RMB to 1.00 USD as of June 30, 2025. The equity accounts were stated at their historical rate. The average translation rates applied to the income statements accounts for the periods ended December 31, 2025 and 2024 were 7.1235 RMB to 1.00 USD and 7.1767 RMB to 1.00 USD, respectively. The change in the value of the RMB relative to the U.S. dollar may affect our financial results reported in the U.S. dollar terms without giving effect to any underlying change in our business or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CLPS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(NASDAQ: CLPS), established in 2005 and headquartered in Hong Kong, is at the forefront of driving digital transformation and optimizing operational efficiency across industries through innovations in artificial intelligence, cloud computing, and big data. Our diverse business lines span sectors including fintech, payment and credit services, e-commerce, education and study abroad programs, and global tourism integrated with transportation services. Operating across 10 countries worldwide, with strategic regional hubs in Shanghai (mainland China), Singapore (Southeast Asia), and California (North America), and supported by subsidiaries in Japan and the UAE, we provide a robust global service network that empowers legacy industries evolve into data-driven, intelligent ecosystems. For further information regarding the Company, please visit: </w:t>
      </w:r>
      <w:r>
        <w:rPr>
          <w:rFonts w:ascii="Times New Roman;Times;Serif" w:hAnsi="Times New Roman;Times;Serif"/>
          <w:b/>
          <w:i w:val="false"/>
          <w:caps w:val="false"/>
          <w:smallCaps w:val="false"/>
          <w:sz w:val="20"/>
          <w:u w:val="single"/>
        </w:rPr>
        <w:t>https://ir.clpsglobal.com/</w:t>
      </w:r>
      <w:r>
        <w:rPr>
          <w:rFonts w:ascii="Times New Roman;Times;Serif" w:hAnsi="Times New Roman;Times;Serif"/>
          <w:b w:val="false"/>
          <w:i w:val="false"/>
          <w:caps w:val="false"/>
          <w:smallCaps w:val="false"/>
          <w:sz w:val="20"/>
        </w:rPr>
        <w:t>, or follow CLPS on </w:t>
      </w:r>
      <w:r>
        <w:rPr>
          <w:rFonts w:ascii="Times New Roman;Times;Serif" w:hAnsi="Times New Roman;Times;Serif"/>
          <w:b/>
          <w:i w:val="false"/>
          <w:caps w:val="false"/>
          <w:smallCaps w:val="false"/>
          <w:sz w:val="20"/>
          <w:u w:val="single"/>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Instagram</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X (formerly Twitter)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such statements attributable to us are expressly qualified in their entirety by this cautionary notice, including, without limitation, those risks and uncertainties related to the Company’s financial and operational performance in the first half of fiscal year 2026, its expectations of the Company’s future performance, its preliminary outlook and guidance offered in this presentation,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cost of revenues, non-GAAP selling and marketing expenses, non-GAAP general and administrative expenses, non-GAAP operating income, non-GAAP operating margin, non-GAAP net income, non-GAAP net income attributable to CLPS Incorporation’s shareholders, and basic and diluted non-GAAP net income per share, which are non-GAAP financial measures. Non-GAAP cost of revenues is cost of revenue excluding share-based compensation expenses. Non-GAAP selling and marketing expenses is selling and marketing expenses excluding share-based compensation expenses. Non-GAAP general and administrative expenses is general and administrative expenses excluding share-based compensation expenses. Non-GAAP operating income is operating income excluding share-based compensation expenses. Non-GAAP operating margin is non-GAAP operating income as a percentage of revenues. Non-GAAP net income is net income excluding share-based compensation expenses. Non-GAAP net income attributable to CLPS Incorporation’s shareholders is net income attributable to CLPS Incorporation’s shareholders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these non-GAAP financial measures is not intended to be considered in isolation from, or as a substitute for, the financial information prepared and presented in accordance with U.S. GAAP. The Company encourages investors to carefully consider its results under GAAP, as well as its supplemental non-GAAP information and the reconciliation between these presentations, to more fully understand its business. For more information on these non-GAAP financial measures, please see the table captioned “Unaudited Reconciliation of Non-GAAP and GAAP Results” near the end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 Galicha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Office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+86-182-2192-5378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ir@clpsglobal.com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283"/>
              <w:jc w:val="both"/>
              <w:rPr/>
            </w:pPr>
            <w:r>
              <w:rPr/>
              <w:t>Non-GAAP net income is a non-GAAP financial measure, which is defined as net income excluding share-based compensation expenses. Please refer to the section titled “Unaudited Reconciliation of Non-GAAP and GAAP Results” for details.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283"/>
              <w:jc w:val="both"/>
              <w:rPr/>
            </w:pPr>
            <w:r>
              <w:rPr/>
              <w:t>Non-GAAP net income attributable to CLPS Incorporation’s shareholders is a non-GAAP financial measure, which is defined as net income attributable to CLPS Incorporation’s shareholders excluding share-based compensation expenses. Please refer to the section titled “Unaudited Reconciliation of Non-GAAP and GAAP Results” for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71"/>
        <w:gridCol w:w="60"/>
        <w:gridCol w:w="155"/>
        <w:gridCol w:w="1366"/>
        <w:gridCol w:w="95"/>
        <w:gridCol w:w="60"/>
        <w:gridCol w:w="145"/>
        <w:gridCol w:w="1265"/>
        <w:gridCol w:w="88"/>
      </w:tblGrid>
      <w:tr>
        <w:trPr/>
        <w:tc>
          <w:tcPr>
            <w:tcW w:w="69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8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88" w:type="dxa"/>
            <w:tcBorders/>
            <w:vAlign w:val="center"/>
          </w:tcPr>
          <w:p>
            <w:pPr>
              <w:pStyle w:val="TableContents"/>
              <w:bidi w:val="0"/>
              <w:spacing w:before="0" w:after="283"/>
              <w:jc w:val="left"/>
              <w:rPr/>
            </w:pPr>
            <w:r>
              <w:rPr/>
              <w:t> </w:t>
            </w:r>
          </w:p>
        </w:tc>
      </w:tr>
      <w:tr>
        <w:trPr/>
        <w:tc>
          <w:tcPr>
            <w:tcW w:w="69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 (Audited)</w:t>
            </w:r>
          </w:p>
        </w:tc>
        <w:tc>
          <w:tcPr>
            <w:tcW w:w="88" w:type="dxa"/>
            <w:tcBorders/>
            <w:vAlign w:val="center"/>
          </w:tcPr>
          <w:p>
            <w:pPr>
              <w:pStyle w:val="TableContents"/>
              <w:bidi w:val="0"/>
              <w:spacing w:before="0" w:after="283"/>
              <w:jc w:val="left"/>
              <w:rPr/>
            </w:pPr>
            <w:r>
              <w:rPr/>
              <w:t> </w:t>
            </w:r>
          </w:p>
        </w:tc>
      </w:tr>
      <w:tr>
        <w:trPr/>
        <w:tc>
          <w:tcPr>
            <w:tcW w:w="6971"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152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r>
      <w:tr>
        <w:trPr/>
        <w:tc>
          <w:tcPr>
            <w:tcW w:w="6971" w:type="dxa"/>
            <w:tcBorders/>
            <w:vAlign w:val="center"/>
          </w:tcPr>
          <w:p>
            <w:pPr>
              <w:pStyle w:val="TableContents"/>
              <w:bidi w:val="0"/>
              <w:spacing w:before="0" w:after="283"/>
              <w:jc w:val="both"/>
              <w:rPr>
                <w:b/>
              </w:rPr>
            </w:pPr>
            <w:r>
              <w:rPr>
                <w:b/>
              </w:rPr>
              <w:t>Current assets:</w:t>
            </w:r>
          </w:p>
        </w:tc>
        <w:tc>
          <w:tcPr>
            <w:tcW w:w="60" w:type="dxa"/>
            <w:tcBorders/>
            <w:vAlign w:val="center"/>
          </w:tcPr>
          <w:p>
            <w:pPr>
              <w:pStyle w:val="TableContents"/>
              <w:bidi w:val="0"/>
              <w:spacing w:before="0" w:after="283"/>
              <w:jc w:val="left"/>
              <w:rPr/>
            </w:pPr>
            <w:r>
              <w:rPr/>
              <w:t> </w:t>
            </w:r>
          </w:p>
        </w:tc>
        <w:tc>
          <w:tcPr>
            <w:tcW w:w="152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28,422,095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28,173,160</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916,852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896,949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42,819,285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44,891,161</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Prepayments, deposits and other assets,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8,866,524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7,441,565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CCEEFF" w:val="clear"/>
            <w:tcMar>
              <w:bottom w:w="28" w:type="dxa"/>
            </w:tcMar>
            <w:vAlign w:val="center"/>
          </w:tcPr>
          <w:p>
            <w:pPr>
              <w:pStyle w:val="TableContents"/>
              <w:bidi w:val="0"/>
              <w:spacing w:before="0" w:after="283"/>
              <w:jc w:val="right"/>
              <w:rPr/>
            </w:pPr>
            <w:r>
              <w:rPr/>
              <w:t>4,642,400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4,374,595</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b/>
              </w:rPr>
            </w:pPr>
            <w:r>
              <w:rPr>
                <w:b/>
              </w:rPr>
              <w:t>$</w:t>
            </w:r>
          </w:p>
        </w:tc>
        <w:tc>
          <w:tcPr>
            <w:tcW w:w="1366" w:type="dxa"/>
            <w:tcBorders/>
            <w:shd w:fill="FFFFFF" w:val="clear"/>
            <w:vAlign w:val="center"/>
          </w:tcPr>
          <w:p>
            <w:pPr>
              <w:pStyle w:val="TableContents"/>
              <w:bidi w:val="0"/>
              <w:spacing w:before="0" w:after="283"/>
              <w:jc w:val="right"/>
              <w:rPr>
                <w:b/>
              </w:rPr>
            </w:pPr>
            <w:r>
              <w:rPr>
                <w:b/>
              </w:rPr>
              <w:t>85,667,156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b/>
              </w:rPr>
            </w:pPr>
            <w:r>
              <w:rPr>
                <w:b/>
              </w:rPr>
              <w:t>$</w:t>
            </w:r>
          </w:p>
        </w:tc>
        <w:tc>
          <w:tcPr>
            <w:tcW w:w="1265" w:type="dxa"/>
            <w:tcBorders/>
            <w:shd w:fill="FFFFFF" w:val="clear"/>
            <w:vAlign w:val="center"/>
          </w:tcPr>
          <w:p>
            <w:pPr>
              <w:pStyle w:val="TableContents"/>
              <w:bidi w:val="0"/>
              <w:spacing w:before="0" w:after="283"/>
              <w:jc w:val="right"/>
              <w:rPr>
                <w:b/>
              </w:rPr>
            </w:pPr>
            <w:r>
              <w:rPr>
                <w:b/>
              </w:rPr>
              <w:t>85,777,430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20,543,354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21,212,463</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1,981,780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2,055,102</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2,505,610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3,407,995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1,420,150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1,435,782</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Long-term investments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1,687,752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1,718,995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Prepayments, deposits and other assets,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332,357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481,761</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2,263,799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1,945,960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CCEEFF" w:val="clear"/>
            <w:tcMar>
              <w:bottom w:w="28" w:type="dxa"/>
            </w:tcMar>
            <w:vAlign w:val="center"/>
          </w:tcPr>
          <w:p>
            <w:pPr>
              <w:pStyle w:val="TableContents"/>
              <w:bidi w:val="0"/>
              <w:spacing w:before="0" w:after="283"/>
              <w:jc w:val="right"/>
              <w:rPr/>
            </w:pPr>
            <w:r>
              <w:rPr/>
              <w:t>5,964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73,942</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116,407,922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118,109,430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Bank loans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366" w:type="dxa"/>
            <w:tcBorders/>
            <w:shd w:fill="FFFFFF" w:val="clear"/>
            <w:vAlign w:val="center"/>
          </w:tcPr>
          <w:p>
            <w:pPr>
              <w:pStyle w:val="TableContents"/>
              <w:bidi w:val="0"/>
              <w:spacing w:before="0" w:after="283"/>
              <w:jc w:val="right"/>
              <w:rPr/>
            </w:pPr>
            <w:r>
              <w:rPr/>
              <w:t>26,166,467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30,217,329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2,490,272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2,515,207</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456,200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260,880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Tax payables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2,270,979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2,463,706</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4,909,035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2,470,135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Salaries and benefits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12,123,893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14,062,007</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2,126,684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2,348,195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CCEEFF" w:val="clear"/>
            <w:tcMar>
              <w:bottom w:w="28" w:type="dxa"/>
            </w:tcMar>
            <w:vAlign w:val="center"/>
          </w:tcPr>
          <w:p>
            <w:pPr>
              <w:pStyle w:val="TableContents"/>
              <w:bidi w:val="0"/>
              <w:spacing w:before="0" w:after="283"/>
              <w:jc w:val="right"/>
              <w:rPr/>
            </w:pPr>
            <w:r>
              <w:rPr/>
              <w:t>61,208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21,884</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b/>
              </w:rPr>
            </w:pPr>
            <w:r>
              <w:rPr>
                <w:b/>
              </w:rPr>
              <w:t>$</w:t>
            </w:r>
          </w:p>
        </w:tc>
        <w:tc>
          <w:tcPr>
            <w:tcW w:w="1366" w:type="dxa"/>
            <w:tcBorders/>
            <w:shd w:fill="FFFFFF" w:val="clear"/>
            <w:vAlign w:val="center"/>
          </w:tcPr>
          <w:p>
            <w:pPr>
              <w:pStyle w:val="TableContents"/>
              <w:bidi w:val="0"/>
              <w:spacing w:before="0" w:after="283"/>
              <w:jc w:val="right"/>
              <w:rPr>
                <w:b/>
              </w:rPr>
            </w:pPr>
            <w:r>
              <w:rPr>
                <w:b/>
              </w:rPr>
              <w:t>50,604,738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b/>
              </w:rPr>
            </w:pPr>
            <w:r>
              <w:rPr>
                <w:b/>
              </w:rPr>
              <w:t>$</w:t>
            </w:r>
          </w:p>
        </w:tc>
        <w:tc>
          <w:tcPr>
            <w:tcW w:w="1265" w:type="dxa"/>
            <w:tcBorders/>
            <w:shd w:fill="FFFFFF" w:val="clear"/>
            <w:vAlign w:val="center"/>
          </w:tcPr>
          <w:p>
            <w:pPr>
              <w:pStyle w:val="TableContents"/>
              <w:bidi w:val="0"/>
              <w:spacing w:before="0" w:after="283"/>
              <w:jc w:val="right"/>
              <w:rPr>
                <w:b/>
              </w:rPr>
            </w:pPr>
            <w:r>
              <w:rPr>
                <w:b/>
              </w:rPr>
              <w:t>54,359,343</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554,299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1,301,369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145,500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251,812</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Unrecognized tax benefit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4,004,545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3,715,163</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CCEEFF" w:val="clear"/>
            <w:tcMar>
              <w:bottom w:w="28" w:type="dxa"/>
            </w:tcMar>
            <w:vAlign w:val="center"/>
          </w:tcPr>
          <w:p>
            <w:pPr>
              <w:pStyle w:val="TableContents"/>
              <w:bidi w:val="0"/>
              <w:spacing w:before="0" w:after="283"/>
              <w:jc w:val="right"/>
              <w:rPr/>
            </w:pPr>
            <w:r>
              <w:rPr/>
              <w:t>918,611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896,747</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56,227,693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60,524,434</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Common stock, $0.0001 par value, 100,000,000 shares authorized;  29,841,828 shares issued and outstanding as of December 31, 2025;  27,988,452 shares issued and outstanding as of June 30, 2025</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2,984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2,799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61,930,342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60,177,851</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6,059,696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5,853,445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(7,525,036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(7,401,803</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6971" w:type="dxa"/>
            <w:tcBorders/>
            <w:shd w:fill="FFFFFF" w:val="clear"/>
            <w:vAlign w:val="center"/>
          </w:tcPr>
          <w:p>
            <w:pPr>
              <w:pStyle w:val="TableContents"/>
              <w:bidi w:val="0"/>
              <w:spacing w:before="0" w:after="283"/>
              <w:jc w:val="both"/>
              <w:rPr/>
            </w:pPr>
            <w:r>
              <w:rPr/>
              <w:t>Accumulated other comprehensive losses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FFFFFF" w:val="clear"/>
            <w:tcMar>
              <w:bottom w:w="28" w:type="dxa"/>
            </w:tcMar>
            <w:vAlign w:val="center"/>
          </w:tcPr>
          <w:p>
            <w:pPr>
              <w:pStyle w:val="TableContents"/>
              <w:bidi w:val="0"/>
              <w:spacing w:before="0" w:after="283"/>
              <w:jc w:val="right"/>
              <w:rPr/>
            </w:pPr>
            <w:r>
              <w:rPr/>
              <w:t>(2,612,878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(3,095,507</w:t>
            </w:r>
          </w:p>
        </w:tc>
        <w:tc>
          <w:tcPr>
            <w:tcW w:w="88" w:type="dxa"/>
            <w:tcBorders/>
            <w:shd w:fill="FFFFFF" w:val="clear"/>
            <w:vAlign w:val="center"/>
          </w:tcPr>
          <w:p>
            <w:pPr>
              <w:pStyle w:val="TableContents"/>
              <w:bidi w:val="0"/>
              <w:spacing w:before="0" w:after="283"/>
              <w:ind w:left="0" w:right="0" w:hanging="180"/>
              <w:jc w:val="left"/>
              <w:rPr/>
            </w:pPr>
            <w:r>
              <w:rPr/>
              <w:t>)</w:t>
            </w:r>
          </w:p>
        </w:tc>
      </w:tr>
      <w:tr>
        <w:trPr/>
        <w:tc>
          <w:tcPr>
            <w:tcW w:w="697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Total CLPS Incorporation’s Shareholders’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57,855,108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55,536,785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Noncontrolling Interests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2,325,121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2,048,211</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60,180,229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57,584,996</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697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6971" w:type="dxa"/>
            <w:tcBorders/>
            <w:shd w:fill="FFFFFF" w:val="clear"/>
            <w:vAlign w:val="center"/>
          </w:tcPr>
          <w:p>
            <w:pPr>
              <w:pStyle w:val="TableContents"/>
              <w:bidi w:val="0"/>
              <w:spacing w:before="0" w:after="283"/>
              <w:jc w:val="both"/>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116,407,922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6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118,109,430</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 OF INCOME AND COMPREHENSIVE INCOME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U.S. dollars (“$”), except for number of shares)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December 31,</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85,085,021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82,777,520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Less: Cost of revenues (note 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(65,536,781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(63,622,547</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19,548,240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19,154,973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Operating income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Selling and marketing expenses (note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2,119,851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2,452,957</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2,012,252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3,281,877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General and administrative expenses (note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14,940,334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14,115,055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Subsidies and other 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(161,221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(853,986</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18,911,216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18,995,903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b/>
              </w:rPr>
            </w:pPr>
            <w:r>
              <w:rPr>
                <w:b/>
              </w:rPr>
              <w:t>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637,024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159,070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359,284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585,266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(472,495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(371,032</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both"/>
              <w:rPr/>
            </w:pPr>
            <w:r>
              <w:rPr/>
              <w:t>Income before income tax and share of  (loss) income in equity investees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523,813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373,304</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170,040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267,790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Income (loss) before share of income in equity investees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353,773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105,514</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Share of (loss) income in equity investees,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77,505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320,104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183,019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Less: 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237,086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572,932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b/>
              </w:rPr>
            </w:pPr>
            <w:r>
              <w:rPr>
                <w:b/>
              </w:rPr>
              <w:t>Net income (loss)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83,018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(389,913</w:t>
            </w:r>
          </w:p>
        </w:tc>
        <w:tc>
          <w:tcPr>
            <w:tcW w:w="110" w:type="dxa"/>
            <w:tcBorders/>
            <w:shd w:fill="FFFFFF" w:val="clear"/>
            <w:vAlign w:val="center"/>
          </w:tcPr>
          <w:p>
            <w:pPr>
              <w:pStyle w:val="TableContents"/>
              <w:bidi w:val="0"/>
              <w:spacing w:before="0" w:after="283"/>
              <w:jc w:val="left"/>
              <w:rPr>
                <w:b/>
              </w:rPr>
            </w:pPr>
            <w:r>
              <w:rPr>
                <w:b/>
              </w:rPr>
              <w:t>)</w:t>
            </w:r>
          </w:p>
        </w:tc>
      </w:tr>
      <w:tr>
        <w:trPr/>
        <w:tc>
          <w:tcPr>
            <w:tcW w:w="7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Foreign currency translation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522,453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93,127</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Less: foreign currency translation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(14,109</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both"/>
              <w:rPr/>
            </w:pPr>
            <w:r>
              <w:rPr/>
              <w:t>Other comprehensive income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482,629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107,236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b/>
              </w:rPr>
            </w:pPr>
            <w:r>
              <w:rPr>
                <w:b/>
              </w:rPr>
              <w:t>Comprehensive income (loss)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75" w:type="dxa"/>
            <w:tcBorders/>
            <w:shd w:fill="FFFFFF" w:val="clear"/>
            <w:vAlign w:val="center"/>
          </w:tcPr>
          <w:p>
            <w:pPr>
              <w:pStyle w:val="TableContents"/>
              <w:bidi w:val="0"/>
              <w:spacing w:before="0" w:after="283"/>
              <w:jc w:val="right"/>
              <w:rPr>
                <w:b/>
              </w:rPr>
            </w:pPr>
            <w:r>
              <w:rPr>
                <w:b/>
              </w:rPr>
              <w:t>565,647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75" w:type="dxa"/>
            <w:tcBorders/>
            <w:shd w:fill="FFFFFF" w:val="clear"/>
            <w:vAlign w:val="center"/>
          </w:tcPr>
          <w:p>
            <w:pPr>
              <w:pStyle w:val="TableContents"/>
              <w:bidi w:val="0"/>
              <w:spacing w:before="0" w:after="283"/>
              <w:jc w:val="right"/>
              <w:rPr>
                <w:b/>
              </w:rPr>
            </w:pPr>
            <w:r>
              <w:rPr>
                <w:b/>
              </w:rPr>
              <w:t>(282,677</w:t>
            </w:r>
          </w:p>
        </w:tc>
        <w:tc>
          <w:tcPr>
            <w:tcW w:w="110" w:type="dxa"/>
            <w:tcBorders/>
            <w:shd w:fill="FFFFFF" w:val="clear"/>
            <w:vAlign w:val="center"/>
          </w:tcPr>
          <w:p>
            <w:pPr>
              <w:pStyle w:val="TableContents"/>
              <w:bidi w:val="0"/>
              <w:spacing w:before="0" w:after="283"/>
              <w:jc w:val="left"/>
              <w:rPr>
                <w:b/>
              </w:rPr>
            </w:pPr>
            <w:r>
              <w:rPr>
                <w:b/>
              </w:rPr>
              <w:t>)</w:t>
            </w:r>
          </w:p>
        </w:tc>
      </w:tr>
      <w:tr>
        <w:trPr/>
        <w:tc>
          <w:tcPr>
            <w:tcW w:w="7250" w:type="dxa"/>
            <w:tcBorders/>
            <w:shd w:fill="CCEEFF" w:val="clear"/>
            <w:vAlign w:val="center"/>
          </w:tcPr>
          <w:p>
            <w:pPr>
              <w:pStyle w:val="TableContents"/>
              <w:bidi w:val="0"/>
              <w:spacing w:before="0" w:after="283"/>
              <w:jc w:val="both"/>
              <w:rPr/>
            </w:pPr>
            <w:r>
              <w:rPr/>
              <w:t>Comprehensive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276,910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558,823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b/>
              </w:rPr>
            </w:pPr>
            <w:r>
              <w:rPr>
                <w:b/>
              </w:rPr>
              <w:t>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842,557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276,146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Basic income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(0.015</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both"/>
              <w:rPr/>
            </w:pPr>
            <w:r>
              <w:rPr/>
              <w:t>Weighted average number of share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28,947,672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26,859,936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both"/>
              <w:rPr/>
            </w:pPr>
            <w:r>
              <w:rPr/>
              <w:t>Diluted income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(0.015</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both"/>
              <w:rPr/>
            </w:pPr>
            <w:r>
              <w:rPr/>
              <w:t>Weighted average number of share outstanding –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29,551,271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26,859,936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305"/>
        <w:gridCol w:w="5360"/>
      </w:tblGrid>
      <w:tr>
        <w:trPr/>
        <w:tc>
          <w:tcPr>
            <w:tcW w:w="305" w:type="dxa"/>
            <w:tcBorders/>
            <w:vAlign w:val="center"/>
          </w:tcPr>
          <w:p>
            <w:pPr>
              <w:pStyle w:val="TableContents"/>
              <w:bidi w:val="0"/>
              <w:spacing w:before="0" w:after="283"/>
              <w:jc w:val="both"/>
              <w:rPr/>
            </w:pPr>
            <w:r>
              <w:rPr/>
              <w:t>(1)</w:t>
            </w:r>
          </w:p>
        </w:tc>
        <w:tc>
          <w:tcPr>
            <w:tcW w:w="5360" w:type="dxa"/>
            <w:tcBorders/>
            <w:vAlign w:val="center"/>
          </w:tcPr>
          <w:p>
            <w:pPr>
              <w:pStyle w:val="TableContents"/>
              <w:bidi w:val="0"/>
              <w:spacing w:before="0" w:after="283"/>
              <w:jc w:val="both"/>
              <w:rPr/>
            </w:pPr>
            <w:r>
              <w:rPr/>
              <w:t>Includes share-based compensation expenses as follows: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3485"/>
        <w:gridCol w:w="60"/>
        <w:gridCol w:w="60"/>
        <w:gridCol w:w="980"/>
        <w:gridCol w:w="60"/>
        <w:gridCol w:w="60"/>
        <w:gridCol w:w="60"/>
        <w:gridCol w:w="980"/>
        <w:gridCol w:w="75"/>
      </w:tblGrid>
      <w:tr>
        <w:trPr/>
        <w:tc>
          <w:tcPr>
            <w:tcW w:w="3485" w:type="dxa"/>
            <w:tcBorders/>
            <w:shd w:fill="CCEEFF" w:val="clear"/>
            <w:vAlign w:val="center"/>
          </w:tcPr>
          <w:p>
            <w:pPr>
              <w:pStyle w:val="TableContents"/>
              <w:bidi w:val="0"/>
              <w:spacing w:before="0" w:after="283"/>
              <w:jc w:val="both"/>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5,306</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both"/>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89,652</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1,736,176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2,011,255</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1,752,677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2,106,213</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NON-GAAP AND GAAP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4"/>
        <w:gridCol w:w="60"/>
        <w:gridCol w:w="140"/>
        <w:gridCol w:w="1175"/>
        <w:gridCol w:w="260"/>
        <w:gridCol w:w="60"/>
        <w:gridCol w:w="140"/>
        <w:gridCol w:w="1175"/>
        <w:gridCol w:w="211"/>
      </w:tblGrid>
      <w:tr>
        <w:trPr/>
        <w:tc>
          <w:tcPr>
            <w:tcW w:w="6984"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9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December 31,</w:t>
            </w:r>
          </w:p>
        </w:tc>
        <w:tc>
          <w:tcPr>
            <w:tcW w:w="211" w:type="dxa"/>
            <w:tcBorders/>
            <w:vAlign w:val="center"/>
          </w:tcPr>
          <w:p>
            <w:pPr>
              <w:pStyle w:val="TableContents"/>
              <w:bidi w:val="0"/>
              <w:spacing w:before="0" w:after="283"/>
              <w:ind w:left="0" w:right="0" w:hanging="180"/>
              <w:jc w:val="left"/>
              <w:rPr/>
            </w:pPr>
            <w:r>
              <w:rPr/>
              <w:t> </w:t>
            </w:r>
          </w:p>
        </w:tc>
      </w:tr>
      <w:tr>
        <w:trPr/>
        <w:tc>
          <w:tcPr>
            <w:tcW w:w="69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1" w:type="dxa"/>
            <w:tcBorders/>
            <w:vAlign w:val="center"/>
          </w:tcPr>
          <w:p>
            <w:pPr>
              <w:pStyle w:val="TableContents"/>
              <w:bidi w:val="0"/>
              <w:spacing w:before="0" w:after="283"/>
              <w:ind w:left="0" w:right="0" w:hanging="180"/>
              <w:jc w:val="left"/>
              <w:rPr/>
            </w:pPr>
            <w:r>
              <w:rPr/>
              <w:t> </w:t>
            </w:r>
          </w:p>
        </w:tc>
      </w:tr>
      <w:tr>
        <w:trPr/>
        <w:tc>
          <w:tcPr>
            <w:tcW w:w="69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(65,536,781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(63,622,547</w:t>
            </w:r>
          </w:p>
        </w:tc>
        <w:tc>
          <w:tcPr>
            <w:tcW w:w="211" w:type="dxa"/>
            <w:tcBorders/>
            <w:shd w:fill="CCEEFF" w:val="clear"/>
            <w:vAlign w:val="center"/>
          </w:tcPr>
          <w:p>
            <w:pPr>
              <w:pStyle w:val="TableContents"/>
              <w:bidi w:val="0"/>
              <w:spacing w:before="0" w:after="283"/>
              <w:ind w:left="0" w:right="0" w:hanging="180"/>
              <w:jc w:val="left"/>
              <w:rPr/>
            </w:pPr>
            <w:r>
              <w:rPr/>
              <w:t>)</w:t>
            </w:r>
          </w:p>
        </w:tc>
      </w:tr>
      <w:tr>
        <w:trPr/>
        <w:tc>
          <w:tcPr>
            <w:tcW w:w="6984" w:type="dxa"/>
            <w:tcBorders/>
            <w:shd w:fill="FFFFFF" w:val="clear"/>
            <w:vAlign w:val="center"/>
          </w:tcPr>
          <w:p>
            <w:pPr>
              <w:pStyle w:val="TableContents"/>
              <w:bidi w:val="0"/>
              <w:spacing w:before="0" w:after="283"/>
              <w:jc w:val="left"/>
              <w:rPr/>
            </w:pPr>
            <w:r>
              <w:rPr/>
              <w:t>Less: share-based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(2,251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(5,306</w:t>
            </w:r>
          </w:p>
        </w:tc>
        <w:tc>
          <w:tcPr>
            <w:tcW w:w="211" w:type="dxa"/>
            <w:tcBorders/>
            <w:shd w:fill="FFFFFF" w:val="clear"/>
            <w:vAlign w:val="center"/>
          </w:tcPr>
          <w:p>
            <w:pPr>
              <w:pStyle w:val="TableContents"/>
              <w:bidi w:val="0"/>
              <w:spacing w:before="0" w:after="283"/>
              <w:ind w:left="0" w:right="0" w:hanging="180"/>
              <w:jc w:val="left"/>
              <w:rPr/>
            </w:pPr>
            <w:r>
              <w:rPr/>
              <w:t>)</w:t>
            </w:r>
          </w:p>
        </w:tc>
      </w:tr>
      <w:tr>
        <w:trPr/>
        <w:tc>
          <w:tcPr>
            <w:tcW w:w="6984" w:type="dxa"/>
            <w:tcBorders/>
            <w:shd w:fill="CCEEFF" w:val="clear"/>
            <w:vAlign w:val="center"/>
          </w:tcPr>
          <w:p>
            <w:pPr>
              <w:pStyle w:val="TableContents"/>
              <w:bidi w:val="0"/>
              <w:spacing w:before="0" w:after="283"/>
              <w:jc w:val="left"/>
              <w:rPr>
                <w:b/>
              </w:rPr>
            </w:pPr>
            <w:r>
              <w:rPr>
                <w:b/>
              </w:rPr>
              <w:t>Non-GAAP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(65,534,530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(63,617,241</w:t>
            </w:r>
          </w:p>
        </w:tc>
        <w:tc>
          <w:tcPr>
            <w:tcW w:w="211" w:type="dxa"/>
            <w:tcBorders/>
            <w:shd w:fill="CCEEFF" w:val="clear"/>
            <w:vAlign w:val="center"/>
          </w:tcPr>
          <w:p>
            <w:pPr>
              <w:pStyle w:val="TableContents"/>
              <w:bidi w:val="0"/>
              <w:spacing w:before="0" w:after="283"/>
              <w:ind w:left="0" w:right="0" w:hanging="180"/>
              <w:jc w:val="left"/>
              <w:rPr>
                <w:b/>
              </w:rPr>
            </w:pPr>
            <w:r>
              <w:rPr>
                <w:b/>
              </w:rPr>
              <w:t>)</w:t>
            </w:r>
          </w:p>
        </w:tc>
      </w:tr>
      <w:tr>
        <w:trPr/>
        <w:tc>
          <w:tcPr>
            <w:tcW w:w="69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(2,119,851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(2,452,957</w:t>
            </w:r>
          </w:p>
        </w:tc>
        <w:tc>
          <w:tcPr>
            <w:tcW w:w="211" w:type="dxa"/>
            <w:tcBorders/>
            <w:shd w:fill="CCEEFF" w:val="clear"/>
            <w:vAlign w:val="center"/>
          </w:tcPr>
          <w:p>
            <w:pPr>
              <w:pStyle w:val="TableContents"/>
              <w:bidi w:val="0"/>
              <w:spacing w:before="0" w:after="283"/>
              <w:ind w:left="0" w:right="0" w:hanging="180"/>
              <w:jc w:val="left"/>
              <w:rPr/>
            </w:pPr>
            <w:r>
              <w:rPr/>
              <w:t>)</w:t>
            </w:r>
          </w:p>
        </w:tc>
      </w:tr>
      <w:tr>
        <w:trPr/>
        <w:tc>
          <w:tcPr>
            <w:tcW w:w="6984" w:type="dxa"/>
            <w:tcBorders/>
            <w:shd w:fill="FFFFFF" w:val="clear"/>
            <w:vAlign w:val="center"/>
          </w:tcPr>
          <w:p>
            <w:pPr>
              <w:pStyle w:val="TableContents"/>
              <w:bidi w:val="0"/>
              <w:spacing w:before="0" w:after="283"/>
              <w:jc w:val="left"/>
              <w:rPr/>
            </w:pPr>
            <w:r>
              <w:rPr/>
              <w:t>Less: share-based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(14,250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(89,652</w:t>
            </w:r>
          </w:p>
        </w:tc>
        <w:tc>
          <w:tcPr>
            <w:tcW w:w="211" w:type="dxa"/>
            <w:tcBorders/>
            <w:shd w:fill="FFFFFF" w:val="clear"/>
            <w:vAlign w:val="center"/>
          </w:tcPr>
          <w:p>
            <w:pPr>
              <w:pStyle w:val="TableContents"/>
              <w:bidi w:val="0"/>
              <w:spacing w:before="0" w:after="283"/>
              <w:ind w:left="0" w:right="0" w:hanging="180"/>
              <w:jc w:val="left"/>
              <w:rPr/>
            </w:pPr>
            <w:r>
              <w:rPr/>
              <w:t>)</w:t>
            </w:r>
          </w:p>
        </w:tc>
      </w:tr>
      <w:tr>
        <w:trPr/>
        <w:tc>
          <w:tcPr>
            <w:tcW w:w="6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b/>
              </w:rPr>
            </w:pPr>
            <w:r>
              <w:rPr>
                <w:b/>
              </w:rPr>
              <w:t>Non-GAAP selling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(2,105,601</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(2,363,305</w:t>
            </w:r>
          </w:p>
        </w:tc>
        <w:tc>
          <w:tcPr>
            <w:tcW w:w="211" w:type="dxa"/>
            <w:tcBorders/>
            <w:shd w:fill="FFFFFF" w:val="clear"/>
            <w:vAlign w:val="center"/>
          </w:tcPr>
          <w:p>
            <w:pPr>
              <w:pStyle w:val="TableContents"/>
              <w:bidi w:val="0"/>
              <w:spacing w:before="0" w:after="283"/>
              <w:ind w:left="0" w:right="0" w:hanging="180"/>
              <w:jc w:val="left"/>
              <w:rPr>
                <w:b/>
              </w:rPr>
            </w:pPr>
            <w:r>
              <w:rPr>
                <w:b/>
              </w:rPr>
              <w:t>)</w:t>
            </w:r>
          </w:p>
        </w:tc>
      </w:tr>
      <w:tr>
        <w:trPr/>
        <w:tc>
          <w:tcPr>
            <w:tcW w:w="6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(14,940,334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(14,115,055</w:t>
            </w:r>
          </w:p>
        </w:tc>
        <w:tc>
          <w:tcPr>
            <w:tcW w:w="211" w:type="dxa"/>
            <w:tcBorders/>
            <w:shd w:fill="FFFFFF" w:val="clear"/>
            <w:vAlign w:val="center"/>
          </w:tcPr>
          <w:p>
            <w:pPr>
              <w:pStyle w:val="TableContents"/>
              <w:bidi w:val="0"/>
              <w:spacing w:before="0" w:after="283"/>
              <w:ind w:left="0" w:right="0" w:hanging="180"/>
              <w:jc w:val="left"/>
              <w:rPr/>
            </w:pPr>
            <w:r>
              <w:rPr/>
              <w:t>)</w:t>
            </w:r>
          </w:p>
        </w:tc>
      </w:tr>
      <w:tr>
        <w:trPr/>
        <w:tc>
          <w:tcPr>
            <w:tcW w:w="6984" w:type="dxa"/>
            <w:tcBorders/>
            <w:shd w:fill="CCEEFF" w:val="clear"/>
            <w:vAlign w:val="center"/>
          </w:tcPr>
          <w:p>
            <w:pPr>
              <w:pStyle w:val="TableContents"/>
              <w:bidi w:val="0"/>
              <w:spacing w:before="0" w:after="283"/>
              <w:jc w:val="left"/>
              <w:rPr/>
            </w:pPr>
            <w:r>
              <w:rPr/>
              <w:t>Less: 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(1,736,176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(2,011,255</w:t>
            </w:r>
          </w:p>
        </w:tc>
        <w:tc>
          <w:tcPr>
            <w:tcW w:w="211" w:type="dxa"/>
            <w:tcBorders/>
            <w:shd w:fill="CCEEFF" w:val="clear"/>
            <w:vAlign w:val="center"/>
          </w:tcPr>
          <w:p>
            <w:pPr>
              <w:pStyle w:val="TableContents"/>
              <w:bidi w:val="0"/>
              <w:spacing w:before="0" w:after="283"/>
              <w:ind w:left="0" w:right="0" w:hanging="180"/>
              <w:jc w:val="left"/>
              <w:rPr/>
            </w:pPr>
            <w:r>
              <w:rPr/>
              <w:t>)</w:t>
            </w:r>
          </w:p>
        </w:tc>
      </w:tr>
      <w:tr>
        <w:trPr/>
        <w:tc>
          <w:tcPr>
            <w:tcW w:w="6984" w:type="dxa"/>
            <w:tcBorders/>
            <w:shd w:fill="FFFFFF" w:val="clear"/>
            <w:vAlign w:val="center"/>
          </w:tcPr>
          <w:p>
            <w:pPr>
              <w:pStyle w:val="TableContents"/>
              <w:bidi w:val="0"/>
              <w:spacing w:before="0" w:after="283"/>
              <w:jc w:val="left"/>
              <w:rPr>
                <w:b/>
              </w:rPr>
            </w:pPr>
            <w:r>
              <w:rPr>
                <w:b/>
              </w:rPr>
              <w:t>Non-GAAP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(13,204,158</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(12,103,800</w:t>
            </w:r>
          </w:p>
        </w:tc>
        <w:tc>
          <w:tcPr>
            <w:tcW w:w="211" w:type="dxa"/>
            <w:tcBorders/>
            <w:shd w:fill="FFFFFF" w:val="clear"/>
            <w:vAlign w:val="center"/>
          </w:tcPr>
          <w:p>
            <w:pPr>
              <w:pStyle w:val="TableContents"/>
              <w:bidi w:val="0"/>
              <w:spacing w:before="0" w:after="283"/>
              <w:ind w:left="0" w:right="0" w:hanging="180"/>
              <w:jc w:val="left"/>
              <w:rPr>
                <w:b/>
              </w:rPr>
            </w:pPr>
            <w:r>
              <w:rPr>
                <w:b/>
              </w:rPr>
              <w:t>)</w:t>
            </w:r>
          </w:p>
        </w:tc>
      </w:tr>
      <w:tr>
        <w:trPr/>
        <w:tc>
          <w:tcPr>
            <w:tcW w:w="6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637,024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159,070</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1,752,677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2,106,213</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b/>
              </w:rPr>
            </w:pPr>
            <w:r>
              <w:rPr>
                <w:b/>
              </w:rPr>
              <w:t>Non-GAAP 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2,389,701</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2,265,283</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Operating Margin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0.7</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0.2</w:t>
            </w:r>
          </w:p>
        </w:tc>
        <w:tc>
          <w:tcPr>
            <w:tcW w:w="211" w:type="dxa"/>
            <w:tcBorders/>
            <w:shd w:fill="FFFFFF" w:val="clear"/>
            <w:vAlign w:val="center"/>
          </w:tcPr>
          <w:p>
            <w:pPr>
              <w:pStyle w:val="TableContents"/>
              <w:bidi w:val="0"/>
              <w:spacing w:before="0" w:after="283"/>
              <w:ind w:left="0" w:right="0" w:hanging="180"/>
              <w:jc w:val="left"/>
              <w:rPr/>
            </w:pPr>
            <w:r>
              <w:rPr/>
              <w:t>%</w:t>
            </w:r>
          </w:p>
        </w:tc>
      </w:tr>
      <w:tr>
        <w:trPr/>
        <w:tc>
          <w:tcPr>
            <w:tcW w:w="6984" w:type="dxa"/>
            <w:tcBorders/>
            <w:shd w:fill="CCEEFF" w:val="clear"/>
            <w:vAlign w:val="center"/>
          </w:tcPr>
          <w:p>
            <w:pPr>
              <w:pStyle w:val="TableContents"/>
              <w:bidi w:val="0"/>
              <w:spacing w:before="0" w:after="283"/>
              <w:jc w:val="left"/>
              <w:rPr/>
            </w:pPr>
            <w:r>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211" w:type="dxa"/>
            <w:tcBorders/>
            <w:shd w:fill="CCEEFF" w:val="clear"/>
            <w:vAlign w:val="center"/>
          </w:tcPr>
          <w:p>
            <w:pPr>
              <w:pStyle w:val="TableContents"/>
              <w:bidi w:val="0"/>
              <w:spacing w:before="0" w:after="283"/>
              <w:ind w:left="0" w:right="0" w:hanging="180"/>
              <w:jc w:val="left"/>
              <w:rPr/>
            </w:pPr>
            <w:r>
              <w:rPr/>
              <w:t>%</w:t>
            </w:r>
          </w:p>
        </w:tc>
      </w:tr>
      <w:tr>
        <w:trPr/>
        <w:tc>
          <w:tcPr>
            <w:tcW w:w="6984" w:type="dxa"/>
            <w:tcBorders/>
            <w:shd w:fill="FFFFFF" w:val="clear"/>
            <w:vAlign w:val="center"/>
          </w:tcPr>
          <w:p>
            <w:pPr>
              <w:pStyle w:val="TableContents"/>
              <w:bidi w:val="0"/>
              <w:spacing w:before="0" w:after="283"/>
              <w:jc w:val="left"/>
              <w:rPr>
                <w:b/>
              </w:rPr>
            </w:pPr>
            <w:r>
              <w:rPr>
                <w:b/>
              </w:rPr>
              <w:t>Non-GAAP operating margin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w:t>
            </w:r>
          </w:p>
        </w:tc>
        <w:tc>
          <w:tcPr>
            <w:tcW w:w="211" w:type="dxa"/>
            <w:tcBorders/>
            <w:shd w:fill="FFFFFF" w:val="clear"/>
            <w:vAlign w:val="center"/>
          </w:tcPr>
          <w:p>
            <w:pPr>
              <w:pStyle w:val="TableContents"/>
              <w:bidi w:val="0"/>
              <w:spacing w:before="0" w:after="283"/>
              <w:ind w:left="0" w:right="0" w:hanging="180"/>
              <w:jc w:val="left"/>
              <w:rPr>
                <w:b/>
              </w:rPr>
            </w:pPr>
            <w:r>
              <w:rPr>
                <w:b/>
              </w:rPr>
              <w:t>%</w:t>
            </w:r>
          </w:p>
        </w:tc>
      </w:tr>
      <w:tr>
        <w:trPr/>
        <w:tc>
          <w:tcPr>
            <w:tcW w:w="6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320,104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183,019</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1,752,677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2,106,213</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b/>
              </w:rPr>
            </w:pPr>
            <w:r>
              <w:rPr>
                <w:b/>
              </w:rPr>
              <w:t>Non-GAAP 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2,072,781</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2,289,232</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Net income (loss)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83,018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(389,913</w:t>
            </w:r>
          </w:p>
        </w:tc>
        <w:tc>
          <w:tcPr>
            <w:tcW w:w="211" w:type="dxa"/>
            <w:tcBorders/>
            <w:shd w:fill="FFFFFF" w:val="clear"/>
            <w:vAlign w:val="center"/>
          </w:tcPr>
          <w:p>
            <w:pPr>
              <w:pStyle w:val="TableContents"/>
              <w:bidi w:val="0"/>
              <w:spacing w:before="0" w:after="283"/>
              <w:ind w:left="0" w:right="0" w:hanging="180"/>
              <w:jc w:val="left"/>
              <w:rPr/>
            </w:pPr>
            <w:r>
              <w:rPr/>
              <w:t>)</w:t>
            </w:r>
          </w:p>
        </w:tc>
      </w:tr>
      <w:tr>
        <w:trPr/>
        <w:tc>
          <w:tcPr>
            <w:tcW w:w="6984" w:type="dxa"/>
            <w:tcBorders/>
            <w:shd w:fill="CCEEFF" w:val="clear"/>
            <w:vAlign w:val="center"/>
          </w:tcPr>
          <w:p>
            <w:pPr>
              <w:pStyle w:val="TableContents"/>
              <w:bidi w:val="0"/>
              <w:spacing w:before="0" w:after="283"/>
              <w:jc w:val="left"/>
              <w:rPr/>
            </w:pPr>
            <w:r>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1,752,677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2,106,213</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b/>
              </w:rPr>
            </w:pPr>
            <w:r>
              <w:rPr>
                <w:b/>
              </w:rPr>
              <w:t>Non-GAAP net income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1,835,695</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1,716,300</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Weighted average number of share outstanding used in computing GAAP and non-GAAP basic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28,947,672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26,859,936</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GAAP basic income (loss)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0.003</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(0.015</w:t>
            </w:r>
          </w:p>
        </w:tc>
        <w:tc>
          <w:tcPr>
            <w:tcW w:w="211" w:type="dxa"/>
            <w:tcBorders/>
            <w:shd w:fill="CCEEFF" w:val="clear"/>
            <w:vAlign w:val="center"/>
          </w:tcPr>
          <w:p>
            <w:pPr>
              <w:pStyle w:val="TableContents"/>
              <w:bidi w:val="0"/>
              <w:spacing w:before="0" w:after="283"/>
              <w:ind w:left="0" w:right="0" w:hanging="180"/>
              <w:jc w:val="left"/>
              <w:rPr/>
            </w:pPr>
            <w:r>
              <w:rPr/>
              <w:t>)</w:t>
            </w:r>
          </w:p>
        </w:tc>
      </w:tr>
      <w:tr>
        <w:trPr/>
        <w:tc>
          <w:tcPr>
            <w:tcW w:w="6984" w:type="dxa"/>
            <w:tcBorders/>
            <w:shd w:fill="FFFFFF" w:val="clear"/>
            <w:vAlign w:val="center"/>
          </w:tcPr>
          <w:p>
            <w:pPr>
              <w:pStyle w:val="TableContents"/>
              <w:bidi w:val="0"/>
              <w:spacing w:before="0" w:after="283"/>
              <w:jc w:val="left"/>
              <w:rPr/>
            </w:pPr>
            <w:r>
              <w:rPr/>
              <w:t>Add: share-based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0.057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0.075</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b/>
              </w:rPr>
            </w:pPr>
            <w:r>
              <w:rPr>
                <w:b/>
              </w:rPr>
              <w:t>Non-GAAP basic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0.06</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0.06</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Weighted average number of share outstanding used in computing GAAP diluted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29,551,271</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26,859,936</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Weighted average number of share outstanding used in computing non-GAAP diluted earnings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29,551,271</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27,343,717</w:t>
            </w:r>
          </w:p>
        </w:tc>
        <w:tc>
          <w:tcPr>
            <w:tcW w:w="211" w:type="dxa"/>
            <w:tcBorders/>
            <w:shd w:fill="FFFFFF" w:val="clear"/>
            <w:vAlign w:val="center"/>
          </w:tcPr>
          <w:p>
            <w:pPr>
              <w:pStyle w:val="TableContents"/>
              <w:bidi w:val="0"/>
              <w:spacing w:before="0" w:after="283"/>
              <w:ind w:left="0" w:right="0" w:hanging="180"/>
              <w:jc w:val="left"/>
              <w:rPr/>
            </w:pPr>
            <w:r>
              <w:rPr/>
              <w:t> </w:t>
            </w:r>
          </w:p>
        </w:tc>
      </w:tr>
      <w:tr>
        <w:trPr/>
        <w:tc>
          <w:tcPr>
            <w:tcW w:w="69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pPr>
            <w:r>
              <w:rPr/>
              <w:t>GAAP diluted income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0.003</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(0.015</w:t>
            </w:r>
          </w:p>
        </w:tc>
        <w:tc>
          <w:tcPr>
            <w:tcW w:w="211" w:type="dxa"/>
            <w:tcBorders/>
            <w:shd w:fill="FFFFFF" w:val="clear"/>
            <w:vAlign w:val="center"/>
          </w:tcPr>
          <w:p>
            <w:pPr>
              <w:pStyle w:val="TableContents"/>
              <w:bidi w:val="0"/>
              <w:spacing w:before="0" w:after="283"/>
              <w:ind w:left="0" w:right="0" w:hanging="180"/>
              <w:jc w:val="left"/>
              <w:rPr/>
            </w:pPr>
            <w:r>
              <w:rPr/>
              <w:t>)</w:t>
            </w:r>
          </w:p>
        </w:tc>
      </w:tr>
      <w:tr>
        <w:trPr/>
        <w:tc>
          <w:tcPr>
            <w:tcW w:w="6984" w:type="dxa"/>
            <w:tcBorders/>
            <w:shd w:fill="CCEEFF" w:val="clear"/>
            <w:vAlign w:val="center"/>
          </w:tcPr>
          <w:p>
            <w:pPr>
              <w:pStyle w:val="TableContents"/>
              <w:bidi w:val="0"/>
              <w:spacing w:before="0" w:after="283"/>
              <w:jc w:val="left"/>
              <w:rPr/>
            </w:pPr>
            <w:r>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0.057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0.075</w:t>
            </w:r>
          </w:p>
        </w:tc>
        <w:tc>
          <w:tcPr>
            <w:tcW w:w="211" w:type="dxa"/>
            <w:tcBorders/>
            <w:shd w:fill="CCEEFF" w:val="clear"/>
            <w:vAlign w:val="center"/>
          </w:tcPr>
          <w:p>
            <w:pPr>
              <w:pStyle w:val="TableContents"/>
              <w:bidi w:val="0"/>
              <w:spacing w:before="0" w:after="283"/>
              <w:ind w:left="0" w:right="0" w:hanging="180"/>
              <w:jc w:val="left"/>
              <w:rPr/>
            </w:pPr>
            <w:r>
              <w:rPr/>
              <w:t> </w:t>
            </w:r>
          </w:p>
        </w:tc>
      </w:tr>
      <w:tr>
        <w:trPr/>
        <w:tc>
          <w:tcPr>
            <w:tcW w:w="6984" w:type="dxa"/>
            <w:tcBorders/>
            <w:shd w:fill="FFFFFF" w:val="clear"/>
            <w:vAlign w:val="center"/>
          </w:tcPr>
          <w:p>
            <w:pPr>
              <w:pStyle w:val="TableContents"/>
              <w:bidi w:val="0"/>
              <w:spacing w:before="0" w:after="283"/>
              <w:jc w:val="left"/>
              <w:rPr>
                <w:b/>
              </w:rPr>
            </w:pPr>
            <w:r>
              <w:rPr>
                <w:b/>
              </w:rPr>
              <w:t>Non-GAAP diluted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0.06</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0.06</w:t>
            </w:r>
          </w:p>
        </w:tc>
        <w:tc>
          <w:tcPr>
            <w:tcW w:w="211"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4705</Words>
  <Characters>26788</Characters>
  <CharactersWithSpaces>31884</CharactersWithSpaces>
  <Paragraphs>1521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