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8-A</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12(g)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Cayman Islands</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0"/>
              </w:rPr>
              <w:t>Not applicable</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of incorporation or organization)</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 2nd Floor, Building 18, Shanghai Pudong Software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Park, 498 Guoshoujing Road, Pudong, Shanghai,</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201203, People’s Republic of China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5715</wp:posOffset>
            </wp:positionV>
            <wp:extent cx="36188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to be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Title of each class</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55"/>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to be so registered</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85"/>
              </w:rPr>
              <w:t>each class is to be registered</w:t>
            </w:r>
          </w:p>
        </w:tc>
      </w:tr>
      <w:tr>
        <w:trPr>
          <w:trHeight w:val="234"/>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Shares, $0.0001 par value per share</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183"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 (c),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 (d),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Act registration statement file number to which this Form relates: </w:t>
      </w:r>
      <w:r>
        <w:rPr>
          <w:rFonts w:ascii="Arial" w:cs="Arial" w:eastAsia="Arial" w:hAnsi="Arial"/>
          <w:sz w:val="18"/>
          <w:szCs w:val="18"/>
          <w:b w:val="1"/>
          <w:bCs w:val="1"/>
          <w:color w:val="auto"/>
        </w:rPr>
        <w:t>333-223956</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 w:name="page2"/>
    <w:bookmarkEnd w:id="1"/>
    <w:p>
      <w:pPr>
        <w:ind w:left="314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description of common shares, $0.0001 par value per share, of CLPS Incorporation (the “Registrant”) to be registered hereunder is set forth under the heading “Description of Share Capital” in the Registrant’s Registration Statement on Form F-1 (File No. 333-223956) originally filed with the Securities and Exchange Commission on March 27, 2018, as amended by any amendments to such Registration Statement and by any prospectus subsequently filed pursuant to Rule 424(b) under the Securities Act of 1933, as amended, which information is incorporated herein by reference.</w:t>
      </w:r>
    </w:p>
    <w:p>
      <w:pPr>
        <w:spacing w:after="0" w:line="16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as a part of this registration statement: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gridSpan w:val="3"/>
          </w:tcPr>
          <w:p>
            <w:pPr>
              <w:spacing w:after="0"/>
              <w:rPr>
                <w:sz w:val="20"/>
                <w:szCs w:val="20"/>
                <w:color w:val="auto"/>
              </w:rPr>
            </w:pPr>
            <w:r>
              <w:rPr>
                <w:rFonts w:ascii="Arial" w:cs="Arial" w:eastAsia="Arial" w:hAnsi="Arial"/>
                <w:sz w:val="18"/>
                <w:szCs w:val="18"/>
                <w:color w:val="auto"/>
              </w:rPr>
              <w:t>Number</w:t>
            </w:r>
          </w:p>
        </w:tc>
        <w:tc>
          <w:tcPr>
            <w:tcW w:w="10040" w:type="dxa"/>
            <w:vAlign w:val="bottom"/>
            <w:gridSpan w:val="5"/>
          </w:tcPr>
          <w:p>
            <w:pPr>
              <w:spacing w:after="0"/>
              <w:rPr>
                <w:sz w:val="20"/>
                <w:szCs w:val="20"/>
                <w:color w:val="auto"/>
              </w:rPr>
            </w:pPr>
            <w:r>
              <w:rPr>
                <w:rFonts w:ascii="Arial" w:cs="Arial" w:eastAsia="Arial" w:hAnsi="Arial"/>
                <w:sz w:val="18"/>
                <w:szCs w:val="18"/>
                <w:color w:val="auto"/>
              </w:rPr>
              <w:t>Description of Exhibit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24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12"/>
                <w:szCs w:val="12"/>
                <w:color w:val="auto"/>
              </w:rPr>
            </w:pPr>
          </w:p>
        </w:tc>
        <w:tc>
          <w:tcPr>
            <w:tcW w:w="3040" w:type="dxa"/>
            <w:vAlign w:val="bottom"/>
            <w:tcBorders>
              <w:bottom w:val="single" w:sz="8" w:color="CCEEFF"/>
            </w:tcBorders>
            <w:gridSpan w:val="3"/>
            <w:vMerge w:val="restart"/>
            <w:shd w:val="clear" w:color="auto" w:fill="CCEEFF"/>
          </w:tcPr>
          <w:p>
            <w:pPr>
              <w:spacing w:after="0"/>
              <w:rPr>
                <w:rFonts w:ascii="Arial" w:cs="Arial" w:eastAsia="Arial" w:hAnsi="Arial"/>
                <w:sz w:val="18"/>
                <w:szCs w:val="18"/>
                <w:color w:val="0000EE"/>
                <w:w w:val="92"/>
              </w:rPr>
            </w:pPr>
            <w:hyperlink r:id="rId14">
              <w:r>
                <w:rPr>
                  <w:rFonts w:ascii="Arial" w:cs="Arial" w:eastAsia="Arial" w:hAnsi="Arial"/>
                  <w:sz w:val="18"/>
                  <w:szCs w:val="18"/>
                  <w:color w:val="0000EE"/>
                  <w:w w:val="92"/>
                </w:rPr>
                <w:t>Memorandum and Articles of Association</w:t>
              </w:r>
            </w:hyperlink>
          </w:p>
        </w:tc>
        <w:tc>
          <w:tcPr>
            <w:tcW w:w="160" w:type="dxa"/>
            <w:vAlign w:val="bottom"/>
            <w:tcBorders>
              <w:bottom w:val="single" w:sz="8" w:color="0000EE"/>
            </w:tcBorders>
            <w:shd w:val="clear" w:color="auto" w:fill="CCEEFF"/>
          </w:tcPr>
          <w:p>
            <w:pPr>
              <w:jc w:val="right"/>
              <w:spacing w:after="0" w:line="129" w:lineRule="exact"/>
              <w:rPr>
                <w:rFonts w:ascii="Arial" w:cs="Arial" w:eastAsia="Arial" w:hAnsi="Arial"/>
                <w:sz w:val="14"/>
                <w:szCs w:val="14"/>
                <w:color w:val="0000EE"/>
                <w:w w:val="81"/>
              </w:rPr>
            </w:pPr>
            <w:hyperlink r:id="rId14">
              <w:r>
                <w:rPr>
                  <w:rFonts w:ascii="Arial" w:cs="Arial" w:eastAsia="Arial" w:hAnsi="Arial"/>
                  <w:sz w:val="14"/>
                  <w:szCs w:val="14"/>
                  <w:color w:val="0000EE"/>
                  <w:w w:val="81"/>
                </w:rPr>
                <w:t>(1)</w:t>
              </w:r>
            </w:hyperlink>
          </w:p>
        </w:tc>
        <w:tc>
          <w:tcPr>
            <w:tcW w:w="6840" w:type="dxa"/>
            <w:vAlign w:val="bottom"/>
            <w:tcBorders>
              <w:bottom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24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040" w:type="dxa"/>
            <w:vAlign w:val="bottom"/>
            <w:tcBorders>
              <w:bottom w:val="single" w:sz="8" w:color="0000EE"/>
            </w:tcBorders>
            <w:gridSpan w:val="3"/>
            <w:vMerge w:val="continue"/>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684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24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12"/>
                <w:szCs w:val="12"/>
                <w:color w:val="auto"/>
              </w:rPr>
            </w:pPr>
          </w:p>
        </w:tc>
        <w:tc>
          <w:tcPr>
            <w:tcW w:w="1980" w:type="dxa"/>
            <w:vAlign w:val="bottom"/>
            <w:tcBorders>
              <w:bottom w:val="single" w:sz="8" w:color="CCEEFF"/>
            </w:tcBorders>
            <w:vMerge w:val="restart"/>
            <w:shd w:val="clear" w:color="auto" w:fill="CCEEFF"/>
          </w:tcPr>
          <w:p>
            <w:pPr>
              <w:spacing w:after="0"/>
              <w:rPr>
                <w:rFonts w:ascii="Arial" w:cs="Arial" w:eastAsia="Arial" w:hAnsi="Arial"/>
                <w:sz w:val="18"/>
                <w:szCs w:val="18"/>
                <w:color w:val="0000EE"/>
                <w:w w:val="89"/>
              </w:rPr>
            </w:pPr>
            <w:hyperlink r:id="rId15">
              <w:r>
                <w:rPr>
                  <w:rFonts w:ascii="Arial" w:cs="Arial" w:eastAsia="Arial" w:hAnsi="Arial"/>
                  <w:sz w:val="18"/>
                  <w:szCs w:val="18"/>
                  <w:color w:val="0000EE"/>
                  <w:w w:val="89"/>
                </w:rPr>
                <w:t>Specimen Share Certificate</w:t>
              </w:r>
            </w:hyperlink>
          </w:p>
        </w:tc>
        <w:tc>
          <w:tcPr>
            <w:tcW w:w="160" w:type="dxa"/>
            <w:vAlign w:val="bottom"/>
            <w:tcBorders>
              <w:bottom w:val="single" w:sz="8" w:color="0000EE"/>
            </w:tcBorders>
            <w:shd w:val="clear" w:color="auto" w:fill="CCEEFF"/>
          </w:tcPr>
          <w:p>
            <w:pPr>
              <w:jc w:val="right"/>
              <w:spacing w:after="0" w:line="129" w:lineRule="exact"/>
              <w:rPr>
                <w:rFonts w:ascii="Arial" w:cs="Arial" w:eastAsia="Arial" w:hAnsi="Arial"/>
                <w:sz w:val="14"/>
                <w:szCs w:val="14"/>
                <w:color w:val="0000EE"/>
                <w:w w:val="81"/>
              </w:rPr>
            </w:pPr>
            <w:hyperlink r:id="rId15">
              <w:r>
                <w:rPr>
                  <w:rFonts w:ascii="Arial" w:cs="Arial" w:eastAsia="Arial" w:hAnsi="Arial"/>
                  <w:sz w:val="14"/>
                  <w:szCs w:val="14"/>
                  <w:color w:val="0000EE"/>
                  <w:w w:val="81"/>
                </w:rPr>
                <w:t>(1)</w:t>
              </w:r>
            </w:hyperlink>
          </w:p>
        </w:tc>
        <w:tc>
          <w:tcPr>
            <w:tcW w:w="7900" w:type="dxa"/>
            <w:vAlign w:val="bottom"/>
            <w:tcBorders>
              <w:bottom w:val="single" w:sz="8" w:color="CCEEFF"/>
            </w:tcBorders>
            <w:gridSpan w:val="3"/>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4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980" w:type="dxa"/>
            <w:vAlign w:val="bottom"/>
            <w:tcBorders>
              <w:bottom w:val="single" w:sz="8" w:color="0000EE"/>
            </w:tcBorders>
            <w:vMerge w:val="continue"/>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7900" w:type="dxa"/>
            <w:vAlign w:val="bottom"/>
            <w:tcBorders>
              <w:bottom w:val="single" w:sz="8" w:color="CCEEFF"/>
            </w:tcBorders>
            <w:gridSpan w:val="3"/>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8097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49" w:lineRule="exact"/>
        <w:rPr>
          <w:sz w:val="20"/>
          <w:szCs w:val="20"/>
          <w:color w:val="auto"/>
        </w:rPr>
      </w:pPr>
    </w:p>
    <w:p>
      <w:pPr>
        <w:ind w:left="5680" w:right="2200" w:hanging="5672"/>
        <w:spacing w:after="0" w:line="778" w:lineRule="auto"/>
        <w:tabs>
          <w:tab w:leader="none" w:pos="458"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Incorporated by reference to Exhibit 3.1 to the Registrant’s Registration Statement filed with the SEC on March 27, 2018.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as amended, the Registrant has duly caused this registration statement to be signed on its behalf by the undersigned, thereto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22, 2018</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23495</wp:posOffset>
            </wp:positionV>
            <wp:extent cx="25984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Raymond Ming Hui Lin</w:t>
      </w:r>
    </w:p>
    <w:p>
      <w:pPr>
        <w:spacing w:after="0" w:line="23" w:lineRule="exact"/>
        <w:rPr>
          <w:sz w:val="20"/>
          <w:szCs w:val="20"/>
          <w:color w:val="auto"/>
        </w:rPr>
      </w:pPr>
    </w:p>
    <w:p>
      <w:pPr>
        <w:ind w:left="7320"/>
        <w:spacing w:after="0"/>
        <w:tabs>
          <w:tab w:leader="none" w:pos="788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4" Type="http://schemas.openxmlformats.org/officeDocument/2006/relationships/hyperlink" Target="http://www.sec.gov/Archives/edgar/data/1724542/000121390018003524/ff12018ex3-1_clpsincorp.htm" TargetMode="External"/><Relationship Id="rId15" Type="http://schemas.openxmlformats.org/officeDocument/2006/relationships/hyperlink" Target="http://www.sec.gov/Archives/edgar/data/1724542/000121390018003524/ff12018ex4-1_clpsin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2019-12-08T18:24:03Z</dcterms:created>
  <dcterms:modified xsi:type="dcterms:W3CDTF">2019-12-08T18:24:03Z</dcterms:modified>
</cp:coreProperties>
</file>