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Notice of Annual Meeting of Shareholders and Proxy Statement of CLPS Incorporation (the “Company”) relating to the Company’s 2022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is a foreign private issuer. As such, the proxy statement is not subject to review and comment by the Securities and Exchange Commission (the “SEC”). Shareholders are urged to carefully read the proxy statement, because it contains important information about the Company and 2022 Annual Meeting of Shareholders. Copies of the proxy statement and other documents filed by the Company will be available at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such filings can also be obtained, without charge, from the Company’s website at https://www.cstproxy.com/clpsglobal/2022, or by directing a request to CLPS Incorporation, c/o Unit 1102, 11th Floor, Millennium City III, 370 Kwun Tong Road, Kwun Tong, Kowloon, Hong Kong SAR.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Proxy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Lin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17,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CLPS Incorporation: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the Shareholders of CLPS Incorporation (the “Company”) will be held on May 17, 2022 at 10 AM China time (or May 16, at 10 PM Eastern Daylight Time), at the Company’s principal executive office in Hong Kong SAR. The meeting is called for the following purposes:</w:t>
      </w:r>
    </w:p>
    <w:p>
      <w:pPr>
        <w:spacing w:after="0" w:line="17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each to serve until the next Annual Meeting of Shareholders or until each successor is duly elected and qualified;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is properly brought before the Annual Meeting or any adjournment or postponement thereof.</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close of business on March 28, 2022 has been fixed as the record date for the purpose of determining the shareholders entitled to notice of, and to vote at, the meeting. The register of members of the Company will not be closed. The date on which this Proxy Statement and the accompanying form of proxy card will first be mailed or given to the Company’s shareholders is on or about April 7, 2022.</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shareholders are cordially invited to attend the meeting. Whether or not you expect to attend, you are respectfully requested by the Board of Directors to sign, date and return the enclosed proxy card promptly. Shareholders who appoint proxies retain the right to revoke them at any time prior to the voting thereof. A return envelope which requires no postage if mailed in the United States is enclosed for your convenience. This Proxy Statement, a form of proxy card and our most recent Annual Report are available, free of charge, online at the following internet address: https://www.cstproxy.com/clpsglobal/2022.</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April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Accordingly, you are urged to sign and return the accompanying proxy card whether or not you plan to attend the meeting. If you do attend the meeting and are a record holder, you may vote by ballot at the meeting, and your proxy will be deemed to be revoked. If you hold your shares in street name and wish to vote your shares at the meeting, you should contact your broker about getting a proxy appointing you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4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CLPS INCORPORATION</w:t>
            </w:r>
          </w:p>
        </w:tc>
        <w:tc>
          <w:tcPr>
            <w:tcW w:w="112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4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9"/>
        </w:trPr>
        <w:tc>
          <w:tcPr>
            <w:tcW w:w="17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Page No.</w:t>
            </w:r>
          </w:p>
        </w:tc>
      </w:tr>
      <w:tr>
        <w:trPr>
          <w:trHeight w:val="196"/>
        </w:trPr>
        <w:tc>
          <w:tcPr>
            <w:tcW w:w="1700" w:type="dxa"/>
            <w:vAlign w:val="bottom"/>
            <w:tcBorders>
              <w:bottom w:val="single" w:sz="8" w:color="0000EE"/>
            </w:tcBorders>
            <w:shd w:val="clear" w:color="auto" w:fill="CCEEFF"/>
          </w:tcPr>
          <w:p>
            <w:pPr>
              <w:spacing w:after="0" w:line="142" w:lineRule="exact"/>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PROXY STATEMENT</w:t>
              </w:r>
            </w:hyperlink>
          </w:p>
        </w:tc>
        <w:tc>
          <w:tcPr>
            <w:tcW w:w="842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120" w:type="dxa"/>
            <w:vAlign w:val="bottom"/>
            <w:gridSpan w:val="8"/>
          </w:tcPr>
          <w:p>
            <w:pPr>
              <w:spacing w:after="0" w:line="17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ELECTION OF DIRECTORS (PROPOSAL NO. 1)</w:t>
              </w:r>
            </w:hyperlink>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THE BOARD AND BOARD COMMITTEES</w:t>
              </w:r>
            </w:hyperlink>
          </w:p>
        </w:tc>
        <w:tc>
          <w:tcPr>
            <w:tcW w:w="67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120" w:type="dxa"/>
            <w:vAlign w:val="bottom"/>
            <w:gridSpan w:val="8"/>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REPORT OF THE AUDIT COMMITTEE</w:t>
              </w:r>
            </w:hyperlink>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DIRECTOR COMPENSATION</w:t>
              </w:r>
            </w:hyperlink>
          </w:p>
        </w:tc>
        <w:tc>
          <w:tcPr>
            <w:tcW w:w="77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10120" w:type="dxa"/>
            <w:vAlign w:val="bottom"/>
            <w:gridSpan w:val="8"/>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EXECUTIVE OFFICERS</w:t>
              </w:r>
            </w:hyperlink>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MAJOR SHAREHOLDERS AND RELATED PARTY TRANSACTIONS</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240" w:top="900"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CLPS Incorporation (the “Company,” “CLPS” “we,” “us,” or “our”) for the Annual Meeting of Shareholders to be held at the Company’s principal executive office, at Unit 1102, 11th Floor, Millennium City III, 370 Kwun Tong Road, Kwun Tong, Kowloon, Hong Kong SAR on May 17, 2022 at 10AM local China time (or May 16 at 10PM Eastern Daylight Time) and for any adjournment or adjournments thereof, for the purposes set forth in the accompanying Notice of Annual Meeting of Shareholders. The Company will bear the costs of this solicitation.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enclosed proxy is properly executed and returned, the shares represented thereby will be voted in accordance with the directions thereon and otherwise in accordance with the judgment of the persons designated as proxies. Any proxy card on which no instruction is specified will be voted in favor of the actions described in this Proxy Statement and for the election of the nominees set forth under the caption “Election of Directors.” Any shareholder appointing such a proxy has the power to revoke it at any time before it is voted. If you are a holder of record, written notice of such revocation should be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forwarded to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10004-1561, facsimile: 212-616-7613, Attn: Proxy Services. If you hold your shares in street name, you should contact your broker about revoking your proxy.</w:t>
      </w:r>
    </w:p>
    <w:p>
      <w:pPr>
        <w:spacing w:after="0" w:line="200" w:lineRule="exact"/>
        <w:rPr>
          <w:sz w:val="20"/>
          <w:szCs w:val="20"/>
          <w:color w:val="auto"/>
        </w:rPr>
      </w:pPr>
    </w:p>
    <w:p>
      <w:pPr>
        <w:jc w:val="both"/>
        <w:ind w:firstLine="368"/>
        <w:spacing w:after="0" w:line="258" w:lineRule="auto"/>
        <w:rPr>
          <w:sz w:val="20"/>
          <w:szCs w:val="20"/>
          <w:color w:val="auto"/>
        </w:rPr>
      </w:pPr>
      <w:r>
        <w:rPr>
          <w:rFonts w:ascii="Times New Roman" w:cs="Times New Roman" w:eastAsia="Times New Roman" w:hAnsi="Times New Roman"/>
          <w:sz w:val="18"/>
          <w:szCs w:val="18"/>
          <w:color w:val="auto"/>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Only holders of our common shares of record at the close of business on March 28, 2022 (the “Record Date”) are entitled to vote at the meeting. On the Record Date, the Company had 21,513,822 common shares outstanding and entitled to vote at the Annual Meeting. For purposes of voting at the Annual Meeting, each common share is entitled to one vote upon all matters to be acted upon at the meeting. No business may be transacted at any meeting of shareholders unless a quorum is present at the commencement of business. The presence of one or more shareholders entitled to vote and present in person or by proxy representing not less than one third of the total issued voting shares of the Company throughout the meeting shall constitute a quorum.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Election of directors must be approved by the affirmative vote of a simple majority of the votes of the common shares entitled to vote thereon which were present at the Annual Meeting and were voted. The affirmative vote of a simple majority of the votes cast in person or by proxy at the Annual Meeting and entitled to vote is required to ratify the appointment of independent auditors. A “majority vote” means that a proposal passes if it receives a majority of the votes cast by, or on behalf of, the shareholders entitled to vote and present at the meeting.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or on behalf of, the shareholders entitled to vote at a meeting, while a special resolution requires the affirmative vote of a majority of at least two-thirds of such shareholders as, being entitled to do so, vote in person or by proxy of which notice specifying the intention to propose the resolution as a special resolution has been duly given. A special resolution will be required for important matters such as a change of name or making changes to our memorandum and articles of association.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Only Shares that are voted are taken into account in determining the proportion of votes cast for the election of directors. Any Shares not voted (whether by abstention, broker non-vote or otherwise) will therefore only impact the election of directors to the extent that the failure to vote for any individual may result in another individual’s receiving a larger proportion of votes cast. Similarly, any Shares not voted (whether by abstention, broker non-vote or otherwise) will only impact the percentage of votes cast for or against the other matters. Except for determining the presence or absence of a quorum for the transaction of business, broker non-votes are not counted for any purpose in determining whether a matter has been approved.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Annual Meeting will be postponed if a quorum is not present at the Annual Meeting. For purposes of determining the presence of a quorum, abstentions and broker non-votes will be counted as present. A broker non-vote occurs when a broker or nominee holding shares for a beneficial owner signs and returns a proxy but does not vote on a particular proposal because the broker or nominee does not have discretionary voting power and has not received instructions from the beneficial owner. If a quorum is not present, the meeting shall stand adjourned to the same time and place seven days hence, or to such other time or place as is determined by the directors (unless the meeting was requisitioned by the shareholders, in which case such meeting shall be cancelled if a quorum is not present). If a quorum is present, the meeting may be adjourned by the chairman of the meeting by the consent of shareholders who are represented constituting a quorum. The meeting may be rescheduled at the time of the adjournment with no further notice of the rescheduled time (except such notice provided at the meeting at which the adjournment decision was made) if the meeting is adjourned for seven clear days or less. Should a meeting be adjourned for more than seven days, whether because of a lack of quorum or otherwise, shareholders shall be given at least seven days’ notice of the date, time and place of the adjourned meeting and the general nature of the business to be transacted. An adjournment will have no effect on the business to be conducted.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Memorandum and Articles of Association do not contain any provisions that allow cumulative voting for elections of directors.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soliciting your vote through the use of the mail and will bear the cost of this solicitation. The Company does not intend to employ third party solicitors, but our directors, officers, employees, and consultants may solicit proxies by mail, telephone, personal contact, or through online methods; to the extent they do so, the Company will reimburse their expenses for doing this. The Company will also reimburse brokers, fiduciaries, and custodians for their costs in forwarding proxy materials to beneficial owners of the Company’s stock. Other proxy solicitation expenses include those for preparation, mailing, returning, and tabulating the proxies.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is not proposing any action for which the applicable rules and laws provide a right of a shareholder to obtain appraisal of or payment for such shareholder’s shares.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Copies of the Company’s Annual Report on Form 20-F for the fiscal year ended June 30, 2021 as filed with the Securities and Exchange Commission are being sent to all shareholders along with this proxy statement. Additional copies will be furnished without charge to shareholders upon written request. Exhibits to the Annual Report will be provided upon written request. All written requests should be directed to the Company at its main office in Hong Kong SAR. The Company is subject to certain disclosure requirements of the Securities Exchange Act of 1934, as amended. The SEC maintains a website that contains various filings and reports regarding companies that file electronically with the SEC. The SEC’s website address is www.sec.gov. In addition, our filings may be inspected and copied at the public reference facilities of the SEC located at 100 F Street, N.E. Washington, DC 20549; and at the SEC’s regional offices at 233 Broadway, New York, NY 10279 and Citicorp Center, 500 West Madison Street, Room 1400, Chicago, IL 60661. Copies of the material may also be obtained upon request and payment of the appropriate fee from the Public Reference Section of the SEC located at 100 F Street, N.E., Washington, DC 20549.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462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shareholder of record, you may vote in person at the Annual Meeting.</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give you a ballot sheet when you arrive. If you do not wish to vote in person or you will not be attending the annual meeting, you may vote by proxy. If you have received a printed copy of these proxy materials by mail, you may vote by proxy using the enclosed proxy card. To vote by proxy using the enclosed proxy card (only if you have received a printed copy of these proxy materials by mail), complete, sign and date your proxy card and return it promptly in the envelope provided. If you intend to vote by proxy, your vote must be received by 5:30 p.m., local China time on May 16, 2022 to be counted.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your name, you are a shareholder of record with respect to those shares. On the other hand, if your shares are registered in the name of your broker or bank, your shares are held in street name and you are considered the “beneficial owner” of the shares. As the beneficial owner of those shares, you have the right to direct your broker or bank how to vote your shares, and you will receive separate instructions from your broker or bank describing how to vote your shares.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it is exercised. You may revoke your proxy in three ways: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proxy with a later date.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us in writing (or if the stockholder is a corporation, under its corporate seal, by an officer or attorney of the corporation) at our principal executive offices before the Annual Meeting that you are revoking your proxy.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in person at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Committee of the Board has recommended that the Board nominate and the Board has nominated Xiao Feng Yang, Raymond Ming Hui Lin, Zhaohui Feng, Chong Seng Kee, and Jin He Shao, each to serve until the next Annual Meeting of Shareholders or until each successor is duly elected and qualified. It is intended that the proxy appointed by the accompanying proxy card will vote for the election, as directors, of the persons named below, unless the proxy card contains contrary instructions.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reason to believe that any of the nominees will not be a candidate or will be unable to serve as director. However, in the event that any of the nominees should become unable or unwilling to serve as a director, the persons named in the proxy have advised that they will vote for the election of such person or persons as shall be designated by the directors, unless the proxy card contains contrary instructions.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pages set forth the names of director nominees, their respective principal occupations, positions with the Company, and brief employment history of the past five years, including the names of other publicly-held companies of which each serves or has served as a director during the past five years:</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Xiao Feng Yang </w:t>
      </w:r>
      <w:r>
        <w:rPr>
          <w:rFonts w:ascii="Times New Roman" w:cs="Times New Roman" w:eastAsia="Times New Roman" w:hAnsi="Times New Roman"/>
          <w:sz w:val="18"/>
          <w:szCs w:val="18"/>
          <w:color w:val="auto"/>
        </w:rPr>
        <w:t>is the chairman of the board of the Company and has been a director of the Company since May 11, 2017. Mr. Yang has over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executive management and operational experience 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Economics and Webster University (US). The Board of Directors determined that Xiao Feng Yang should continue serving as our Chairman given his pivotal role in the Company’s founding and long-term 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Raymond Ming Hui Lin</w:t>
      </w:r>
      <w:r>
        <w:rPr>
          <w:rFonts w:ascii="Times New Roman" w:cs="Times New Roman" w:eastAsia="Times New Roman" w:hAnsi="Times New Roman"/>
          <w:sz w:val="18"/>
          <w:szCs w:val="18"/>
          <w:color w:val="auto"/>
        </w:rPr>
        <w:t>, is the chief executive officer and director of the Company and has been a director of the Company since December 7,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Lin joined CLPS in February 2009 as chief executive officer. 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 The Board of Directors determined that Raymond Ming Hui Lin should continue serving as our director given his pivotal role in the Company’s founding, day-to-day operations and long-term vision.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Zhaohui Feng </w:t>
      </w:r>
      <w:r>
        <w:rPr>
          <w:rFonts w:ascii="Times New Roman" w:cs="Times New Roman" w:eastAsia="Times New Roman" w:hAnsi="Times New Roman"/>
          <w:sz w:val="18"/>
          <w:szCs w:val="18"/>
          <w:color w:val="auto"/>
        </w:rPr>
        <w:t>is an independent director of the Company and as a member of the Audit Committee and Compensation Committee and the Chair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Nominating Committee of the Board of Directors since July 1, 2020. From March 2017 to present, Mr. Feng has been the general manager at 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 The Board determined that Mr. Feng should serve as our director based on his industry knowledge and experience.</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Chong Seng Kee </w:t>
      </w:r>
      <w:r>
        <w:rPr>
          <w:rFonts w:ascii="Times New Roman" w:cs="Times New Roman" w:eastAsia="Times New Roman" w:hAnsi="Times New Roman"/>
          <w:sz w:val="18"/>
          <w:szCs w:val="18"/>
          <w:color w:val="auto"/>
        </w:rPr>
        <w:t>is an independent director of the Company and has been a director of the Company since September 4, 2019. Mr. Kee spent a career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information technology industry, most recently as an operation manager at Citibank from 2003 until his full retirement in 2015. The Board has determined that Chong Seng Kee should serve as our director based on his industry, finance and business experience and expertise.</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Jin He Shao </w:t>
      </w:r>
      <w:r>
        <w:rPr>
          <w:rFonts w:ascii="Times New Roman" w:cs="Times New Roman" w:eastAsia="Times New Roman" w:hAnsi="Times New Roman"/>
          <w:sz w:val="18"/>
          <w:szCs w:val="18"/>
          <w:color w:val="auto"/>
        </w:rPr>
        <w:t>is an independent director of the Company and has been a director of the Company since January 11, 2018. From January 2002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Mr. Shao has been a partner at Shanghai Huajin Accounting &amp; Consulting Professional Services. From August 1995 to December 2001, he served as senior tax manager at Phillips (China) Investment Co., Ltd. Mr. Shao received a joint MBA degree from Shanghai University of Finance &amp; Economics and The Webster University. Mr. Shao is qualified as a PRC CPA. In addition, Mr. Shao attended Shanghai Grain College where he majored in finance and accounting, and STV University where he majored in auditing. The Board has determined that Mr. Shao should serve as our director based on his knowledge of the Company’s operations as well as his financial and accounting experience and expertise.</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the events listed in Item 401(f) of Regulation S-K has occurred during the past ten years that is material to the evaluation of the ability or integrity of any of our directors, director nominees or executive officers. To the best of our knowledge, there have been no events under any bankruptcy act, criminal proceedings, judgments, injunctions, orders or decrees material to the evaluation of the ability and integrity of any director, executive officer, promoter or control person of the Company during the past ten years and there have been no material proceedings to which any director or executive officer is a party adverse to the Company or any of its subsidiaries or has any material interest averse to the Company or any of its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AND BOARD COMMITTEES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2021 fiscal year, the Board met via teleconference for a total of 8 times. All of the directors of the Board at the time attended 75% or more of the aggregate of meetings of the Board and meetings of any committee which such director is a member. Each director nominated above is expected to participate, either in person or via teleconference, in meetings of our Board and meetings of committees of our Board in which each director is a member, and to spend the time necessary to properly discharge such director’s respective duties and responsibilities. We do not have a written policy with regard to directors’ attendance at annual meetings of shareholders; however, all directors are encouraged to attend the annual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Composition of Board; Risk Oversight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presently consists of five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There are no family relationships between any of our executive officers and directors. Officers are elected by, and serve at the discretion of, the Board. Our Board holds meetings on at least a quarterly basis. There are no other arrangements or understandings pursuant to which our directors are selected or nominated.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formal requirement under the Company’s memorandum and articles of association mandating that we hold an annual meeting of our shareholders.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 Officers are elected by, and serve at the discretion of, the board of directors. Our Board holds meetings on at least a quarterly basis. 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Further, there are no share ownership qualifications for directors unless so fixed by us in a general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plays a significant role in our risk oversight and makes all relevant Company decisions. As such, it is important for us to have our Chief Executive Officer serve on the Board as he plays key roles in the risk oversight or the Company. As a smaller reporting company with a small Board, we believe it is appropriate to have the involvement and input of all of our directors in risk oversight matters.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reviewed the independence of our directors, applying the NASDAQ independence standards. Based on this review, the Board determined that each of Zhaohui Feng, Chong Seng Kee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43" w:lineRule="exact"/>
        <w:rPr>
          <w:sz w:val="20"/>
          <w:szCs w:val="20"/>
          <w:color w:val="auto"/>
        </w:rPr>
      </w:pPr>
    </w:p>
    <w:p>
      <w:pPr>
        <w:ind w:left="20" w:right="40" w:firstLine="324"/>
        <w:spacing w:after="0" w:line="282" w:lineRule="auto"/>
        <w:rPr>
          <w:sz w:val="20"/>
          <w:szCs w:val="20"/>
          <w:color w:val="auto"/>
        </w:rPr>
      </w:pPr>
      <w:r>
        <w:rPr>
          <w:rFonts w:ascii="Times New Roman" w:cs="Times New Roman" w:eastAsia="Times New Roman" w:hAnsi="Times New Roman"/>
          <w:sz w:val="18"/>
          <w:szCs w:val="18"/>
          <w:color w:val="auto"/>
        </w:rPr>
        <w:t>Currently, three committees have been established under the board: the Audit Committee, the Compensation Committee and the Nominating Committee.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Zhaohui Feng, Chong Seng Kee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preparing the Company’s financial statements, implementing and maintaining systems of internal control, and the independent auditors are responsible for auditing those financial statements and expressing its opinion as to whether the financial statements present fairly, in all material respects, the financial position, results of operations and cash flows of the Company in conformity with generally accepted accounting principles in the United States of America. The Audit Committee is responsible for overseeing the conduct of these activities by the Company’s management and the independent auditors. In fulfilling its responsibilities, the Board appointed Ernst &amp; Young Hua Ming LLP, an independent registered public accounting firm, as the Company’s independent auditors for the 2021 fiscal year. During 2021, the Audit Committee reviewed and discussed with the independent auditors the overall scope and specific plans for their audit.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Annual Report on Form 20-F, the Audit Committee reviewed and discussed with the independent auditors and with management the Company’s audited consolidated financial statements and the adequacy of its internal control over financial reporting. The Audit Committee met with the independent auditors, without management present, to discuss the results of the independent auditors’ audit and the overall quality of the Company’s financial reporting. The meeting was also designed to facilitate any desired private communication between the Audit Committee and the independent auditors.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discussed with the independent auditors the matters required to be discussed by the Statement on Auditing Standards No. 61 (AICPA, Professional Standards, Vol. 1. AU section 380), as adopted by the Public Company Accounting Oversight Board, or PCAOB, in Rule 3200T. The Audit Committee received the written disclosures and the letter from the independent auditors required by applicable requirements of the PCAOB regarding the independent accountants’ communications with the Audit Committee concerning independence, and has discussed with the independent auditors the independent auditors’ independence.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be included in the Company’s Annual Report on Form 20-F for the fiscal year ended June 30, 2021, as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Zhaohui Feng, Chong Seng Kee, Jin He Shao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225"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to approve the compensation of our CEO and other executive officers and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Compensation Committee consists of Zhaohui Feng, Chong Seng Kee and Jin He Shao, with Mr. Kee serving as chair of the Compensation Committee.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472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Nominating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for selection candidates for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of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regarding the structure and composition of our board and the board committees;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Code of Business Conduct and Ethics;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Company’s management.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Nominating Committee consists of Zhaohui Feng, Chong Seng Kee and Jin He Shao, with Mr. Feng serving as chair of the Nominating Committee.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Nominating Committee will consider director candidates recommended by shareholders. Shareholders who wish to recommend to the Nominating Committee a candidate for election to the Board should send their letters to: c/o Unit 1102, 11th Floor, Millennium City III, 370 Kwun Tong Road, Kwun Tong, Kowloon, Hong Kong SAR. The corporate secretary will promptly forward all such letters to the members of the Nominating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 Attendance at Annual Meetings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nominees are generally expected to attend our Annual Meetings in person or by telephone unless personal circumstances make the Board member or director nominee attendance impracticable or inappropriate.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 formal written policy regarding communication with the Board. Persons wishing to write to the Board or to a specified director or committee of the Board should send correspondence to the Secretary at our main office. Electronic submissions of shareholder correspondence will not be accepted. The Secretary will forward to the directors all communications that, in his judgment, are appropriate for consideration by the directors. Any correspondence received that is addressed generically to the Board will be forwarded to the Chairman of the Board, with a copy will be sent to the Chairman of the Audit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and Borrowing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Qualification</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 director is not required to hold shares as a qualification to office.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40" w:type="dxa"/>
            <w:vAlign w:val="bottom"/>
          </w:tcPr>
          <w:p>
            <w:pPr>
              <w:spacing w:after="0"/>
              <w:rPr>
                <w:sz w:val="24"/>
                <w:szCs w:val="24"/>
                <w:color w:val="auto"/>
              </w:rPr>
            </w:pPr>
          </w:p>
        </w:tc>
        <w:tc>
          <w:tcPr>
            <w:tcW w:w="33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annual compensation paid by us for the years ended June 30, 2021 and June 30,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Paid</w:t>
            </w: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0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Xiao Feng Yang, Chairman of the Board (1)</w:t>
            </w: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99,445</w:t>
            </w: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112,762</w:t>
            </w:r>
          </w:p>
        </w:tc>
      </w:tr>
      <w:tr>
        <w:trPr>
          <w:trHeight w:val="216"/>
        </w:trPr>
        <w:tc>
          <w:tcPr>
            <w:tcW w:w="404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Ming Hui Lin, CEO and Director (2)</w:t>
            </w: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192,747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192,747</w:t>
            </w: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112,449</w:t>
            </w:r>
          </w:p>
        </w:tc>
      </w:tr>
      <w:tr>
        <w:trPr>
          <w:trHeight w:val="216"/>
        </w:trPr>
        <w:tc>
          <w:tcPr>
            <w:tcW w:w="404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Rui Yang, Chief Financial Officer (3)</w:t>
            </w: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75,742</w:t>
            </w: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64,839</w:t>
            </w:r>
          </w:p>
        </w:tc>
      </w:tr>
      <w:tr>
        <w:trPr>
          <w:trHeight w:val="216"/>
        </w:trPr>
        <w:tc>
          <w:tcPr>
            <w:tcW w:w="404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 Li, Chief Operating Officer (4)</w:t>
            </w: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183,202</w:t>
            </w: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150,594</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Chairman and President effective as of December 9, 2017 and President effective from December 9, 2017 to August 19, 2020.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Chief Executive Officer effective as of December 9, 2017.</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Acting Chief Financial Officer effective as of November 1, 2019 and Chief Financial Officer as of December 17, 2020.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Chief Operating Officer effective as of June 11, 2019.</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applicable Chinese laws, we may only terminate employment agreements without paying the Employee severance pay under the following circumstances: (1) upon the labor contract expires, the Employee does not renew the contract even though the conditions offered by us are the same as or better than those stipulated in the current contract, (2) the Employee is at fault such as (i) is proved during the probation period not to satisfy the conditions for employment, (ii) materially breaches the Company’s rules and regulations, (iii) commits serious dereliction of duty or engaged in fraudulent practices, causing substantial damage to the Company, (iv) has additionally established an employment relationship with another employer which materially affects the completion of his tasks with the Company, or he refuses to rectify the matter after the same is brought to his attention by the Employer, (v) causes the employment contract to be invalid from the beginning, (vi) has his criminal liability pursued in accordance with the law, (3) the Employee has commenced drawing on his basic old age insurance pension in accordance with the law, (4) in the event of the Employee’s death, or being declared missing by a People’s Court, (5) the Company is declared bankrupt, (6) the Company has its business license revoked, is ordered to close or is closed down, or the Employer decides on early liquidation, or (7) another circumstance specified in laws or administrative statutes arises.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set forth above, the Company will pay the Employee severance pay. An Employee shall be paid severance pay based on the number of years worked with us at the rate of one month’s wage for each full year worked. Any period of not less than six months but less than one year shall be counted as one year. The severance pay payable to an Employee for any period of less than six months shall be one-half of his monthly wages.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Incentive Awards at Fiscal Year-End</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have adopted a 2017 Equity Incentive Plan (the “2017 Plan”). The Plan is a stock-based compensation plan that provides for discretionary grants of, among others, stock options, stock awards and stock unit awards to key employees and directors of the Company. On July 12, 2018, our Board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Following the foregoing issuance, we had 1,986,179 common shares available under the Plan. In addition, in November 2018, our Board of Directors authorized and approved an issuance to various key employees of the Company a total of 306,967 options to purchase common shares under the terms of the Plan, which options are exercisable at the exercise price of $5.25 per share and vesting over a 4-year period. On June 11, 2019, our Board approved an issuance of 12,000 RSUs to key employee under the Plan. RSUs granted to key employee have a term of one year, but are subject to earlier termination in connection with termination of continuous service to the Company. RSUs vest after one-year period. As at the grant date of June 11, 2019, the weighted-average fair value per share was $ 5.91 and the estimated total fair value of the restricted shares granted was $0.07 million. On October 8, 2019, our Board approved an issuance of 18,700 RSUs to key employees under the Plan. RSUs granted to key employees have a term of one year, but are subject to earlier termination in connection with termination of continuous service to the Company. RSUs vest after one-year period. As at the grant date of October 8, 2019, the weighted-average fair value per share was $ 5.07 and the estimated total fair value of the restricted shares granted was $0.09 million. On November 27, 2019, our Board approved an issuance of 594,600 RSUs to key employees under the Plan. RSUs granted to key employees vest on the grant date. As at the grant date of November 27, 2019, the weighted-average fair value per share was $2.7 and the estimated total fair value of the restricted shares granted was $1.6 million. In November 2019, our Board of Directors authorized and approved an issuance to various key employees of the Company a total of 775,250 options to purchase common shares under the terms of the Plan, which options are exercisable at the exercise price of $2.68 per share and vesting over a 4-year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 2019 Equity Incentive Plan (the “2019 Plan”). The Plan is a stock-based compensation plan that provides for discretionary grants of, among others, stock options, stock awards and stock unit awards to key employees and directors of the Company. The Company has granted no award under the 2019 Plan yet.</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On May 6, 2020, the Company granted 1,073,700 RSUs to key employees under the 2020 Plan. The RSUs granted to the employees fully vest on the grant date. The RSUs are valid for a period of 10 years from the grant date. The weighted-average grant-date fair value per share was $2.06 and the estimated total fair value of the RSUs granted was $2,208,601. On June 24, 2020, the Company granted 46,050 RSUs to key employees under the 2020 Plan. The RSUs granted to the employees fully vest on specified date within two years. The RSUs are valid for a period of 10 years from the grant date. The weighted-average grant-date fair value per share was $2.41 and the estimated total fair value of the RSUs granted was $110,981. On November 6, 2020, the Company granted 724,000 RSUs to key employees under the 2020 Plan. The RSUs granted to the employees 30% vest on the grant date and 70% vest six month later. The RSUs are valid for a period of 10 years from the grant date. The weighted-average grant-date fair value per share was $2.89 and the estimated total fair value of the RSUs granted was $2,092,360. On November 6, 2020, our Board of Directors authorized and approved an issuance to various key employees of the Company a total of 618,839 options to purchase common shares under the terms of the Plan, which options are exercisable at the exercise price of $2.68 per share and vesting over a 4-year period. On December 17, 2020, the Company granted 2,420 RSUs to key employees under the 2020 Plan. The RSUs granted to the employees fully vest on the grant date. The RSUs are valid for a period of 10 years from the grant date. The weighted-average grant-date fair value per share was $3.01 and the estimated total fair value of the RSUs granted was $7,284.20. On May 7, 2021, the Company granted 635,950 RSUs to key employees under the 2020 Plan. 606,000 RSUs granted to the employees fully vest on the grant date and 29,950 RSUs granted to the employees fully vest on specified date within one years. The RSUs are valid for a period of 10 years from the grant date. The weighted-average grant-date fair value per share was $3.86 and the estimated total fair value of the RSUs granted was $2,454,767. On August 23, 2021, the Company granted 1,219,600 RSUs to key employees under the 2020 Plan. The RSUs granted to the employees fully vest on specified date within four years. The RSUs are valid for a period of 10 years from the grant date. The weighted-average grant-date fair value per share was $3.15 and the estimated total fair value of the RSUs granted was $3,841,740. On August 23, 2021, our Board of Directors authorized and approved an issuance to various key employees of the Company a total of 2,790,300 options to purchase common shares under the terms of the Plan, which options are exercisable at the exercise price of $2.68 per share and vesting over a 4-year period. On January 31, 2022, the Company granted 1,300,000 RSUs to key employees under the 2020 Plan. The RSUs granted to the employees fully vest on the grant date The RSUs are valid for a period of 10 years from the grant date. The weighted-average grant-date fair value per share was $1.92 and the estimated total fair value of the RSUs granted was $2,496,000. On January 31, 2022, our Board of Directors authorized and approved an issuance to various key employees of the Company a total of 1,300,000 options to purchase common shares under the terms of the Plan, which options are exercisable at the exercise price of $1.68 per share and vesting over a 4-year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Xiao Feng Yang Employment Agreement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The compensation by the Company to Xiao Feng Yang in 2019 fiscal year was USD 102,827.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 Mr. Yang is the chairman of the board of the Company and has been a director of the Company since May 11, 2017.</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Raymond Ming Hui Lin Employment Agreement</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The compensation paid by the Company to Raymond Ming Hui Lin in 2019 fiscal year was USD 104,718.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i w:val="1"/>
          <w:iCs w:val="1"/>
          <w:color w:val="auto"/>
        </w:rPr>
        <w:t>Rui Yang Employment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 Li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11, 2019, we entered into an employment agreement with Li Li pursuant to which he agreed to serve as our Chief Operating Officer. Mr. Li’s employment agreement, set to expire on June 10, 2022, provides for an annual salary of RMB 360,000 and HK$273,600 (approximately US$85,200) and 12,000 shares of common stock to be granted in June 2020. The compensation paid by us to Li Li for the fiscal year ended June 30, 2021 was US$183,202.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30,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OWNERSHIP OF THE COMPANY’S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March 28, 2022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broker-dealer. Applicable percentage ownership is based on 21,513,822 common shares outstanding as of April 1, 2022. Unless otherwise indicated, the address of each beneficial owner listed in the table below is c/o CLPS Incorporation, Unit 1102, 11th Floor, Millennium City III, 370 Kwun Tong Road, Kwun Tong, Kowloon, Hong Kong SAR.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(1)</w:t>
            </w:r>
          </w:p>
        </w:tc>
        <w:tc>
          <w:tcPr>
            <w:tcW w:w="100" w:type="dxa"/>
            <w:vAlign w:val="bottom"/>
          </w:tcPr>
          <w:p>
            <w:pPr>
              <w:spacing w:after="0"/>
              <w:rPr>
                <w:sz w:val="21"/>
                <w:szCs w:val="21"/>
                <w:color w:val="auto"/>
              </w:rPr>
            </w:pPr>
          </w:p>
        </w:tc>
      </w:tr>
      <w:tr>
        <w:trPr>
          <w:trHeight w:val="216"/>
        </w:trPr>
        <w:tc>
          <w:tcPr>
            <w:tcW w:w="240" w:type="dxa"/>
            <w:vAlign w:val="bottom"/>
            <w:tcBorders>
              <w:top w:val="single" w:sz="8" w:color="auto"/>
            </w:tcBorders>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 (2)(7)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5,542,950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Raymond Ming Hui Lin (3)(6)(7)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6,451,074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Yang (4)(6)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 Li (6)(8)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Jin He Shao (5)(7)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Zhao Hui Feng(7)(9)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 Seng Kee(7)(10)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&amp; executive officers as a group (7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12,613,302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58.63</w:t>
            </w:r>
          </w:p>
        </w:tc>
      </w:tr>
      <w:tr>
        <w:trPr>
          <w:trHeight w:val="216"/>
        </w:trPr>
        <w:tc>
          <w:tcPr>
            <w:tcW w:w="8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Qinrui Ltd.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Qinhui Ltd.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4,999,996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beneficial owners as a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9,975,996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46.37</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than 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3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380" w:hanging="372"/>
        <w:spacing w:after="0" w:line="253"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British Virgin Islands corporation with the mailing address of c/o Ogier Global (BVI) Ltd., Ritter House, Wickhams Cay II, PO Box 3170,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to Mr. Yang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From March 10, 2021 to April 1, 2022 a total of 220,823 shares were disposed of in various occasions, resulting in the net increased holding of 199,177 shares.</w:t>
      </w:r>
    </w:p>
    <w:p>
      <w:pPr>
        <w:spacing w:after="0" w:line="189" w:lineRule="exact"/>
        <w:rPr>
          <w:rFonts w:ascii="Times New Roman" w:cs="Times New Roman" w:eastAsia="Times New Roman" w:hAnsi="Times New Roman"/>
          <w:sz w:val="18"/>
          <w:szCs w:val="18"/>
          <w:color w:val="auto"/>
        </w:rPr>
      </w:pPr>
    </w:p>
    <w:p>
      <w:pPr>
        <w:jc w:val="both"/>
        <w:ind w:left="380" w:hanging="372"/>
        <w:spacing w:after="0" w:line="253"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British Virgin Islands corporation with the mailing address of c/o Ogier Global (BVI) Ltd., Ritter House, Wickhams Cay II, PO Box 3170,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to Mr. Lin vests in three equal installments, with the first installment vesting upon grant, and the second and third – on the first and second anniversary of the grant. Also includes 404,600 restricted shares granted to Mr. Lin on November 27, 2019 and vested immediately.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From March 10, 2021 to April 1, 2022 a total of 380,521 shares were disposed of in various occasions, resulting in the net increased holding of 786,479 shares.</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12,000 common shares vested in whole on November 1, 2021. Represents vested portion of the restricted stock granted dated as of May 7, 2021. The total grant of 20,000 common shares vests in whole immediately on the grant date of award. Represents vested portion of the restricted stock granted dated as of January 31, 2022. The total grant of 100,000 common shares and vest immediately on the grant date of award. From March 10, 2021 to April 1, 2022 a total of 52,345 shares were disposed of in various occasions, resulting in the net increased holding of 141,655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380" w:hanging="372"/>
        <w:spacing w:after="0" w:line="25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 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w:t>
      </w:r>
    </w:p>
    <w:p>
      <w:pPr>
        <w:spacing w:after="0" w:line="19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January 31, 2022. The total grant of 150,000 common shares vests in whole immediately on the grant date of award. From March 10, 2021 to April 1, 2022 a total of 99,848 shares were disposed of in various occasions, resulting in the net increased holding of 232,152 shares.</w:t>
      </w:r>
    </w:p>
    <w:p>
      <w:pPr>
        <w:spacing w:after="0" w:line="191"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From March 10, 2021 to April 1, 2022 a total of 16,500 shares were acquired from the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 and Related Party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2019 and 2018,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agreement with our shareholders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balances due to and due from related parties were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Mr. Raymond Ming Hui Lin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169,185</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Noncontrolling interest shareholder of JAJI China- Beijing Bright Technology Co., Ltd (“Beijing Bright”)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393,761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investee of the Company-EMIT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Due to related parties: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Equity investee of the Company-EMIT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546,128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169,185</w:t>
            </w:r>
          </w:p>
        </w:tc>
      </w:tr>
      <w:tr>
        <w:trPr>
          <w:trHeight w:val="421"/>
        </w:trPr>
        <w:tc>
          <w:tcPr>
            <w:tcW w:w="3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183,148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5"/>
              </w:rPr>
              <w:t>183,148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Due from related parties mainly represents, advances to the Company’s CEO and prepaid expenses to the noncontrolling interest shareholder of JAJI China.</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Due to related parties mainly represents subcontracting cost to be paid to the equity investee-EMIT and expenses paid by the Company’s CEO on behalf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director nominees for directors who receive the affirmative vote of a majority of the common shares entitled to vote thereon which were present at the Annual Meeting and were voted will be elected. The Board recommends a vote FOR election of the director nominees.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is required for ratification of this Proposal. The Board recommends a vote FOR this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does not know of any matters other than those stated in this Proxy Statement that are to be presented for action at the meeting. If any other matters should properly come before the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Shareholders wishing to communicate with the Board or any individual director may write to the Board or the individual director to the Board, CLPS Incorporation, c/o Unit 1102, 11th Floor, Millennium City III, 370 Kwun Tong Road, Kwun Tong, Kowloon, Hong Kong SAR.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read and copy any document the Company files at the website of the SEC referred to above. The Company’s file number with the SEC is 001-38505, and the Company began filing through EDGAR on February 23, 2018.</w:t>
      </w:r>
    </w:p>
    <w:p>
      <w:pPr>
        <w:spacing w:after="0" w:line="396"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April 7, 2022</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 OF CLPS INCORPORATION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May 17,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Notice of Meeting, Proxy Statement and Proxy Card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https://www.cstproxy.com/clpsglobal/2022.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your proxy card in the envelope provided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undersigned acknowledges receipt of the Notice of Annual Meeting of Shareholders and the Proxy Statement and hereby appoints Raymond Ming Hui Lin and Jian Xu or either of them, each with full power of substitution, proxies with power of substitution and hereby authorizes them to represent and to vote, as designated below, all of the shares of common stock of the Company held of record by the undersigned on March 28, 2022 at the Annual Meeting of Shareholders to be held on May 17, 2022 at 10AM local China time (or May 16, at 10PM Eastern Daylight Time) at the Company’s principal executive office in Hong Kong SAR, and at all postponements or adjournments thereof, with all powers the undersigned would possess if personally present. In their discretion, the proxies are authorized to vote upon such other business as may properly come before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Board of Directors recommends that you vote “FOR” each proposal.</w:t>
      </w:r>
    </w:p>
    <w:p>
      <w:pPr>
        <w:spacing w:after="0" w:line="225" w:lineRule="exact"/>
        <w:rPr>
          <w:sz w:val="20"/>
          <w:szCs w:val="20"/>
          <w:color w:val="auto"/>
        </w:rPr>
      </w:pPr>
    </w:p>
    <w:p>
      <w:pPr>
        <w:ind w:left="520" w:hanging="188"/>
        <w:spacing w:after="0"/>
        <w:tabs>
          <w:tab w:leader="none" w:pos="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NOMINEES</w:t>
      </w:r>
    </w:p>
    <w:p>
      <w:pPr>
        <w:spacing w:after="0" w:line="29" w:lineRule="exact"/>
        <w:rPr>
          <w:rFonts w:ascii="MS PGothic" w:cs="MS PGothic" w:eastAsia="MS PGothic" w:hAnsi="MS PGothic"/>
          <w:sz w:val="18"/>
          <w:szCs w:val="18"/>
          <w:color w:val="auto"/>
        </w:rPr>
      </w:pPr>
    </w:p>
    <w:p>
      <w:pPr>
        <w:ind w:left="680" w:right="8180" w:hanging="672"/>
        <w:spacing w:after="0" w:line="264" w:lineRule="auto"/>
        <w:tabs>
          <w:tab w:leader="none" w:pos="680" w:val="left"/>
        </w:tabs>
        <w:numPr>
          <w:ilvl w:val="0"/>
          <w:numId w:val="1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WITHHOLDING AUTHORITY FOR ALL NOMINEES</w:t>
      </w:r>
    </w:p>
    <w:p>
      <w:pPr>
        <w:ind w:left="680" w:hanging="672"/>
        <w:spacing w:after="0"/>
        <w:tabs>
          <w:tab w:leader="none" w:pos="6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EXCEPT</w:t>
      </w:r>
    </w:p>
    <w:p>
      <w:pPr>
        <w:spacing w:after="0" w:line="10" w:lineRule="exact"/>
        <w:rPr>
          <w:rFonts w:ascii="MS PGothic" w:cs="MS PGothic" w:eastAsia="MS PGothic" w:hAnsi="MS PGothic"/>
          <w:sz w:val="18"/>
          <w:szCs w:val="18"/>
          <w:color w:val="auto"/>
        </w:rPr>
      </w:pPr>
    </w:p>
    <w:p>
      <w:pPr>
        <w:ind w:left="6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INSTRUCTIONS BELOW)</w:t>
      </w:r>
    </w:p>
    <w:p>
      <w:pPr>
        <w:spacing w:after="0" w:line="203" w:lineRule="exact"/>
        <w:rPr>
          <w:sz w:val="20"/>
          <w:szCs w:val="20"/>
          <w:color w:val="auto"/>
        </w:rPr>
      </w:pPr>
    </w:p>
    <w:p>
      <w:pPr>
        <w:ind w:left="3920" w:hanging="208"/>
        <w:spacing w:after="0" w:line="207" w:lineRule="exact"/>
        <w:tabs>
          <w:tab w:leader="none" w:pos="392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Xiao Feng Yang</w:t>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Raymond Ming Hui Lin</w:t>
      </w:r>
    </w:p>
    <w:p>
      <w:pPr>
        <w:spacing w:after="0" w:line="51" w:lineRule="exact"/>
        <w:rPr>
          <w:sz w:val="20"/>
          <w:szCs w:val="20"/>
          <w:color w:val="auto"/>
        </w:rPr>
      </w:pPr>
    </w:p>
    <w:p>
      <w:pPr>
        <w:ind w:left="3000"/>
        <w:spacing w:after="0" w:line="207" w:lineRule="exact"/>
        <w:tabs>
          <w:tab w:leader="none" w:pos="4860" w:val="left"/>
          <w:tab w:leader="none" w:pos="71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Zhaohui Feng</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Chong Seng Kee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Jin He Shao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 To withhold authority to vote for any individual nominee(s), mark “FOR ALL EXCEPT” and fill in the circle next to each nominee you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to withhold, as shown here: •</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To transact any other business that is properly brought before the Annual Meeting or any adjournment or postponement thereof.</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other business is presented at the meeting, this proxy will be voted by those named in this proxy in their best judgment. At the present time, the Board of Directors is not aware of any other business to be presented at the meeting. If you return an executed copy of this proxy card and do not check a box with respect to any of the proposals set forth above, the Shares represented by this proxy card will be voted “For” the directors and “For” the ratification of the Company’s auditors.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 ___________________ Date: ______________________ ,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 ___________________ Date: ______________________ , 2022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If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
      <w:numFmt w:val="bullet"/>
      <w:start w:val="1"/>
    </w:lvl>
    <w:lvl w:ilvl="1">
      <w:lvlJc w:val="left"/>
      <w:lvlText w:val="%2."/>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2022-04-07T07:32:08Z</dcterms:created>
  <dcterms:modified xsi:type="dcterms:W3CDTF">2022-04-07T07:32:08Z</dcterms:modified>
</cp:coreProperties>
</file>