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659"/>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 xml:space="preserve">PURSUANT </w:t>
      </w:r>
      <w:r>
        <w:rPr>
          <w:rFonts w:ascii="Arial" w:cs="Arial" w:eastAsia="Arial" w:hAnsi="Arial"/>
          <w:sz w:val="18"/>
          <w:szCs w:val="18"/>
          <w:color w:val="auto"/>
        </w:rPr>
        <w:t>TO</w:t>
      </w:r>
      <w:r>
        <w:rPr>
          <w:rFonts w:ascii="Arial" w:cs="Arial" w:eastAsia="Arial" w:hAnsi="Arial"/>
          <w:sz w:val="18"/>
          <w:szCs w:val="18"/>
          <w:b w:val="1"/>
          <w:bCs w:val="1"/>
          <w:color w:val="auto"/>
        </w:rPr>
        <w:t xml:space="preserve"> RULE 13a-16 OR 15d-16 UNDER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2022</w:t>
      </w:r>
    </w:p>
    <w:p>
      <w:pPr>
        <w:spacing w:after="0" w:line="22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Commission File No. 001-38505</w:t>
      </w:r>
    </w:p>
    <w:p>
      <w:pPr>
        <w:spacing w:after="0" w:line="212"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CLPS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 Unit 1102, 11th Floor, Millennium City III</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370 Kwun Tong Road, Kwun Tong</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Kowloon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Hong Kong SAR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44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960"/>
        <w:spacing w:after="0" w:line="207" w:lineRule="exact"/>
        <w:tabs>
          <w:tab w:leader="none" w:pos="58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marked, indicate below the file number assigned to the registrant in connection with Rule 12g3-2(b): 82-___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320" w:top="504" w:right="9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March 4, 2022, CLPS Inc. (the “Company”) issued a press release announcing its financial results for the six months ended December 31, 2021, or the first half of the Company’s fiscal year 2022. A copy of this press release is filed as Exhibit 99.1 to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40"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Raymond Ming Hui Lin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7,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4"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 Reports Financial Results for the First Half of Fiscal Year 2022</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Hong Kong, March 4, 2022 /PRNewswire/ — CLPS Incorporation (the “Company” or “CLPS”) (Nasdaq: CLPS), today announced its unaudited financial results for the six months ended December 31, 2021, or the first half of the Company’s fiscal year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Half of Fiscal 2022 Highlights (all results compared to the six months ended December 31, 2020)</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Revenues increased by 30.2% to $75.9 million from $58.3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IT consulting services increased by 26.2% to $72.0 million from $57.1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customized IT solution services increased by 208.1% to $3.3 million from $1.1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Revenue from e-Commerce area increased by 88.1% to $14.4 million from $7.7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Operating income increased by 54.2% to $7.6 million from $4.9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increased by 31.2% to $6.5 million from $4.9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income attributable to CLPS Incorporation’s shareholders increased by 28.9% to $6.3 million from $4.9 million.</w:t>
      </w:r>
    </w:p>
    <w:p>
      <w:pPr>
        <w:spacing w:after="0" w:line="255" w:lineRule="exact"/>
        <w:rPr>
          <w:rFonts w:ascii="Arial" w:cs="Arial" w:eastAsia="Arial" w:hAnsi="Arial"/>
          <w:sz w:val="18"/>
          <w:szCs w:val="18"/>
          <w:color w:val="auto"/>
        </w:rPr>
      </w:pPr>
    </w:p>
    <w:p>
      <w:pPr>
        <w:ind w:left="660" w:right="160" w:hanging="328"/>
        <w:spacing w:after="0" w:line="197" w:lineRule="auto"/>
        <w:tabs>
          <w:tab w:leader="none" w:pos="660" w:val="left"/>
        </w:tabs>
        <w:numPr>
          <w:ilvl w:val="0"/>
          <w:numId w:val="1"/>
        </w:numPr>
        <w:rPr>
          <w:rFonts w:ascii="Arial" w:cs="Arial" w:eastAsia="Arial" w:hAnsi="Arial"/>
          <w:sz w:val="34"/>
          <w:szCs w:val="34"/>
          <w:color w:val="auto"/>
          <w:vertAlign w:val="superscript"/>
        </w:rPr>
      </w:pPr>
      <w:r>
        <w:rPr>
          <w:rFonts w:ascii="Arial" w:cs="Arial" w:eastAsia="Arial" w:hAnsi="Arial"/>
          <w:sz w:val="17"/>
          <w:szCs w:val="17"/>
          <w:color w:val="auto"/>
        </w:rPr>
        <w:t>Non-GAAP net income attributable to CLPS Incorporation’s shareholders</w:t>
      </w:r>
      <w:r>
        <w:rPr>
          <w:rFonts w:ascii="Arial" w:cs="Arial" w:eastAsia="Arial" w:hAnsi="Arial"/>
          <w:sz w:val="27"/>
          <w:szCs w:val="27"/>
          <w:color w:val="auto"/>
          <w:vertAlign w:val="superscript"/>
        </w:rPr>
        <w:t>1</w:t>
      </w:r>
      <w:r>
        <w:rPr>
          <w:rFonts w:ascii="Arial" w:cs="Arial" w:eastAsia="Arial" w:hAnsi="Arial"/>
          <w:sz w:val="17"/>
          <w:szCs w:val="17"/>
          <w:color w:val="auto"/>
        </w:rPr>
        <w:t xml:space="preserve"> increased by 37.4% to $8.7 million, compared to $6.4 million. Please refer to “Use of Non-GAAP Financial Measures” section for the discussion of such measures used in this press release.</w:t>
      </w:r>
    </w:p>
    <w:p>
      <w:pPr>
        <w:spacing w:after="0" w:line="230" w:lineRule="exact"/>
        <w:rPr>
          <w:rFonts w:ascii="Arial" w:cs="Arial" w:eastAsia="Arial" w:hAnsi="Arial"/>
          <w:sz w:val="34"/>
          <w:szCs w:val="34"/>
          <w:color w:val="auto"/>
          <w:vertAlign w:val="superscript"/>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Net cash provided by operating activities increased by 40.1% to $13.2 million from $9.4 million.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Mr. Raymond Lin, Chief Executive Officer of CLPS, commented, “The first half of fiscal year 2022 has concluded at an amazing pace for CLPS, and yet another period of solid market share gains, increased profitability, consistent strategic execution, and technology progress that translated into stronger financial results. Our disciplined approach to financial allocation enabled us to grow our top and bottom lines, and we have been able to make strategic investments into our business to propel our future growth.”</w:t>
      </w:r>
    </w:p>
    <w:p>
      <w:pPr>
        <w:spacing w:after="0" w:line="18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are keeping up with that momentum as we continuously implement our growth and innovation strategies. In particular, while we continuously grow organically, we are also pursuing new revenue streams by promoting our customized IT solution services. New products and business development advancements will be essential components to achieving this goal. It involves the development of a next generation loan trading software for overseas markets, blockchain-based solutions for financial institutions, CLPS SaaS platform-based credit card products, and digital yuan business solution which recently gained traction.”</w:t>
      </w:r>
    </w:p>
    <w:p>
      <w:pPr>
        <w:spacing w:after="0" w:line="188"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are further expanding our international presence and industry reach to new markets. We made significant progress in penetrating the overseas tourism industry by upgrading our client’s digital infrastructure. Further, our goals for 2022 include attracting more clients and creating more business opportunities in the United States and Singapore.”</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achievements and progress only exemplify the strength of our business, and the strategies we plan to implement will continue to drive the success of the Company in the long run.”</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Ms. Rui Yang, Chief Financial Officer of CLPS, commented, “We are pleased to announce that our financial results have grown consistently in the first half of fiscal year 2022, with revenue rising by 30.2% and net income growing by 31.2% respectively. Our dual-engine strategy has also contributed greatly to our financial performance. We achieved top-line growth horizontally by bringing in new clients and expanding our services and business scope for existing clients vertically, which resulted in a 208.1% revenue growth in our customized IT solution services. With an eye toward the future, we remain committed to improving the value of the Company over the long-term. We are optimistic to achieve this goal through the synergy among our IT services and products, improved capabilities of service delivery, and enhanced operating efficiencies.”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Half of Fiscal year 2022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the first half of fiscal 2022, revenues increased by $17.6 million, or 30.2%, to $75.9 million from $58.3 million in the prior year period. This increase in revenue was mainly due to an increase in revenue from IT consulting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Service</w:t>
      </w:r>
    </w:p>
    <w:p>
      <w:pPr>
        <w:spacing w:after="0" w:line="225" w:lineRule="exact"/>
        <w:rPr>
          <w:sz w:val="20"/>
          <w:szCs w:val="20"/>
          <w:color w:val="auto"/>
        </w:rPr>
      </w:pPr>
    </w:p>
    <w:p>
      <w:pPr>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Revenue from IT consulting services increased by $14.9 million, or 26.2%, to $72.0 million in the first half of fiscal year 2022 from $57.1 million in the prior year period. Revenue from IT consulting services accounted for 94.8% of total revenue, compared to 97.8% in the prior year period. The increase was due to the increased demand from existing and new clients, and our improved service delivery capability.</w:t>
      </w:r>
    </w:p>
    <w:p>
      <w:pPr>
        <w:spacing w:after="0" w:line="192" w:lineRule="exact"/>
        <w:rPr>
          <w:rFonts w:ascii="Arial" w:cs="Arial" w:eastAsia="Arial" w:hAnsi="Arial"/>
          <w:sz w:val="17"/>
          <w:szCs w:val="17"/>
          <w:color w:val="auto"/>
        </w:rPr>
      </w:pPr>
    </w:p>
    <w:p>
      <w:pPr>
        <w:ind w:left="660" w:right="20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from customized IT solution services increased by $2.2 million, or 208.1%, to $3.3 million and accounted for 4.3% of total revenue in the first half of fiscal 2022 from $1.1 million, or 1.8% of total revenue. The increase was primarily due to our strengthened relationship and expanded business scope with our existing clients.</w:t>
      </w:r>
    </w:p>
    <w:p>
      <w:pPr>
        <w:spacing w:after="0" w:line="210"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from other services increased by $0.5 million, or 236.7%, to $0.7 million and accounted for 0.9% of total revenue in the first half of fiscal year 2022, up from $0.2 million, or 0.3% of total revenue in the prior year period. The increase was primarily due to the increased demand for other services, including non-IT consulting service.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Operational Areas</w:t>
      </w:r>
    </w:p>
    <w:p>
      <w:pPr>
        <w:spacing w:after="0" w:line="252" w:lineRule="exact"/>
        <w:rPr>
          <w:sz w:val="20"/>
          <w:szCs w:val="20"/>
          <w:color w:val="auto"/>
        </w:rPr>
      </w:pPr>
    </w:p>
    <w:p>
      <w:pPr>
        <w:ind w:left="660" w:right="18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from banking area increased by $6.4 million, or 22.1% to $35.1 million in the first half of fiscal 2022, from $28.7 million in the prior year period. Revenue from banking area accounted for 46.2% and 49.3% of total revenues in the first half of fiscal 2022 and 2021, respectively.</w:t>
      </w:r>
    </w:p>
    <w:p>
      <w:pPr>
        <w:spacing w:after="0" w:line="150" w:lineRule="exact"/>
        <w:rPr>
          <w:rFonts w:ascii="Arial" w:cs="Arial" w:eastAsia="Arial" w:hAnsi="Arial"/>
          <w:sz w:val="16"/>
          <w:szCs w:val="16"/>
          <w:color w:val="auto"/>
        </w:rPr>
      </w:pPr>
    </w:p>
    <w:p>
      <w:pPr>
        <w:jc w:val="both"/>
        <w:ind w:left="660" w:right="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wealth management area increased by $3.7 million, or 32.4% to $15.1 million in the first half of fiscal 2022, from $11.4 million in the prior year period. Revenue from wealth management area accounted for 19.9% and 19.6% of total revenues in the first half of fiscal 2022 and 2021, respectively.</w:t>
      </w:r>
    </w:p>
    <w:p>
      <w:pPr>
        <w:spacing w:after="0" w:line="210"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from e-Commerce area increased by $6.7 million, or 88.1% to $14.4 million in the first half of fiscal 2022, from $7.7 million in the prior year period. Revenue from e-Commerce area accounted for 19.0% and 13.2% of total revenues in the first half of fiscal 2022 and 2021, respectively.</w:t>
      </w:r>
    </w:p>
    <w:p>
      <w:pPr>
        <w:spacing w:after="0" w:line="210" w:lineRule="exact"/>
        <w:rPr>
          <w:rFonts w:ascii="Arial" w:cs="Arial" w:eastAsia="Arial" w:hAnsi="Arial"/>
          <w:sz w:val="18"/>
          <w:szCs w:val="18"/>
          <w:color w:val="auto"/>
        </w:rPr>
      </w:pPr>
    </w:p>
    <w:p>
      <w:pPr>
        <w:ind w:left="660" w:right="14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 from automotive area increased by $1.5 million, or 44.5% to $5.0 million in the first half of fiscal 2022, from $3.5 million in the prior year period. Revenue from automotive area accounted for 6.6% and 6.0% of total revenues in the first half of fiscal 2022 and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Geography</w:t>
      </w:r>
    </w:p>
    <w:p>
      <w:pPr>
        <w:spacing w:after="0" w:line="252" w:lineRule="exact"/>
        <w:rPr>
          <w:sz w:val="20"/>
          <w:szCs w:val="20"/>
          <w:color w:val="auto"/>
        </w:rPr>
      </w:pPr>
    </w:p>
    <w:p>
      <w:pPr>
        <w:ind w:left="660" w:right="140" w:hanging="328"/>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Despite the recent macroeconomic volatility and the increased uncertainty caused by COVID-19 pandemic, our revenue generated outside of Mainland China continued to grow by 15.4% to $7.7 million in the first half of fiscal year 2022 from $6.6 million in the same period of the previous year. The increase in revenue generated outside of Mainland China reflects the Company’s successful and continuous global expansion strategy.</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$3.8 million, or 20.7%, to $22.3 million in the first half of fiscal 2022 from $18.5 million in the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Selling and marketing expenses increased by $0.5 million, or 27.3%, to $2.3 million in the first half of fiscal 2022 from $1.8 million in the prior year period due to the increase of salary expenses as new staff were hired to improve the Company’s capability of service delivery to meet clients’ demand. As a percentage of total revenues, selling and marketing expenses decreased to 3.0% in the first half of fiscal 2022 compared to 3.1% in the prior year period. The decrease was primarily due to the increase in operational efficiency as a result of economies of scale.</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Research and development expenses decreased by $2.0 million, or 32.2%, to $4.2 million in the first half of fiscal 2022 from $6.2 million in the prior year period. As a percentage of total revenues, research and development expenses decreased to 5.5% in the first half of fiscal 2022 compared to 10.6% in the prior year period. The decrease was primarily due to the optimization of our R&amp;D staff structure by allocating a number of staff to deliver customized IT solution to meet the increased demand for this service. As a result, the R&amp;D salary expenses were shifted to costs.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General and administrative expenses increased by $2.6 million, or 38.3%, to $9.2 million in the first half of fiscal 2022 from $6.6 million in the prior year period. As a percentage of total revenues, general and administrative expenses increased to 12.1% in the first half of fiscal 2022 compared to 11.4% in the prior year period. The increase was primarily due to an increase of share-based compensation, new staff were hired, and a year-over-year increase of salary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income increased by $2.7 million, or 54.2%, to $7.6 million in the first half of fiscal 2022 from $4.9 million in the same period of the previous year. Operating margin was 10.0% in the first half of fiscal 2022 compared to 8.4% in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Total other expenses, net of other income was $0.2 million in the first half of fiscal 2022, compared to $0.1 million total other income, net of other expenses in the prior year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Provision for income taxes increased by $0.8 million to $0.9 million in the first half of fiscal 2022 from $0.1 million in the same period of the previous year, mainly due to certain subsidiaries made profit and used up recoverable losses.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Net Income and EPS</w:t>
      </w:r>
    </w:p>
    <w:p>
      <w:pPr>
        <w:spacing w:after="0" w:line="225" w:lineRule="exact"/>
        <w:rPr>
          <w:sz w:val="20"/>
          <w:szCs w:val="20"/>
          <w:color w:val="auto"/>
        </w:rPr>
      </w:pPr>
    </w:p>
    <w:p>
      <w:pPr>
        <w:ind w:right="40"/>
        <w:spacing w:after="0" w:line="225" w:lineRule="auto"/>
        <w:rPr>
          <w:sz w:val="20"/>
          <w:szCs w:val="20"/>
          <w:color w:val="auto"/>
        </w:rPr>
      </w:pPr>
      <w:r>
        <w:rPr>
          <w:rFonts w:ascii="Arial" w:cs="Arial" w:eastAsia="Arial" w:hAnsi="Arial"/>
          <w:sz w:val="18"/>
          <w:szCs w:val="18"/>
          <w:color w:val="auto"/>
        </w:rPr>
        <w:t>Net income increased by $1.6 million, or 31.2%, to $6.5 million in the first half of fiscal 2022 from $4.9 million in the prior year period. After excluding the impact of non-cash share-based compensation expenses, non-GAAP net income</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increased by $2.5 million, or 39.1%, to $8.9 million in the first half of fiscal 2022 from $6.4 million in the same period of the previous year.</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After excluding the impact of non-controlling interests, net income attributable to CLPS Incorporation’s shareholders in the first half of fiscal 2022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$6.3 million, or $0.31 basic and diluted earnings per share compared to net income attributable to CLPS Incorporation’s shareholders of $4.9 million, or</w:t>
      </w:r>
    </w:p>
    <w:p>
      <w:pPr>
        <w:spacing w:after="0" w:line="32" w:lineRule="exact"/>
        <w:rPr>
          <w:sz w:val="20"/>
          <w:szCs w:val="20"/>
          <w:color w:val="auto"/>
        </w:rPr>
      </w:pPr>
    </w:p>
    <w:p>
      <w:pPr>
        <w:spacing w:after="0" w:line="227" w:lineRule="auto"/>
        <w:rPr>
          <w:sz w:val="20"/>
          <w:szCs w:val="20"/>
          <w:color w:val="auto"/>
        </w:rPr>
      </w:pPr>
      <w:r>
        <w:rPr>
          <w:rFonts w:ascii="Arial" w:cs="Arial" w:eastAsia="Arial" w:hAnsi="Arial"/>
          <w:sz w:val="18"/>
          <w:szCs w:val="18"/>
          <w:color w:val="auto"/>
        </w:rPr>
        <w:t>$0.30 basic and diluted earnings per share, in the first half of fiscal 2021. After excluding the impact of non-cash share-based compensation expenses, non-GAAP net income attributable to CLPS Incorporation’s shareholders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in the first half of fiscal 2022 was $8.7 million, or $0.43 basic and diluted earnings per share. This is compared to non-GAAP net income attributable to CLPS Incorporation’s shareholders of $6.4 million, or $0.39 basic and diluted earnings per share, in the prior year period.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the Company had cash and cash equivalents of $21.7 million compared to $24.7 million as of June 30, 2021.</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cash provided by operating activities was approximately $13.2 million. Net cash used in investing activities was approximately $22.0 million. Net cash provided by financing activities was approximately $5.6 million. The effect of exchange rate change on cash was approximately positive $0.1 million. The Company believes that its current cash position and cash flow from operations are sufficient to meet its anticipated cash needs for at least the next 12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fiscal year 2022, the Company expects, absent material acquisitions or non-recurring transactions, total sales growth in the range of approximately 30% to 35%, non-GAAP net income growth in the range of approximately 32% to 37% compared to fiscal year 2021 financial results.</w:t>
      </w:r>
    </w:p>
    <w:p>
      <w:pPr>
        <w:spacing w:after="0" w:line="146"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This forecast reflects the Company’s current and preliminary views, which are subject to change and are subject to risks and uncertainties, including, but not limited to various risks and uncertainties facing the Company’s business and operations as identified in its public filings.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w:t>
      </w:r>
    </w:p>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balance sheet amounts with the exception of equity as of December 31, 2021, were translated at 6.3726 RMB to 1.00 USD compared to 6.4566 RMB to 1.00 USD as of June 30, 2021. The equity accounts were stated at their historical rate. The average translation rates applied to the income statements accounts for the periods ended December 31, 2021 and 2020 were 6.4316 RMB to 1.00 USD and 6.7734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will hold a conference call at 8:30 am ET on March 4, 2022 to discuss first half of fiscal 2022 results. Listeners may access the call by dialing: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U.S. Toll-Free:</w:t>
            </w:r>
          </w:p>
        </w:tc>
        <w:tc>
          <w:tcPr>
            <w:tcW w:w="2040" w:type="dxa"/>
            <w:vAlign w:val="bottom"/>
          </w:tcPr>
          <w:p>
            <w:pPr>
              <w:ind w:left="760"/>
              <w:spacing w:after="0"/>
              <w:rPr>
                <w:sz w:val="20"/>
                <w:szCs w:val="20"/>
                <w:color w:val="auto"/>
              </w:rPr>
            </w:pPr>
            <w:r>
              <w:rPr>
                <w:rFonts w:ascii="Arial" w:cs="Arial" w:eastAsia="Arial" w:hAnsi="Arial"/>
                <w:sz w:val="18"/>
                <w:szCs w:val="18"/>
                <w:color w:val="auto"/>
                <w:w w:val="90"/>
              </w:rPr>
              <w:t>+1-888-204-4368</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U.S. Local /International:</w:t>
            </w:r>
          </w:p>
        </w:tc>
        <w:tc>
          <w:tcPr>
            <w:tcW w:w="2040" w:type="dxa"/>
            <w:vAlign w:val="bottom"/>
          </w:tcPr>
          <w:p>
            <w:pPr>
              <w:ind w:left="760"/>
              <w:spacing w:after="0"/>
              <w:rPr>
                <w:sz w:val="20"/>
                <w:szCs w:val="20"/>
                <w:color w:val="auto"/>
              </w:rPr>
            </w:pPr>
            <w:r>
              <w:rPr>
                <w:rFonts w:ascii="Arial" w:cs="Arial" w:eastAsia="Arial" w:hAnsi="Arial"/>
                <w:sz w:val="18"/>
                <w:szCs w:val="18"/>
                <w:color w:val="auto"/>
                <w:w w:val="90"/>
              </w:rPr>
              <w:t>+1-323-994-2093</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Mainland China:</w:t>
            </w:r>
          </w:p>
        </w:tc>
        <w:tc>
          <w:tcPr>
            <w:tcW w:w="2040" w:type="dxa"/>
            <w:vAlign w:val="bottom"/>
          </w:tcPr>
          <w:p>
            <w:pPr>
              <w:ind w:left="760"/>
              <w:spacing w:after="0"/>
              <w:rPr>
                <w:sz w:val="20"/>
                <w:szCs w:val="20"/>
                <w:color w:val="auto"/>
              </w:rPr>
            </w:pPr>
            <w:r>
              <w:rPr>
                <w:rFonts w:ascii="Arial" w:cs="Arial" w:eastAsia="Arial" w:hAnsi="Arial"/>
                <w:sz w:val="18"/>
                <w:szCs w:val="18"/>
                <w:color w:val="auto"/>
              </w:rPr>
              <w:t>400 120 9101</w:t>
            </w: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Hong Kong:</w:t>
            </w:r>
          </w:p>
        </w:tc>
        <w:tc>
          <w:tcPr>
            <w:tcW w:w="2040" w:type="dxa"/>
            <w:vAlign w:val="bottom"/>
          </w:tcPr>
          <w:p>
            <w:pPr>
              <w:ind w:left="760"/>
              <w:spacing w:after="0"/>
              <w:rPr>
                <w:sz w:val="20"/>
                <w:szCs w:val="20"/>
                <w:color w:val="auto"/>
              </w:rPr>
            </w:pPr>
            <w:r>
              <w:rPr>
                <w:rFonts w:ascii="Arial" w:cs="Arial" w:eastAsia="Arial" w:hAnsi="Arial"/>
                <w:sz w:val="18"/>
                <w:szCs w:val="18"/>
                <w:color w:val="auto"/>
              </w:rPr>
              <w:t>800 961 105</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access the live webcast of the conference call, please visit this link. The live and archived webcast will also be available through the Company’s investor relations website at https://ir.clpsglobal.com.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will be available through March 18, 2022 by dialing: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U.S. Toll-Free:</w:t>
            </w:r>
          </w:p>
        </w:tc>
        <w:tc>
          <w:tcPr>
            <w:tcW w:w="2060" w:type="dxa"/>
            <w:vAlign w:val="bottom"/>
          </w:tcPr>
          <w:p>
            <w:pPr>
              <w:ind w:left="780"/>
              <w:spacing w:after="0"/>
              <w:rPr>
                <w:sz w:val="20"/>
                <w:szCs w:val="20"/>
                <w:color w:val="auto"/>
              </w:rPr>
            </w:pPr>
            <w:r>
              <w:rPr>
                <w:rFonts w:ascii="Arial" w:cs="Arial" w:eastAsia="Arial" w:hAnsi="Arial"/>
                <w:sz w:val="18"/>
                <w:szCs w:val="18"/>
                <w:color w:val="auto"/>
                <w:w w:val="90"/>
              </w:rPr>
              <w:t>+1-844-512-2921</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U.S. Local/International:</w:t>
            </w:r>
          </w:p>
        </w:tc>
        <w:tc>
          <w:tcPr>
            <w:tcW w:w="2060" w:type="dxa"/>
            <w:vAlign w:val="bottom"/>
          </w:tcPr>
          <w:p>
            <w:pPr>
              <w:ind w:left="780"/>
              <w:spacing w:after="0"/>
              <w:rPr>
                <w:sz w:val="20"/>
                <w:szCs w:val="20"/>
                <w:color w:val="auto"/>
              </w:rPr>
            </w:pPr>
            <w:r>
              <w:rPr>
                <w:rFonts w:ascii="Arial" w:cs="Arial" w:eastAsia="Arial" w:hAnsi="Arial"/>
                <w:sz w:val="18"/>
                <w:szCs w:val="18"/>
                <w:color w:val="auto"/>
                <w:w w:val="90"/>
              </w:rPr>
              <w:t>+1-412-317-6671</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Passcode:</w:t>
            </w:r>
          </w:p>
        </w:tc>
        <w:tc>
          <w:tcPr>
            <w:tcW w:w="2060" w:type="dxa"/>
            <w:vAlign w:val="bottom"/>
          </w:tcPr>
          <w:p>
            <w:pPr>
              <w:ind w:left="780"/>
              <w:spacing w:after="0"/>
              <w:rPr>
                <w:sz w:val="20"/>
                <w:szCs w:val="20"/>
                <w:color w:val="auto"/>
              </w:rPr>
            </w:pPr>
            <w:r>
              <w:rPr>
                <w:rFonts w:ascii="Arial" w:cs="Arial" w:eastAsia="Arial" w:hAnsi="Arial"/>
                <w:sz w:val="18"/>
                <w:szCs w:val="18"/>
                <w:color w:val="auto"/>
              </w:rPr>
              <w:t>2222362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Headquartered in Hong Kong, CLPS Incorporation (the “Company”) (Nasdaq: CLPS) is a global leading information technology (“IT”), consulting and solutions service provider focusing on the banking, insurance and financial sectors. The Company serves as an IT solutions provider to a growing network of clients in the global financial industry, including large financial institutions in the US, Europe, Australia, Southeast Asia and Hong Kong, and their PRC-based IT centers. The Company maintains 19 delivery and/or research &amp; development centers to serve different customers in various geographic locations. Mainland China centers are located in Shanghai, Beijing, Dalian, Tianjin, Baoding, Xi’an, Chengdu, Guangzhou, Shenzhen, Hangzhou, and Hainan. The remaining eight global centers are located in Hong Kong SAR, USA, Japan, Singapore, Malaysia, Australia, India and the Philippines. For further information regarding the Company, please visit: https://ir.clpsglobal.com/, or follow CLPS on Facebook, LinkedIn, and Twitter.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of the statements made in this press release are “forward-looking statements” within the meaning and protections of Section 27A of the Securities Act of 1933, as amended, and Section 21E of the Securities Exchange Act of 1934, as amended. Forward-looking statements include statements with respect to the Company’s beliefs, plans, objectives, goals, expectations, anticipations, assumptions, estimates, intentions, and future performance, and involve known and unknown risks, uncertainties and other factors, which may be beyond the Company’s control, and which may cause the actual results, performance, capital, ownership or achievements of the Company to be materially different from future results, performance or achievements expressed or implied by such forward-looking statements. All such statements attributable to us are expressly qualified in their entirety by this cautionary notice, including, without limitation, those risks and uncertainties related to the Company’s financial and operational performance in the first half of Fiscal 2022, its expectations of the Company’s future performance, its preliminary outlook and guidance offered in this presentation, as well as the risks and uncertainties described in the Company’s most recently filed SEC reports and filings. Such reports are available upon request from the Company, or from the Securities and Exchange Commission, including through the SEC’s Internet website at http://www.sec.gov. We have no obligation and do not undertake to update, revise or correct any of the forward-looking statements after the date hereof, or after the respective dates on which any such statements otherwise are made.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unaudited condensed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operating income, non-GAAP operating margin, non-GAAP net income attributable to CLPS Incorporation’s shareholders, and basic and diluted non-GAAP net income per share, which are non-GAAP financial measures. Non-GAAP operating income is operating income excluding share-based compensation expenses. Non-GAAP operating margin is non-GAAP operating income as a percentage of revenues. Non-GAAP net income attributable to CLPS Incorporation’s shareholders is net income attributable to CLPS Incorporation’s shareholders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 is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19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presentation of these non-GAAP financial measures is not intended to be considered in isolation from, or as a substitute for, the financial information prepared and presented in accordance with U.S. GAAP. The Company encourages investors to carefully consider its results under GAAP, as well as its supplemental non-GAAP information and the reconciliation between these presentations, to more fully understand its business. For more information on these non-GAAP financial measures, please see the table captioned “Unaudited Reconciliations of Non-GAAP and GAAP Results” near the end of this release.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Rhon Galicha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Office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+86-182-2192-5378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ir@clpsglobal.com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178308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80" w:hanging="275"/>
        <w:spacing w:after="0"/>
        <w:tabs>
          <w:tab w:leader="none" w:pos="380"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Non-GAAP net income attributable to CLPS Incorporation’s shareholders is a non-GAAP financial measure, which is defined as net income</w:t>
      </w:r>
    </w:p>
    <w:p>
      <w:pPr>
        <w:spacing w:after="0" w:line="2" w:lineRule="exact"/>
        <w:rPr>
          <w:sz w:val="20"/>
          <w:szCs w:val="20"/>
          <w:color w:val="auto"/>
        </w:rPr>
      </w:pPr>
    </w:p>
    <w:p>
      <w:pPr>
        <w:ind w:left="380" w:right="100"/>
        <w:spacing w:after="0" w:line="249" w:lineRule="auto"/>
        <w:rPr>
          <w:sz w:val="20"/>
          <w:szCs w:val="20"/>
          <w:color w:val="auto"/>
        </w:rPr>
      </w:pPr>
      <w:r>
        <w:rPr>
          <w:rFonts w:ascii="Arial" w:cs="Arial" w:eastAsia="Arial" w:hAnsi="Arial"/>
          <w:sz w:val="18"/>
          <w:szCs w:val="18"/>
          <w:color w:val="auto"/>
        </w:rPr>
        <w:t>attributable to the Company excluding share-based compensation expenses. Please refer to the section titled “Unaudited Reconciliation of GAAP and Non-GAAP Results” for details.</w:t>
      </w:r>
    </w:p>
    <w:p>
      <w:pPr>
        <w:spacing w:after="0" w:line="1" w:lineRule="exact"/>
        <w:rPr>
          <w:sz w:val="20"/>
          <w:szCs w:val="20"/>
          <w:color w:val="auto"/>
        </w:rPr>
      </w:pPr>
    </w:p>
    <w:p>
      <w:pPr>
        <w:ind w:left="380" w:right="440" w:hanging="275"/>
        <w:spacing w:after="0" w:line="187" w:lineRule="auto"/>
        <w:tabs>
          <w:tab w:leader="none" w:pos="38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Non-GAAP net income is a non-GAAP financial measure, which is defined as net income excluding share-based compensation expenses. Please refer to the section titled “Unaudited Reconciliation of GAAP and Non-GAAP Results” for details.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80" w:type="dxa"/>
            <w:vAlign w:val="bottom"/>
            <w:tcBorders>
              <w:bottom w:val="single" w:sz="8" w:color="auto"/>
            </w:tcBorders>
            <w:gridSpan w:val="3"/>
          </w:tcPr>
          <w:p>
            <w:pPr>
              <w:ind w:left="1020"/>
              <w:spacing w:after="0"/>
              <w:rPr>
                <w:sz w:val="20"/>
                <w:szCs w:val="20"/>
                <w:color w:val="auto"/>
              </w:rPr>
            </w:pPr>
            <w:r>
              <w:rPr>
                <w:rFonts w:ascii="Arial" w:cs="Arial" w:eastAsia="Arial" w:hAnsi="Arial"/>
                <w:sz w:val="18"/>
                <w:szCs w:val="18"/>
                <w:b w:val="1"/>
                <w:bCs w:val="1"/>
                <w:color w:val="auto"/>
                <w:w w:val="97"/>
              </w:rPr>
              <w:t>As of</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rPr>
                <w:sz w:val="17"/>
                <w:szCs w:val="17"/>
                <w:color w:val="auto"/>
              </w:rPr>
            </w:pPr>
          </w:p>
        </w:tc>
        <w:tc>
          <w:tcPr>
            <w:tcW w:w="1480" w:type="dxa"/>
            <w:vAlign w:val="bottom"/>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9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4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1"/>
              </w:rPr>
              <w:t>(Unaudited)</w:t>
            </w: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(Audited)</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21,741,601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24,739,382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Short-term investments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6,512,256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4,158,535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43,819,782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44,138,997</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3,318,639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2,530,458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181,886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430,614</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546,128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76,004,778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76,113,500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20,886,477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600,791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Intangible assets,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1,106,806</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1,050,499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2,441,368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2,444,950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Long-term investments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835,041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1,014,784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407,821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896,145</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408,445</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607,773</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102,090,736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82,728,442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Bank loans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13,294,897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7,536,839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Accounts payable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515,918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559,450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424,356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245,408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Tax payables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2,238,739</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1,715,009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Contract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1,161,507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326,912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14,839,684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12,466,921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Amount due to related parties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61,845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32,536,946</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23,033,687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Bank loans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9,644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144,253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155,033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2,101,145</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1,799,383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TOTAL LIABILITIES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34,782,344</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24,997,747</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Commitments and Contingencies</w:t>
            </w: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$0.0001 par value, 100,000,000 shares authorized; 20,213,822 shares issued and outstanding as of</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December 31, 2021; 20,293,552 shares issued and outstanding as of June 30, 2021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50,988,671</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48,516,695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Statutory reserves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4,826,600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4,214,075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Retained earnings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8,376,104</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2,726,165</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1,715,151</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1,230,083</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65,908,547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56,689,047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Noncontrolling Interests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1,399,845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1,041,648</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67,308,392</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57,730,695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102,090,736</w:t>
            </w:r>
          </w:p>
        </w:tc>
        <w:tc>
          <w:tcPr>
            <w:tcW w:w="1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82,728,442</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ind w:left="5580"/>
              <w:spacing w:after="0"/>
              <w:rPr>
                <w:sz w:val="20"/>
                <w:szCs w:val="20"/>
                <w:color w:val="auto"/>
              </w:rPr>
            </w:pPr>
            <w:r>
              <w:rPr>
                <w:rFonts w:ascii="Arial" w:cs="Arial" w:eastAsia="Arial" w:hAnsi="Arial"/>
                <w:sz w:val="18"/>
                <w:szCs w:val="18"/>
                <w:color w:val="auto"/>
              </w:rPr>
              <w:t>7</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jc w:val="center"/>
        <w:ind w:right="40"/>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CONSOLIDATED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U.S. dollars (“$”), except for number of shares)</w:t>
      </w:r>
    </w:p>
    <w:p>
      <w:pPr>
        <w:spacing w:after="0" w:line="218" w:lineRule="exact"/>
        <w:rPr>
          <w:sz w:val="20"/>
          <w:szCs w:val="20"/>
          <w:color w:val="auto"/>
        </w:rPr>
      </w:pPr>
    </w:p>
    <w:p>
      <w:pPr>
        <w:jc w:val="center"/>
        <w:ind w:left="8560"/>
        <w:spacing w:after="0"/>
        <w:rPr>
          <w:sz w:val="20"/>
          <w:szCs w:val="20"/>
          <w:color w:val="auto"/>
        </w:rPr>
      </w:pPr>
      <w:r>
        <w:rPr>
          <w:rFonts w:ascii="Arial" w:cs="Arial" w:eastAsia="Arial" w:hAnsi="Arial"/>
          <w:sz w:val="15"/>
          <w:szCs w:val="15"/>
          <w:b w:val="1"/>
          <w:bCs w:val="1"/>
          <w:color w:val="auto"/>
        </w:rPr>
        <w:t>For the six months ended</w:t>
      </w:r>
    </w:p>
    <w:p>
      <w:pPr>
        <w:spacing w:after="0" w:line="62" w:lineRule="exact"/>
        <w:rPr>
          <w:sz w:val="20"/>
          <w:szCs w:val="20"/>
          <w:color w:val="auto"/>
        </w:rPr>
      </w:pPr>
    </w:p>
    <w:p>
      <w:pPr>
        <w:jc w:val="center"/>
        <w:ind w:left="85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5715</wp:posOffset>
            </wp:positionV>
            <wp:extent cx="156019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9060"/>
        <w:spacing w:after="0"/>
        <w:tabs>
          <w:tab w:leader="none" w:pos="1038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17145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ectPr>
          <w:pgSz w:w="11900" w:h="16838" w:orient="portrait"/>
          <w:cols w:equalWidth="0" w:num="1">
            <w:col w:w="11240"/>
          </w:cols>
          <w:pgMar w:left="320" w:top="904" w:right="339" w:bottom="955"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Less: Cost of revenues (note 1)</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7"/>
          <w:szCs w:val="17"/>
          <w:b w:val="1"/>
          <w:bCs w:val="1"/>
          <w:color w:val="auto"/>
        </w:rPr>
        <w:t>75,921,605</w:t>
      </w:r>
      <w:r>
        <w:rPr>
          <w:sz w:val="20"/>
          <w:szCs w:val="20"/>
          <w:color w:val="auto"/>
        </w:rPr>
        <w:tab/>
      </w:r>
      <w:r>
        <w:rPr>
          <w:rFonts w:ascii="Arial" w:cs="Arial" w:eastAsia="Arial" w:hAnsi="Arial"/>
          <w:sz w:val="17"/>
          <w:szCs w:val="17"/>
          <w:b w:val="1"/>
          <w:bCs w:val="1"/>
          <w:color w:val="auto"/>
        </w:rPr>
        <w:t>58,318,208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-111760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(53,609,609)</w:t>
      </w:r>
      <w:r>
        <w:rPr>
          <w:sz w:val="20"/>
          <w:szCs w:val="20"/>
          <w:color w:val="auto"/>
        </w:rPr>
        <w:tab/>
      </w:r>
      <w:r>
        <w:rPr>
          <w:rFonts w:ascii="Arial" w:cs="Arial" w:eastAsia="Arial" w:hAnsi="Arial"/>
          <w:sz w:val="16"/>
          <w:szCs w:val="16"/>
          <w:color w:val="auto"/>
        </w:rPr>
        <w:t>(39,840,283)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14605</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1" w:lineRule="exact"/>
        <w:rPr>
          <w:sz w:val="20"/>
          <w:szCs w:val="20"/>
          <w:color w:val="auto"/>
        </w:rPr>
      </w:pPr>
    </w:p>
    <w:p>
      <w:pPr>
        <w:ind w:left="60"/>
        <w:spacing w:after="0"/>
        <w:tabs>
          <w:tab w:leader="none" w:pos="1360" w:val="left"/>
        </w:tabs>
        <w:rPr>
          <w:sz w:val="20"/>
          <w:szCs w:val="20"/>
          <w:color w:val="auto"/>
        </w:rPr>
      </w:pPr>
      <w:r>
        <w:rPr>
          <w:rFonts w:ascii="Arial" w:cs="Arial" w:eastAsia="Arial" w:hAnsi="Arial"/>
          <w:sz w:val="17"/>
          <w:szCs w:val="17"/>
          <w:b w:val="1"/>
          <w:bCs w:val="1"/>
          <w:color w:val="auto"/>
        </w:rPr>
        <w:t>22,311,996</w:t>
      </w:r>
      <w:r>
        <w:rPr>
          <w:sz w:val="20"/>
          <w:szCs w:val="20"/>
          <w:color w:val="auto"/>
        </w:rPr>
        <w:tab/>
      </w:r>
      <w:r>
        <w:rPr>
          <w:rFonts w:ascii="Arial" w:cs="Arial" w:eastAsia="Arial" w:hAnsi="Arial"/>
          <w:sz w:val="17"/>
          <w:szCs w:val="17"/>
          <w:b w:val="1"/>
          <w:bCs w:val="1"/>
          <w:color w:val="auto"/>
        </w:rPr>
        <w:t>18,477,925</w:t>
      </w:r>
    </w:p>
    <w:p>
      <w:pPr>
        <w:spacing w:after="0" w:line="200" w:lineRule="exact"/>
        <w:rPr>
          <w:sz w:val="20"/>
          <w:szCs w:val="20"/>
          <w:color w:val="auto"/>
        </w:rPr>
      </w:pPr>
    </w:p>
    <w:p>
      <w:pPr>
        <w:sectPr>
          <w:pgSz w:w="11900" w:h="16838" w:orient="portrait"/>
          <w:cols w:equalWidth="0" w:num="2">
            <w:col w:w="8220" w:space="720"/>
            <w:col w:w="2300"/>
          </w:cols>
          <w:pgMar w:left="320" w:top="904" w:right="339" w:bottom="955" w:gutter="0" w:footer="0" w:header="0"/>
          <w:type w:val="continuous"/>
        </w:sectPr>
      </w:pP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(expenses):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and marketing expenses (note 1)</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2,284,404</w:t>
            </w:r>
          </w:p>
        </w:tc>
        <w:tc>
          <w:tcPr>
            <w:tcW w:w="1120" w:type="dxa"/>
            <w:vAlign w:val="bottom"/>
          </w:tcPr>
          <w:p>
            <w:pPr>
              <w:jc w:val="right"/>
              <w:spacing w:after="0"/>
              <w:rPr>
                <w:sz w:val="20"/>
                <w:szCs w:val="20"/>
                <w:color w:val="auto"/>
              </w:rPr>
            </w:pPr>
            <w:r>
              <w:rPr>
                <w:rFonts w:ascii="Arial" w:cs="Arial" w:eastAsia="Arial" w:hAnsi="Arial"/>
                <w:sz w:val="18"/>
                <w:szCs w:val="18"/>
                <w:color w:val="auto"/>
              </w:rPr>
              <w:t>1,793,807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4,175,373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6,161,188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General and administrative expenses (note 1)</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9,168,389</w:t>
            </w:r>
          </w:p>
        </w:tc>
        <w:tc>
          <w:tcPr>
            <w:tcW w:w="1120" w:type="dxa"/>
            <w:vAlign w:val="bottom"/>
          </w:tcPr>
          <w:p>
            <w:pPr>
              <w:jc w:val="right"/>
              <w:spacing w:after="0"/>
              <w:rPr>
                <w:sz w:val="20"/>
                <w:szCs w:val="20"/>
                <w:color w:val="auto"/>
              </w:rPr>
            </w:pPr>
            <w:r>
              <w:rPr>
                <w:rFonts w:ascii="Arial" w:cs="Arial" w:eastAsia="Arial" w:hAnsi="Arial"/>
                <w:sz w:val="18"/>
                <w:szCs w:val="18"/>
                <w:color w:val="auto"/>
              </w:rPr>
              <w:t>6,629,000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operating income</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(878,083)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(1,011,448)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14,750,083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13,572,547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7,561,913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4,905,378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295,704</w:t>
            </w:r>
          </w:p>
        </w:tc>
        <w:tc>
          <w:tcPr>
            <w:tcW w:w="1120" w:type="dxa"/>
            <w:vAlign w:val="bottom"/>
          </w:tcPr>
          <w:p>
            <w:pPr>
              <w:jc w:val="right"/>
              <w:spacing w:after="0"/>
              <w:rPr>
                <w:sz w:val="20"/>
                <w:szCs w:val="20"/>
                <w:color w:val="auto"/>
              </w:rPr>
            </w:pPr>
            <w:r>
              <w:rPr>
                <w:rFonts w:ascii="Arial" w:cs="Arial" w:eastAsia="Arial" w:hAnsi="Arial"/>
                <w:sz w:val="18"/>
                <w:szCs w:val="18"/>
                <w:color w:val="auto"/>
              </w:rPr>
              <w:t>174,468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3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(475,269)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(49,224)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before income tax and share of (loss) in equity investees</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7,382,348</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5,030,622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864,921</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92,214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Income before share of (loss) in equity investees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6,517,427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4,938,408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(loss) in equity investees, net of tax</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(47,082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Net income</w:t>
            </w: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6,470,345</w:t>
            </w:r>
          </w:p>
        </w:tc>
        <w:tc>
          <w:tcPr>
            <w:tcW w:w="2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4,932,281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207,881</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income attributable to CLPS Incorporation’s shareholders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6,262,464</w:t>
            </w:r>
          </w:p>
        </w:tc>
        <w:tc>
          <w:tcPr>
            <w:tcW w:w="1120" w:type="dxa"/>
            <w:vAlign w:val="bottom"/>
          </w:tcPr>
          <w:p>
            <w:pPr>
              <w:jc w:val="right"/>
              <w:spacing w:after="0"/>
              <w:rPr>
                <w:sz w:val="20"/>
                <w:szCs w:val="20"/>
                <w:color w:val="auto"/>
              </w:rPr>
            </w:pPr>
            <w:r>
              <w:rPr>
                <w:rFonts w:ascii="Arial" w:cs="Arial" w:eastAsia="Arial" w:hAnsi="Arial"/>
                <w:sz w:val="18"/>
                <w:szCs w:val="18"/>
                <w:color w:val="auto"/>
              </w:rPr>
              <w:t>4,860,116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Foreign currency translation income</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500,376</w:t>
            </w:r>
          </w:p>
        </w:tc>
        <w:tc>
          <w:tcPr>
            <w:tcW w:w="1120" w:type="dxa"/>
            <w:vAlign w:val="bottom"/>
          </w:tcPr>
          <w:p>
            <w:pPr>
              <w:jc w:val="right"/>
              <w:spacing w:after="0"/>
              <w:rPr>
                <w:sz w:val="20"/>
                <w:szCs w:val="20"/>
                <w:color w:val="auto"/>
              </w:rPr>
            </w:pPr>
            <w:r>
              <w:rPr>
                <w:rFonts w:ascii="Arial" w:cs="Arial" w:eastAsia="Arial" w:hAnsi="Arial"/>
                <w:sz w:val="18"/>
                <w:szCs w:val="18"/>
                <w:color w:val="auto"/>
              </w:rPr>
              <w:t>2,226,431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foreign currency translation income attributable to noncontrolling interest</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15,308</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93,622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Other comprehensive income attributable to CLPS Incorporation’s shareholders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485,068</w:t>
            </w:r>
          </w:p>
        </w:tc>
        <w:tc>
          <w:tcPr>
            <w:tcW w:w="1120" w:type="dxa"/>
            <w:vAlign w:val="bottom"/>
          </w:tcPr>
          <w:p>
            <w:pPr>
              <w:jc w:val="right"/>
              <w:spacing w:after="0"/>
              <w:rPr>
                <w:sz w:val="20"/>
                <w:szCs w:val="20"/>
                <w:color w:val="auto"/>
              </w:rPr>
            </w:pPr>
            <w:r>
              <w:rPr>
                <w:rFonts w:ascii="Arial" w:cs="Arial" w:eastAsia="Arial" w:hAnsi="Arial"/>
                <w:sz w:val="18"/>
                <w:szCs w:val="18"/>
                <w:color w:val="auto"/>
              </w:rPr>
              <w:t>2,132,809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Comprehensive income attributable to</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CLPS Incorporation’s shareholders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6,747,532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6,992,925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Comprehensive income attributable to noncontrolling interests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223,189</w:t>
            </w:r>
          </w:p>
        </w:tc>
        <w:tc>
          <w:tcPr>
            <w:tcW w:w="1120" w:type="dxa"/>
            <w:vAlign w:val="bottom"/>
          </w:tcPr>
          <w:p>
            <w:pPr>
              <w:jc w:val="right"/>
              <w:spacing w:after="0"/>
              <w:rPr>
                <w:sz w:val="20"/>
                <w:szCs w:val="20"/>
                <w:color w:val="auto"/>
              </w:rPr>
            </w:pPr>
            <w:r>
              <w:rPr>
                <w:rFonts w:ascii="Arial" w:cs="Arial" w:eastAsia="Arial" w:hAnsi="Arial"/>
                <w:sz w:val="18"/>
                <w:szCs w:val="18"/>
                <w:color w:val="auto"/>
              </w:rPr>
              <w:t>165,787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6,970,721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7,158,712</w:t>
            </w:r>
          </w:p>
        </w:tc>
        <w:tc>
          <w:tcPr>
            <w:tcW w:w="100" w:type="dxa"/>
            <w:vAlign w:val="bottom"/>
            <w:tcBorders>
              <w:left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0.31</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20,374,035</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16,147,508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Diluted earnings per common share*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left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vMerge w:val="continue"/>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20,457,630</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16,174,530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color w:val="auto"/>
              </w:rPr>
              <w:t>Note:</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(1) Includes share-based compensation expenses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22,923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109,375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79,531</w:t>
            </w: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2,335,803</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1,411,613</w:t>
            </w:r>
          </w:p>
        </w:tc>
        <w:tc>
          <w:tcPr>
            <w:tcW w:w="10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1"/>
                <w:szCs w:val="21"/>
                <w:color w:val="auto"/>
              </w:rPr>
            </w:pPr>
          </w:p>
        </w:tc>
        <w:tc>
          <w:tcPr>
            <w:tcW w:w="1340" w:type="dxa"/>
            <w:vAlign w:val="bottom"/>
            <w:gridSpan w:val="2"/>
          </w:tcPr>
          <w:p>
            <w:pPr>
              <w:jc w:val="right"/>
              <w:ind w:right="141"/>
              <w:spacing w:after="0"/>
              <w:rPr>
                <w:sz w:val="20"/>
                <w:szCs w:val="20"/>
                <w:color w:val="auto"/>
              </w:rPr>
            </w:pPr>
            <w:r>
              <w:rPr>
                <w:rFonts w:ascii="Arial" w:cs="Arial" w:eastAsia="Arial" w:hAnsi="Arial"/>
                <w:sz w:val="18"/>
                <w:szCs w:val="18"/>
                <w:color w:val="auto"/>
              </w:rPr>
              <w:t>2,468,101</w:t>
            </w:r>
          </w:p>
        </w:tc>
        <w:tc>
          <w:tcPr>
            <w:tcW w:w="1120" w:type="dxa"/>
            <w:vAlign w:val="bottom"/>
          </w:tcPr>
          <w:p>
            <w:pPr>
              <w:jc w:val="right"/>
              <w:spacing w:after="0"/>
              <w:rPr>
                <w:sz w:val="20"/>
                <w:szCs w:val="20"/>
                <w:color w:val="auto"/>
              </w:rPr>
            </w:pPr>
            <w:r>
              <w:rPr>
                <w:rFonts w:ascii="Arial" w:cs="Arial" w:eastAsia="Arial" w:hAnsi="Arial"/>
                <w:sz w:val="18"/>
                <w:szCs w:val="18"/>
                <w:color w:val="auto"/>
              </w:rPr>
              <w:t>1,495,327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80" w:right="3500" w:hanging="5572"/>
        <w:spacing w:after="0" w:line="778" w:lineRule="auto"/>
        <w:tabs>
          <w:tab w:leader="none" w:pos="333"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955" w:gutter="0" w:footer="0" w:header="0"/>
          <w:type w:val="continuous"/>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RECONCILIATION OF NON-GAAP AND GAAP RESULTS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U.S. dollars (“$”), except for number of shares)</w:t>
      </w:r>
    </w:p>
    <w:p>
      <w:pPr>
        <w:spacing w:after="0" w:line="207" w:lineRule="exact"/>
        <w:rPr>
          <w:sz w:val="20"/>
          <w:szCs w:val="20"/>
          <w:color w:val="auto"/>
        </w:rPr>
      </w:pPr>
    </w:p>
    <w:p>
      <w:pPr>
        <w:jc w:val="center"/>
        <w:ind w:left="8400"/>
        <w:spacing w:after="0"/>
        <w:rPr>
          <w:sz w:val="20"/>
          <w:szCs w:val="20"/>
          <w:color w:val="auto"/>
        </w:rPr>
      </w:pPr>
      <w:r>
        <w:rPr>
          <w:rFonts w:ascii="Arial" w:cs="Arial" w:eastAsia="Arial" w:hAnsi="Arial"/>
          <w:sz w:val="15"/>
          <w:szCs w:val="15"/>
          <w:b w:val="1"/>
          <w:bCs w:val="1"/>
          <w:color w:val="auto"/>
        </w:rPr>
        <w:t>For the six months ended</w:t>
      </w:r>
    </w:p>
    <w:p>
      <w:pPr>
        <w:spacing w:after="0" w:line="62" w:lineRule="exact"/>
        <w:rPr>
          <w:sz w:val="20"/>
          <w:szCs w:val="20"/>
          <w:color w:val="auto"/>
        </w:rPr>
      </w:pPr>
    </w:p>
    <w:p>
      <w:pPr>
        <w:jc w:val="center"/>
        <w:ind w:left="84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5715</wp:posOffset>
            </wp:positionV>
            <wp:extent cx="15773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1" w:lineRule="exact"/>
        <w:rPr>
          <w:sz w:val="20"/>
          <w:szCs w:val="20"/>
          <w:color w:val="auto"/>
        </w:rPr>
      </w:pPr>
    </w:p>
    <w:p>
      <w:pPr>
        <w:ind w:left="8960"/>
        <w:spacing w:after="0"/>
        <w:tabs>
          <w:tab w:leader="none" w:pos="10320" w:val="left"/>
        </w:tabs>
        <w:rPr>
          <w:sz w:val="20"/>
          <w:szCs w:val="20"/>
          <w:color w:val="auto"/>
        </w:rPr>
      </w:pPr>
      <w:r>
        <w:rPr>
          <w:rFonts w:ascii="Arial" w:cs="Arial" w:eastAsia="Arial" w:hAnsi="Arial"/>
          <w:sz w:val="18"/>
          <w:szCs w:val="18"/>
          <w:b w:val="1"/>
          <w:bCs w:val="1"/>
          <w:color w:val="auto"/>
        </w:rPr>
        <w:t>2021</w:t>
      </w:r>
      <w:r>
        <w:rPr>
          <w:sz w:val="20"/>
          <w:szCs w:val="20"/>
          <w:color w:val="auto"/>
        </w:rPr>
        <w:tab/>
      </w:r>
      <w:r>
        <w:rPr>
          <w:rFonts w:ascii="Arial" w:cs="Arial" w:eastAsia="Arial" w:hAnsi="Arial"/>
          <w:sz w:val="18"/>
          <w:szCs w:val="18"/>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17145</wp:posOffset>
            </wp:positionV>
            <wp:extent cx="15773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share-based compensation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Selling and marketing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Non-GAAP selling and marketing expenses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share-based compensation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 share-based compensation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 share-based compensation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operating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 share-based compensation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ind w:right="3420"/>
        <w:spacing w:after="0" w:line="279" w:lineRule="auto"/>
        <w:rPr>
          <w:sz w:val="20"/>
          <w:szCs w:val="20"/>
          <w:color w:val="auto"/>
        </w:rPr>
      </w:pPr>
      <w:r>
        <w:rPr>
          <w:rFonts w:ascii="Arial" w:cs="Arial" w:eastAsia="Arial" w:hAnsi="Arial"/>
          <w:sz w:val="17"/>
          <w:szCs w:val="17"/>
          <w:color w:val="auto"/>
        </w:rPr>
        <w:t>Net income attributable to CLPS Incorporation’s shareholders Add: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Non-GAAP net income attributable to CLPS Incorporation’s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Weighted average number of share outstanding used in computing GAAP and non-GAAP basic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GAAP 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Add: share-based compensation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basic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7" w:lineRule="exact"/>
        <w:rPr>
          <w:sz w:val="20"/>
          <w:szCs w:val="20"/>
          <w:color w:val="auto"/>
        </w:rPr>
      </w:pPr>
    </w:p>
    <w:p>
      <w:pPr>
        <w:ind w:right="1040"/>
        <w:spacing w:after="0" w:line="342" w:lineRule="auto"/>
        <w:rPr>
          <w:sz w:val="20"/>
          <w:szCs w:val="20"/>
          <w:color w:val="auto"/>
        </w:rPr>
      </w:pPr>
      <w:r>
        <w:rPr>
          <w:rFonts w:ascii="Arial" w:cs="Arial" w:eastAsia="Arial" w:hAnsi="Arial"/>
          <w:sz w:val="16"/>
          <w:szCs w:val="16"/>
          <w:color w:val="auto"/>
        </w:rPr>
        <w:t>Weighted average number of share outstanding used in computing GAAP diluted earnings Weighted average number of share outstanding used in computing non-GAAP diluted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GAAP 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 share-based compensation expenses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diluted earnings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53,609,609</w:t>
            </w:r>
          </w:p>
        </w:tc>
        <w:tc>
          <w:tcPr>
            <w:tcW w:w="1100" w:type="dxa"/>
            <w:vAlign w:val="bottom"/>
          </w:tcPr>
          <w:p>
            <w:pPr>
              <w:jc w:val="right"/>
              <w:spacing w:after="0"/>
              <w:rPr>
                <w:sz w:val="20"/>
                <w:szCs w:val="20"/>
                <w:color w:val="auto"/>
              </w:rPr>
            </w:pPr>
            <w:r>
              <w:rPr>
                <w:rFonts w:ascii="Arial" w:cs="Arial" w:eastAsia="Arial" w:hAnsi="Arial"/>
                <w:sz w:val="18"/>
                <w:szCs w:val="18"/>
                <w:color w:val="auto"/>
              </w:rPr>
              <w:t>39,840,283</w:t>
            </w:r>
          </w:p>
        </w:tc>
        <w:tc>
          <w:tcPr>
            <w:tcW w:w="140" w:type="dxa"/>
            <w:vAlign w:val="bottom"/>
          </w:tcPr>
          <w:p>
            <w:pPr>
              <w:spacing w:after="0"/>
              <w:rPr>
                <w:sz w:val="19"/>
                <w:szCs w:val="19"/>
                <w:color w:val="auto"/>
              </w:rPr>
            </w:pPr>
          </w:p>
        </w:tc>
      </w:tr>
      <w:tr>
        <w:trPr>
          <w:trHeight w:val="237"/>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22,923</w:t>
            </w:r>
          </w:p>
        </w:tc>
        <w:tc>
          <w:tcPr>
            <w:tcW w:w="1100" w:type="dxa"/>
            <w:vAlign w:val="bottom"/>
          </w:tcPr>
          <w:p>
            <w:pPr>
              <w:jc w:val="right"/>
              <w:spacing w:after="0"/>
              <w:rPr>
                <w:sz w:val="20"/>
                <w:szCs w:val="20"/>
                <w:color w:val="auto"/>
              </w:rPr>
            </w:pPr>
            <w:r>
              <w:rPr>
                <w:rFonts w:ascii="Arial" w:cs="Arial" w:eastAsia="Arial" w:hAnsi="Arial"/>
                <w:sz w:val="18"/>
                <w:szCs w:val="18"/>
                <w:color w:val="auto"/>
              </w:rPr>
              <w:t>4,183</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53,586,686</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39,836,100</w:t>
            </w:r>
          </w:p>
        </w:tc>
        <w:tc>
          <w:tcPr>
            <w:tcW w:w="140" w:type="dxa"/>
            <w:vAlign w:val="bottom"/>
          </w:tcPr>
          <w:p>
            <w:pPr>
              <w:spacing w:after="0"/>
              <w:rPr>
                <w:sz w:val="19"/>
                <w:szCs w:val="19"/>
                <w:color w:val="auto"/>
              </w:rPr>
            </w:pPr>
          </w:p>
        </w:tc>
      </w:tr>
      <w:tr>
        <w:trPr>
          <w:trHeight w:val="418"/>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2,284,404</w:t>
            </w:r>
          </w:p>
        </w:tc>
        <w:tc>
          <w:tcPr>
            <w:tcW w:w="1100" w:type="dxa"/>
            <w:vAlign w:val="bottom"/>
          </w:tcPr>
          <w:p>
            <w:pPr>
              <w:jc w:val="right"/>
              <w:spacing w:after="0"/>
              <w:rPr>
                <w:sz w:val="20"/>
                <w:szCs w:val="20"/>
                <w:color w:val="auto"/>
              </w:rPr>
            </w:pPr>
            <w:r>
              <w:rPr>
                <w:rFonts w:ascii="Arial" w:cs="Arial" w:eastAsia="Arial" w:hAnsi="Arial"/>
                <w:sz w:val="18"/>
                <w:szCs w:val="18"/>
                <w:color w:val="auto"/>
              </w:rPr>
              <w:t>1,793,807</w:t>
            </w:r>
          </w:p>
        </w:tc>
        <w:tc>
          <w:tcPr>
            <w:tcW w:w="140" w:type="dxa"/>
            <w:vAlign w:val="bottom"/>
          </w:tcPr>
          <w:p>
            <w:pPr>
              <w:spacing w:after="0"/>
              <w:rPr>
                <w:sz w:val="24"/>
                <w:szCs w:val="24"/>
                <w:color w:val="auto"/>
              </w:rPr>
            </w:pPr>
          </w:p>
        </w:tc>
      </w:tr>
      <w:tr>
        <w:trPr>
          <w:trHeight w:val="23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109,375</w:t>
            </w:r>
          </w:p>
        </w:tc>
        <w:tc>
          <w:tcPr>
            <w:tcW w:w="1100" w:type="dxa"/>
            <w:vAlign w:val="bottom"/>
          </w:tcPr>
          <w:p>
            <w:pPr>
              <w:jc w:val="right"/>
              <w:spacing w:after="0"/>
              <w:rPr>
                <w:sz w:val="20"/>
                <w:szCs w:val="20"/>
                <w:color w:val="auto"/>
              </w:rPr>
            </w:pPr>
            <w:r>
              <w:rPr>
                <w:rFonts w:ascii="Arial" w:cs="Arial" w:eastAsia="Arial" w:hAnsi="Arial"/>
                <w:sz w:val="18"/>
                <w:szCs w:val="18"/>
                <w:color w:val="auto"/>
              </w:rPr>
              <w:t>79,531</w:t>
            </w:r>
          </w:p>
        </w:tc>
        <w:tc>
          <w:tcPr>
            <w:tcW w:w="140" w:type="dxa"/>
            <w:vAlign w:val="bottom"/>
          </w:tcPr>
          <w:p>
            <w:pPr>
              <w:spacing w:after="0"/>
              <w:rPr>
                <w:sz w:val="19"/>
                <w:szCs w:val="19"/>
                <w:color w:val="auto"/>
              </w:rPr>
            </w:pPr>
          </w:p>
        </w:tc>
      </w:tr>
      <w:tr>
        <w:trPr>
          <w:trHeight w:val="23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2,175,029</w:t>
            </w:r>
          </w:p>
        </w:tc>
        <w:tc>
          <w:tcPr>
            <w:tcW w:w="1100" w:type="dxa"/>
            <w:vAlign w:val="bottom"/>
          </w:tcPr>
          <w:p>
            <w:pPr>
              <w:jc w:val="right"/>
              <w:spacing w:after="0"/>
              <w:rPr>
                <w:sz w:val="20"/>
                <w:szCs w:val="20"/>
                <w:color w:val="auto"/>
              </w:rPr>
            </w:pPr>
            <w:r>
              <w:rPr>
                <w:rFonts w:ascii="Arial" w:cs="Arial" w:eastAsia="Arial" w:hAnsi="Arial"/>
                <w:sz w:val="18"/>
                <w:szCs w:val="18"/>
                <w:color w:val="auto"/>
              </w:rPr>
              <w:t>1,714,276</w:t>
            </w:r>
          </w:p>
        </w:tc>
        <w:tc>
          <w:tcPr>
            <w:tcW w:w="140" w:type="dxa"/>
            <w:vAlign w:val="bottom"/>
          </w:tcPr>
          <w:p>
            <w:pPr>
              <w:spacing w:after="0"/>
              <w:rPr>
                <w:sz w:val="20"/>
                <w:szCs w:val="20"/>
                <w:color w:val="auto"/>
              </w:rPr>
            </w:pP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431"/>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9,168,389</w:t>
            </w:r>
          </w:p>
        </w:tc>
        <w:tc>
          <w:tcPr>
            <w:tcW w:w="1100" w:type="dxa"/>
            <w:vAlign w:val="bottom"/>
          </w:tcPr>
          <w:p>
            <w:pPr>
              <w:jc w:val="right"/>
              <w:spacing w:after="0"/>
              <w:rPr>
                <w:sz w:val="20"/>
                <w:szCs w:val="20"/>
                <w:color w:val="auto"/>
              </w:rPr>
            </w:pPr>
            <w:r>
              <w:rPr>
                <w:rFonts w:ascii="Arial" w:cs="Arial" w:eastAsia="Arial" w:hAnsi="Arial"/>
                <w:sz w:val="18"/>
                <w:szCs w:val="18"/>
                <w:color w:val="auto"/>
              </w:rPr>
              <w:t>6,629,000</w:t>
            </w:r>
          </w:p>
        </w:tc>
        <w:tc>
          <w:tcPr>
            <w:tcW w:w="140" w:type="dxa"/>
            <w:vAlign w:val="bottom"/>
          </w:tcPr>
          <w:p>
            <w:pPr>
              <w:spacing w:after="0"/>
              <w:rPr>
                <w:sz w:val="24"/>
                <w:szCs w:val="24"/>
                <w:color w:val="auto"/>
              </w:rPr>
            </w:pPr>
          </w:p>
        </w:tc>
      </w:tr>
      <w:tr>
        <w:trPr>
          <w:trHeight w:val="237"/>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2,335,803</w:t>
            </w:r>
          </w:p>
        </w:tc>
        <w:tc>
          <w:tcPr>
            <w:tcW w:w="1100" w:type="dxa"/>
            <w:vAlign w:val="bottom"/>
          </w:tcPr>
          <w:p>
            <w:pPr>
              <w:jc w:val="right"/>
              <w:spacing w:after="0"/>
              <w:rPr>
                <w:sz w:val="20"/>
                <w:szCs w:val="20"/>
                <w:color w:val="auto"/>
              </w:rPr>
            </w:pPr>
            <w:r>
              <w:rPr>
                <w:rFonts w:ascii="Arial" w:cs="Arial" w:eastAsia="Arial" w:hAnsi="Arial"/>
                <w:sz w:val="18"/>
                <w:szCs w:val="18"/>
                <w:color w:val="auto"/>
              </w:rPr>
              <w:t>1,411,613</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6,832,586</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5,217,387</w:t>
            </w:r>
          </w:p>
        </w:tc>
        <w:tc>
          <w:tcPr>
            <w:tcW w:w="140" w:type="dxa"/>
            <w:vAlign w:val="bottom"/>
          </w:tcPr>
          <w:p>
            <w:pPr>
              <w:spacing w:after="0"/>
              <w:rPr>
                <w:sz w:val="19"/>
                <w:szCs w:val="19"/>
                <w:color w:val="auto"/>
              </w:rPr>
            </w:pPr>
          </w:p>
        </w:tc>
      </w:tr>
      <w:tr>
        <w:trPr>
          <w:trHeight w:val="431"/>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7,561,913</w:t>
            </w:r>
          </w:p>
        </w:tc>
        <w:tc>
          <w:tcPr>
            <w:tcW w:w="1100" w:type="dxa"/>
            <w:vAlign w:val="bottom"/>
          </w:tcPr>
          <w:p>
            <w:pPr>
              <w:jc w:val="right"/>
              <w:spacing w:after="0"/>
              <w:rPr>
                <w:sz w:val="20"/>
                <w:szCs w:val="20"/>
                <w:color w:val="auto"/>
              </w:rPr>
            </w:pPr>
            <w:r>
              <w:rPr>
                <w:rFonts w:ascii="Arial" w:cs="Arial" w:eastAsia="Arial" w:hAnsi="Arial"/>
                <w:sz w:val="18"/>
                <w:szCs w:val="18"/>
                <w:color w:val="auto"/>
              </w:rPr>
              <w:t>4,905,378</w:t>
            </w:r>
          </w:p>
        </w:tc>
        <w:tc>
          <w:tcPr>
            <w:tcW w:w="140" w:type="dxa"/>
            <w:vAlign w:val="bottom"/>
          </w:tcPr>
          <w:p>
            <w:pPr>
              <w:spacing w:after="0"/>
              <w:rPr>
                <w:sz w:val="24"/>
                <w:szCs w:val="24"/>
                <w:color w:val="auto"/>
              </w:rPr>
            </w:pPr>
          </w:p>
        </w:tc>
      </w:tr>
      <w:tr>
        <w:trPr>
          <w:trHeight w:val="237"/>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2,468,101</w:t>
            </w:r>
          </w:p>
        </w:tc>
        <w:tc>
          <w:tcPr>
            <w:tcW w:w="1100" w:type="dxa"/>
            <w:vAlign w:val="bottom"/>
          </w:tcPr>
          <w:p>
            <w:pPr>
              <w:jc w:val="right"/>
              <w:spacing w:after="0"/>
              <w:rPr>
                <w:sz w:val="20"/>
                <w:szCs w:val="20"/>
                <w:color w:val="auto"/>
              </w:rPr>
            </w:pPr>
            <w:r>
              <w:rPr>
                <w:rFonts w:ascii="Arial" w:cs="Arial" w:eastAsia="Arial" w:hAnsi="Arial"/>
                <w:sz w:val="18"/>
                <w:szCs w:val="18"/>
                <w:color w:val="auto"/>
              </w:rPr>
              <w:t>1,495,327</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10,030,014</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6,400,705</w:t>
            </w:r>
          </w:p>
        </w:tc>
        <w:tc>
          <w:tcPr>
            <w:tcW w:w="140" w:type="dxa"/>
            <w:vAlign w:val="bottom"/>
          </w:tcPr>
          <w:p>
            <w:pPr>
              <w:spacing w:after="0"/>
              <w:rPr>
                <w:sz w:val="19"/>
                <w:szCs w:val="19"/>
                <w:color w:val="auto"/>
              </w:rPr>
            </w:pPr>
          </w:p>
        </w:tc>
      </w:tr>
      <w:tr>
        <w:trPr>
          <w:trHeight w:val="418"/>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51"/>
        </w:trPr>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r>
      <w:tr>
        <w:trPr>
          <w:trHeight w:val="431"/>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6,470,345</w:t>
            </w:r>
          </w:p>
        </w:tc>
        <w:tc>
          <w:tcPr>
            <w:tcW w:w="1100" w:type="dxa"/>
            <w:vAlign w:val="bottom"/>
          </w:tcPr>
          <w:p>
            <w:pPr>
              <w:jc w:val="right"/>
              <w:spacing w:after="0"/>
              <w:rPr>
                <w:sz w:val="20"/>
                <w:szCs w:val="20"/>
                <w:color w:val="auto"/>
              </w:rPr>
            </w:pPr>
            <w:r>
              <w:rPr>
                <w:rFonts w:ascii="Arial" w:cs="Arial" w:eastAsia="Arial" w:hAnsi="Arial"/>
                <w:sz w:val="18"/>
                <w:szCs w:val="18"/>
                <w:color w:val="auto"/>
              </w:rPr>
              <w:t>4,932,281</w:t>
            </w:r>
          </w:p>
        </w:tc>
        <w:tc>
          <w:tcPr>
            <w:tcW w:w="140" w:type="dxa"/>
            <w:vAlign w:val="bottom"/>
          </w:tcPr>
          <w:p>
            <w:pPr>
              <w:spacing w:after="0"/>
              <w:rPr>
                <w:sz w:val="24"/>
                <w:szCs w:val="24"/>
                <w:color w:val="auto"/>
              </w:rPr>
            </w:pPr>
          </w:p>
        </w:tc>
      </w:tr>
      <w:tr>
        <w:trPr>
          <w:trHeight w:val="237"/>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2,468,101</w:t>
            </w:r>
          </w:p>
        </w:tc>
        <w:tc>
          <w:tcPr>
            <w:tcW w:w="1100" w:type="dxa"/>
            <w:vAlign w:val="bottom"/>
          </w:tcPr>
          <w:p>
            <w:pPr>
              <w:jc w:val="right"/>
              <w:spacing w:after="0"/>
              <w:rPr>
                <w:sz w:val="20"/>
                <w:szCs w:val="20"/>
                <w:color w:val="auto"/>
              </w:rPr>
            </w:pPr>
            <w:r>
              <w:rPr>
                <w:rFonts w:ascii="Arial" w:cs="Arial" w:eastAsia="Arial" w:hAnsi="Arial"/>
                <w:sz w:val="18"/>
                <w:szCs w:val="18"/>
                <w:color w:val="auto"/>
              </w:rPr>
              <w:t>1,495,327</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8,938,446</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6,427,608</w:t>
            </w:r>
          </w:p>
        </w:tc>
        <w:tc>
          <w:tcPr>
            <w:tcW w:w="140" w:type="dxa"/>
            <w:vAlign w:val="bottom"/>
          </w:tcPr>
          <w:p>
            <w:pPr>
              <w:spacing w:after="0"/>
              <w:rPr>
                <w:sz w:val="19"/>
                <w:szCs w:val="19"/>
                <w:color w:val="auto"/>
              </w:rPr>
            </w:pPr>
          </w:p>
        </w:tc>
      </w:tr>
      <w:tr>
        <w:trPr>
          <w:trHeight w:val="431"/>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6,262,464</w:t>
            </w:r>
          </w:p>
        </w:tc>
        <w:tc>
          <w:tcPr>
            <w:tcW w:w="1100" w:type="dxa"/>
            <w:vAlign w:val="bottom"/>
          </w:tcPr>
          <w:p>
            <w:pPr>
              <w:jc w:val="right"/>
              <w:spacing w:after="0"/>
              <w:rPr>
                <w:sz w:val="20"/>
                <w:szCs w:val="20"/>
                <w:color w:val="auto"/>
              </w:rPr>
            </w:pPr>
            <w:r>
              <w:rPr>
                <w:rFonts w:ascii="Arial" w:cs="Arial" w:eastAsia="Arial" w:hAnsi="Arial"/>
                <w:sz w:val="18"/>
                <w:szCs w:val="18"/>
                <w:color w:val="auto"/>
              </w:rPr>
              <w:t>4,860,116</w:t>
            </w:r>
          </w:p>
        </w:tc>
        <w:tc>
          <w:tcPr>
            <w:tcW w:w="140" w:type="dxa"/>
            <w:vAlign w:val="bottom"/>
          </w:tcPr>
          <w:p>
            <w:pPr>
              <w:spacing w:after="0"/>
              <w:rPr>
                <w:sz w:val="24"/>
                <w:szCs w:val="24"/>
                <w:color w:val="auto"/>
              </w:rPr>
            </w:pPr>
          </w:p>
        </w:tc>
      </w:tr>
      <w:tr>
        <w:trPr>
          <w:trHeight w:val="237"/>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2,468,101</w:t>
            </w:r>
          </w:p>
        </w:tc>
        <w:tc>
          <w:tcPr>
            <w:tcW w:w="1100" w:type="dxa"/>
            <w:vAlign w:val="bottom"/>
          </w:tcPr>
          <w:p>
            <w:pPr>
              <w:jc w:val="right"/>
              <w:spacing w:after="0"/>
              <w:rPr>
                <w:sz w:val="20"/>
                <w:szCs w:val="20"/>
                <w:color w:val="auto"/>
              </w:rPr>
            </w:pPr>
            <w:r>
              <w:rPr>
                <w:rFonts w:ascii="Arial" w:cs="Arial" w:eastAsia="Arial" w:hAnsi="Arial"/>
                <w:sz w:val="18"/>
                <w:szCs w:val="18"/>
                <w:color w:val="auto"/>
              </w:rPr>
              <w:t>1,495,327</w:t>
            </w:r>
          </w:p>
        </w:tc>
        <w:tc>
          <w:tcPr>
            <w:tcW w:w="140" w:type="dxa"/>
            <w:vAlign w:val="bottom"/>
          </w:tcPr>
          <w:p>
            <w:pPr>
              <w:spacing w:after="0"/>
              <w:rPr>
                <w:sz w:val="20"/>
                <w:szCs w:val="20"/>
                <w:color w:val="auto"/>
              </w:rPr>
            </w:pPr>
          </w:p>
        </w:tc>
      </w:tr>
      <w:tr>
        <w:trPr>
          <w:trHeight w:val="223"/>
        </w:trPr>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8,730,565</w:t>
            </w:r>
          </w:p>
        </w:tc>
        <w:tc>
          <w:tcPr>
            <w:tcW w:w="2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6,355,443</w:t>
            </w:r>
          </w:p>
        </w:tc>
        <w:tc>
          <w:tcPr>
            <w:tcW w:w="140" w:type="dxa"/>
            <w:vAlign w:val="bottom"/>
          </w:tcPr>
          <w:p>
            <w:pPr>
              <w:spacing w:after="0"/>
              <w:rPr>
                <w:sz w:val="19"/>
                <w:szCs w:val="19"/>
                <w:color w:val="auto"/>
              </w:rPr>
            </w:pPr>
          </w:p>
        </w:tc>
      </w:tr>
      <w:tr>
        <w:trPr>
          <w:trHeight w:val="418"/>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20,374,035</w:t>
            </w:r>
          </w:p>
        </w:tc>
        <w:tc>
          <w:tcPr>
            <w:tcW w:w="1100" w:type="dxa"/>
            <w:vAlign w:val="bottom"/>
          </w:tcPr>
          <w:p>
            <w:pPr>
              <w:jc w:val="right"/>
              <w:spacing w:after="0"/>
              <w:rPr>
                <w:sz w:val="20"/>
                <w:szCs w:val="20"/>
                <w:color w:val="auto"/>
              </w:rPr>
            </w:pPr>
            <w:r>
              <w:rPr>
                <w:rFonts w:ascii="Arial" w:cs="Arial" w:eastAsia="Arial" w:hAnsi="Arial"/>
                <w:sz w:val="18"/>
                <w:szCs w:val="18"/>
                <w:color w:val="auto"/>
              </w:rPr>
              <w:t>16,147,508</w:t>
            </w:r>
          </w:p>
        </w:tc>
        <w:tc>
          <w:tcPr>
            <w:tcW w:w="140" w:type="dxa"/>
            <w:vAlign w:val="bottom"/>
          </w:tcPr>
          <w:p>
            <w:pPr>
              <w:spacing w:after="0"/>
              <w:rPr>
                <w:sz w:val="24"/>
                <w:szCs w:val="24"/>
                <w:color w:val="auto"/>
              </w:rPr>
            </w:pPr>
          </w:p>
        </w:tc>
      </w:tr>
      <w:tr>
        <w:trPr>
          <w:trHeight w:val="23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0.31</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19"/>
                <w:szCs w:val="19"/>
                <w:color w:val="auto"/>
              </w:rPr>
            </w:pPr>
          </w:p>
        </w:tc>
      </w:tr>
      <w:tr>
        <w:trPr>
          <w:trHeight w:val="23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0.12</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25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0.43</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1"/>
                <w:szCs w:val="2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31"/>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20,457,630</w:t>
            </w:r>
          </w:p>
        </w:tc>
        <w:tc>
          <w:tcPr>
            <w:tcW w:w="1100" w:type="dxa"/>
            <w:vAlign w:val="bottom"/>
          </w:tcPr>
          <w:p>
            <w:pPr>
              <w:jc w:val="right"/>
              <w:spacing w:after="0"/>
              <w:rPr>
                <w:sz w:val="20"/>
                <w:szCs w:val="20"/>
                <w:color w:val="auto"/>
              </w:rPr>
            </w:pPr>
            <w:r>
              <w:rPr>
                <w:rFonts w:ascii="Arial" w:cs="Arial" w:eastAsia="Arial" w:hAnsi="Arial"/>
                <w:sz w:val="18"/>
                <w:szCs w:val="18"/>
                <w:color w:val="auto"/>
              </w:rPr>
              <w:t>16,174,530</w:t>
            </w:r>
          </w:p>
        </w:tc>
        <w:tc>
          <w:tcPr>
            <w:tcW w:w="140" w:type="dxa"/>
            <w:vAlign w:val="bottom"/>
          </w:tcPr>
          <w:p>
            <w:pPr>
              <w:spacing w:after="0"/>
              <w:rPr>
                <w:sz w:val="24"/>
                <w:szCs w:val="24"/>
                <w:color w:val="auto"/>
              </w:rPr>
            </w:pPr>
          </w:p>
        </w:tc>
      </w:tr>
      <w:tr>
        <w:trPr>
          <w:trHeight w:val="23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20,457,630</w:t>
            </w:r>
          </w:p>
        </w:tc>
        <w:tc>
          <w:tcPr>
            <w:tcW w:w="1100" w:type="dxa"/>
            <w:vAlign w:val="bottom"/>
          </w:tcPr>
          <w:p>
            <w:pPr>
              <w:jc w:val="right"/>
              <w:spacing w:after="0"/>
              <w:rPr>
                <w:sz w:val="20"/>
                <w:szCs w:val="20"/>
                <w:color w:val="auto"/>
              </w:rPr>
            </w:pPr>
            <w:r>
              <w:rPr>
                <w:rFonts w:ascii="Arial" w:cs="Arial" w:eastAsia="Arial" w:hAnsi="Arial"/>
                <w:sz w:val="18"/>
                <w:szCs w:val="18"/>
                <w:color w:val="auto"/>
              </w:rPr>
              <w:t>16,174,530</w:t>
            </w:r>
          </w:p>
        </w:tc>
        <w:tc>
          <w:tcPr>
            <w:tcW w:w="140" w:type="dxa"/>
            <w:vAlign w:val="bottom"/>
          </w:tcPr>
          <w:p>
            <w:pPr>
              <w:spacing w:after="0"/>
              <w:rPr>
                <w:sz w:val="20"/>
                <w:szCs w:val="20"/>
                <w:color w:val="auto"/>
              </w:rPr>
            </w:pP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431"/>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0.31</w:t>
            </w: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140" w:type="dxa"/>
            <w:vAlign w:val="bottom"/>
          </w:tcPr>
          <w:p>
            <w:pPr>
              <w:spacing w:after="0"/>
              <w:rPr>
                <w:sz w:val="24"/>
                <w:szCs w:val="24"/>
                <w:color w:val="auto"/>
              </w:rPr>
            </w:pPr>
          </w:p>
        </w:tc>
      </w:tr>
      <w:tr>
        <w:trPr>
          <w:trHeight w:val="23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0.12</w:t>
            </w:r>
          </w:p>
        </w:tc>
        <w:tc>
          <w:tcPr>
            <w:tcW w:w="11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p>
        </w:tc>
      </w:tr>
      <w:tr>
        <w:trPr>
          <w:trHeight w:val="27"/>
        </w:trPr>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r>
      <w:tr>
        <w:trPr>
          <w:trHeight w:val="250"/>
        </w:trPr>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0.43</w:t>
            </w: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140" w:type="dxa"/>
            <w:vAlign w:val="bottom"/>
          </w:tcPr>
          <w:p>
            <w:pPr>
              <w:spacing w:after="0"/>
              <w:rPr>
                <w:sz w:val="21"/>
                <w:szCs w:val="21"/>
                <w:color w:val="auto"/>
              </w:rPr>
            </w:pPr>
          </w:p>
        </w:tc>
      </w:tr>
      <w:tr>
        <w:trPr>
          <w:trHeight w:val="20"/>
        </w:trPr>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2">
        <w:col w:w="7880" w:space="720"/>
        <w:col w:w="2620"/>
      </w:cols>
      <w:pgMar w:left="320" w:top="90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2022-03-07T07:33:22Z</dcterms:created>
  <dcterms:modified xsi:type="dcterms:W3CDTF">2022-03-07T07:33:22Z</dcterms:modified>
</cp:coreProperties>
</file>