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24, 2025</w:t>
      </w:r>
    </w:p>
    <w:p>
      <w:pPr>
        <w:spacing w:after="0" w:line="31"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Unit 1000, 10th Floor, Millennium City III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370 Kwun Tong Road, Kwun Tong, Kowloon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(852) 37073600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+1 302-738-6680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Lawrence S. Venick,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2206-19 Jardine House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Connaught Place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Central, Hong Kong SAR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+1 310-728-5129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+852-3923-1100</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17"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9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24,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114300</wp:posOffset>
            </wp:positionV>
            <wp:extent cx="1894205" cy="814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81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US$80,000,000</w:t>
      </w:r>
    </w:p>
    <w:p>
      <w:pPr>
        <w:spacing w:after="0" w:line="15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CLPS Incorporation may offer and sell from time to time up to an aggregate of US$80,000,000 of common shares (issued separately or upon exercise of warrants or conversion of preferred shares, if convertible), preferred shares, warrants, debt securities, rights, depositary shares and units of the Company’s securities. The specific terms of any securities offered will be described in supplements to this prospectus. You should read this prospectus and any applicable prospectus supplement carefully before you purchase our securities. This prospectus may not be used to offer securities unless accompanied by a prospectus supplement.</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on a continuous or delayed basis. The prospectus supplement for each offering of securities will describe in detail the plan of distribution. If underwriters, dealers and agents are used to sell these securities, we will name them and describe their compensation in a prospectus supplement.</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outstanding shares are listed for trading on the NASDAQ Stock Market, or NASDAQ, under the symbol “CLPS”. On October 23, 2025 the closing price of our shares on the NASDAQ Stock Market was US$0.925 per share. </w:t>
      </w:r>
      <w:r>
        <w:rPr>
          <w:rFonts w:ascii="Times New Roman" w:cs="Times New Roman" w:eastAsia="Times New Roman" w:hAnsi="Times New Roman"/>
          <w:sz w:val="18"/>
          <w:szCs w:val="18"/>
          <w:b w:val="1"/>
          <w:bCs w:val="1"/>
          <w:color w:val="auto"/>
        </w:rPr>
        <w:t>There is currently no established trading market through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securities, other than the common shares, may be sold and purchasers may not be able to resell the securities purchased under this prospectus. This may affect the pricing of the securities in the secondary market, the transparency and availability of trading prices, the liquidity of the securities and the extent of issuer regulation.</w:t>
      </w:r>
    </w:p>
    <w:p>
      <w:pPr>
        <w:spacing w:after="0" w:line="1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 long as the aggregate market value worldwide of our outstanding common equity held by non-affiliates, or public float, is less than US$75 million, the aggregate market value of securities sold by us under this prospectus during the period of 12 calendar months immediately preceding the date of sale may be no more than one-third of our public float. Our public float, as calculated in accordance with General Instruction I.B.5 of Form F-3, was approximately US$12 million as of October 23, 2025. We have not sold any securities pursuant to General Instruction I.B.5 of Form F-3 during the prior 12 calendar month period that ends on and includes the date of this prospectus.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risks. Prior to purchasing our securities, you should carefully consider the risk factors that will be described in any applicable prospectus supplement and the risk factors described in our filings with the Securities and Exchange Commission, or the SEC, as explained under the heading “Risk Factors” on page 5 of this prospectus.</w:t>
      </w:r>
    </w:p>
    <w:p>
      <w:pPr>
        <w:spacing w:after="0" w:line="1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not a Chinese operating company but a Cayman Islands holding company with operations conducted by our subsidiaries in China. This structure involves unique risks to our investors. Investors in our shares thus are not purchasing equity interest in our operating entities in China but instead are purchasing equity interest in a Cayman Islands holding company. The securities offered in this prospectus are securities of our Cayman Islands holding company, not of our operating subsidiaries. Our independent auditor, Ernst &amp; Young Hua Ming LLP, was subject to the determinations announced by the PCAOB on December 16, 2021. We were conclusively identified by SEC as a Commission-Identified Issuer under HFCAA on November 18, 2022 (see https://www.sec.gov/hfcaa). On December 15, 2022, the PCAOB issued HFCAA Determination Report vacating the previous HFCAA Determination Report dated December 16, 2021. As required by the HFCAA, if in the future the PCAOB determines it no longer can inspect or investigate completely because of a position taken by an authority in the PRC, the PCAOB will consider to issue a new determination. Please see the risk factors fully disclosed in Risk Factors under the paragraphs “Permissions Required from the PRC Authorities for Our Operations,” “We will likely not pay dividends in the foreseeable future,” “Recent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 “Under the current version of HFCAA, an SEC ban on trading common shares in the U.S. could take place if we have a Listed Auditor (a public auditor that cannot be completely audited and investigated by the PCAOB for two consecutive fiscal years). If this happens, there is no certainty that we will be able to list or otherwise trade our shares on a non-U.S. exchange or that a market for our common shares will develop outside of the U.S. The ban on trading of our shares in, or the threat of their being banned from trading in, the U.S. may materially and adversely affect the value of our Shareholders’ investment,” and “There are uncertainties with respect to regulatory cooperation between PCAOB and Chinese regulators under the Statement of Protocol signed by the PCAOB and the CSRC of the People’s Republic of China on August 26, 2022.” Trading in the Company’s securities may be prohibited under the Holding Foreign Companies Accountable Act if the PCAOB determines that it cannot inspect or investigate completely our independent auditor Ernst &amp; Young Hua Ming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63"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Company does not believe that recent statements and regulatory actions by China’s government will have a material negative impact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in the following areas of PRC law:</w:t>
      </w:r>
    </w:p>
    <w:p>
      <w:pPr>
        <w:spacing w:after="0" w:line="207" w:lineRule="exact"/>
        <w:rPr>
          <w:sz w:val="20"/>
          <w:szCs w:val="20"/>
          <w:color w:val="auto"/>
        </w:rPr>
      </w:pPr>
    </w:p>
    <w:p>
      <w:pPr>
        <w:jc w:val="both"/>
        <w:ind w:firstLine="656"/>
        <w:spacing w:after="0" w:line="256"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 2023, 2024, 2025, the Company provided cash support to its subsidiaries in Mainland China, Singapore and Hong Kong SAR. The amounts were offset when the Company’s consolidated financial statements were prepared. The balances due from subsidiaries to the Company were US$24.7 million, US$36.2 million, and US$34.8 million as of June 30 for fiscal 2023, 2024, and 2025 respectively. The subsidiaries provide cash support to the Company according to its business development plan. The balances due to subsidiaries from the Company were US$7.6 million, US$24.8 million, and US$23.3 million as of June 30 for fiscal 2023, 2024, and 2025 respectively.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securities commission of any state of the United States has approved or disapproved the securities offered hereby or determined if this prospectus is truthful or complete. Any representation to the contrary is a criminal offence.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20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EXCHANGE RATE INFORMATION</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PRICE RANGE OF COMMON SHARES AND TRADING MARKETS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5"/>
        </w:trPr>
        <w:tc>
          <w:tcPr>
            <w:tcW w:w="52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486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PREFERRED SHARES</w:t>
            </w:r>
          </w:p>
        </w:tc>
        <w:tc>
          <w:tcPr>
            <w:tcW w:w="686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3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80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ENFORCEMENT OF CIVIL LIABILITIES</w:t>
            </w:r>
          </w:p>
        </w:tc>
        <w:tc>
          <w:tcPr>
            <w:tcW w:w="690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101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27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ABOUT THIS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the securities described in this prospectus in one or more offerings up to a total dollar amount of initial aggregate offering price of US$80,000,000. This prospectus provides you with a general description of the securities that we may offer. Each time we sell securities under this process, we will provide a prospectus supplement that will contain specific information about the terms of that offering, including a description of any risks relating to the offering if those terms and risks are not described in this prospectus. A prospectus supplement may also add, update, or change information contained in this prospectus. If there is any inconsistency between the information in this prospectus and the applicable prospectus supplement, you should rely on the information in the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investing in our securities, please carefully read both this prospectus and any prospectus supplement together with the documents incorporated by reference into this prospectus, as listed under “Documents Incorporated by Reference,” and the additional information described below under “Where You Can Find More Information.”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securities to or through underwriters or dealers, and we may also sell securities directly to other purchasers or through agents. To the extent not described in this prospectus, the names of any underwriters, dealers, or agents employed by us in the sale of the securities covered by this prospectus, the principal amounts or number of shares or other securities, if any, to be purchased by such underwriters or dealers, and the compensation, if any, of such underwriters, dealers, or agents will be described in a prospectus supplement.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Owning securities may subject you to tax consequences in the United States. This prospectus or any applicable prospectus supplement may not describe these tax consequences fully. You should read the tax discussion in any prospectus supplement with respect to a particular offering and consult your own tax advisor with respect to your own particular circumstances.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 prospectus supplement. We have not authorized anyone to provide you with different information. If anyone provides you with different or inconsistent information, you should not rely on it. The distribution or possession of this prospectus in or from certain jurisdictions may be restricted by law. This prospectus is not an offer to sell the securities and is not soliciting an offer to buy the securities in any jurisdiction where the offer or sale is not permitted or where the person making the offer or sale is not qualified to do so or to any person to whom it is not permitted to make such offer or sale. You should assume that the information contained in this prospectus and in any applicable prospectus supplement is accurate only as of the date on the front cover of this prospectus or prospectus supplement, as applicable, and the information incorporated by reference into this prospectus or any prospectus supplement is accurate only as of the date of the document incorporated by reference. Our business, financial condition, results of operations and prospects may have changed since that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company names, product names, trade names, trademarks and service marks of CLPS and other organizations, all of which are the property of their respective owners. We own or have rights to trademarks, service marks or trade names that we use in connection with the operation of our business. Solely for convenience, the trademarks, service marks, tradenames and copyrights referred to in this prospectus are listed without the ©, ® and TM symbols, but we will assert, to the fullest extent under applicable law, our rights or the rights of the applicable licensors to these trademarks, service marks and tradenames.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references to “CLPS,” the “company,” “we,” “us” or “our” refer to CLPS Incorporation.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2773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2773045"/>
                    </a:xfrm>
                    <a:prstGeom prst="rect">
                      <a:avLst/>
                    </a:prstGeom>
                    <a:noFill/>
                  </pic:spPr>
                </pic:pic>
              </a:graphicData>
            </a:graphic>
          </wp:anchor>
        </w:drawing>
        <w:t>WHERE YOU CAN FIND MORE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prospectus does not contain all the information set out in the registration statement. For further information about us and the securities, please refer to the registration statement, including the exhibits to the registration statement. The exhibits to the registration statement provide more details of the matters discussed in this prospectus.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or the Exchange Act, and we file reports and other information with the SEC. The SEC maintains a web site that contains reports and other information regarding registrants that file electronically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public may obtain information on the operation of the Public Reference Room by calling the SEC at 1-800-SEC-0330.</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certain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1000, 10th Floor, Millennium City III, 370 Kwun Tong Road, Kwun Tong, Kowloon, Hong Kong SAR. Our telephone number is (852)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prospectus.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428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4281805"/>
                    </a:xfrm>
                    <a:prstGeom prst="rect">
                      <a:avLst/>
                    </a:prstGeom>
                    <a:noFill/>
                  </pic:spPr>
                </pic:pic>
              </a:graphicData>
            </a:graphic>
          </wp:anchor>
        </w:drawing>
        <w:t>DOCUMENTS INCORPORATED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them, which means that we can disclose important information to you by referring you to these documents. The information that we incorporate by reference into this prospectus forms a part of this prospectus, and information that we file later with the SEC automatically updates and supersedes any information in this prospectus. We incorporate by reference into this prospectus the documents listed below:</w:t>
      </w:r>
    </w:p>
    <w:p>
      <w:pPr>
        <w:spacing w:after="0" w:line="180" w:lineRule="exact"/>
        <w:rPr>
          <w:sz w:val="20"/>
          <w:szCs w:val="20"/>
          <w:color w:val="auto"/>
        </w:rPr>
      </w:pPr>
    </w:p>
    <w:p>
      <w:pPr>
        <w:ind w:left="960" w:hanging="320"/>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2">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years ended June 30, 2025 filed on October 17, 2025;</w:t>
      </w:r>
    </w:p>
    <w:p>
      <w:pPr>
        <w:spacing w:after="0" w:line="225" w:lineRule="exact"/>
        <w:rPr>
          <w:rFonts w:ascii="Times New Roman" w:cs="Times New Roman" w:eastAsia="Times New Roman" w:hAnsi="Times New Roman"/>
          <w:sz w:val="18"/>
          <w:szCs w:val="18"/>
          <w:color w:val="auto"/>
        </w:rPr>
      </w:pPr>
    </w:p>
    <w:p>
      <w:pPr>
        <w:jc w:val="both"/>
        <w:ind w:left="960" w:right="2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shares set forth in our registration statement on </w:t>
      </w:r>
      <w:hyperlink r:id="rId23">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333-223956) filed with the SEC on March 27, 2018 and declared effective on May 23, 2018, and our </w:t>
      </w:r>
      <w:hyperlink r:id="rId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May 22, 2018, including any amendment or report filed for the purpose of updating that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subsequent to the date of the initial filing of this registration statement and prior to effectiveness of the registration statement that contains this prospectus and prior to the termination of the offering of the securities offered by this prospectus are incorporated by reference into this prospectus and form part of this prospectus from the date of filing or furnishing of these documents. Any documents that we furnish to the SEC on Form 6-K subsequent to the date of this prospectus will be incorporated by reference into this prospectus only to the extent specifically set forth in the Form 6-K.</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into this prospectus shall be deemed to be modified or superseded for purposes of this prospectus to the extent that a statement contained in this prospectus, in one of those other documents or in any other later filed document that is also incorporated by reference into this prospectus modifies or supersedes that statement. Any such statement so modified shall not be deemed, except as so modified, to constitute a part of this prospectus. Any such statement so superseded shall be deemed not to constitute a part of this prospectus.</w:t>
      </w:r>
    </w:p>
    <w:p>
      <w:pPr>
        <w:spacing w:after="0" w:line="183"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 receiving a copy of this prospectus, including any beneficial owner, may obtain without charge, upon written or oral request, a copy of any of the documents incorporated by reference into this prospectus, except for the exhibits to those documents unless the exhibits are specifically incorporated by reference into those documents. Requests should be directed to our principal executive office, Unit 1000, 10th Floor, Millennium City III, 370 Kwun Tong Road, Kwun Tong, Kowloon, Hong Kong SAR.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894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27875" cy="8945245"/>
                    </a:xfrm>
                    <a:prstGeom prst="rect">
                      <a:avLst/>
                    </a:prstGeom>
                    <a:noFill/>
                  </pic:spPr>
                </pic:pic>
              </a:graphicData>
            </a:graphic>
          </wp:anchor>
        </w:drawing>
        <w:t>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does not contain all of the information about our company that may be important to you and your investment decision. You should carefully read the entire prospectus and the applicable prospectus supplement, including the section entitled “Risk Factors” as well as the risk factors described in the documents incorporated by reference into this prospectus and the applicable prospectus supplement,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global information technology (“IT”), consulting and solutions service provider, focused on delivering services primarily to global institutions, including banking, wealth management, ecommerce, and automotive areas both in China and globally. For 20 years as an IT services provider for a growing network of clients within the fintech and financial services industry, CLPS is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its clients. We have created and developed a particular market niche by providing turn-key financial solutions.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CLPS Incorporation was incorporated under the laws of the Cayman Islands on May 11, 2017. 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92" w:lineRule="exact"/>
        <w:rPr>
          <w:sz w:val="20"/>
          <w:szCs w:val="20"/>
          <w:color w:val="auto"/>
        </w:rPr>
      </w:pPr>
    </w:p>
    <w:p>
      <w:pPr>
        <w:jc w:val="both"/>
        <w:ind w:firstLine="630"/>
        <w:spacing w:after="0" w:line="261" w:lineRule="auto"/>
        <w:rPr>
          <w:sz w:val="20"/>
          <w:szCs w:val="20"/>
          <w:color w:val="auto"/>
        </w:rPr>
      </w:pPr>
      <w:r>
        <w:rPr>
          <w:rFonts w:ascii="Times New Roman" w:cs="Times New Roman" w:eastAsia="Times New Roman" w:hAnsi="Times New Roman"/>
          <w:sz w:val="18"/>
          <w:szCs w:val="18"/>
          <w:color w:val="auto"/>
        </w:rPr>
        <w:t>The Company notes that the Provisions of the State Council of the PRC on the Administration of Overseas Securities Offering and Listing by Domestic Companies (the “Provisions”) are still a draft version for public comment, which means that currently they do not have legally bindingly effect. According to the current draft, the Provisions do not require the Company to submit an application to the CSRC for approval to continue to be listed overseas.</w:t>
      </w:r>
    </w:p>
    <w:p>
      <w:pPr>
        <w:spacing w:after="0" w:line="180" w:lineRule="exact"/>
        <w:rPr>
          <w:sz w:val="20"/>
          <w:szCs w:val="20"/>
          <w:color w:val="auto"/>
        </w:rPr>
      </w:pPr>
    </w:p>
    <w:p>
      <w:pPr>
        <w:jc w:val="both"/>
        <w:ind w:right="20" w:firstLine="630"/>
        <w:spacing w:after="0" w:line="266" w:lineRule="auto"/>
        <w:rPr>
          <w:sz w:val="20"/>
          <w:szCs w:val="20"/>
          <w:color w:val="auto"/>
        </w:rPr>
      </w:pPr>
      <w:r>
        <w:rPr>
          <w:rFonts w:ascii="Times New Roman" w:cs="Times New Roman" w:eastAsia="Times New Roman" w:hAnsi="Times New Roman"/>
          <w:sz w:val="18"/>
          <w:szCs w:val="18"/>
          <w:color w:val="auto"/>
        </w:rPr>
        <w:t>The Company does not receive customer data and personal information from its clients in its day-to-day business operation. According to the current laws and regulations, we do not believe that there are any prohibitions or material obstacles for the Company to continue its current business or for the foreign investors to register their securities.</w:t>
      </w:r>
    </w:p>
    <w:p>
      <w:pPr>
        <w:spacing w:after="0" w:line="176" w:lineRule="exact"/>
        <w:rPr>
          <w:sz w:val="20"/>
          <w:szCs w:val="20"/>
          <w:color w:val="auto"/>
        </w:rPr>
      </w:pPr>
    </w:p>
    <w:p>
      <w:pPr>
        <w:jc w:val="both"/>
        <w:ind w:firstLine="630"/>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provides cash support to its subsidiaries according its business development plan. For fiscal years 2023, 2024, 2025, the Company provided cash support to its subsidiaries in Mainland China, Singapore and Hong Kong SAR. The amounts were offset when the Company’s consolidated financial statements were prepared. The balances due from subsidiaries to the Company were US$24.7 million, US$36.2 million, and US$34.8 million as of June 30 for fiscal 2023, 2024, and 2025, respectively. The subsidiaries provide cash support to the Company according its business development plan. The balances due to subsidiaries from the Company were US$7.6 million, US$24.8 million and US$23.3 million as of June 30 for fiscal 2023, 2024, and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30"/>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Unit 1000, 10th Floor, Millennium City III, 370 Kwun Tong Road, Kwun Tong, Kowloon, Hong Kong SAR. Our telephone number is (851) 37073600. Our website is as follows www.clpsglobal.com. </w:t>
      </w:r>
      <w:r>
        <w:rPr>
          <w:rFonts w:ascii="Times New Roman" w:cs="Times New Roman" w:eastAsia="Times New Roman" w:hAnsi="Times New Roman"/>
          <w:sz w:val="18"/>
          <w:szCs w:val="18"/>
          <w:b w:val="1"/>
          <w:bCs w:val="1"/>
          <w:color w:val="auto"/>
        </w:rPr>
        <w:t>The information on our website is not part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filing.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636"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and should be considered speculative. An investment in our securities should only be undertaken by those persons who can afford the total loss of their investment. In addition to the risk factors below, you should carefully consider the risks and uncertainties described under “Item 3D. Risk Factors” in our Annual Report on Form 20-F for the fiscal year ended June 30, 2025, which section is incorporated by reference herein, and the other information contained in this prospectus, as updated by our subsequent filings under the Exchange Act and the risk factors and other information contained in any applicable prospectus supplement, before purchasing any of our securities. Additional risks and uncertainties not presently known to us or that we believe to be immaterial may also adversely affect our business. If any of these risks actually occur, our business, financial condition, prospects, results of operations or cash flow could be materially and adversely affected and you could lose all or a part of the value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general economic conditions, geopolitical conditions, U.S.-China trade relations and other factors beyond the Company’s control may adversely impact our business and operating results.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and regional economic and geopolitical conditions. Adverse developments in these areas—particularly in U.S.-China relations—could materially affect our business, financial condition, results of operations, or cash flows.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recent years, escalating trade tensions between the United States and China have resulted in the imposition of tariffs, export controls, and other trade barriers. These measures have increased the cost of doing business, disrupted supply chains, and created uncertainty for companies operating across borders. If such trade restrictions continue or intensify, they may negatively impact our ability to serve customers, manage costs, or maintain competitive pricing.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October 2025, U.S.-China trade tensions have sharply escalated, with the U.S. announcing 100% tariffs on all Chinese imports effective November 1, 2025, in response to China’s new export controls on rare earth minerals. China has retaliated with its own restrictions and port fees targeting U.S. vessels. These developments mark a significant intensification of the ongoing trade war, disrupting global supply chains, increasing costs for businesses, and contributing to market volatility. The situation remains fluid, with a potential meeting between U.S. and Chinese leaders at the upcoming APEC Summit offering a possible, though uncertain, path toward de-escalation.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trade-related risks, a number of other economic and geopolitical factors could also adversely affect our operations, including:</w:t>
      </w:r>
    </w:p>
    <w:p>
      <w:pPr>
        <w:spacing w:after="0" w:line="225" w:lineRule="exact"/>
        <w:rPr>
          <w:sz w:val="20"/>
          <w:szCs w:val="20"/>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including but not limited to armed conflict, trade wars, retaliatory tariffs, and acts of terrorism or war;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or similar factors could result in reduced demand for our services which, in turn, could have material adverse effects on our business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Under the current version of HFCAA, an SEC ban on trading common shares in the U.S. could take place if we have a Listed Auditor (a public auditor that cannot be completely audited and investigated by the PCAOB for two consecutive fiscal years). If this happens, there is no certainty that we will be able to list or otherwise trade our shares on a non-U.S. exchange or that a market for our common shares will develop outside of the U.S. The ban on trading of our shares in, or the threat of their being banned from trading in, the U.S. may materially and adversely affect the value of our Shareholders’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18, 2020, the Holding Foreign Companies Accountable Act (“HFCAA”) became law. Among other things, the HFCAA requires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to identify public companies that have retained a registered public accounting firm to issue an audit report where that firm has a branch or office that:</w:t>
      </w:r>
    </w:p>
    <w:p>
      <w:pPr>
        <w:spacing w:after="0" w:line="9" w:lineRule="exact"/>
        <w:rPr>
          <w:sz w:val="20"/>
          <w:szCs w:val="20"/>
          <w:color w:val="auto"/>
        </w:rPr>
      </w:pPr>
    </w:p>
    <w:p>
      <w:pPr>
        <w:jc w:val="both"/>
        <w:ind w:firstLine="8"/>
        <w:spacing w:after="0" w:line="251"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mainland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was a Listed Auditor subject to the determinations announced by the PCAOB on December 16, 2021. Our Auditor is located in China.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then the SEC will impose an initial trading ban on the publicly traded securities of the Commission Identified Issuer,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was not currently audited or inspected completely by the PCAOB and was consequently a Listed Auditor.</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secure complete access to inspect and investigate PCAOB-registered public accounting firms headquartered in mainland China and Hong Kong in 2022. The PCAOB vacated its previous 2021 determinations that the PCAOB was unable to inspect or investigate completely registered public accounting firms headquartered in mainland China and Hong Kong. For this reason, we do not expect to be identified as a Commission-Identified Issuer following the filing of this annual report. However, it is uncertain whether the PCAOB will continue to be able to satisfactorily conduct inspections of PCAOB-registered public accounting firms headquartered in mainland China and Hong Kong in the future, which ability depends on a number of factors beyond our, and our auditor’s, control, including the uncertainties surrounding the relationship between China and the United States. If in the future the PCAOB finds that it is unable to completely inspect and investigate registered public accounting firms headquartered in mainland China or Hong Kong, the PCAOB may act immediately to consider the need to issue new determinations consistent with the HFCAA, and we may be identified as a Commission-Identified Issuer again. In accordance with the HFCAA as amended by the Consolidated Appropriations Act, 2023, if the PCAOB is unable to continue to inspect or investigate completely registered public accounting firms headquartered in mainland China or Hong Kong, including our independent registered public accounting firm, for two consecutive years, our securities would be delisted from Nasdaq and will be prohibited from trading on other U.S. stock exchanges and “over-the-counter” in the U.S. This potential lack of full audit and inspection could deprive investors in our common shares of the benefits of PCAOB oversight and inspections. The potential inability of the PCAOB to conduct inspections of auditors in mainland China and Hong Kong SAR could make it more difficult to evaluate the effectiveness of our Auditor’s audit procedures or quality control procedures as compared to auditors outside of mainland China and Hong Kong SAR that are subject to complete audit and investigation by the PCAOB. This potential limitation on PCAOB audit and inspection could cause investors and potential investors in our common shares to lose confidence in our audit procedures and reported financial information and the quality of our financial statements. This potential lack or loss of confidence could also not only cause investors to avoid trading our common shares or sell positions in our common shares, but could also undermine efforts of the Company to secure equity or debt financing, hinder any efforts to up-list the common shares to a national securities exchange, adversely influence the decision of third parties to conduct business with our company, or have other adverse business or financial consequences. Trading in our securities may be prohibited under the HFCAA if PCAOB should determine that it cannot inspect or investigate completely our Auditor, and that as a result, if the Company is subject to a trading ban in the United States, it may be unable to list its common shares on a non-U.S. public stock market, or even if listed on a non-U.S. public stock market, that the common shares would enjoy any liquidity or investor support. As such, the common shares may be difficult to establish or be unable to be established on a foreign public stock market or quotation system. The absence of a public market for the common shares could render the common shares an illiquid, potentially worthless investment.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determined that it had access to inspect or investigate the registered public accounting firms in mainland China and Hong Kong, and therefore, on December 15, 2022, the PCAOB removed Chinese mainland and Hong Kong from the list of jurisdictions where it is unable to inspect or investigate completely registered public accounting firms. For this reason, we were not identified as an SEC-identified issuer under the HFCA Act in 2023. However, there are uncertainties with respect to regulatory cooperation between the PCAOB and the Chinese regulators.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common shares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the SEC may subsequently impose on a ban on trading of our common shares. A ban on trading of our common shares would substantially impair investors’ ability to sell or purchase our common shares, and the risk and uncertainty associated with the ban would have a negative impact on the price of shares of our common shares.</w:t>
      </w:r>
    </w:p>
    <w:p>
      <w:pPr>
        <w:spacing w:after="0" w:line="18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Form F-3.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 government regulation of business activities of U.S.-listed Chinese companies may negatively impact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Form F-3, there is no known regulatory involvement of the nature described in this paragraph and there is no discernible immediate impact on our company under the recent regulatory developments described in this paragraph.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common shares, significantly limit or completely hinder our ability to continue to offer securities to investors, or cause the value of our common shares to decline.</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PRC legal system is based on written statutes and court decisions that have limited precedential value. The PRC legal system is evolving rapidly, and therefore the interpretations and enforcement of many laws, regulations and rules may contain reasonable uncertainties.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partial statutory and contractual terms may remain reasonable blank or uncertainty due to the rapid evolvement, it may be more to predict the outcome of a judicial or administrative proceeding.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Permissions Required from the PRC Authorities for Our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China are governed by PRC laws and regulations. As of the date of this Form F-3,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issuance of securities to foreign investors, under current PRC laws, regulations and regulatory rules, as of the date of this Form F-3, we, our PRC subsidiaries, (i) are not required to obtain permissions from the China Securities Regulatory Commission, or the CSRC,</w:t>
      </w:r>
    </w:p>
    <w:p>
      <w:pPr>
        <w:ind w:firstLine="8"/>
        <w:spacing w:after="0" w:line="260" w:lineRule="auto"/>
        <w:tabs>
          <w:tab w:leader="none" w:pos="2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go through cybersecurity review by the Cyberspace Administration of China, or the CAC, and (iii) have not been asked to obtain such permissions by any PRC authority.</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However, the PRC government has recently indicated an intent to exert more oversight and control over offerings that are conducted overseas and/or foreign investment in China-based issuers.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not pay dividends in the foreseeable future.</w:t>
      </w:r>
    </w:p>
    <w:p>
      <w:pPr>
        <w:spacing w:after="0" w:line="14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timing, amount and form of future dividends (if any) are subject to the discretion of our Board of Directors, subject to certain requirements of Cayman Islands law and will depend on, among other things, our earnings, financial condition, capital requirements and other factors. In addition, our shareholders may by ordinary resolution declare a dividend, but no dividend may exceed the amount recommended by our directors. Although we paid special cash dividends of $0.13, $0.10, and $0.05 per share of common stock on November 24, 2024, December 13, 2023, and January 10, 2023, respectively, there is no assurance that our Board of Directors will declare future dividends, even if we remain profitable. The payment of dividends by entities organized in China is subject to limitations as described herein.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F-3,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F-3, the current applicable PRC laws on cybersecurity would have a material adverse impact on our business.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contains information that may be forward-looking statements within the meaning of applicable securities laws.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through Our Organization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CLPS Incorporation is a holding company with no operations of its own. We conduct our operations in Mainland China primarily through our subsidiaries in mainland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paid special cash dividends of $0.13, $0.10, and $0.05 per share of common stock on November 24, 2024, December 13, 2023, and January 10, 2023, respectively. The Company provides cash support to its subsidiaries according its business development plan. The Company provides cash support to its subsidiaries according its business development plan. For fiscal years 2023, 2024, and 2025, the Company provided cash support to its subsidiaries in mainland China, Singapore and Hong Kong SAR. The amounts were offset when the Company’s consolidated financial statements were prepared. The balances due from subsidiaries to the Company were US$24.7 million, US$36.2 million, and US$34.8 million as of June 30 for fiscal 2023, 2024, and 2025, respectively. The subsidiaries provide cash support to the Company according its business development plan. The balances due to subsidiaries from the Company were US$7.6 million, US$24.8 million and US$23.3 million as of June 30 for fiscal 2023, 2024, and 2025 respectively. The balances were reflected in the section “PARENT COMPANY ONLY CONDENSED FINANCIAL INFORMATION” in our financial statements for fiscal 2023, 2024, and 2025, respectively. For the years ended June 30, 2023, 2024, and 2025, cash and cash equivalents of PRC companies were RMB129.1 million (US$17.8 million), RMB102.5 million (US$14.1 million), and RMB116.7 million (US$16.3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conducted in China and majority of our revenues is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exchange rates between the RMB and the U.S. dollar for the periods indicated. On October 17, 2025, the buying rate announced by the Federal Reserve Statistical Release was RMB7.1264 to $1.00.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(RMB per U.S. Dollar)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Calendar Year</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Average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1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6.8972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7.0999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7.2993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7.1933</w:t>
            </w: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56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(RMB per U.S. Dollar)</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3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Period High</w:t>
            </w: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Period Low</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1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7.3326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February 2025</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7.3088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w:t>
            </w:r>
          </w:p>
        </w:tc>
        <w:tc>
          <w:tcPr>
            <w:tcW w:w="1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7.2843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7.2273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7.3499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2025</w:t>
            </w:r>
          </w:p>
        </w:tc>
        <w:tc>
          <w:tcPr>
            <w:tcW w:w="1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7.2706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June 2025</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7.1975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1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7.2002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August 2025</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7.2116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2025</w:t>
            </w:r>
          </w:p>
        </w:tc>
        <w:tc>
          <w:tcPr>
            <w:tcW w:w="1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7.1415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7.1033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https://www.federalreserve.gov/releases/h10/hist/default.htm.</w:t>
      </w:r>
    </w:p>
    <w:p>
      <w:pPr>
        <w:spacing w:after="0" w:line="225"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lows, and highs are calculated from month-end rates. Monthly averages, lows, and highs are calculated using the average of the daily rates during the relevant period.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that we receive from the sale of the securities offered by this prospectus will be used by us for working capital and general corporate purposes. We have not allocated any portion of the net proceeds for any particular use as of the date of this prospectus. The net proceeds may be invested temporarily until they are used for their stated purpose. Specific information concerning the use of proceeds from the sale of any securities will be included in the prospectus supplement relating to such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SHARES AND TRADING MARKETS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May 24, 2018, our shares have been listed on the NASDAQ under the ticker symbol CLPS. The following tables set forth, for the periods indicated, the high and low market prices of our shares as reported on the NASDAQ.</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1.70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NASDAQ</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Quarter ended September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1.09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common shares are entitled to vote at all meetings of our shareholders. The holders of common shares are entitled to receive dividends as and when declared by the board, if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Cayman Islands company and our affairs are governed by our memorandum and articles of association and Companies Act (Revised) of the Cayman Islands, which we refer to as the Companies Act below. As of the date hereof, our authorized share capital is US$10,000 divided into 100,000,000 shares of US$0.0001 par value each of a single class. As of October 24, 2025, there were 29,743,452 shares issued and outstanding. The following summary description sets forth some of the general terms and provisions of our common shares. Because this is a summary description, it does not contain all of the information that may be important to you. For a more detailed description of our common shares, you should refer to our memorandum and articles of association in effect at the time of any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authorized and unissued common shares are available for issuance without further action by our shareholders, unless such action is required by applicable law or the rules of the Nasdaq Global Market, or any stock exchange on which our securities may be listed at such time. Unless approval of our shareholders is so required, our board of directors will not seek shareholders’ approval for the issuance and sale of our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All of our outstanding common shares are fully paid and non-assessable. Certificates representing the common shares are issued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common shares are entitled to such dividends as may be declared by our board of directors. Our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provide that our board of directors may declare and pay dividends if justified by our financial position and permitted by law.</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each common share is entitled to one vote. Voting at any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 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Common Shares. </w:t>
      </w:r>
      <w:r>
        <w:rPr>
          <w:rFonts w:ascii="Times New Roman" w:cs="Times New Roman" w:eastAsia="Times New Roman" w:hAnsi="Times New Roman"/>
          <w:sz w:val="18"/>
          <w:szCs w:val="18"/>
          <w:color w:val="auto"/>
        </w:rPr>
        <w:t>Subject to the restrictions set out below, any of our shareholders may transfer all or any of his or her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Common Shares and Forfeiture of Common Shares. </w:t>
      </w:r>
      <w:r>
        <w:rPr>
          <w:rFonts w:ascii="Times New Roman" w:cs="Times New Roman" w:eastAsia="Times New Roman" w:hAnsi="Times New Roman"/>
          <w:sz w:val="18"/>
          <w:szCs w:val="18"/>
          <w:color w:val="auto"/>
        </w:rPr>
        <w:t>Our board of directors may from time to time make calls upon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amounts unpaid on their common shares in a notice served to such shareholders at least 14 clear days prior to the specified time of payment. The common shares that have been called upon and remain unpaid are subject to forfeiture.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Common Shares. </w:t>
      </w:r>
      <w:r>
        <w:rPr>
          <w:rFonts w:ascii="Times New Roman" w:cs="Times New Roman" w:eastAsia="Times New Roman" w:hAnsi="Times New Roman"/>
          <w:sz w:val="18"/>
          <w:szCs w:val="18"/>
          <w:color w:val="auto"/>
        </w:rPr>
        <w:t>The Companies Act and our memorandum of association permit us to purchase our own shares.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Act have been satisfied, including out of capital, as may be determined by our board of directors.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common shares have no general right under our articles of association to inspect or obtain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copies of our list of shareholders or our corporate records. However, we will provide our shareholders with annual audited financial statements. See “Where You Can Find Additional Information.”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memorandum of association authorizes our board of directors to issue additional common shares from time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as our board of directors shall determine, to the extent of available authorized but unissued shares. Our memorandum and articles of association also authorizes our board of directors to establish from time to time one or more series of shares and to determine, with respect to any series of shares, the terms and rights of that series, including:</w:t>
      </w:r>
    </w:p>
    <w:p>
      <w:pPr>
        <w:spacing w:after="0" w:line="180"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to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these shares without action by our shareholders to the extent authorized but unissued. Issuance of these shares may dilute the voting power of holders of common shares.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memorandum and articles of association may discourage, delay or prevent a change of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 to the extent authorized but unissued.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 Exclusive Forum Provision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Act,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the corporate legislation of the United Kingdom but does not follow recent United Kingdom statutory enactments.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United States (particularly Delaware) and their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provides for the merger or consolidation of two or more companies into a single entity.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seventy-five percent (75%)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62" w:lineRule="exact"/>
        <w:rPr>
          <w:sz w:val="20"/>
          <w:szCs w:val="20"/>
          <w:color w:val="auto"/>
        </w:rPr>
      </w:pPr>
    </w:p>
    <w:p>
      <w:pPr>
        <w:ind w:left="1020" w:hanging="36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an intelligent and honest man of that class acting in respect of his interest ;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10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 or may, within a two-month period commencing on the expiration of such four months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effected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The Companies Act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memorandum and articles of association permit indemnification of current and former officers and directors for all actions, proceedings, costs, charges, expenses, losses, damages or liabilities incurred or sustained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of each current and former officer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directors of Cayman Islands companies owe fiduciary duties to their respective companies to, amongst other things, act in good faith in their dealings with or on behalf of the company and exercise their powers and fulfill the duties of their office honestly. Core duties are: a duty to act in good faith in what the directors bona fide consider to be the best interests of the company (and in this regard, it should be noted that the duty is owed to the company and not to associate companies, subsidiaries or holding companies); a duty not to personally profit from opportunities that arise from the office of director; a duty of trusteeship of the company’s assets, a duty not to put himself or herself in a position where the interests of the company conflict with his or her personal interest or his or her duty to a third party, and a duty to exercise powers for the purpose for which such powers were conferred. A director of a Cayman Islands company also owes to the company a duty to act with skill, care and diligence. A director need not exhibit in the performance of his or her duties a greater degree of skill than may reasonably be expected from a person of his or her knowledge and experience.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Act provides shareholders with only limited rights to requisition a general meeting and does not provide shareholders with any right to bring business before a general meeting or requisition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may be removed with the approval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of the outstanding shares entitled to vote, unless the certificate of incorporation provides otherwise. Under our articles of association, directors may be removed, by an ordinary resolution of our shareholders.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Act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memorandum and articles of association may only be amended with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preferred shares and the description of the terms of any particular series of preferred shares that we choose to issue hereunder and that will be set forth in the related prospectus supplement are not complete. These descriptions are qualified in their entirety by reference to the certificate of designation relating to that series. The rights, preferences, privileges and restrictions of the preferred shares of each series will be fixed by the certificate of designation relating to that series.</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authorized share capital of the Company is currently US$10,000 divided into 100,000,000 shares of US$0.0001 par value each of a single class. Accordingly, the Company will need to obtain shareholders’ approval to create a new class of preferred shares and to amend its memorandum and articles of association to provide for the rights of the preferred shares prior to its issuance. Subject to the Company having duly authorized the creation of the new class of preferred shares, the board of directors will have the authority, subject to limitations prescribed by law and the then effective memorandum and articles of association, to provide for the issuance of the preferred shares in one or more series, to establish from time to time the number of shares to be included in each such series, and to fix the designation, powers, preferences and rights of the shares of each series and the qualifications, limitations or restrictions, including, but not limited to, the following:</w:t>
      </w:r>
    </w:p>
    <w:p>
      <w:pPr>
        <w:spacing w:after="0" w:line="121"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constituting that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and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terms of redemption (including sinking fund provisions);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the series in the event of liquidation, dissolution or winding up.</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preferred shares offered hereby (after the same have been duly created and authorized for issuance) will, when issued, be fully paid and nonassessable and will not have any preemptive or similar rights. Subject to the Company having duly authorized the creation of the new class of preferred shares and the rights of the preferred shares set out in the memorandum and article of association, our board of directors could authorize the issuance of preferred shares with terms and conditions that could have the effect of discouraging a takeover or other transaction that might involve a premium price for holders of the shares or which holders might believe to be in their best interests.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set forth in a prospectus supplement relating to the series of preferred shares being offered the following items:</w:t>
      </w:r>
    </w:p>
    <w:p>
      <w:pPr>
        <w:spacing w:after="0" w:line="158"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preferred shares offered, the liquidation preference per share and the offering price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applicable to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on the preferred shares will accumulate;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if applicable,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on any securities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will be convertible into common shares, including the conversion price (or manner of calculation) and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United States federal income tax considerations applicable to the preferred shares;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as to dividend rights and rights upon the liquidation, dissolution or winding up of our affairs;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shares ranking senior to or on a parity with the class or series of preferred shares as to dividend rights and rights upon liquidation, dissolution or winding up of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any series of preferred shares will be set forth in the applicable prospectus supplement.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65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shares. Warrants may be offered separately or together with other securities offered by this prospectus, as the case may be. Unless the applicable prospectus supplement otherwise indicates, each series of warrants will be issued under a separate warrant agreement to be entered into between us and one or more banks or trust companies acting as warrant agent. The applicable prospectus supplement will include details of the warrant agreements covering the warrants being offered. The warrant agent will act solely as our agent and will not assume a relationship of agency with any holders of warrant certificates or beneficial owners of warrants.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general terms and provisions of the warrants offered under this prospectus. The specific terms of the warrants, and the extent to which the general terms described in this section apply to those warrants, will be set forth in the applicable prospectus supplement. The terms of any warrants offered under a prospectus supplement may differ from the terms described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warrants will be described in the related prospectus supplement. This description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our common shares purchasable upon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warrant and the price at which and currency or currencies in which our common shares may be purchased upon exercise of each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will be offered, if any, and the number of the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United States tax consequences of owning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warrants.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common shares, as specified in the applicable prospectus supplement at the exercise price that we describe therein.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description is a summary of the material provisions of the debt securities and the related indenture. We urge you to read the form of indenture filed as an exhibit to the registration statement of which this prospectus is a part because the indenture, and not this description, governs your rights as a holder of debt securities. References in this prospectus to an “indenture” refer to the particular indenture under which we may issue a series of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The particular terms of each series of debt securities will be described in a prospectus supplement relating to such series, including any pricing supplement. The prospectus supplement will set forth specific terms relating to some or all of the following:</w:t>
      </w:r>
    </w:p>
    <w:p>
      <w:pPr>
        <w:spacing w:after="0" w:line="18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if any, the date interest will accrue, the interest payment dates and the regular record 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the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stated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defeasance provisions if different from those described below under “Satisfaction and Discharge; Defeasance”;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redeem or purchase the debt securities pursuant to a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if different from those described below under “Subordination”;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or covenants;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the time of issuance is below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potential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initially appoint the trustee as the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securities. Each global security will:</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in the name of any person other than the depositary or any nominee unless:</w:t>
      </w:r>
    </w:p>
    <w:p>
      <w:pPr>
        <w:spacing w:after="0" w:line="162" w:lineRule="exact"/>
        <w:rPr>
          <w:sz w:val="20"/>
          <w:szCs w:val="20"/>
          <w:color w:val="auto"/>
        </w:rPr>
      </w:pPr>
    </w:p>
    <w:p>
      <w:pPr>
        <w:jc w:val="center"/>
        <w:ind w:left="5540" w:right="660" w:hanging="4884"/>
        <w:spacing w:after="0" w:line="783" w:lineRule="auto"/>
        <w:tabs>
          <w:tab w:leader="none" w:pos="9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stating that the global security is exchangeable.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physical delivery of certificated debt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to be holders of those debt securities under the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security will be subject to policies and procedures of the depositary.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policies and procedures may change from time to time. Neither we nor the trustee will have any responsibility or liability for the depositary’s or any participant’s records with respect to beneficial interests in a global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this paragraph will apply to the debt securities unless otherwise indicated in the prospectus supplement.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corporate trust office will be designated as our sole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the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which remain unclaimed at the end of two years after such payment was due will be repaid to us. Thereafter, the holder may look only to us for such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the prospectus supplement, we may not consolidate with or merge into any other person, in a transaction in which we are not the surviving corporation, or convey, transfer or lease our properties and assets substantially as an entirety to, any person, unless:</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if any, is a U.S. corporation, limited liability company, partnership, trust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assumes our obligations on the debt securities and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are met.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the indenture will define an event of default with respect to any series of debt securities as one or more of the following events:</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security of that series for 30 days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other covenant in the indenture continued for 90 days after being given the notice required in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bankruptcy, insolvency or reorganization;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specified in the prospectus supplement.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event of default of one series of debt securities is not necessarily an event of default for any other series of debt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shall occur and be continuing, either the trustee or the holders of at least 25% in aggregate principal amount of the outstanding securities of that series may declare the principal amount of the debt securities of that series to be due and payable immediately.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shall occur, the principal amount of all the debt securities of that series will automatically become immediately due and payable. Any payment by us on subordinated debt securities following any such acceleration will be subject to the subordination provisions described below under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A holder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90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or interest on any debt security on or after the due date without following the procedures listed in (1) through (3)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applicable trustee and we may make modifications and amendments to the indentures (including, without limitation, through consents obtained in connection with a tender offer or exchange offer for, outstanding securities) and may waive any existing default or event of default (including, without limitation, through consents obtained in connection with a tender offer or exchange offer for, outstanding securities) with the consent of the holders of a majority in aggregate principal amount of the outstanding securities of each series affected by the modification or amendment.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neither we nor the trustee may make any amendment or waiver without the consent of the holder of each outstanding security of that series affected by the amendment or waiver if such amendment or waiver would, among other things:</w:t>
      </w:r>
    </w:p>
    <w:p>
      <w:pPr>
        <w:spacing w:after="0" w:line="162"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on any debt security or reduce the amount of, or postpone the date fixed for, the payment of any sinking fund;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on acceleration of maturity;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interest or extend the time for payment of interest on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principal or interest payment on any debt security in any currency other than that stated in the debt security;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default or event of default in payment of the principal of, premium or interest on any debt security (except certain rescissions of acceleration);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or modify any of the redemption provisions of any debt security;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outstanding securities, we and the trustee may amend or supplement the indentures:</w:t>
      </w:r>
    </w:p>
    <w:p>
      <w:pPr>
        <w:spacing w:after="0" w:line="162"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our obligations to holders of any debt security in the case of a merger, consolidation, transfer or sale of all or substantially all of our assets;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an indenture under the Trust Indenture Act;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trusts by more than one Trustee.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consent of holders is not necessary under the indentures to approve the particular form of any proposed amendment. It is sufficient if such consent approves the substance of the proposed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of any series that have matured or will mature or be redeemed within one year if we deposit with the trustee enough cash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discharged from all of our obligations, subject to limited exceptions, with respect to any series of debt securities then outstanding; and/or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our obligations under the following covenants and from the consequences of an event of default resulting from a breach of certain covenants, including covenants as to payment of taxes and maintenance of corporate existence.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make either of the above elections, we must deposit in trust with the trustee enough money to pay in full the principal and interest on the debt securities. This amount may be made in cash and/or U.S. government obligations. As a condition to either of the above elections, we must deliver to the trustee an opinion of counsel that the holders of the debt securities will not recognize income, gain or loss for federal income tax purposes as a result of the 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above events occurs,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under, the law of the State of New York.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limits the right of the trustee, should it become a creditor of us,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is permitted to engage in certain other transactions. However, if the trustee acquires any conflicting interest, and there is a default under the debt securities of any series for which they are trustee, the trustee must eliminate the conflict or resign.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Payment on subordinated debt securities will, to the extent provided in the indenture, be subordinated in right of payment to the prior payment in full of all of our senior indebtedness (except that holders of the notes may receive and retain (i) permitted junior securities and (ii) payments made from the trust described under “Satisfaction and Discharge; Defeasance”). Any subordinated debt securities also are effectively subordinated to all debt and other liabilities, including lease obligations, if any.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the payment of the principal of and interest on subordinated debt securities will be subordinated in right of payment to the prior payment in full in cash or other payment satisfactory to the holders of senior indebtedness. In the event of any acceleration of subordinated debt securities because of an event of default, the holders of any senior indebtedness would be entitled to payment in full in cash or other payment satisfactory to such holders of all senior indebtedness obligations before the holders of subordinated debt securities are entitled to receive any payment or distribution, except for certain payments made by the trust described under “Satisfaction and Discharge; Defeasance.” The indenture requires us or the trustee to promptly notify holders of designated senior indebtedness if payment of subordinated debt securities is accelerated because of an event of default.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make any payment on subordinated debt securities, including upon redemption at the option of the holder of any subordinated debt securities or at our option, if:</w:t>
      </w:r>
    </w:p>
    <w:p>
      <w:pPr>
        <w:spacing w:after="0" w:line="162"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principal, premium, if any, interest, rent or other obligations in respect of designated senior indebtedness occurs and is continuing beyond any applicable period of grace (called a “payment default”);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payment default on any designated senior indebtedness occurs and is continuing that permits holders of designated senior indebtedness to accelerate its maturity, and the trustee receives notice of such default (called a “payment blockage notice) from us or any other person permitted to give such notice under the indenture (called a “non-payment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trustee or any holder of the notes receives any payment or distribution of our assets in contravention of the subordination provisions on subordinated debt securities before all senior indebtedness is paid in full in cash, property or securities, including by way of set-off,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bankruptcy, dissolution or reorganization, holders of senior indebtedness may receive more, ratably, and holders of subordinated debt securities may receive less, ratably, than our other creditors (including our trade creditors). This subordination will not prevent the occurrence of any event of default under the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prohibited from incurring debt, including senior indebtedness, under the indenture. We may from time to time incur additional debt, including senior indebtedness.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obligated to pay reasonable compensation to the trustee and to indemnify the trustee against certain losses, liabilities or expenses incurred by the trustee in connection with its duties under the indenture. The trustee’s claims for these payments will generally be senior to those of noteholders in respect of all funds collected or held by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“indebtedness” means:</w:t>
      </w:r>
    </w:p>
    <w:p>
      <w:pPr>
        <w:spacing w:after="0" w:line="225" w:lineRule="exact"/>
        <w:rPr>
          <w:sz w:val="20"/>
          <w:szCs w:val="20"/>
          <w:color w:val="auto"/>
        </w:rPr>
      </w:pPr>
    </w:p>
    <w:p>
      <w:pPr>
        <w:jc w:val="both"/>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 any account payable or other accrued current liability or obligation incurred in the ordinary course of business in connection with the obtaining of materials or services;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and other liabilities with respect to letters of credit, bank guarantees or bankers’ acceptances;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liabilities in respect of leases required in conformity with generally accepted accounting principles to be accounted for as capitalized lease obligations on our balance sheet;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and other liabilities under any lease or related document in connection with the lease of real property which provides that we are contractually obligated to purchase or cause a third party to purchase the leased property and thereby guarantee a minimum residual value of the leased property to the lessor and our obligations under the lease or related document to purchase or to cause a third party to purchase the leased property;</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with respect to an interest rate or other swap, cap or collar agreement or other similar instrument or agreement or foreign currency hedge, exchange, purchase or other similar instrument or agreement;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indirect guaranties or similar agreements in respect of, and our obligations or liabilities to purchase, acquire or otherwise assure a creditor against loss in respect of, indebtedness, obligations or liabilities of others of the type described in (1) through (5) above;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described in (1) through (6) above secured by any mortgage, pledge, lien or other encumbrance existing on property which is owned or held by us;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refinancings, replacements, deferrals, renewals, extensions and refundings of, or amendments, modifications or supplements to, any indebtedness, obligation or liability of the kind described in clauses (1) through (7) above.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“permitted junior securities” means (i) equity interests in the Company; or (ii) debt securities of the Company that are subordinated to all senior indebtedness and any debt securities issued in exchange for senior indebtedness to substantially the same extent as, or to a greater extent than the notes are subordinated to senior indebtedness under the indenture.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“senior indebtedness” means the principal, premium, if any, interest, including any interest accruing after bankruptcy, and rent or termination payment on or other amounts due on our current or future indebtedness, whether created, incurred, assumed, guaranteed or in effect guaranteed by us, including any deferrals, renewals, extensions, refundings, amendments, modifications or supplements to the above. However, senior indebtedness does not include:</w:t>
      </w:r>
    </w:p>
    <w:p>
      <w:pPr>
        <w:spacing w:after="0" w:line="180" w:lineRule="exact"/>
        <w:rPr>
          <w:sz w:val="20"/>
          <w:szCs w:val="20"/>
          <w:color w:val="auto"/>
        </w:rPr>
      </w:pPr>
    </w:p>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that expressly provides that it shall not be senior in right of payment to subordinated debt securities or expressly provides that it is on the same basis or junior to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to any of our majority-owned subsidiaries;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the rights to purchase certain of our securities that we may issue to holders of our securities by this prospectus. The applicable prospectus supplement will describe the specific terms of the rights then issued, and the terms and provisions described in this section will apply only to the extent not superseded by the terms of the applicable prospectus supplement.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as a dividend at no cost, to holders of record of our securities or any class or series thereof on the applicable record date, rights to purchase common shares or preferred shares, to the extent duly authorized and created, to purchase warrants exercisable for common shares, preferred shares, depositary shares, debt securities or units, to purchase debt securities, to purchase depositary shares or to purchase units consisting of two or more of the foregoing. In this prospectus, we refer to such rights as “stockholder rights.” If stockholder rights are so issued to existing holders of securities, each stockholder right will entitle the registered holder thereof to purchase the securities issuable upon exercise of the rights pursuant to the terms set forth in the applicable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stockholder rights are issued, the applicable prospectus supplement will describe the terms of such stockholder rights including the following where applicable:</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common shares, preferred shares, warrants, depositary shares or units, or principal amount of debt securities, purchasable upon exercise of such stockholder rights;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preferred shares, preferred share warrants, depositary shares or depositary share warrants, the designation, aggregate number, and terms of the class or series of preferred shares purchasable upon exercise of such stockholder rights or warrants;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stockholder rights for debt securities or debt security warrants, the principal amount of debt securities purchasable upon exercise of such stockholder rights or warrants and the price at, and currency in which, this principal amount of debt securities may be purchased upon such exercise;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stockholder rights shall commence and the expiration date on which such right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such stockholder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terms of the stockholder rights and the securities issuable upon exercise thereof, the prospectus supplement may describe, for a holder of such stockholder rights who validly exercises all stockholder rights issued to such holder, how to subscribe for unsubscribed securities, issuable pursuant to unexercised stockholder rights issued to other holders, to the extent such stockholder rights have not been exercised.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stockholder rights will not be entitled by virtue of being such holders, to vote, to consent, to receive dividends, to receive notice with respect to any meeting of shareholders for the election of our directors or any other matter, or to exercise any rights whatsoever as shareholders of the Company, except to the extent described in the related prospectus supplement. In addition, holders of shareholder rights to purchase debt security warrants will not be entitled by virtue of being such holders, to receive payments of principal of, or premium, if any, or interest on, the debt securities purchasable upon exercise or to enforce covenants in the applicable indenture, except to the extent described in the related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at our option, elect to offer fractional shares rather than full shares of the common shares. In the event that we determine to do so, we will issue receipts for depositary shares, each of which will represent a fraction of a common share as more fully described below.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fraction of common shares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common share by the depositary shares, to all the rights of the common shares represented thereby (including, as applicable, dividend, voting, redemption, subscription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Depositary receipts will be distributed to those persons purchasing the fractional common shares.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our issuance of common shares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common shares to the record holders of depositary shares relating to the common shares in proportion to the number of the depositary shares owned by the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 The amount distributed in any of the foregoing cases will be reduced by any amounts required to be withheld by us or the depositary on account of taxes or other governmental charges.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common shares underlying the depositary shares is subject to redemption, the depositary shares will be redeemed from the proceeds received by the depositary resulting from any redemption, in whole or in part, of the common shares held by the depositary. The redemption price per depositary shares will be equal to the applicable fraction of the redemption price per share payable with respect to the common shares. If we redeem common shares held by the depositary, the depositary will redeem as of the same redemption date the number of depositary shares representing the common shares so redeemed. If less than all the depositary shares are to be redeemed, the depositary shares to be redeemed will be selected by lot or substantially equivalent method determined by the depositary.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the Underlying Common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any common shares are entitled to vote, the depositary will mail the information contained in the notice of meeting to the record holders of the depositary shares relating to the common shares. Each record holder of the depositary shares on the record date (which will be the same date as the record date for the related common shares) will be entitled to instruct the depositary as to the exercise of the voting rights pertaining to the number of common shares represented by that holder’s depositary shares. The depositary will endeavor, insofar as practicable, to vote or cause to be voted the number of common shares represented by the depositary shares in accordance with the instructions, provided the depositary receives the instructions sufficiently in advance of the meeting to enable it to so vote or cause to be voted the common shares, and we will agree to take all reasonable action that may be deemed necessary by the depositary in order to enable the depositary to do so. The depositary will abstain from voting the common shares to the extent it does not receive specific instructions from the holders of depositary shares representing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common shares and any money or other property, if any, represented by the depositary shares. Holders of depositary shares will be entitled to receive whole shares of the related common shares, but holders of the whole common shares will not thereafter be entitled to deposit the common shares with the depositary or to receive depositary shares therefor. If the depositary receipts delivered by the holder evidence a number of depositary shares in excess of the number of depositary shares representing the number of whole shares of the related common shares to be withdrawn, the depositary will deliver to the holder or upon his or her order at the same time a new depositary receipt evidencing the excess number of depositary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a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common shares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common shares as are represented by the depositary shares. The deposit agreement shall automatically terminate after all outstanding depositary shares have been redeemed or there has been a final distribution in respect of the related common shares in connection with any liquidation, dissolution or winding up of us and the distribution has been distributed to the holders of depositary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the governmental charges arising solely from the existence of the depositary arrangements. We will pay the charges of the depositary, including charges in connection with the initial deposit of the related common shares and the initial issuance of the depositary shares and all withdrawals of shares of the related common shares, except that holders of depositary shares will pay transfer and other taxes and governmental charges and any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shares all reports and communications from us that are delivered to the depositary and which we are required to furnish to the holders of the related common shares. The depositary’s corporate trust office will be identified in the applicable prospectus supplement. Unless otherwise set forth in the applicable prospectus supplement, the depositary will act as transfer agent and registrar for depositary receipts and if common shares are redeemable, the depositary will also act as redemption agent for the corresponding depositary receipts.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that may be offered under this prospectus, in any combination. The following information, together with the additional information we may include in any applicable prospectus supplements, summarizes the material terms and provisions of any such the units that we may offer under this prospectus. While the information below will apply generally to any units that we may offer under this prospectus, we will describe the particular terms of any series of units in detail in the applicable prospectus supplement. The terms of any units offered under a prospectus supplement may differ from the general terms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file the form of unit agreement, if any, between us and a unit agent that describes the terms and conditions of the series of units we are offering, and any supplemental agreements, concurrently with the filing of the applicable prospectus supplement under which such series of units are offered. This summary is subject to, and qualified in their entirety by reference to, all the provisions of the unit agreement, if any, and any supplemental agreements applicable to a particular series of units. We urge you to read the applicable prospectus supplements related to the particular series of units that we sell under this prospectus, as well as the complete unit agreement, if any, and any supplemental agreements that contain the terms of the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units comprising one or more of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may be issued, if any, may provide that the securities included in the unit may not be held or transferred separately, at any time or at any time before a specified date. We will describe in the applicable prospectus supplement the terms of the series of units.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and “Description of Warrants” will apply to each unit and to any share or warrant included in each unit, respectively. We may issue units in such amounts and in numerous distinct series as we determine.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the securities offered by this prospectus to or through underwriters or dealers, and also may sell those securities to one or more other purchasers directly or through agents, including sales pursuant to ordinary brokerage transactions and transactions in which a broker-dealer solicits purchasers, or if indicated in a prospectus supplement, pursuant to delayed delivery contracts, by remarketing firms or by other means. Underwriters may sell securities to or through dealers. Each prospectus supplement will set forth the terms of the offering, including the name or names of any underwriters, dealers or agents and any fees or compensation payable to them in connection with the offering and sale of a particular series or issue of securities, the public offering price or prices of the securities and the proceeds from the sale of the securities.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made directly on the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us to indemnification by us against certain liabilities, including liabilities under the Securities Act,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any offering of securities, the underwriters may over-allot or effect transactions which stabilize or maintain the market price of the securities offered at a level above that which might otherwise prevail in the open market. Such transactions, if commenced, may be discontinued at any time. Any underwriters, dealers or agents to or through which securities other than our common shares are sold by us for public offering and sale may make a market in such securities, but such underwriters, dealers or agents will not be obligated to do so and may discontinue any such market making at any time and without notice. No assurance can be given that a market for trading in securities of any series or issue will develop or as to the liquidity of any such market, whether or not such securities are listed on a securities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place, time of delivery, and other terms of the offered securities will be described in the applicable prospectus supplement.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describe certain United States federal income tax consequences of the acquisition, ownership and disposition of securities offered by this prospectus by an initial investor who is subject to United States federal income taxation.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affairs are governed by our memorandum and articles of association and the Companies Act, and the common law of the Cayman Islands. We are incorporated in the Cayman Islands because of certain benefits associated with being a Cayman Islands company, such as: (1) political and economic stability; (2) an effective judicial system; (3) a favorable tax system; (4) the absence of exchange control or currency restrictions; and (5) the availability of professional and support services.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 (1) the Cayman Islands has a less developed body of securities laws as compared to the United States and provide less protection for investors; and (2) Cayman Islands companies may not have standing to sue before the federal courts of the United States. Our constitutional documents do not contain provisions requiring that disputes, including those arising under the securities laws of the United States, between us, our officers, directors and shareholders, be arbitrated.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our operations are conducted outside the United States, and all of our assets are located outside the United States. A substantial number of our officers are nationals or residents of jurisdictions other than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251 Little Falls Drive, Wilmington, DE 19808, as our agent upon whom process may be served in any action brought against us under the securities laws of the United States.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Ogier, our counsel as to Cayman Islands law, and Grandway Law Offices, our counsel as to PRC law, have advised us, respectively, that there is uncertainty as to whether the courts of the Cayman Islands and China, respectively, would:</w:t>
      </w:r>
    </w:p>
    <w:p>
      <w:pPr>
        <w:spacing w:after="0" w:line="162"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(e) was not obtained in a manner and (f) is not of a kind the enforcement of which is contrary to natural justice or the public policy of the Cayman Islands.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Grandway Law Offices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CLPS Incorporation appearing in CLPS Incorporation’s Annual Report (Form 20-F) for the year ended June 30, 2025, have been audited by Ernst &amp; Young Hua Ming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The offices of Ernst &amp; Young Hua Ming LLP are located at 50/F, Shanghai World Financial Center, 100 Century Avenue, Pudong New Area, Shanghai, the People’s Republic of China.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matters as to U.S. federal law in connection with this offering will be passed upon for us by Loeb &amp; Loeb LLP. The validity of the shares and certain legal matters relating to the offering as to Cayman Islands law will be passed upon for us by Ogier. Certain legal matters relating to the offering as to Chinese law will be passed upon for us by Grandway Law Offices of People’s Republic of China. In addition, certain legal matters in connection with any offering of securities under this prospectus will be passed upon for any underwriters, dealers or agents by counsel to be designated at the time of the offering by such underwriters, dealers or agents with respect to matters of applicable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or Securities Act, may be permitted to directors, officers or persons controlling the registrant pursuant to the foregoing provisions, the registrant has been informed that in the opinion of the Securities and Exchange Commission, or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5"/>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Specimen Certificate for Common Shares (incorporated by reference to Exhibit 4.1 from Registration Statement on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223956) filed with the SEC on March 27, 2018).</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Debt Security</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Deposit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Consent of Ernst &amp; Young Hua Ming LLP</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Eligibility on Form T-1</w:t>
            </w:r>
          </w:p>
        </w:tc>
      </w:tr>
    </w:tbl>
    <w:p>
      <w:pPr>
        <w:ind w:left="1140" w:hanging="113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20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as an exhibit to a post-effective amendment to this registration statement or as an exhibit to a report filed on Form 6-K under the Exchange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 and incorporated herein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as a 305B2 filing in connection with an offering of debt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sz w:val="20"/>
          <w:szCs w:val="20"/>
          <w:color w:val="auto"/>
        </w:rPr>
      </w:pPr>
    </w:p>
    <w:p>
      <w:pPr>
        <w:jc w:val="both"/>
        <w:ind w:firstLine="656"/>
        <w:spacing w:after="0" w:line="256" w:lineRule="auto"/>
        <w:tabs>
          <w:tab w:leader="none" w:pos="9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undertakings set forth in paragraphs (a)(1)(i), (a)(1)(ii) and (a)</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(1)(iii) above do not apply if the information required to be included in a post-effective amendment by those paragraphs is contained in reports filed with or furnished to the SEC by the registrant pursuant to Section 13 or Section 15(d) of the Securities Exchange Act of 1934, or the Exchange Act, that are incorporated by reference into the registration statement, or is contained in a form of prospectus filed pursuant to Rule 424(b) that is part of the registration statement.</w:t>
      </w:r>
    </w:p>
    <w:p>
      <w:pPr>
        <w:spacing w:after="0" w:line="189" w:lineRule="exact"/>
        <w:rPr>
          <w:sz w:val="20"/>
          <w:szCs w:val="20"/>
          <w:color w:val="auto"/>
        </w:rPr>
      </w:pPr>
    </w:p>
    <w:p>
      <w:pPr>
        <w:ind w:right="20" w:firstLine="656"/>
        <w:spacing w:after="0" w:line="282" w:lineRule="auto"/>
        <w:tabs>
          <w:tab w:leader="none" w:pos="9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2" w:gutter="0" w:footer="0" w:header="0"/>
        </w:sectPr>
      </w:pPr>
    </w:p>
    <w:bookmarkStart w:id="39" w:name="page40"/>
    <w:bookmarkEnd w:id="39"/>
    <w:p>
      <w:pPr>
        <w:jc w:val="both"/>
        <w:ind w:firstLine="656"/>
        <w:spacing w:after="0" w:line="266" w:lineRule="auto"/>
        <w:tabs>
          <w:tab w:leader="none" w:pos="91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registrant includes in the prospectus, by means of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S-K if such financial statements and information are contained in periodic reports filed with or furnished to the SEC by the registrant pursuant to Section 13 or Section 15(d) of the Exchange Act that are incorporated by reference into the registration statement.</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jc w:val="both"/>
        <w:ind w:firstLine="656"/>
        <w:spacing w:after="0" w:line="261"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 (B) Each prospectus required to be filed pursuant to Rule 424(b)(2), (b)</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both"/>
        <w:ind w:firstLine="656"/>
        <w:spacing w:after="0" w:line="258" w:lineRule="auto"/>
        <w:tabs>
          <w:tab w:leader="none" w:pos="9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880" w:hanging="224"/>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both"/>
        <w:ind w:firstLine="656"/>
        <w:spacing w:after="0" w:line="261" w:lineRule="auto"/>
        <w:tabs>
          <w:tab w:leader="none" w:pos="9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Hong Kong SAR, on October 24,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Ming Hui Lin</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 Feng Yang</w:t>
            </w:r>
          </w:p>
        </w:tc>
        <w:tc>
          <w:tcPr>
            <w:tcW w:w="120" w:type="dxa"/>
            <w:vAlign w:val="bottom"/>
          </w:tcPr>
          <w:p>
            <w:pPr>
              <w:spacing w:after="0"/>
              <w:rPr>
                <w:sz w:val="24"/>
                <w:szCs w:val="24"/>
                <w:color w:val="auto"/>
              </w:rPr>
            </w:pPr>
          </w:p>
        </w:tc>
        <w:tc>
          <w:tcPr>
            <w:tcW w:w="5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Xiao Feng Yang</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Ming Hui Lin</w:t>
            </w:r>
          </w:p>
        </w:tc>
        <w:tc>
          <w:tcPr>
            <w:tcW w:w="120" w:type="dxa"/>
            <w:vAlign w:val="bottom"/>
          </w:tcPr>
          <w:p>
            <w:pPr>
              <w:spacing w:after="0"/>
              <w:rPr>
                <w:sz w:val="24"/>
                <w:szCs w:val="24"/>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Raymond Ming Hui Lin</w:t>
            </w:r>
          </w:p>
        </w:tc>
        <w:tc>
          <w:tcPr>
            <w:tcW w:w="120" w:type="dxa"/>
            <w:vAlign w:val="bottom"/>
          </w:tcPr>
          <w:p>
            <w:pPr>
              <w:spacing w:after="0"/>
              <w:rPr>
                <w:sz w:val="20"/>
                <w:szCs w:val="20"/>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8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Rui Yang</w:t>
            </w:r>
          </w:p>
        </w:tc>
        <w:tc>
          <w:tcPr>
            <w:tcW w:w="120" w:type="dxa"/>
            <w:vAlign w:val="bottom"/>
          </w:tcPr>
          <w:p>
            <w:pPr>
              <w:spacing w:after="0"/>
              <w:rPr>
                <w:sz w:val="24"/>
                <w:szCs w:val="24"/>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Rui Yang</w:t>
            </w:r>
          </w:p>
        </w:tc>
        <w:tc>
          <w:tcPr>
            <w:tcW w:w="120" w:type="dxa"/>
            <w:vAlign w:val="bottom"/>
          </w:tcPr>
          <w:p>
            <w:pPr>
              <w:spacing w:after="0"/>
              <w:rPr>
                <w:sz w:val="20"/>
                <w:szCs w:val="20"/>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(Principal Accounting and Financial Officer)</w:t>
            </w:r>
          </w:p>
        </w:tc>
        <w:tc>
          <w:tcPr>
            <w:tcW w:w="248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 He Shao</w:t>
            </w:r>
          </w:p>
        </w:tc>
        <w:tc>
          <w:tcPr>
            <w:tcW w:w="120" w:type="dxa"/>
            <w:vAlign w:val="bottom"/>
          </w:tcPr>
          <w:p>
            <w:pPr>
              <w:spacing w:after="0"/>
              <w:rPr>
                <w:sz w:val="24"/>
                <w:szCs w:val="24"/>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Jin He Shao</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Jiajia Lu</w:t>
            </w:r>
          </w:p>
        </w:tc>
        <w:tc>
          <w:tcPr>
            <w:tcW w:w="120" w:type="dxa"/>
            <w:vAlign w:val="bottom"/>
          </w:tcPr>
          <w:p>
            <w:pPr>
              <w:spacing w:after="0"/>
              <w:rPr>
                <w:sz w:val="24"/>
                <w:szCs w:val="24"/>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Jiajia Lu</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1"/>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Kee Chong Seng</w:t>
            </w:r>
          </w:p>
        </w:tc>
        <w:tc>
          <w:tcPr>
            <w:tcW w:w="120" w:type="dxa"/>
            <w:vAlign w:val="bottom"/>
          </w:tcPr>
          <w:p>
            <w:pPr>
              <w:spacing w:after="0"/>
              <w:rPr>
                <w:sz w:val="24"/>
                <w:szCs w:val="24"/>
                <w:color w:val="auto"/>
              </w:rPr>
            </w:pPr>
          </w:p>
        </w:tc>
        <w:tc>
          <w:tcPr>
            <w:tcW w:w="5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24, 2025</w:t>
            </w:r>
          </w:p>
        </w:tc>
      </w:t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Kee Chong Seng</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63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320"/>
              <w:spacing w:after="0"/>
              <w:rPr>
                <w:sz w:val="20"/>
                <w:szCs w:val="20"/>
                <w:color w:val="auto"/>
              </w:rPr>
            </w:pPr>
            <w:r>
              <w:rPr>
                <w:rFonts w:ascii="Times New Roman" w:cs="Times New Roman" w:eastAsia="Times New Roman" w:hAnsi="Times New Roman"/>
                <w:sz w:val="18"/>
                <w:szCs w:val="18"/>
                <w:color w:val="auto"/>
              </w:rPr>
              <w:t>II-3</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UNITED STATES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 of the Securities Act of 1933, the undersigned, the duly authorized representative in the United States of the aforementioned Registrant, has signed this registration statement in the City of Newark, State of Delaware, on October 24,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18"/>
          <w:szCs w:val="18"/>
          <w:color w:val="auto"/>
        </w:rPr>
        <w:t>Dated as of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360"/>
        <w:spacing w:after="0"/>
        <w:tabs>
          <w:tab w:leader="none" w:pos="458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891540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9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8"/>
        </w:trPr>
        <w:tc>
          <w:tcPr>
            <w:tcW w:w="1020" w:type="dxa"/>
            <w:vAlign w:val="bottom"/>
          </w:tcPr>
          <w:p>
            <w:pPr>
              <w:spacing w:after="0"/>
              <w:rPr>
                <w:sz w:val="17"/>
                <w:szCs w:val="17"/>
                <w:color w:val="auto"/>
              </w:rPr>
            </w:pPr>
          </w:p>
        </w:tc>
        <w:tc>
          <w:tcPr>
            <w:tcW w:w="910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ARTICLE I</w:t>
            </w:r>
          </w:p>
        </w:tc>
        <w:tc>
          <w:tcPr>
            <w:tcW w:w="112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9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112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ARTICLE II</w:t>
            </w: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THE SECURITIES</w:t>
            </w: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Issuable in Series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 Lists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CUSIP Numbers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0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ARTICLE III</w:t>
            </w: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1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REDEMPTION</w:t>
            </w:r>
          </w:p>
        </w:tc>
        <w:tc>
          <w:tcPr>
            <w:tcW w:w="11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to Trustee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3.2</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Redemptionkon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3.4</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3.6</w:t>
            </w:r>
          </w:p>
        </w:tc>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IV</w:t>
            </w:r>
          </w:p>
        </w:tc>
        <w:tc>
          <w:tcPr>
            <w:tcW w:w="256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COVENANTS</w:t>
            </w:r>
          </w:p>
        </w:tc>
        <w:tc>
          <w:tcPr>
            <w:tcW w:w="2560" w:type="dxa"/>
            <w:vAlign w:val="bottom"/>
          </w:tcPr>
          <w:p>
            <w:pPr>
              <w:spacing w:after="0"/>
              <w:rPr>
                <w:sz w:val="20"/>
                <w:szCs w:val="20"/>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 Reports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4.3</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4.5</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Existence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ARTICLE V</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SUCCESSORS</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8"/>
              </w:rPr>
              <w:t>ARTICLE VI</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6.6</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Suits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6.8</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 by Holders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Past Defaults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Undertaking for Costs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ARTICLE VII</w:t>
            </w: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8"/>
              </w:rPr>
              <w:t>TRUSTEE</w:t>
            </w:r>
          </w:p>
        </w:tc>
        <w:tc>
          <w:tcPr>
            <w:tcW w:w="25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Duties of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Rights of Trustee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Force Majeure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7.6</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Notice of Defaults</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7.8</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of Trustee</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2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 DEFEASANCE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 to Company</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8"/>
              </w:rPr>
              <w:t>ARTICLE IX</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018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SUPPLEMENTAL INDENTURES, AMENDMENTS AND WAIVERS</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With Consent of Holders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9.4</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9.6</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Protected</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ARTICLE X</w:t>
            </w: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w w:val="99"/>
              </w:rPr>
              <w:t>MISCELLANEOUS</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Securities in a Foreign Currency or in ECU</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8"/>
              </w:rPr>
              <w:t>ARTICLE XI</w:t>
            </w: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000" w:type="dxa"/>
            <w:vAlign w:val="bottom"/>
            <w:shd w:val="clear" w:color="auto" w:fill="CCEEFF"/>
          </w:tcPr>
          <w:p>
            <w:pPr>
              <w:jc w:val="center"/>
              <w:ind w:left="2050"/>
              <w:spacing w:after="0"/>
              <w:rPr>
                <w:sz w:val="20"/>
                <w:szCs w:val="20"/>
                <w:color w:val="auto"/>
              </w:rPr>
            </w:pPr>
            <w:r>
              <w:rPr>
                <w:rFonts w:ascii="Times New Roman" w:cs="Times New Roman" w:eastAsia="Times New Roman" w:hAnsi="Times New Roman"/>
                <w:sz w:val="18"/>
                <w:szCs w:val="18"/>
                <w:color w:val="auto"/>
              </w:rPr>
              <w:t>SINKING FUNDS</w:t>
            </w:r>
          </w:p>
        </w:tc>
        <w:tc>
          <w:tcPr>
            <w:tcW w:w="31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1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060" w:type="dxa"/>
            <w:vAlign w:val="bottom"/>
          </w:tcPr>
          <w:p>
            <w:pPr>
              <w:spacing w:after="0"/>
              <w:rPr>
                <w:sz w:val="24"/>
                <w:szCs w:val="24"/>
                <w:color w:val="auto"/>
              </w:rPr>
            </w:pPr>
          </w:p>
        </w:tc>
        <w:tc>
          <w:tcPr>
            <w:tcW w:w="70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Form of Indenture</w:t>
            </w:r>
          </w:p>
        </w:tc>
        <w:tc>
          <w:tcPr>
            <w:tcW w:w="3180" w:type="dxa"/>
            <w:vAlign w:val="bottom"/>
          </w:tcPr>
          <w:p>
            <w:pPr>
              <w:spacing w:after="0"/>
              <w:rPr>
                <w:sz w:val="24"/>
                <w:szCs w:val="24"/>
                <w:color w:val="auto"/>
              </w:rPr>
            </w:pPr>
          </w:p>
        </w:tc>
      </w:tr>
      <w:tr>
        <w:trPr>
          <w:trHeight w:val="43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Indenture dated as of [  ] between CLPS Incorporation, Inc., a Cayman Islands company (“Company”), and [</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(“Trustee”). Each party agrees as follows</w:t>
            </w:r>
          </w:p>
        </w:tc>
      </w:tr>
    </w:tbl>
    <w:p>
      <w:pPr>
        <w:spacing w:after="0"/>
        <w:rPr>
          <w:sz w:val="20"/>
          <w:szCs w:val="20"/>
          <w:color w:val="auto"/>
        </w:rPr>
      </w:pPr>
      <w:r>
        <w:rPr>
          <w:rFonts w:ascii="Times New Roman" w:cs="Times New Roman" w:eastAsia="Times New Roman" w:hAnsi="Times New Roman"/>
          <w:sz w:val="18"/>
          <w:szCs w:val="18"/>
          <w:color w:val="auto"/>
        </w:rPr>
        <w:t>for the benefit of the other party and for the equal and ratable benefit of the Holders of the Securities issued under this Indenture.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 or a day the Corporate Trust Office is closed.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request signed in the name of the Company by its Chairman, its Chief Executive Officer, or any Vice President and by its Chief Financial Officer and delivered to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 America.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 Holder</w:t>
      </w:r>
      <w:r>
        <w:rPr>
          <w:rFonts w:ascii="Times New Roman" w:cs="Times New Roman" w:eastAsia="Times New Roman" w:hAnsi="Times New Roman"/>
          <w:sz w:val="18"/>
          <w:szCs w:val="18"/>
          <w:color w:val="auto"/>
        </w:rPr>
        <w:t>” means a person in whose name a Security is registered.</w:t>
      </w:r>
    </w:p>
    <w:p>
      <w:pPr>
        <w:spacing w:after="0" w:line="22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Chairman, the Chief Executive Officer, any Vice President, or the Chief Financial Officer of the Company.</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w:t>
      </w:r>
      <w:r>
        <w:rPr>
          <w:rFonts w:ascii="Times New Roman" w:cs="Times New Roman" w:eastAsia="Times New Roman" w:hAnsi="Times New Roman"/>
          <w:sz w:val="18"/>
          <w:szCs w:val="18"/>
          <w:color w:val="auto"/>
        </w:rPr>
        <w:t>” means a certificate signed by two Officers, one of whom must be the Company’s principal executive officer, principal financial officer or principal accounting officer.</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which opinion, is acceptable to the Trustee. The counsel may be an employee of or counsel to the Company.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and also means, with respect to a particular corporate trust matter, any other officer to whom any corporate trust matter is referred because of his or her knowledge of and familiarity with a particular subject and who shall in each case have direct responsibility for the administration of this Indenture.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 Indenture.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“Series of Securities” means each series of debentures, notes or other debt instruments of the Company created pursuant to Sections 2.1 and 2.2 hereof.</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w:t>
      </w:r>
    </w:p>
    <w:p>
      <w:pPr>
        <w:spacing w:after="0" w:line="1" w:lineRule="exact"/>
        <w:rPr>
          <w:sz w:val="20"/>
          <w:szCs w:val="20"/>
          <w:color w:val="auto"/>
        </w:rPr>
      </w:pPr>
    </w:p>
    <w:p>
      <w:pPr>
        <w:jc w:val="both"/>
        <w:ind w:firstLine="8"/>
        <w:spacing w:after="0" w:line="253" w:lineRule="auto"/>
        <w:tabs>
          <w:tab w:leader="none" w:pos="2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47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260" w:type="dxa"/>
            <w:vAlign w:val="bottom"/>
            <w:tcBorders>
              <w:top w:val="single" w:sz="8" w:color="auto"/>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DEFINED IN SECTION</w:t>
            </w:r>
          </w:p>
        </w:tc>
      </w:tr>
      <w:tr>
        <w:trPr>
          <w:trHeight w:val="196"/>
        </w:trPr>
        <w:tc>
          <w:tcPr>
            <w:tcW w:w="55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Journal</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10.15</w:t>
            </w:r>
          </w:p>
        </w:tc>
      </w:tr>
      <w:tr>
        <w:trPr>
          <w:trHeight w:val="218"/>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1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Exchange Rate</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10.15</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10.16</w:t>
            </w:r>
          </w:p>
        </w:tc>
      </w:tr>
      <w:tr>
        <w:trPr>
          <w:trHeight w:val="23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w:t>
            </w:r>
          </w:p>
        </w:tc>
      </w:tr>
      <w:tr>
        <w:trPr>
          <w:trHeight w:val="655"/>
        </w:trPr>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2.2(a) and either as to such Securities within the Series or as to the Series generally in the case of Subsections 2.2(b) through 2.2(u)) by or pursuant to a Board Resolution, and set forth or determined in the manner provided in a Board Resolution or Officers’ Certificate, and associated supplemental indenture:</w:t>
      </w:r>
    </w:p>
    <w:p>
      <w:pPr>
        <w:spacing w:after="0" w:line="176" w:lineRule="exact"/>
        <w:rPr>
          <w:sz w:val="20"/>
          <w:szCs w:val="20"/>
          <w:color w:val="auto"/>
        </w:rPr>
      </w:pPr>
    </w:p>
    <w:p>
      <w:pPr>
        <w:ind w:left="5580" w:right="2060" w:hanging="5572"/>
        <w:spacing w:after="0" w:line="783" w:lineRule="auto"/>
        <w:tabs>
          <w:tab w:leader="none" w:pos="2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the Securities of the Series shall be issuable;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and whether the Securities will be issuable as Global Securities;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6.2;</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if any, on the Securities of the Series will be made;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8"/>
        <w:spacing w:after="0" w:line="266" w:lineRule="auto"/>
        <w:tabs>
          <w:tab w:leader="none" w:pos="2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Securities of the Series;</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set forth in Articles IV or V which applies to Securities of the Series;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supplement, modify or delete any provision of this Indenture insofar as it applies to such Series);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Officers shall sign the Securities for the Company by manual or facsimile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or facsimile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shall determine that such action would expose the Trustee to personal liability to Holders of any then outstanding Series of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delivered (“Notice Agent”). The Trustee or Notice Agent, as applicable, shall deliver such notices and demands to the Company in accordance with Section 10.2 hereof.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delivered at the Corporate Trust Office of the Trustee, and the Company hereby appoints the Trustee as its agent to receive all such presentations, surrenders, notices and demands.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co-registrars, additional paying agents or notice agents and may from time to time rescind such designations; provided, however,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notice agent. The term “Registrar” includes any co-registrar; the term “Paying Agent” includes any additional paying agent; and the term “Notice Agent” includes any additional notice agent.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appoints The Depository Trust Company to act as Depositary with respect to 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 Holders of any Series of Securities all money held by it as Paying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 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 Holders of each Series of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upon receipt of a Company Order.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the Trustee, upon receipt of a Company Order, shall authenticate and deliver in exchange therefor a new Security of the same Series and of like tenor and principal amount and bearing a number not contemporaneously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upon receipt of a Company Order,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bona fide purchaser.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upon receipt of a Company Order,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Upon receipt of written instruction from the Company, the Trustee shall cancel all Securities surrendered for transfer, exchange, payment, replacement or cancellation and shall destroy such canceled Securities and deliver a certificate of such destruction to the Company, unless the Company otherwise directs. The Company may not issue new Securities to replace Securities that it has paid or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 Holders of the Series on a subsequent special record date. The Company shall fix the record date and payment date. At least 10 days before the record date, the Company shall mail to the Trustee and to each Security Holder of the Series a notice that states the record date, the payment date and the amount of interest to be paid. The Company may pay defaulted interest in any other lawful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
        <w:spacing w:after="0" w:line="282" w:lineRule="auto"/>
        <w:tabs>
          <w:tab w:leader="none" w:pos="2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8"/>
        <w:spacing w:after="0" w:line="254" w:lineRule="auto"/>
        <w:tabs>
          <w:tab w:leader="none" w:pos="2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2.14(b),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3" w:lineRule="exact"/>
        <w:rPr>
          <w:sz w:val="20"/>
          <w:szCs w:val="20"/>
          <w:color w:val="auto"/>
        </w:rPr>
      </w:pPr>
    </w:p>
    <w:p>
      <w:pPr>
        <w:ind w:firstLine="8"/>
        <w:spacing w:after="0" w:line="282" w:lineRule="auto"/>
        <w:tabs>
          <w:tab w:leader="none" w:pos="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Except as provided in Section 2.14(e),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Trustee notice at least 45 days before the redemption date (or such shorter notice as may be acceptable to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and in accordance with its customary practices or the selection shall be in accordance with DTC procedures, as applicable.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shall identify the Securities of the Series to be redeemed and shall state:</w:t>
      </w:r>
    </w:p>
    <w:p>
      <w:pPr>
        <w:spacing w:after="0" w:line="225" w:lineRule="exact"/>
        <w:rPr>
          <w:sz w:val="20"/>
          <w:szCs w:val="20"/>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Company’s request, the Trustee shall give the notice of redemption prepared by the Company, in the Company’s name and at its expense.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or before the redemption date, the Company shall deposit with the Paying Agent money sufficient to pay the redemption price of and accrued interest, if any, on all Securities to be redeemed on that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upon receipt of a Company Order, shall authenticate for the Holder a new Security of the same Series and the same maturity equal in principal amount to the unredeemed portion of the Security surrendered.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(which on the date hereof ends on December 31)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so long as any of the Securities are outstanding, deliver to the Trustee, forthwith upon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Article V, the Company will do or cause to be done all things necessary to preserve and keep in full force and effect its corporate existence and the rights (charter and statutory), licenses and franchises of the Company; provided, however, that the Company shall not be required to preserve any such right, license or franchise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“successor person”) unless:</w:t>
      </w:r>
    </w:p>
    <w:p>
      <w:pPr>
        <w:spacing w:after="0" w:line="162" w:lineRule="exact"/>
        <w:rPr>
          <w:sz w:val="20"/>
          <w:szCs w:val="20"/>
          <w:color w:val="auto"/>
        </w:rPr>
      </w:pPr>
    </w:p>
    <w:p>
      <w:pPr>
        <w:ind w:firstLine="8"/>
        <w:spacing w:after="0" w:line="282" w:lineRule="auto"/>
        <w:tabs>
          <w:tab w:leader="none" w:pos="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an Officers’ Certificate nor an Opinion of Counsel shall be required to be delivered in connection therewith.</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60"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(unless the entire amount of such payment is deposited by the Company with the Trustee or with a Paying Agent prior to the expiration of such period of 30 days); or</w:t>
      </w:r>
    </w:p>
    <w:p>
      <w:pPr>
        <w:spacing w:after="0" w:line="18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225"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similar official under any Bankruptcy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225" w:lineRule="exact"/>
        <w:rPr>
          <w:sz w:val="20"/>
          <w:szCs w:val="20"/>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or</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this Indenture, if an Event of Default with respect to any Securities of any Series occurs and is continuing, the Trustee may in its discretion proceed to protect and enforce its rights and the rights of the Holders of Securities of such Series by pursuing any available remedy by proceeding at law or in equity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3" w:lineRule="exact"/>
        <w:rPr>
          <w:sz w:val="20"/>
          <w:szCs w:val="20"/>
          <w:color w:val="auto"/>
        </w:rPr>
      </w:pPr>
    </w:p>
    <w:p>
      <w:pPr>
        <w:jc w:val="both"/>
        <w:ind w:firstLine="8"/>
        <w:spacing w:after="0" w:line="266" w:lineRule="auto"/>
        <w:tabs>
          <w:tab w:leader="none" w:pos="2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(b) 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7.8.</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7.8; 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Company or to such party as a court of competent jurisdiction shall direct.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firstLine="8"/>
        <w:spacing w:after="0" w:line="282" w:lineRule="auto"/>
        <w:tabs>
          <w:tab w:leader="none" w:pos="2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6" w:lineRule="exact"/>
        <w:rPr>
          <w:sz w:val="20"/>
          <w:szCs w:val="20"/>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20" w:firstLine="8"/>
        <w:spacing w:after="0" w:line="282"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man would exercise or use under the circumstances in the conduct of his own affairs.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sz w:val="20"/>
          <w:szCs w:val="20"/>
          <w:color w:val="auto"/>
        </w:rPr>
      </w:pPr>
    </w:p>
    <w:p>
      <w:pPr>
        <w:ind w:left="220" w:hanging="212"/>
        <w:spacing w:after="0"/>
        <w:tabs>
          <w:tab w:leader="none" w:pos="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w:t>
      </w:r>
    </w:p>
    <w:p>
      <w:pPr>
        <w:spacing w:after="0" w:line="225"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183" w:lineRule="exact"/>
        <w:rPr>
          <w:sz w:val="20"/>
          <w:szCs w:val="20"/>
          <w:color w:val="auto"/>
        </w:rPr>
      </w:pPr>
    </w:p>
    <w:p>
      <w:pPr>
        <w:ind w:left="260" w:hanging="252"/>
        <w:spacing w:after="0"/>
        <w:tabs>
          <w:tab w:leader="none" w:pos="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firstLine="8"/>
        <w:spacing w:after="0" w:line="282" w:lineRule="auto"/>
        <w:tabs>
          <w:tab w:leader="none" w:pos="26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3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80"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security or indemnity satisfactory to it against any loss, liability or expense.</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the Notice Agent, any agent and any authenticating agent shall be entitled to the protections, immunities and standard of care as are set forth in paragraphs (a), (b) and (c) of this Section with respect to the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
        <w:spacing w:after="0" w:line="282" w:lineRule="auto"/>
        <w:tabs>
          <w:tab w:leader="none" w:pos="2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25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No such Officers’ Certificate or Opinion of Counsel shall be at the expense of the Trustee. Any request or direction of the Company mentioned herein shall be sufficiently evidenced by an Officers’ Certificate.</w:t>
      </w:r>
    </w:p>
    <w:p>
      <w:pPr>
        <w:spacing w:after="0" w:line="179" w:lineRule="exact"/>
        <w:rPr>
          <w:rFonts w:ascii="Times New Roman" w:cs="Times New Roman" w:eastAsia="Times New Roman" w:hAnsi="Times New Roman"/>
          <w:sz w:val="18"/>
          <w:szCs w:val="18"/>
          <w:color w:val="auto"/>
        </w:rPr>
      </w:pPr>
    </w:p>
    <w:p>
      <w:pPr>
        <w:ind w:right="20" w:firstLine="8"/>
        <w:spacing w:after="0" w:line="282" w:lineRule="auto"/>
        <w:tabs>
          <w:tab w:leader="none" w:pos="2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6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negligence or bad faith. The Trustee shall not be liable for any special, punitive or consequential damages, even if they were reasonably foreseeable.</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and the Trustee may conclusively rely on any such advice or Opinion of Counsel.</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the Trustee against the costs, expenses and liabilities which might be incurred by it in compliance with such request or direction.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8"/>
        <w:spacing w:after="0" w:line="266" w:lineRule="auto"/>
        <w:tabs>
          <w:tab w:leader="none" w:pos="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(other than a payment default under Section 6.1 or 6.2) unless a Responsible Officer of the Trustee has received written notice of any event which is in fact such a default at the Corporate Trust Office of the Trustee, and such notice references the Securities generally or the Securities of a particular Series and this Indenture.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enforceable by, the Trustee in each of its capacities hereunder, and to each agent, custodian and other Person employed to act hereunder.</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an Officers’ Certificate setting forth the names of individuals and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as to or monitor the performance of the Issuer with respect to the covenants contained in Article IV.</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note, bond or surety in respect of the execution of the trusts and powers under this Indenture.</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require the Trustee to submit to the jurisdiction or venue of a non-U.S. court.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1" w:lineRule="auto"/>
        <w:tabs>
          <w:tab w:leader="none" w:pos="2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have no liability for delays or inability to perform its duties hereunder due to </w:t>
      </w:r>
      <w:r>
        <w:rPr>
          <w:rFonts w:ascii="Times New Roman" w:cs="Times New Roman" w:eastAsia="Times New Roman" w:hAnsi="Times New Roman"/>
          <w:sz w:val="18"/>
          <w:szCs w:val="18"/>
          <w:u w:val="single" w:color="auto"/>
          <w:color w:val="auto"/>
        </w:rPr>
        <w:t>forces majeure</w:t>
      </w:r>
      <w:r>
        <w:rPr>
          <w:rFonts w:ascii="Times New Roman" w:cs="Times New Roman" w:eastAsia="Times New Roman" w:hAnsi="Times New Roman"/>
          <w:sz w:val="18"/>
          <w:szCs w:val="18"/>
          <w:color w:val="auto"/>
        </w:rPr>
        <w:t>, events beyond its control, such as (but not exclusively) civil unrest, earthquakes, hurricanes or other natural disasters, floods, utility failures, transmission interruptions, power failures, wars, governmental declarations or Acts of God; it being understood that the Trustee shall use reasonable efforts which are consistent with accepted practices in the banking industry to resume performance as soon as practicable under the circumstances.</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or information by the Company shall not be deemed to confer actual or constructive knowledge or notice on the Trustee with respect to a Default or Event of Default,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7.11 and 7.12.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a Default or Event of Default occurs and is continuing with respect to the Securities of any Series and if it is known to a Responsible Officer of the Trustee, the Trustee shall mail (or deliver notice subject to the applicable procedures of the Depositary or relevant clearing system) to each Security Holder of the Securities of that Series notice of a Default or Event of Default within 90 days after it occurs or, if later, after a Responsible Officer of the Trustee has written notice of such Default or Event of Default. Except in the case of a Default or Event of Default in payment of principal of or interest on any Security of any Series, or in the payment of any sinking fund installment, the Trustee may withhold the notice if and so long as its corporate trust committee or a committee of its Responsible Officers in good faith determines that withholding the notice is in the interests of Security Holders of that Series.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Within 60 days after May 15 in each year, the Trustee shall transmit by mail to all Security Holders, as their names and addresses appear on the register kept by the Registrar, a brief report dated as of such May 15, in accordance with, and to the extent required under, TIA § 313.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Security Holders of any Series shall be filed with the SEC and each stock exchange on which the Securities of that Series are listed. The Company shall promptly notify the Trustee when Securities of any Series are listed on any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against any loss, liability or expense (including the cost of defending itself) incurred by it except as set forth in the next paragraph in the performance of the Trustee duties under this Indenture as Trustee or Agent. The Trustee shall notify the Company promptly of any claim for which it may seek indemnity; provided, however, that failure to so notify the Company shall not relieve it of its obligations hereunder. The Company shall defend the claim and the Trustee shall cooperate in the defense; provided, however, the Trustee may conduct its own defense if there is a conflict of interest between the interests of the Company and those of the Trustee. The Trustee may have one separate counsel (in addition to local counsel, if applicable)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or agents of the Trustee.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Agent or agent of the Trustee to the extent it is attributed to its own negligence or willful conduct as determined by a court of competent jurisdiction in a final, non-appealable order.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6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When the Trustee incurs expenses or renders services after an Event of Default specified in Section 6.1(d) or (e) occurs, the expenses and the compensation for the services (including the fees and expenses of its agents and counsel) are intended to constitute expenses of administration under any Bankruptcy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and removal of the Trustee.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6"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7.11;</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Immediately after that, the retiring Trustee upon payment of its fees and expenses then unpaid shall transfer all property held by it as Trustee to the successor Trustee subject to the lien provided for in Section 7.8,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 Holder of each such Series. Notwithstanding replacement of the Trustee pursuant to this Section 7.9, the Company’s obligations under Section 7.8 hereof shall continue for the benefit of the retiring Trustee with respect to expenses and liabilities incurred by it prior to such replacement.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$150,000 as set forth in its most recent published annual report of condition. The Trustee shall comply with TIA § 310(b).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Indenture shall upon Company Order cease to be of further effect (except as hereinafter provided in this Section 8.1), and the Trustee, at the expense of the Company, shall execute proper instruments acknowledging satisfaction and discharge of this Indenture, when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either</w:t>
      </w:r>
    </w:p>
    <w:p>
      <w:pPr>
        <w:spacing w:after="0" w:line="225" w:lineRule="exact"/>
        <w:rPr>
          <w:sz w:val="20"/>
          <w:szCs w:val="20"/>
          <w:color w:val="auto"/>
        </w:rPr>
      </w:pPr>
    </w:p>
    <w:p>
      <w:pPr>
        <w:ind w:firstLine="8"/>
        <w:spacing w:after="0" w:line="282" w:lineRule="auto"/>
        <w:tabs>
          <w:tab w:leader="none" w:pos="2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not theretofore delivered to the Trustee for cancellation</w:t>
      </w:r>
    </w:p>
    <w:p>
      <w:pPr>
        <w:spacing w:after="0" w:line="225" w:lineRule="exact"/>
        <w:rPr>
          <w:sz w:val="20"/>
          <w:szCs w:val="20"/>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Company, in the case of (A), (B) or (C) above,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80" w:lineRule="exact"/>
        <w:rPr>
          <w:sz w:val="20"/>
          <w:szCs w:val="20"/>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under Section 7.8, and, if money shall have been deposited with the Trustee pursuant to clause (a) of this Section, the provisions of Sections 2.4, 2.7, 2.8, 8.2 and 8.5 shall survive.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5" w:lineRule="auto"/>
        <w:tabs>
          <w:tab w:leader="none" w:pos="25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deposited with the Trustee pursuant to Section 8.1, all money and U.S. Government Obligations or Foreign Government Obligations deposited with the Trustee pursuant to Section 8.3 or 8.4 and all money received by the Trustee in respect of U.S. Government Obligations or Foreign Government Obligations deposited with the Trustee pursuant to Section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8.3 or 8.4 or the interest and principal received in respect of such obligations other than any payable by or on behalf of 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8"/>
        <w:spacing w:after="0" w:line="256" w:lineRule="auto"/>
        <w:tabs>
          <w:tab w:leader="none" w:pos="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deliver or pay to the Company from time to time upon Company Request any U.S. Government Obligations or Foreign Government Obligations or money held by it as provided in Sections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2.2(t),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80" w:lineRule="exact"/>
        <w:rPr>
          <w:sz w:val="20"/>
          <w:szCs w:val="20"/>
          <w:color w:val="auto"/>
        </w:rPr>
      </w:pPr>
    </w:p>
    <w:p>
      <w:pPr>
        <w:jc w:val="both"/>
        <w:ind w:firstLine="8"/>
        <w:spacing w:after="0" w:line="261"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2.7, 2.8, 8.2, 8.3 and 8.5;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 and immunities of the Trustee 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225" w:lineRule="exact"/>
        <w:rPr>
          <w:sz w:val="20"/>
          <w:szCs w:val="20"/>
          <w:color w:val="auto"/>
        </w:rPr>
      </w:pPr>
    </w:p>
    <w:p>
      <w:pPr>
        <w:jc w:val="both"/>
        <w:ind w:firstLine="8"/>
        <w:spacing w:after="0" w:line="261" w:lineRule="auto"/>
        <w:tabs>
          <w:tab w:leader="none" w:pos="2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w:t>
      </w:r>
    </w:p>
    <w:p>
      <w:pPr>
        <w:jc w:val="both"/>
        <w:ind w:firstLine="8"/>
        <w:spacing w:after="0" w:line="252"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25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2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8"/>
        <w:spacing w:after="0" w:line="266" w:lineRule="auto"/>
        <w:tabs>
          <w:tab w:leader="none" w:pos="27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2.2(t)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2.2(t)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2.2(r) and designated as an Event of Default shall not constitute a Default or Event of Default hereunder, with respect to the Securities of such Series, provided that the following conditions shall have been satisfied:</w:t>
      </w:r>
    </w:p>
    <w:p>
      <w:pPr>
        <w:spacing w:after="0" w:line="189" w:lineRule="exact"/>
        <w:rPr>
          <w:sz w:val="20"/>
          <w:szCs w:val="20"/>
          <w:color w:val="auto"/>
        </w:rPr>
      </w:pPr>
    </w:p>
    <w:p>
      <w:pPr>
        <w:jc w:val="both"/>
        <w:ind w:firstLine="8"/>
        <w:spacing w:after="0" w:line="257" w:lineRule="auto"/>
        <w:tabs>
          <w:tab w:leader="none" w:pos="26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89"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and the Paying Agent shall pay to the Company upon written request any money held by them for the payment of principal and interest that remains unclaimed for two years. After that, Security Holders entitled to the money must look to the Company for payment as general creditors unless an applicable abandoned property law designates another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SUPPLEMENTAL INDENTURES, AMENDMENTS AND WAIVERS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 Security Holder:</w:t>
      </w:r>
    </w:p>
    <w:p>
      <w:pPr>
        <w:spacing w:after="0" w:line="225" w:lineRule="exact"/>
        <w:rPr>
          <w:sz w:val="20"/>
          <w:szCs w:val="20"/>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 Holder;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 Indenture;</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3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consent of each Security Holder affected, an amendment or waiver may not:</w:t>
      </w:r>
    </w:p>
    <w:p>
      <w:pPr>
        <w:spacing w:after="0" w:line="225" w:lineRule="exact"/>
        <w:rPr>
          <w:sz w:val="20"/>
          <w:szCs w:val="20"/>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Security;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26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 amendment or waiver to this Indenture or the issuance of and establishment of the form and terms and conditions of Securities of one or more Series shall be set forth in a supplemental indenture hereto that complies with the TIA as then in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or waiver on any Security of any Series thereafter authenticated. The Company in exchange for Securities of that Series may issue and the Trustee shall authenticate upon receipt of a Company Order new Securities of that Series that reflect the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in the English language, referencing this Indenture and the applicable securities or series of securities, and delivered in person or mailed by first-class mail, or by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CLPS Incorporation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Unit 1102, 11th Floor, Millennium City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370 Kwun Tong Road, Kwun Tong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Kowloon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3707 3600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 Holder shall be mailed by first-class mail to his address shown on the register kept by the Registrar or delivered subject to the applicable procedures of Depositary or relevant clearing system. Failure to mail a notice or communication to a Security Holder of any Series or any defect in it shall not affect its sufficiency with respect to other Security Holders of that or any other Series.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or published in the manner provided above, within the time prescribed, it is duly given, whether or not the Security Holder receives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mails a notice or communication to Security Holders, it shall mail a copy to the Trustee and each Agent at the same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Security Holders of any Series may communicate pursuant to TIA § 312(b) with other Security Holders of that Series or any other Series with respect to their rights under this Indenture or the Securities of that Series or all Series. The Company, the Trustee, the Registrar and anyone else shall have the protection of TIA § 312(c).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ind w:right="20" w:firstLine="8"/>
        <w:spacing w:after="0" w:line="282" w:lineRule="auto"/>
        <w:tabs>
          <w:tab w:leader="none" w:pos="2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right="2180" w:firstLine="8"/>
        <w:spacing w:after="0" w:line="500"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stating that, in the opinion of such counsel, all such conditions precedent have been complied with. 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62" w:lineRule="exact"/>
        <w:rPr>
          <w:sz w:val="20"/>
          <w:szCs w:val="20"/>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 Holders of one or more Series. Any Agent may make reasonable rules and set reasonable requirements for its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 Holder by accepting a Security waives and releases all such liability. The waiver and release are part of the consideration for the issue of the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INDENTURE AND THE SECURITIES SHALL BE GOVERNED BY THE LAWS OF THE STATE OF NEW YORK APPLICABLE TO AGREEMENTS MADE AND TO BE PERFORMED IN SUCH STATE, WITHOUT REGARD TO THE CONFLICT OF LAWS PROVISIONS THEREOF.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 or in ECU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CLPS Incorporation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156845</wp:posOffset>
            </wp:positionV>
            <wp:extent cx="1285875" cy="5911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28587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CLPS Incorporation</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+852</w:t>
            </w: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3656 6054</w:t>
            </w:r>
          </w:p>
        </w:tc>
      </w:tr>
      <w:tr>
        <w:trPr>
          <w:trHeight w:val="212"/>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89 Nexus Way, Camana Bay</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5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9"/>
              </w:rPr>
              <w:t>3656 6061</w:t>
            </w:r>
          </w:p>
        </w:tc>
      </w:tr>
      <w:tr>
        <w:trPr>
          <w:trHeight w:val="22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Grand Cayman KY1-9009</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nathan.powell@ogier.com</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florence.chan@ogier.com</w:t>
            </w:r>
          </w:p>
        </w:tc>
      </w:tr>
    </w:tbl>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Reference: FYC/AGC/173339.00002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October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CLPS INCORPORATION (the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acted as Cayman Islands counsel to the Company in connection with the Company’s registration statement on Form F-3,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on or about the date hereof. The Registration Statement relates to the proposed offering and sale from time to time, as set forth in the Registration Statement and the prospectus contained therein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the following securities (the</w:t>
      </w:r>
      <w:r>
        <w:rPr>
          <w:rFonts w:ascii="Times New Roman" w:cs="Times New Roman" w:eastAsia="Times New Roman" w:hAnsi="Times New Roman"/>
          <w:sz w:val="18"/>
          <w:szCs w:val="18"/>
          <w:b w:val="1"/>
          <w:bCs w:val="1"/>
          <w:color w:val="auto"/>
        </w:rPr>
        <w:t xml:space="preserve"> Securities</w:t>
      </w:r>
      <w:r>
        <w:rPr>
          <w:rFonts w:ascii="Times New Roman" w:cs="Times New Roman" w:eastAsia="Times New Roman" w:hAnsi="Times New Roman"/>
          <w:sz w:val="18"/>
          <w:szCs w:val="18"/>
          <w:color w:val="auto"/>
        </w:rPr>
        <w:t>), with aggregate offering proceeds and sale up to US$80,000,000:</w:t>
      </w:r>
    </w:p>
    <w:p>
      <w:pPr>
        <w:spacing w:after="0" w:line="179"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US$0.0001 par value each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class of preferred shares to be created by the Company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warrants to subscribe for the Common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securities to be issued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xml:space="preserve">) pursuant to the applicable indenture to be entered into by the Company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to purchase the Common Shares, the Preferred Shares, the Warrants, the Debts Securities, the Depositary Shares (as defined below), the Unites (as defined below) or any combination of these securities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and/or</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depositary shares representing a fraction of a Common Shares (the </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units comprising any combination of the foregoing securities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w:t>
            </w:r>
          </w:p>
        </w:tc>
        <w:tc>
          <w:tcPr>
            <w:tcW w:w="2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Providing advice on British Virgin Islands,</w:t>
            </w:r>
          </w:p>
        </w:tc>
        <w:tc>
          <w:tcPr>
            <w:tcW w:w="242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Cayman Islands and Guernsey laws</w:t>
            </w:r>
          </w:p>
        </w:tc>
        <w:tc>
          <w:tcPr>
            <w:tcW w:w="242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Floor 11 Central Tower</w:t>
            </w:r>
          </w:p>
        </w:tc>
        <w:tc>
          <w:tcPr>
            <w:tcW w:w="24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Nicholas Plowman</w:t>
            </w: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Cecilia Li</w:t>
            </w: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vMerge w:val="continue"/>
          </w:tcPr>
          <w:p>
            <w:pPr>
              <w:spacing w:after="0"/>
              <w:rPr>
                <w:sz w:val="12"/>
                <w:szCs w:val="12"/>
                <w:color w:val="auto"/>
              </w:rPr>
            </w:pPr>
          </w:p>
        </w:tc>
        <w:tc>
          <w:tcPr>
            <w:tcW w:w="2420" w:type="dxa"/>
            <w:vAlign w:val="bottom"/>
          </w:tcPr>
          <w:p>
            <w:pPr>
              <w:ind w:left="1020"/>
              <w:spacing w:after="0" w:line="142" w:lineRule="exact"/>
              <w:rPr>
                <w:sz w:val="20"/>
                <w:szCs w:val="20"/>
                <w:color w:val="auto"/>
              </w:rPr>
            </w:pPr>
            <w:r>
              <w:rPr>
                <w:rFonts w:ascii="Times New Roman" w:cs="Times New Roman" w:eastAsia="Times New Roman" w:hAnsi="Times New Roman"/>
                <w:sz w:val="14"/>
                <w:szCs w:val="14"/>
                <w:color w:val="auto"/>
              </w:rPr>
              <w:t>Nathan Powell</w:t>
            </w:r>
          </w:p>
        </w:tc>
        <w:tc>
          <w:tcPr>
            <w:tcW w:w="17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Yuki Yan</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28 Queen’s Road Central</w:t>
            </w:r>
          </w:p>
        </w:tc>
        <w:tc>
          <w:tcPr>
            <w:tcW w:w="2420" w:type="dxa"/>
            <w:vAlign w:val="bottom"/>
          </w:tcPr>
          <w:p>
            <w:pPr>
              <w:ind w:left="1020"/>
              <w:spacing w:after="0" w:line="155" w:lineRule="exact"/>
              <w:rPr>
                <w:sz w:val="20"/>
                <w:szCs w:val="20"/>
                <w:color w:val="auto"/>
              </w:rPr>
            </w:pPr>
            <w:r>
              <w:rPr>
                <w:rFonts w:ascii="Times New Roman" w:cs="Times New Roman" w:eastAsia="Times New Roman" w:hAnsi="Times New Roman"/>
                <w:sz w:val="14"/>
                <w:szCs w:val="14"/>
                <w:color w:val="auto"/>
              </w:rPr>
              <w:t>Anthony Oakes</w:t>
            </w:r>
          </w:p>
        </w:tc>
        <w:tc>
          <w:tcPr>
            <w:tcW w:w="17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David Lin</w:t>
            </w: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Central</w:t>
            </w:r>
          </w:p>
        </w:tc>
        <w:tc>
          <w:tcPr>
            <w:tcW w:w="2420" w:type="dxa"/>
            <w:vAlign w:val="bottom"/>
          </w:tcPr>
          <w:p>
            <w:pPr>
              <w:ind w:left="1020"/>
              <w:spacing w:after="0" w:line="142" w:lineRule="exact"/>
              <w:rPr>
                <w:sz w:val="20"/>
                <w:szCs w:val="20"/>
                <w:color w:val="auto"/>
              </w:rPr>
            </w:pPr>
            <w:r>
              <w:rPr>
                <w:rFonts w:ascii="Times New Roman" w:cs="Times New Roman" w:eastAsia="Times New Roman" w:hAnsi="Times New Roman"/>
                <w:sz w:val="14"/>
                <w:szCs w:val="14"/>
                <w:color w:val="auto"/>
              </w:rPr>
              <w:t>Oliver Payne</w:t>
            </w:r>
          </w:p>
        </w:tc>
        <w:tc>
          <w:tcPr>
            <w:tcW w:w="170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Alan Wong</w:t>
            </w: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Hong Kong</w:t>
            </w:r>
          </w:p>
        </w:tc>
        <w:tc>
          <w:tcPr>
            <w:tcW w:w="2420" w:type="dxa"/>
            <w:vAlign w:val="bottom"/>
          </w:tcPr>
          <w:p>
            <w:pPr>
              <w:ind w:left="1020"/>
              <w:spacing w:after="0" w:line="155" w:lineRule="exact"/>
              <w:rPr>
                <w:sz w:val="20"/>
                <w:szCs w:val="20"/>
                <w:color w:val="auto"/>
              </w:rPr>
            </w:pPr>
            <w:r>
              <w:rPr>
                <w:rFonts w:ascii="Times New Roman" w:cs="Times New Roman" w:eastAsia="Times New Roman" w:hAnsi="Times New Roman"/>
                <w:sz w:val="14"/>
                <w:szCs w:val="14"/>
                <w:color w:val="auto"/>
              </w:rPr>
              <w:t>Kate Hodson</w:t>
            </w:r>
          </w:p>
        </w:tc>
        <w:tc>
          <w:tcPr>
            <w:tcW w:w="1700" w:type="dxa"/>
            <w:vAlign w:val="bottom"/>
          </w:tcPr>
          <w:p>
            <w:pPr>
              <w:ind w:left="300"/>
              <w:spacing w:after="0" w:line="155" w:lineRule="exact"/>
              <w:rPr>
                <w:sz w:val="20"/>
                <w:szCs w:val="20"/>
                <w:color w:val="auto"/>
              </w:rPr>
            </w:pPr>
            <w:r>
              <w:rPr>
                <w:rFonts w:ascii="Times New Roman" w:cs="Times New Roman" w:eastAsia="Times New Roman" w:hAnsi="Times New Roman"/>
                <w:sz w:val="14"/>
                <w:szCs w:val="14"/>
                <w:color w:val="auto"/>
              </w:rPr>
              <w:t>Rachel Huang**</w:t>
            </w: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 +852 3656 6000</w:t>
            </w:r>
          </w:p>
        </w:tc>
        <w:tc>
          <w:tcPr>
            <w:tcW w:w="2420" w:type="dxa"/>
            <w:vAlign w:val="bottom"/>
          </w:tcPr>
          <w:p>
            <w:pPr>
              <w:ind w:left="1020"/>
              <w:spacing w:after="0" w:line="122" w:lineRule="exact"/>
              <w:rPr>
                <w:sz w:val="20"/>
                <w:szCs w:val="20"/>
                <w:color w:val="auto"/>
              </w:rPr>
            </w:pPr>
            <w:r>
              <w:rPr>
                <w:rFonts w:ascii="Times New Roman" w:cs="Times New Roman" w:eastAsia="Times New Roman" w:hAnsi="Times New Roman"/>
                <w:sz w:val="14"/>
                <w:szCs w:val="14"/>
                <w:color w:val="auto"/>
              </w:rPr>
              <w:t>David Nelson</w:t>
            </w:r>
          </w:p>
        </w:tc>
        <w:tc>
          <w:tcPr>
            <w:tcW w:w="1700" w:type="dxa"/>
            <w:vAlign w:val="bottom"/>
          </w:tcPr>
          <w:p>
            <w:pPr>
              <w:ind w:left="1200"/>
              <w:spacing w:after="0" w:line="122" w:lineRule="exact"/>
              <w:rPr>
                <w:sz w:val="20"/>
                <w:szCs w:val="20"/>
                <w:color w:val="auto"/>
              </w:rPr>
            </w:pPr>
            <w:r>
              <w:rPr>
                <w:rFonts w:ascii="Times New Roman" w:cs="Times New Roman" w:eastAsia="Times New Roman" w:hAnsi="Times New Roman"/>
                <w:sz w:val="12"/>
                <w:szCs w:val="12"/>
                <w:color w:val="auto"/>
              </w:rPr>
              <w:t>‡</w:t>
            </w:r>
          </w:p>
        </w:tc>
        <w:tc>
          <w:tcPr>
            <w:tcW w:w="36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 admitted in New Zealand</w:t>
            </w:r>
          </w:p>
        </w:tc>
        <w:tc>
          <w:tcPr>
            <w:tcW w:w="0" w:type="dxa"/>
            <w:vAlign w:val="bottom"/>
          </w:tcPr>
          <w:p>
            <w:pPr>
              <w:spacing w:after="0"/>
              <w:rPr>
                <w:sz w:val="1"/>
                <w:szCs w:val="1"/>
                <w:color w:val="auto"/>
              </w:rPr>
            </w:pPr>
          </w:p>
        </w:tc>
      </w:tr>
      <w:tr>
        <w:trPr>
          <w:trHeight w:val="148"/>
        </w:trPr>
        <w:tc>
          <w:tcPr>
            <w:tcW w:w="3480" w:type="dxa"/>
            <w:vAlign w:val="bottom"/>
            <w:vMerge w:val="continue"/>
          </w:tcPr>
          <w:p>
            <w:pPr>
              <w:spacing w:after="0"/>
              <w:rPr>
                <w:sz w:val="12"/>
                <w:szCs w:val="12"/>
                <w:color w:val="auto"/>
              </w:rPr>
            </w:pPr>
          </w:p>
        </w:tc>
        <w:tc>
          <w:tcPr>
            <w:tcW w:w="242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Justin Davis</w:t>
            </w:r>
          </w:p>
        </w:tc>
        <w:tc>
          <w:tcPr>
            <w:tcW w:w="17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Florence Chan*</w:t>
            </w: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 +852 3656 6001</w:t>
            </w:r>
          </w:p>
        </w:tc>
        <w:tc>
          <w:tcPr>
            <w:tcW w:w="242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color w:val="auto"/>
              </w:rPr>
              <w:t>Joanne Collett</w:t>
            </w:r>
          </w:p>
        </w:tc>
        <w:tc>
          <w:tcPr>
            <w:tcW w:w="1700" w:type="dxa"/>
            <w:vAlign w:val="bottom"/>
          </w:tcPr>
          <w:p>
            <w:pPr>
              <w:ind w:left="300"/>
              <w:spacing w:after="0" w:line="149" w:lineRule="exact"/>
              <w:rPr>
                <w:sz w:val="20"/>
                <w:szCs w:val="20"/>
                <w:color w:val="auto"/>
              </w:rPr>
            </w:pPr>
            <w:r>
              <w:rPr>
                <w:rFonts w:ascii="Times New Roman" w:cs="Times New Roman" w:eastAsia="Times New Roman" w:hAnsi="Times New Roman"/>
                <w:sz w:val="11"/>
                <w:szCs w:val="11"/>
                <w:color w:val="auto"/>
              </w:rPr>
              <w:t>Richard Bennett**</w:t>
            </w:r>
            <w:r>
              <w:rPr>
                <w:rFonts w:ascii="Times New Roman" w:cs="Times New Roman" w:eastAsia="Times New Roman" w:hAnsi="Times New Roman"/>
                <w:sz w:val="17"/>
                <w:szCs w:val="17"/>
                <w:color w:val="auto"/>
                <w:vertAlign w:val="superscript"/>
              </w:rPr>
              <w:t>‡</w:t>
            </w:r>
          </w:p>
        </w:tc>
        <w:tc>
          <w:tcPr>
            <w:tcW w:w="36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 admitted in England and Wales</w:t>
            </w:r>
          </w:p>
        </w:tc>
        <w:tc>
          <w:tcPr>
            <w:tcW w:w="0" w:type="dxa"/>
            <w:vAlign w:val="bottom"/>
          </w:tcPr>
          <w:p>
            <w:pPr>
              <w:spacing w:after="0"/>
              <w:rPr>
                <w:sz w:val="1"/>
                <w:szCs w:val="1"/>
                <w:color w:val="auto"/>
              </w:rPr>
            </w:pPr>
          </w:p>
        </w:tc>
      </w:tr>
      <w:tr>
        <w:trPr>
          <w:trHeight w:val="315"/>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24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Dennis Li</w:t>
            </w:r>
          </w:p>
        </w:tc>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James Bergstrom</w:t>
            </w:r>
            <w:r>
              <w:rPr>
                <w:rFonts w:ascii="Times New Roman" w:cs="Times New Roman" w:eastAsia="Times New Roman" w:hAnsi="Times New Roman"/>
                <w:sz w:val="23"/>
                <w:szCs w:val="23"/>
                <w:color w:val="auto"/>
                <w:vertAlign w:val="superscript"/>
              </w:rPr>
              <w:t>‡</w:t>
            </w:r>
          </w:p>
        </w:tc>
        <w:tc>
          <w:tcPr>
            <w:tcW w:w="3640" w:type="dxa"/>
            <w:vAlign w:val="bottom"/>
          </w:tcPr>
          <w:p>
            <w:pPr>
              <w:ind w:left="280"/>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not ordinarily resident in Hong Kong</w:t>
            </w:r>
          </w:p>
        </w:tc>
        <w:tc>
          <w:tcPr>
            <w:tcW w:w="0" w:type="dxa"/>
            <w:vAlign w:val="bottom"/>
          </w:tcPr>
          <w:p>
            <w:pPr>
              <w:spacing w:after="0"/>
              <w:rPr>
                <w:sz w:val="1"/>
                <w:szCs w:val="1"/>
                <w:color w:val="auto"/>
              </w:rPr>
            </w:pPr>
          </w:p>
        </w:tc>
      </w:tr>
      <w:tr>
        <w:trPr>
          <w:trHeight w:val="434"/>
        </w:trPr>
        <w:tc>
          <w:tcPr>
            <w:tcW w:w="34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advised that the Securities may be issued and sold or delivered from time to time as set forth in the Registration Statement, any amendment thereto and the Prospectus contained therein pursuant to Rule 462(b) under the Securities Act and that this opinion is required to be furnished in accordance with the requirements of Item 601(b)(5) of Regulation S-K under the Securities Act. No opinion is expressed herein as to any matter pertaining to the contents of the Registration Statement or related applicable Prospectus other than as expressly stated herein with respect to the issuance of the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spacing w:after="0" w:line="172"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11 May 2017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memorandum and articles of association of the Company adopted by special resolutions of the Company dated 7 December 2017 (respectively,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right="20" w:hanging="644"/>
        <w:spacing w:after="0" w:line="28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good standing dated 14 October 2025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directors of the Company dated 10 July 2024 (the </w:t>
      </w:r>
      <w:r>
        <w:rPr>
          <w:rFonts w:ascii="Times New Roman" w:cs="Times New Roman" w:eastAsia="Times New Roman" w:hAnsi="Times New Roman"/>
          <w:sz w:val="18"/>
          <w:szCs w:val="18"/>
          <w:b w:val="1"/>
          <w:bCs w:val="1"/>
          <w:color w:val="auto"/>
        </w:rPr>
        <w:t>ROD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certified shareholder list of the Company as at 13 October 2025 provided to us by the Company on 14 September 2025 (the </w:t>
      </w:r>
      <w:r>
        <w:rPr>
          <w:rFonts w:ascii="Times New Roman" w:cs="Times New Roman" w:eastAsia="Times New Roman" w:hAnsi="Times New Roman"/>
          <w:sz w:val="18"/>
          <w:szCs w:val="18"/>
          <w:b w:val="1"/>
          <w:bCs w:val="1"/>
          <w:color w:val="auto"/>
        </w:rPr>
        <w:t>ROM</w:t>
      </w:r>
      <w:r>
        <w:rPr>
          <w:rFonts w:ascii="Times New Roman" w:cs="Times New Roman" w:eastAsia="Times New Roman" w:hAnsi="Times New Roman"/>
          <w:sz w:val="18"/>
          <w:szCs w:val="18"/>
          <w:color w:val="auto"/>
        </w:rPr>
        <w:t xml:space="preserve">, and together with the ROD, the </w:t>
      </w:r>
      <w:r>
        <w:rPr>
          <w:rFonts w:ascii="Times New Roman" w:cs="Times New Roman" w:eastAsia="Times New Roman" w:hAnsi="Times New Roman"/>
          <w:sz w:val="18"/>
          <w:szCs w:val="18"/>
          <w:b w:val="1"/>
          <w:bCs w:val="1"/>
          <w:color w:val="auto"/>
        </w:rPr>
        <w:t>Registers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a director of the Company dated 24 October 2025 as to certain matters of fact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resolutions of all of the directors of the Company dated 15 October 2025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7"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Registers and the Director’s Certificate is accurate and complete as at the date of this opinion;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provided to us are in full force and effect and have not been amended, varied, supplemented or revoked in any respect;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Offering and the transactions set out in the Board Resolutions and no director has a financial interest in or other relationship to a party of the transactions contemplated by the Offering and the Board Resolutions which has not been properly disclosed in the Board Resolutions;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and shareholders of the Company have taken or will take any steps to wind up the Company or to appoint a liquidator or restructuring officer of the Company, and no receiver has been or will be appointed over any of the Company’s property or assets;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the Securities in furtherance of its objects as set out in its Memorandum;</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sufficient authorised but unissued share capital to effect the issue of any of the Common Shares and/or the Preferred Shares at the time of issuance, whether as a principal issue or on the conversion, exchange or exercise of any Securities;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Documents, the Definitive Agreements (as defined below) or other similar agreements/instruments relating to the issuance of Securities have been, or will be, authorised and duly executed and unconditionally delivered by an authorised person for and on behalf of all relevant parties (including the Board) in accordance with all relevant laws;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capacity, power and authority of all parties other than the Company to enter into and perform their obligations under and all documents entered into by such parties in connection with the issuance of the Securities, and the due execution and delivery thereof by each party thereto;</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Documents, the Definitive Agreements (as defined below) or other similar agreements/instruments relating to the issuance of Securities are, or will be, legal, valid, binding and enforceable against all relevant parties in accordance with their terms under the laws of the State of New York and all other relevant laws (the </w:t>
      </w:r>
      <w:r>
        <w:rPr>
          <w:rFonts w:ascii="Times New Roman" w:cs="Times New Roman" w:eastAsia="Times New Roman" w:hAnsi="Times New Roman"/>
          <w:sz w:val="18"/>
          <w:szCs w:val="18"/>
          <w:b w:val="1"/>
          <w:bCs w:val="1"/>
          <w:color w:val="auto"/>
        </w:rPr>
        <w:t>Relevant Law</w:t>
      </w:r>
      <w:r>
        <w:rPr>
          <w:rFonts w:ascii="Times New Roman" w:cs="Times New Roman" w:eastAsia="Times New Roman" w:hAnsi="Times New Roman"/>
          <w:sz w:val="18"/>
          <w:szCs w:val="18"/>
          <w:color w:val="auto"/>
        </w:rPr>
        <w:t>) (other than, with respect to the Company, the laws of the Cayman Islands);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Relevant Law as the governing law of the relevant Documents, the Definitive Agreements (as defined below) or other similar agreements/instruments relating to the issuance of Securities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7" w:lineRule="exact"/>
        <w:rPr>
          <w:sz w:val="20"/>
          <w:szCs w:val="20"/>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Securities and none of the Securities have been offered or issued to residents of the Cayman Islands;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will be taken to authorise and approve any issuance of Securities (including, if Preferred Shares are to be issued, all necessary corporate action to establish one or more series of Preferred Shares and fix the designation, powers, preferences, rights, qualifications, limitations and restrictions thereof) and the terms of the offering of such Securities thereof and any other related matters and that the applicable definitive purchase, Indenture, warrant agreements, rights agreements, units agreement, underwriting or similar agreement will be duly approved, executed and delivered by or on behalf of the Company and all other parties thereto;</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paid to or for the account of any party under the relevant Documents, the Definitive Agreements (as defined below) or other similar agreements/instruments relating to the issuance of Securities or any property received or disposed of by any party to the relevant Documents, the Definitive Agreements (as defined below) or other similar agreements/instruments relating to the issuance of Securities in each case in connection with the relevant Documents, the Definitive Agreements (as defined below) or other similar agreements/instruments relating to the issuance of Securities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issue of any Common Shares and/or Preferred Shares, the Company will receive consideration for the full issue price thereof which shall be equal to at least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after the issuance (where applicable) of the Securities, will be able to pay its liabilities as they fall due;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limitations and qualifications set forth in paragraph 4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13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with limited liability and is validly existing and in good standing with the Registrar under the laws of the Cayman Islands. The Company is a separate legal entity and is subject to suit in its own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Valid Issuance of Common Shares and Preferred Shares</w:t>
      </w:r>
    </w:p>
    <w:p>
      <w:pPr>
        <w:spacing w:after="0" w:line="229"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Shares, when</w:t>
      </w:r>
    </w:p>
    <w:p>
      <w:pPr>
        <w:spacing w:after="0" w:line="221" w:lineRule="exact"/>
        <w:rPr>
          <w:rFonts w:ascii="Times New Roman" w:cs="Times New Roman" w:eastAsia="Times New Roman" w:hAnsi="Times New Roman"/>
          <w:sz w:val="18"/>
          <w:szCs w:val="18"/>
          <w:color w:val="auto"/>
        </w:rPr>
      </w:pPr>
    </w:p>
    <w:p>
      <w:pPr>
        <w:ind w:left="1920" w:hanging="643"/>
        <w:spacing w:after="0" w:line="286" w:lineRule="auto"/>
        <w:tabs>
          <w:tab w:leader="none" w:pos="1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necessary corporate actions to approve the issuance and allotment of the Common Shares, the terms of the offering of the Common Shares and any other related matters;</w:t>
      </w:r>
    </w:p>
    <w:p>
      <w:pPr>
        <w:spacing w:after="0" w:line="158" w:lineRule="exact"/>
        <w:rPr>
          <w:rFonts w:ascii="Times New Roman" w:cs="Times New Roman" w:eastAsia="Times New Roman" w:hAnsi="Times New Roman"/>
          <w:sz w:val="18"/>
          <w:szCs w:val="18"/>
          <w:color w:val="auto"/>
        </w:rPr>
      </w:pPr>
    </w:p>
    <w:p>
      <w:pPr>
        <w:jc w:val="both"/>
        <w:ind w:left="1920" w:right="20" w:hanging="643"/>
        <w:spacing w:after="0" w:line="266" w:lineRule="auto"/>
        <w:tabs>
          <w:tab w:leader="none" w:pos="1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memorandum and articles of association of the Company then in effect and the applicable definitive purchase, underwriting or similar agreement approved by the Board have been satisfied and payment of the full consideration specified therein (being not less than the par value of the Common Shares) has been made; and</w:t>
      </w:r>
    </w:p>
    <w:p>
      <w:pPr>
        <w:spacing w:after="0" w:line="175"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Common Shares as fully paid shares,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Common Shares will be recognised as having been duly authorised and validly issued, fully paid and non-assessable.</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Common Shares issuable pursuant to the Debt Securities, Warrants, Rights, Depositary Shares and Units, in each case when the Debt Securities, Warrants, Rights, Depositary Shares and/or Units are exercisable under the terms of the applicable definitive agreements approved by the Board (the </w:t>
      </w:r>
      <w:r>
        <w:rPr>
          <w:rFonts w:ascii="Times New Roman" w:cs="Times New Roman" w:eastAsia="Times New Roman" w:hAnsi="Times New Roman"/>
          <w:sz w:val="18"/>
          <w:szCs w:val="18"/>
          <w:b w:val="1"/>
          <w:bCs w:val="1"/>
          <w:color w:val="auto"/>
        </w:rPr>
        <w:t>Common Shares Definitive Agreements</w:t>
      </w:r>
      <w:r>
        <w:rPr>
          <w:rFonts w:ascii="Times New Roman" w:cs="Times New Roman" w:eastAsia="Times New Roman" w:hAnsi="Times New Roman"/>
          <w:sz w:val="18"/>
          <w:szCs w:val="18"/>
          <w:color w:val="auto"/>
        </w:rPr>
        <w:t>) as referred to within the Registration Statement, when:</w:t>
      </w:r>
    </w:p>
    <w:p>
      <w:pPr>
        <w:spacing w:after="0" w:line="179"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 to approve the issuance and allotment of such Common Shares and the Common Shares Definitive Agreements;</w:t>
      </w:r>
    </w:p>
    <w:p>
      <w:pPr>
        <w:spacing w:after="0" w:line="161" w:lineRule="exact"/>
        <w:rPr>
          <w:rFonts w:ascii="Times New Roman" w:cs="Times New Roman" w:eastAsia="Times New Roman" w:hAnsi="Times New Roman"/>
          <w:sz w:val="18"/>
          <w:szCs w:val="18"/>
          <w:color w:val="auto"/>
        </w:rPr>
      </w:pPr>
    </w:p>
    <w:p>
      <w:pPr>
        <w:jc w:val="both"/>
        <w:ind w:left="1920" w:hanging="643"/>
        <w:spacing w:after="0" w:line="261" w:lineRule="auto"/>
        <w:tabs>
          <w:tab w:leader="none" w:pos="1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security, the memorandum and articles of association then in effect, the Common Shares Definitive Agreements or the instrument governing such security providing for such conversion, exchange, redemption, repurchase or exercise for such Common Shares, as approved by the Board, have been satisfied and the full consideration approved by the Board (being not less than the par value of such Common Shares) received; and</w:t>
      </w:r>
    </w:p>
    <w:p>
      <w:pPr>
        <w:spacing w:after="0" w:line="179" w:lineRule="exact"/>
        <w:rPr>
          <w:rFonts w:ascii="Times New Roman" w:cs="Times New Roman" w:eastAsia="Times New Roman" w:hAnsi="Times New Roman"/>
          <w:sz w:val="18"/>
          <w:szCs w:val="18"/>
          <w:color w:val="auto"/>
        </w:rPr>
      </w:pPr>
    </w:p>
    <w:p>
      <w:pPr>
        <w:ind w:left="1920" w:right="20" w:hanging="643"/>
        <w:spacing w:after="0" w:line="282" w:lineRule="auto"/>
        <w:tabs>
          <w:tab w:leader="none" w:pos="19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have been made in the register of members of the Company reflecting such issuance of Common Shares as fully paid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such Common Shares will be recognised as having been duly authorised and validly issued, fully paid and non-assessable.</w:t>
      </w:r>
    </w:p>
    <w:p>
      <w:pPr>
        <w:spacing w:after="0" w:line="225" w:lineRule="exact"/>
        <w:rPr>
          <w:sz w:val="20"/>
          <w:szCs w:val="20"/>
          <w:color w:val="auto"/>
        </w:rPr>
      </w:pPr>
    </w:p>
    <w:p>
      <w:pPr>
        <w:ind w:left="1300" w:hanging="64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Preferred Shares, when</w:t>
      </w:r>
    </w:p>
    <w:p>
      <w:pPr>
        <w:spacing w:after="0" w:line="225" w:lineRule="exact"/>
        <w:rPr>
          <w:rFonts w:ascii="Times New Roman" w:cs="Times New Roman" w:eastAsia="Times New Roman" w:hAnsi="Times New Roman"/>
          <w:sz w:val="18"/>
          <w:szCs w:val="18"/>
          <w:color w:val="auto"/>
        </w:rPr>
      </w:pPr>
    </w:p>
    <w:p>
      <w:pPr>
        <w:jc w:val="both"/>
        <w:ind w:left="1920" w:hanging="643"/>
        <w:spacing w:after="0" w:line="258" w:lineRule="auto"/>
        <w:tabs>
          <w:tab w:leader="none" w:pos="192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taken all necessary corporate actions to approve the creation, issuance and allotments of the Preferred Shares, the terms of the offering of the Preferred Shares and other any related matters, including, without limitation, the amendment to the authorised share capital of the Company by the creation of the Preferred Shares and the amendment to the Memorandum and Articles reflecting the creation of such Preferred Shares and setting out the terms, rights and obligations of such Preferred Shares (the </w:t>
      </w:r>
      <w:r>
        <w:rPr>
          <w:rFonts w:ascii="Times New Roman" w:cs="Times New Roman" w:eastAsia="Times New Roman" w:hAnsi="Times New Roman"/>
          <w:sz w:val="18"/>
          <w:szCs w:val="18"/>
          <w:b w:val="1"/>
          <w:bCs w:val="1"/>
          <w:color w:val="auto"/>
        </w:rPr>
        <w:t>Amended Memorandum and Articles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7" w:lineRule="exact"/>
        <w:rPr>
          <w:sz w:val="20"/>
          <w:szCs w:val="20"/>
          <w:color w:val="auto"/>
        </w:rPr>
      </w:pPr>
    </w:p>
    <w:p>
      <w:pPr>
        <w:jc w:val="both"/>
        <w:ind w:left="1920" w:hanging="643"/>
        <w:spacing w:after="0" w:line="266" w:lineRule="auto"/>
        <w:tabs>
          <w:tab w:leader="none" w:pos="1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Amended Memorandum and Articles and the applicable definitive purchase, underwriting or similar agreement approved by the Board have been satisfied and payment of the full consideration specified therein (being not less than the par value of the Preferred Shares) has been made; and</w:t>
      </w:r>
    </w:p>
    <w:p>
      <w:pPr>
        <w:spacing w:after="0" w:line="175"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Preferred Shares as fully paid shares,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Common Shares will be recognised as having been duly authorised and validly issued, fully paid and non-assessable.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Preferred Shares issuable pursuant to the Rights, when the Rights are exercisable under the terms of the applicable definitive agreements approved by the Board (the </w:t>
      </w:r>
      <w:r>
        <w:rPr>
          <w:rFonts w:ascii="Times New Roman" w:cs="Times New Roman" w:eastAsia="Times New Roman" w:hAnsi="Times New Roman"/>
          <w:sz w:val="18"/>
          <w:szCs w:val="18"/>
          <w:b w:val="1"/>
          <w:bCs w:val="1"/>
          <w:color w:val="auto"/>
        </w:rPr>
        <w:t>Preferred Shares Definitive Agreements</w:t>
      </w:r>
      <w:r>
        <w:rPr>
          <w:rFonts w:ascii="Times New Roman" w:cs="Times New Roman" w:eastAsia="Times New Roman" w:hAnsi="Times New Roman"/>
          <w:sz w:val="18"/>
          <w:szCs w:val="18"/>
          <w:color w:val="auto"/>
        </w:rPr>
        <w:t xml:space="preserve">, together with the Common Shares Definitive Agreements, the </w:t>
      </w:r>
      <w:r>
        <w:rPr>
          <w:rFonts w:ascii="Times New Roman" w:cs="Times New Roman" w:eastAsia="Times New Roman" w:hAnsi="Times New Roman"/>
          <w:sz w:val="18"/>
          <w:szCs w:val="18"/>
          <w:b w:val="1"/>
          <w:bCs w:val="1"/>
          <w:color w:val="auto"/>
        </w:rPr>
        <w:t>Definitive Agreements</w:t>
      </w:r>
      <w:r>
        <w:rPr>
          <w:rFonts w:ascii="Times New Roman" w:cs="Times New Roman" w:eastAsia="Times New Roman" w:hAnsi="Times New Roman"/>
          <w:sz w:val="18"/>
          <w:szCs w:val="18"/>
          <w:color w:val="auto"/>
        </w:rPr>
        <w:t>) as referred to within the Registration Statement, when:</w:t>
      </w:r>
    </w:p>
    <w:p>
      <w:pPr>
        <w:spacing w:after="0" w:line="175" w:lineRule="exact"/>
        <w:rPr>
          <w:rFonts w:ascii="Times New Roman" w:cs="Times New Roman" w:eastAsia="Times New Roman" w:hAnsi="Times New Roman"/>
          <w:sz w:val="18"/>
          <w:szCs w:val="18"/>
          <w:color w:val="auto"/>
        </w:rPr>
      </w:pPr>
    </w:p>
    <w:p>
      <w:pPr>
        <w:jc w:val="both"/>
        <w:ind w:left="1920" w:hanging="643"/>
        <w:spacing w:after="0" w:line="258" w:lineRule="auto"/>
        <w:tabs>
          <w:tab w:leader="none" w:pos="19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corporate actions to approve the creation, issuance and allotments of such Preferred Shares and the Preferred Shares Definitive Agreements, the terms of the offering of the Preferred Shares and other any related matters, including, without limitation, the amendment to the authorised share capital of the Company by the creation of the Preferred Shares and the amendment to the Memorandum and Articles reflecting the creation of such Preferred Shares and setting out the terms, rights and obligations of such Preferred Shares;</w:t>
      </w:r>
    </w:p>
    <w:p>
      <w:pPr>
        <w:spacing w:after="0" w:line="183" w:lineRule="exact"/>
        <w:rPr>
          <w:rFonts w:ascii="Times New Roman" w:cs="Times New Roman" w:eastAsia="Times New Roman" w:hAnsi="Times New Roman"/>
          <w:sz w:val="18"/>
          <w:szCs w:val="18"/>
          <w:color w:val="auto"/>
        </w:rPr>
      </w:pPr>
    </w:p>
    <w:p>
      <w:pPr>
        <w:jc w:val="both"/>
        <w:ind w:left="1920" w:hanging="643"/>
        <w:spacing w:after="0" w:line="261" w:lineRule="auto"/>
        <w:tabs>
          <w:tab w:leader="none" w:pos="19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Rights, the Amended Memorandum and Articles, the Preferred Shares Definitive Agreements and the instrument governing such Rights providing for such conversion, exchange, redemption, repurchase or exercise for such Preferred Shares, as approved by the Board, have been satisfied and the full consideration approved by the Board (being not less than the par value of such Preferred Shares) received;</w:t>
      </w:r>
    </w:p>
    <w:p>
      <w:pPr>
        <w:spacing w:after="0" w:line="179" w:lineRule="exact"/>
        <w:rPr>
          <w:rFonts w:ascii="Times New Roman" w:cs="Times New Roman" w:eastAsia="Times New Roman" w:hAnsi="Times New Roman"/>
          <w:sz w:val="18"/>
          <w:szCs w:val="18"/>
          <w:color w:val="auto"/>
        </w:rPr>
      </w:pPr>
    </w:p>
    <w:p>
      <w:pPr>
        <w:ind w:left="1920" w:right="20" w:hanging="643"/>
        <w:spacing w:after="0" w:line="282" w:lineRule="auto"/>
        <w:tabs>
          <w:tab w:leader="none" w:pos="19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have been made in the register of members of the Company reflecting such issuance of Preferred Shares as fully paid shares,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such Preferred Shares will be recognised as having been duly authorised and validly issued, fully paid and non-assessable.</w:t>
      </w:r>
    </w:p>
    <w:p>
      <w:pPr>
        <w:spacing w:after="0" w:line="22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7</w:t>
      </w:r>
    </w:p>
    <w:p>
      <w:pPr>
        <w:spacing w:after="0" w:line="337" w:lineRule="exact"/>
        <w:rPr>
          <w:sz w:val="20"/>
          <w:szCs w:val="20"/>
          <w:color w:val="auto"/>
        </w:rPr>
      </w:pPr>
    </w:p>
    <w:p>
      <w:pPr>
        <w:jc w:val="both"/>
        <w:ind w:left="1300" w:hanging="644"/>
        <w:spacing w:after="0" w:line="261"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Registration Statement or Definitive Agreements will result in the breach of or infringe any other agreement, deed or document (other than the Memorandum and Articles) entered into by or binding on the Company.</w:t>
      </w:r>
    </w:p>
    <w:p>
      <w:pPr>
        <w:spacing w:after="0" w:line="172"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Under the Companies Act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the Good Standing Certificate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and also consent to the reference to our firm under the heading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of the Registration Statement.</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opinion may be used only in connection with the offer and sale of the Securities and while the Registration Statement is effective.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Registration Statement (Form F-3) and related prospectus of CLPS Incorporation for the registration of its common shares, preferred shares, warrants, debt securities, rights, depositary shares and units of its securities and to the incorporation by reference therein of our report dated October 17, 2025, with respect to the consolidated financial statements of CLPS Incorporation, included in its Annual Report (Form 20-F) for the year ended June 30, 2025,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Hua Ming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2025</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CLPS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13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80" w:type="dxa"/>
            <w:vAlign w:val="bottom"/>
            <w:vMerge w:val="restart"/>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8"/>
          </w:tcPr>
          <w:p>
            <w:pPr>
              <w:ind w:left="10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820" w:type="dxa"/>
            <w:vAlign w:val="bottom"/>
            <w:gridSpan w:val="2"/>
          </w:tcPr>
          <w:p>
            <w:pPr>
              <w:jc w:val="right"/>
              <w:ind w:right="661"/>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par value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$0.0001 per share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Depositary Shares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Unallocated (Universal) Shelf</w:t>
            </w: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$ 80,000,000.00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$ 11,048.00</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80" w:type="dxa"/>
            <w:vAlign w:val="bottom"/>
            <w:gridSpan w:val="7"/>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1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80" w:type="dxa"/>
            <w:vAlign w:val="bottom"/>
            <w:gridSpan w:val="7"/>
            <w:vMerge w:val="continue"/>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$ 80,000,000.00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11,048.00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11,048.00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lowerRoman"/>
      <w:start w:val="2"/>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1"/>
      <w:numFmt w:val="decimal"/>
      <w:start w:val="107"/>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lowerLetter"/>
      <w:start w:val="9"/>
    </w:lvl>
  </w:abstractNum>
  <w:abstractNum w:abstractNumId="34">
    <w:nsid w:val="42C296BD"/>
    <w:multiLevelType w:val="hybridMultilevel"/>
    <w:lvl w:ilvl="0">
      <w:lvlJc w:val="left"/>
      <w:lvlText w:val="(%1)"/>
      <w:numFmt w:val="lowerRoman"/>
      <w:start w:val="2"/>
    </w:lvl>
  </w:abstractNum>
  <w:abstractNum w:abstractNumId="35">
    <w:nsid w:val="168E121F"/>
    <w:multiLevelType w:val="hybridMultilevel"/>
    <w:lvl w:ilvl="0">
      <w:lvlJc w:val="left"/>
      <w:lvlText w:val="(%1)"/>
      <w:numFmt w:val="lowerLetter"/>
      <w:start w:val="2"/>
    </w:lvl>
  </w:abstractNum>
  <w:abstractNum w:abstractNumId="36">
    <w:nsid w:val="1EBA5D23"/>
    <w:multiLevelType w:val="hybridMultilevel"/>
    <w:lvl w:ilvl="0">
      <w:lvlJc w:val="left"/>
      <w:lvlText w:val="(%1)"/>
      <w:numFmt w:val="decimal"/>
      <w:start w:val="2"/>
    </w:lvl>
  </w:abstractNum>
  <w:abstractNum w:abstractNumId="37">
    <w:nsid w:val="661E3F1E"/>
    <w:multiLevelType w:val="hybridMultilevel"/>
    <w:lvl w:ilvl="0">
      <w:lvlJc w:val="left"/>
      <w:lvlText w:val="(%1)"/>
      <w:numFmt w:val="upperLetter"/>
      <w:start w:val="1"/>
    </w:lvl>
  </w:abstractNum>
  <w:abstractNum w:abstractNumId="38">
    <w:nsid w:val="5DC79EA8"/>
    <w:multiLevelType w:val="hybridMultilevel"/>
    <w:lvl w:ilvl="0">
      <w:lvlJc w:val="left"/>
      <w:lvlText w:val="(%1)"/>
      <w:numFmt w:val="decimal"/>
      <w:start w:val="6"/>
    </w:lvl>
  </w:abstractNum>
  <w:abstractNum w:abstractNumId="39">
    <w:nsid w:val="540A471C"/>
    <w:multiLevelType w:val="hybridMultilevel"/>
    <w:lvl w:ilvl="0">
      <w:lvlJc w:val="left"/>
      <w:lvlText w:val="(%1)"/>
      <w:numFmt w:val="lowerRoman"/>
      <w:start w:val="1"/>
    </w:lvl>
  </w:abstractNum>
  <w:abstractNum w:abstractNumId="40">
    <w:nsid w:val="7BD3EE7B"/>
    <w:multiLevelType w:val="hybridMultilevel"/>
    <w:lvl w:ilvl="0">
      <w:lvlJc w:val="left"/>
      <w:lvlText w:val="(%1)"/>
      <w:numFmt w:val="lowerLetter"/>
      <w:start w:val="2"/>
    </w:lvl>
  </w:abstractNum>
  <w:abstractNum w:abstractNumId="41">
    <w:nsid w:val="51D9C564"/>
    <w:multiLevelType w:val="hybridMultilevel"/>
    <w:lvl w:ilvl="0">
      <w:lvlJc w:val="left"/>
      <w:lvlText w:val="(%1)"/>
      <w:numFmt w:val="lowerRoman"/>
      <w:start w:val="2"/>
    </w:lvl>
  </w:abstractNum>
  <w:abstractNum w:abstractNumId="42">
    <w:nsid w:val="613EFDC5"/>
    <w:multiLevelType w:val="hybridMultilevel"/>
    <w:lvl w:ilvl="0">
      <w:lvlJc w:val="left"/>
      <w:lvlText w:val="(%1)"/>
      <w:numFmt w:val="lowerLetter"/>
      <w:start w:val="1"/>
    </w:lvl>
  </w:abstractNum>
  <w:abstractNum w:abstractNumId="43">
    <w:nsid w:val="BF72B14"/>
    <w:multiLevelType w:val="hybridMultilevel"/>
    <w:lvl w:ilvl="0">
      <w:lvlJc w:val="left"/>
      <w:lvlText w:val="(%1)"/>
      <w:numFmt w:val="lowerLetter"/>
      <w:start w:val="1"/>
    </w:lvl>
  </w:abstractNum>
  <w:abstractNum w:abstractNumId="44">
    <w:nsid w:val="11447B73"/>
    <w:multiLevelType w:val="hybridMultilevel"/>
    <w:lvl w:ilvl="0">
      <w:lvlJc w:val="left"/>
      <w:lvlText w:val="(%1)"/>
      <w:numFmt w:val="lowerLetter"/>
      <w:start w:val="2"/>
    </w:lvl>
  </w:abstractNum>
  <w:abstractNum w:abstractNumId="45">
    <w:nsid w:val="42963E5A"/>
    <w:multiLevelType w:val="hybridMultilevel"/>
    <w:lvl w:ilvl="0">
      <w:lvlJc w:val="left"/>
      <w:lvlText w:val="(%1)"/>
      <w:numFmt w:val="lowerLetter"/>
      <w:start w:val="16"/>
    </w:lvl>
  </w:abstractNum>
  <w:abstractNum w:abstractNumId="46">
    <w:nsid w:val="A0382C5"/>
    <w:multiLevelType w:val="hybridMultilevel"/>
    <w:lvl w:ilvl="0">
      <w:lvlJc w:val="left"/>
      <w:lvlText w:val="(%1)"/>
      <w:numFmt w:val="lowerLetter"/>
      <w:start w:val="1"/>
    </w:lvl>
  </w:abstractNum>
  <w:abstractNum w:abstractNumId="47">
    <w:nsid w:val="8F2B15E"/>
    <w:multiLevelType w:val="hybridMultilevel"/>
    <w:lvl w:ilvl="0">
      <w:lvlJc w:val="left"/>
      <w:lvlText w:val="(%1)"/>
      <w:numFmt w:val="lowerLetter"/>
      <w:start w:val="2"/>
    </w:lvl>
  </w:abstractNum>
  <w:abstractNum w:abstractNumId="48">
    <w:nsid w:val="1A32234B"/>
    <w:multiLevelType w:val="hybridMultilevel"/>
    <w:lvl w:ilvl="0">
      <w:lvlJc w:val="left"/>
      <w:lvlText w:val="(%1)"/>
      <w:numFmt w:val="lowerLetter"/>
      <w:start w:val="4"/>
    </w:lvl>
  </w:abstractNum>
  <w:abstractNum w:abstractNumId="49">
    <w:nsid w:val="3B0FD379"/>
    <w:multiLevelType w:val="hybridMultilevel"/>
    <w:lvl w:ilvl="0">
      <w:lvlJc w:val="left"/>
      <w:lvlText w:val="(%1)"/>
      <w:numFmt w:val="lowerLetter"/>
      <w:start w:val="1"/>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Roman"/>
      <w:start w:val="1"/>
    </w:lvl>
  </w:abstractNum>
  <w:abstractNum w:abstractNumId="53">
    <w:nsid w:val="6A5EE64"/>
    <w:multiLevelType w:val="hybridMultilevel"/>
    <w:lvl w:ilvl="0">
      <w:lvlJc w:val="left"/>
      <w:lvlText w:val="(%1)"/>
      <w:numFmt w:val="lowerLetter"/>
      <w:start w:val="5"/>
    </w:lvl>
  </w:abstractNum>
  <w:abstractNum w:abstractNumId="54">
    <w:nsid w:val="14330624"/>
    <w:multiLevelType w:val="hybridMultilevel"/>
    <w:lvl w:ilvl="0">
      <w:lvlJc w:val="left"/>
      <w:lvlText w:val="(%1)"/>
      <w:numFmt w:val="lowerLetter"/>
      <w:start w:val="9"/>
    </w:lvl>
  </w:abstractNum>
  <w:abstractNum w:abstractNumId="55">
    <w:nsid w:val="7FFFCA11"/>
    <w:multiLevelType w:val="hybridMultilevel"/>
    <w:lvl w:ilvl="0">
      <w:lvlJc w:val="left"/>
      <w:lvlText w:val="(%1)"/>
      <w:numFmt w:val="lowerLetter"/>
      <w:start w:val="35"/>
    </w:lvl>
  </w:abstractNum>
  <w:abstractNum w:abstractNumId="56">
    <w:nsid w:val="1A27709E"/>
    <w:multiLevelType w:val="hybridMultilevel"/>
    <w:lvl w:ilvl="0">
      <w:lvlJc w:val="left"/>
      <w:lvlText w:val="(%1)"/>
      <w:numFmt w:val="lowerLetter"/>
      <w:start w:val="61"/>
    </w:lvl>
  </w:abstractNum>
  <w:abstractNum w:abstractNumId="57">
    <w:nsid w:val="71EA1109"/>
    <w:multiLevelType w:val="hybridMultilevel"/>
    <w:lvl w:ilvl="0">
      <w:lvlJc w:val="left"/>
      <w:lvlText w:val="(%1)"/>
      <w:numFmt w:val="lowerLetter"/>
      <w:start w:val="6"/>
    </w:lvl>
  </w:abstractNum>
  <w:abstractNum w:abstractNumId="58">
    <w:nsid w:val="100F59DC"/>
    <w:multiLevelType w:val="hybridMultilevel"/>
    <w:lvl w:ilvl="0">
      <w:lvlJc w:val="left"/>
      <w:lvlText w:val="(%1)"/>
      <w:numFmt w:val="lowerLetter"/>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lowerLetter"/>
      <w:start w:val="1"/>
    </w:lvl>
  </w:abstractNum>
  <w:abstractNum w:abstractNumId="61">
    <w:nsid w:val="6F6DD9AC"/>
    <w:multiLevelType w:val="hybridMultilevel"/>
    <w:lvl w:ilvl="0">
      <w:lvlJc w:val="left"/>
      <w:lvlText w:val="(%1)"/>
      <w:numFmt w:val="lowerLetter"/>
      <w:start w:val="5"/>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lowerLetter"/>
      <w:start w:val="3"/>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Roman"/>
      <w:start w:val="1"/>
    </w:lvl>
  </w:abstractNum>
  <w:abstractNum w:abstractNumId="66">
    <w:nsid w:val="1716703B"/>
    <w:multiLevelType w:val="hybridMultilevel"/>
    <w:lvl w:ilvl="0">
      <w:lvlJc w:val="left"/>
      <w:lvlText w:val="(%1)"/>
      <w:numFmt w:val="lowerLetter"/>
      <w:start w:val="3"/>
    </w:lvl>
  </w:abstractNum>
  <w:abstractNum w:abstractNumId="67">
    <w:nsid w:val="14E17E33"/>
    <w:multiLevelType w:val="hybridMultilevel"/>
    <w:lvl w:ilvl="0">
      <w:lvlJc w:val="left"/>
      <w:lvlText w:val="(%1)"/>
      <w:numFmt w:val="lowerLetter"/>
      <w:start w:val="9"/>
    </w:lvl>
  </w:abstractNum>
  <w:abstractNum w:abstractNumId="68">
    <w:nsid w:val="3222E7CD"/>
    <w:multiLevelType w:val="hybridMultilevel"/>
    <w:lvl w:ilvl="0">
      <w:lvlJc w:val="left"/>
      <w:lvlText w:val="(%1)"/>
      <w:numFmt w:val="lowerRoman"/>
      <w:start w:val="2"/>
    </w:lvl>
  </w:abstractNum>
  <w:abstractNum w:abstractNumId="69">
    <w:nsid w:val="74DE0EE3"/>
    <w:multiLevelType w:val="hybridMultilevel"/>
    <w:lvl w:ilvl="0">
      <w:lvlJc w:val="left"/>
      <w:lvlText w:val="(%1)"/>
      <w:numFmt w:val="lowerLetter"/>
      <w:start w:val="4"/>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1)"/>
      <w:numFmt w:val="lowerLetter"/>
      <w:start w:val="7"/>
    </w:lvl>
  </w:abstractNum>
  <w:abstractNum w:abstractNumId="72">
    <w:nsid w:val="46B7D447"/>
    <w:multiLevelType w:val="hybridMultilevel"/>
    <w:lvl w:ilvl="0">
      <w:lvlJc w:val="left"/>
      <w:lvlText w:val="(%1)"/>
      <w:numFmt w:val="lowerLetter"/>
      <w:start w:val="1"/>
    </w:lvl>
  </w:abstractNum>
  <w:abstractNum w:abstractNumId="73">
    <w:nsid w:val="4A2AC315"/>
    <w:multiLevelType w:val="hybridMultilevel"/>
    <w:lvl w:ilvl="0">
      <w:lvlJc w:val="left"/>
      <w:lvlText w:val="(%1)"/>
      <w:numFmt w:val="lowerLetter"/>
      <w:start w:val="1"/>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upperLetter"/>
      <w:start w:val="1"/>
    </w:lvl>
  </w:abstractNum>
  <w:abstractNum w:abstractNumId="76">
    <w:nsid w:val="CC1016F"/>
    <w:multiLevelType w:val="hybridMultilevel"/>
    <w:lvl w:ilvl="0">
      <w:lvlJc w:val="left"/>
      <w:lvlText w:val="(%1)"/>
      <w:numFmt w:val="lowerLetter"/>
      <w:start w:val="2"/>
    </w:lvl>
  </w:abstractNum>
  <w:abstractNum w:abstractNumId="77">
    <w:nsid w:val="43F18422"/>
    <w:multiLevelType w:val="hybridMultilevel"/>
    <w:lvl w:ilvl="0">
      <w:lvlJc w:val="left"/>
      <w:lvlText w:val="(%1)"/>
      <w:numFmt w:val="lowerLetter"/>
      <w:start w:val="1"/>
    </w:lvl>
  </w:abstractNum>
  <w:abstractNum w:abstractNumId="78">
    <w:nsid w:val="60EF0119"/>
    <w:multiLevelType w:val="hybridMultilevel"/>
    <w:lvl w:ilvl="0">
      <w:lvlJc w:val="left"/>
      <w:lvlText w:val="(%1)"/>
      <w:numFmt w:val="lowerLetter"/>
      <w:start w:val="3"/>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lowerLetter"/>
      <w:start w:val="4"/>
    </w:lvl>
  </w:abstractNum>
  <w:abstractNum w:abstractNumId="81">
    <w:nsid w:val="49DA307D"/>
    <w:multiLevelType w:val="hybridMultilevel"/>
    <w:lvl w:ilvl="0">
      <w:lvlJc w:val="left"/>
      <w:lvlText w:val="(%1)"/>
      <w:numFmt w:val="lowerLetter"/>
      <w:start w:val="9"/>
    </w:lvl>
  </w:abstractNum>
  <w:abstractNum w:abstractNumId="82">
    <w:nsid w:val="7055A5F5"/>
    <w:multiLevelType w:val="hybridMultilevel"/>
    <w:lvl w:ilvl="0">
      <w:lvlJc w:val="left"/>
      <w:lvlText w:val="(%1)"/>
      <w:numFmt w:val="lowerLetter"/>
      <w:start w:val="5"/>
    </w:lvl>
  </w:abstractNum>
  <w:abstractNum w:abstractNumId="83">
    <w:nsid w:val="5FB8370B"/>
    <w:multiLevelType w:val="hybridMultilevel"/>
    <w:lvl w:ilvl="0">
      <w:lvlJc w:val="left"/>
      <w:lvlText w:val="(%1)"/>
      <w:numFmt w:val="lowerLetter"/>
      <w:start w:val="8"/>
    </w:lvl>
  </w:abstractNum>
  <w:abstractNum w:abstractNumId="84">
    <w:nsid w:val="50801EE1"/>
    <w:multiLevelType w:val="hybridMultilevel"/>
    <w:lvl w:ilvl="0">
      <w:lvlJc w:val="left"/>
      <w:lvlText w:val="(%1)"/>
      <w:numFmt w:val="lowerLetter"/>
      <w:start w:val="1"/>
    </w:lvl>
  </w:abstractNum>
  <w:abstractNum w:abstractNumId="85">
    <w:nsid w:val="488AC1A"/>
    <w:multiLevelType w:val="hybridMultilevel"/>
    <w:lvl w:ilvl="0">
      <w:lvlJc w:val="left"/>
      <w:lvlText w:val="(%1)"/>
      <w:numFmt w:val="lowerLetter"/>
      <w:start w:val="35"/>
    </w:lvl>
  </w:abstractNum>
  <w:abstractNum w:abstractNumId="86">
    <w:nsid w:val="5FB8011C"/>
    <w:multiLevelType w:val="hybridMultilevel"/>
    <w:lvl w:ilvl="0">
      <w:lvlJc w:val="left"/>
      <w:lvlText w:val="(%1)"/>
      <w:numFmt w:val="lowerLetter"/>
      <w:start w:val="2"/>
    </w:lvl>
  </w:abstractNum>
  <w:abstractNum w:abstractNumId="87">
    <w:nsid w:val="6AA78F7F"/>
    <w:multiLevelType w:val="hybridMultilevel"/>
    <w:lvl w:ilvl="0">
      <w:lvlJc w:val="left"/>
      <w:lvlText w:val="(%1)"/>
      <w:numFmt w:val="lowerLetter"/>
      <w:start w:val="1"/>
    </w:lvl>
  </w:abstractNum>
  <w:abstractNum w:abstractNumId="88">
    <w:nsid w:val="7672BD23"/>
    <w:multiLevelType w:val="hybridMultilevel"/>
    <w:lvl w:ilvl="0">
      <w:lvlJc w:val="left"/>
      <w:lvlText w:val="(%1)"/>
      <w:numFmt w:val="lowerLetter"/>
      <w:start w:val="1"/>
    </w:lvl>
  </w:abstractNum>
  <w:abstractNum w:abstractNumId="89">
    <w:nsid w:val="6FC75AF8"/>
    <w:multiLevelType w:val="hybridMultilevel"/>
    <w:lvl w:ilvl="0">
      <w:lvlJc w:val="left"/>
      <w:lvlText w:val="(%1)"/>
      <w:numFmt w:val="lowerLetter"/>
      <w:start w:val="1"/>
    </w:lvl>
  </w:abstractNum>
  <w:abstractNum w:abstractNumId="90">
    <w:nsid w:val="6A5F7029"/>
    <w:multiLevelType w:val="hybridMultilevel"/>
    <w:lvl w:ilvl="0">
      <w:lvlJc w:val="left"/>
      <w:lvlText w:val="(%1)"/>
      <w:numFmt w:val="lowerLetter"/>
      <w:start w:val="2"/>
    </w:lvl>
  </w:abstractNum>
  <w:abstractNum w:abstractNumId="91">
    <w:nsid w:val="7D5E18F8"/>
    <w:multiLevelType w:val="hybridMultilevel"/>
    <w:lvl w:ilvl="0">
      <w:lvlJc w:val="left"/>
      <w:lvlText w:val="(%1)"/>
      <w:numFmt w:val="lowerLetter"/>
      <w:start w:val="1"/>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bullet"/>
      <w:start w:val="1"/>
    </w:lvl>
    <w:lvl w:ilvl="1">
      <w:lvlJc w:val="left"/>
      <w:lvlText w:val="(%2)"/>
      <w:numFmt w:val="lowerLetter"/>
      <w:start w:val="1"/>
    </w:lvl>
  </w:abstractNum>
  <w:abstractNum w:abstractNumId="94">
    <w:nsid w:val="7DE67713"/>
    <w:multiLevelType w:val="hybridMultilevel"/>
    <w:lvl w:ilvl="0">
      <w:lvlJc w:val="left"/>
      <w:lvlText w:val="2"/>
      <w:numFmt w:val="bullet"/>
      <w:start w:val="1"/>
    </w:lvl>
    <w:lvl w:ilvl="1">
      <w:lvlJc w:val="left"/>
      <w:lvlText w:val="(%2)"/>
      <w:numFmt w:val="lowerLetter"/>
      <w:start w:val="1"/>
    </w:lvl>
  </w:abstractNum>
  <w:abstractNum w:abstractNumId="95">
    <w:nsid w:val="555C55B5"/>
    <w:multiLevelType w:val="hybridMultilevel"/>
    <w:lvl w:ilvl="0">
      <w:lvlJc w:val="left"/>
      <w:lvlText w:val="(%1)"/>
      <w:numFmt w:val="lowerLetter"/>
      <w:start w:val="3"/>
    </w:lvl>
  </w:abstractNum>
  <w:abstractNum w:abstractNumId="96">
    <w:nsid w:val="3FA62ACA"/>
    <w:multiLevelType w:val="hybridMultilevel"/>
    <w:lvl w:ilvl="0">
      <w:lvlJc w:val="left"/>
      <w:lvlText w:val="(%1)"/>
      <w:numFmt w:val="lowerLetter"/>
      <w:start w:val="14"/>
    </w:lvl>
  </w:abstractNum>
  <w:abstractNum w:abstractNumId="97">
    <w:nsid w:val="14FCE74E"/>
    <w:multiLevelType w:val="hybridMultilevel"/>
    <w:lvl w:ilvl="0">
      <w:lvlJc w:val="left"/>
      <w:lvlText w:val="3"/>
      <w:numFmt w:val="bullet"/>
      <w:start w:val="1"/>
    </w:lvl>
    <w:lvl w:ilvl="1">
      <w:lvlJc w:val="left"/>
      <w:lvlText w:val="(%2)"/>
      <w:numFmt w:val="lowerLetter"/>
      <w:start w:val="1"/>
    </w:lvl>
  </w:abstractNum>
  <w:abstractNum w:abstractNumId="98">
    <w:nsid w:val="6A3DD3E8"/>
    <w:multiLevelType w:val="hybridMultilevel"/>
    <w:lvl w:ilvl="0">
      <w:lvlJc w:val="left"/>
      <w:lvlText w:val="(%1)"/>
      <w:numFmt w:val="lowerLetter"/>
      <w:start w:val="2"/>
    </w:lvl>
    <w:lvl w:ilvl="1">
      <w:lvlJc w:val="left"/>
      <w:lvlText w:val="(%2)"/>
      <w:numFmt w:val="lowerRoman"/>
      <w:start w:val="1"/>
    </w:lvl>
  </w:abstractNum>
  <w:abstractNum w:abstractNumId="99">
    <w:nsid w:val="71C91298"/>
    <w:multiLevelType w:val="hybridMultilevel"/>
    <w:lvl w:ilvl="0">
      <w:lvlJc w:val="left"/>
      <w:lvlText w:val="(%1)"/>
      <w:numFmt w:val="lowerLetter"/>
      <w:start w:val="3"/>
    </w:lvl>
    <w:lvl w:ilvl="1">
      <w:lvlJc w:val="left"/>
      <w:lvlText w:val="(%2)"/>
      <w:numFmt w:val="lowerRoman"/>
      <w:start w:val="1"/>
    </w:lvl>
  </w:abstractNum>
  <w:abstractNum w:abstractNumId="100">
    <w:nsid w:val="9DAF632"/>
    <w:multiLevelType w:val="hybridMultilevel"/>
    <w:lvl w:ilvl="0">
      <w:lvlJc w:val="left"/>
      <w:lvlText w:val="(%1)"/>
      <w:numFmt w:val="lowerLetter"/>
      <w:start w:val="4"/>
    </w:lvl>
    <w:lvl w:ilvl="1">
      <w:lvlJc w:val="left"/>
      <w:lvlText w:val="(%2)"/>
      <w:numFmt w:val="lowerRoman"/>
      <w:start w:val="1"/>
    </w:lvl>
  </w:abstractNum>
  <w:abstractNum w:abstractNumId="101">
    <w:nsid w:val="53299938"/>
    <w:multiLevelType w:val="hybridMultilevel"/>
    <w:lvl w:ilvl="0">
      <w:lvlJc w:val="left"/>
      <w:lvlText w:val="(%1)"/>
      <w:numFmt w:val="lowerRoman"/>
      <w:start w:val="2"/>
    </w:lvl>
  </w:abstractNum>
  <w:abstractNum w:abstractNumId="102">
    <w:nsid w:val="1FBFE8E0"/>
    <w:multiLevelType w:val="hybridMultilevel"/>
    <w:lvl w:ilvl="0">
      <w:lvlJc w:val="left"/>
      <w:lvlText w:val="(%1)"/>
      <w:numFmt w:val="lowerLetter"/>
      <w:start w:val="5"/>
    </w:lvl>
    <w:lvl w:ilvl="1">
      <w:lvlJc w:val="left"/>
      <w:lvlText w:val="(%2)"/>
      <w:numFmt w:val="lowerRoman"/>
      <w:start w:val="1"/>
    </w:lvl>
  </w:abstractNum>
  <w:abstractNum w:abstractNumId="103">
    <w:nsid w:val="5092CA79"/>
    <w:multiLevelType w:val="hybridMultilevel"/>
    <w:lvl w:ilvl="0">
      <w:lvlJc w:val="left"/>
      <w:lvlText w:val="4"/>
      <w:numFmt w:val="bullet"/>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Letter"/>
      <w:start w:val="2"/>
    </w:lvl>
  </w:abstractNum>
  <w:abstractNum w:abstractNumId="106">
    <w:nsid w:val="288F1A34"/>
    <w:multiLevelType w:val="hybridMultilevel"/>
    <w:lvl w:ilvl="0">
      <w:lvlJc w:val="left"/>
      <w:lvlText w:val="5"/>
      <w:numFmt w:val="bullet"/>
      <w:start w:val="1"/>
    </w:lvl>
  </w:abstractNum>
  <w:abstractNum w:abstractNumId="107">
    <w:nsid w:val="2A155DBC"/>
    <w:multiLevelType w:val="hybridMultilevel"/>
    <w:lvl w:ilvl="0">
      <w:lvlJc w:val="left"/>
      <w:lvlText w:val="(%1)"/>
      <w:numFmt w:val="lowerLetter"/>
      <w:start w:val="1"/>
    </w:lvl>
  </w:abstractNum>
  <w:abstractNum w:abstractNumId="108">
    <w:nsid w:val="1D9F6E5F"/>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jpe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22" Type="http://schemas.openxmlformats.org/officeDocument/2006/relationships/hyperlink" Target="http://www.sec.gov/Archives/edgar/data/1724542/000121390022065082/f20f2022_clpsinc.htm" TargetMode="External"/><Relationship Id="rId23" Type="http://schemas.openxmlformats.org/officeDocument/2006/relationships/hyperlink" Target="http://www.sec.gov/Archives/edgar/data/1724542/000121390018003524/ff12018_clpsincorporation.htm" TargetMode="External"/><Relationship Id="rId24" Type="http://schemas.openxmlformats.org/officeDocument/2006/relationships/hyperlink" Target="http://www.sec.gov/Archives/edgar/data/1724542/000121390018006724/f8a12b0518_clpsincorporation.htm" TargetMode="External"/><Relationship Id="rId58" Type="http://schemas.openxmlformats.org/officeDocument/2006/relationships/hyperlink" Target="http://www.sec.gov/Archives/edgar/data/1724542/000121390018003524/ff12018ex4-1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2025-10-24T08:31:38Z</dcterms:created>
  <dcterms:modified xsi:type="dcterms:W3CDTF">2025-10-24T08:31:38Z</dcterms:modified>
</cp:coreProperties>
</file>