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14, 2019</w:t>
      </w:r>
    </w:p>
    <w:p>
      <w:pPr>
        <w:spacing w:after="0" w:line="14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2"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Pre-effective Amendment No. 1 to</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F-3</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jc w:val="center"/>
        <w:spacing w:after="0" w:line="231"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CLPS Incorporation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Cayman Islands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198"/>
        </w:trPr>
        <w:tc>
          <w:tcPr>
            <w:tcW w:w="5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and Telephone Number of Registrant’s Principal Executive Offices)</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Corporation Service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Telephone: (800) 927-9800</w:t>
      </w: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Ralph V. De Martino,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Alec Orudjev,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Schiff Hardin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901 K Street, NW, Suite 700, Washington, DC 20001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202-724-6848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Approximate date of commencement of proposed sale to the public: </w:t>
      </w:r>
      <w:r>
        <w:rPr>
          <w:rFonts w:ascii="Arial" w:cs="Arial" w:eastAsia="Arial" w:hAnsi="Arial"/>
          <w:sz w:val="17"/>
          <w:szCs w:val="17"/>
          <w:b w:val="1"/>
          <w:bCs w:val="1"/>
          <w:color w:val="auto"/>
        </w:rPr>
        <w:t>From time to time after the effective date of this registration statement.</w:t>
      </w:r>
    </w:p>
    <w:p>
      <w:pPr>
        <w:spacing w:after="0" w:line="8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00"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115"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0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11"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0" w:type="dxa"/>
            <w:vAlign w:val="bottom"/>
          </w:tcPr>
          <w:p>
            <w:pPr>
              <w:ind w:left="3980"/>
              <w:spacing w:after="0"/>
              <w:rPr>
                <w:sz w:val="20"/>
                <w:szCs w:val="20"/>
                <w:color w:val="auto"/>
              </w:rPr>
            </w:pPr>
            <w:r>
              <w:rPr>
                <w:rFonts w:ascii="Arial" w:cs="Arial" w:eastAsia="Arial" w:hAnsi="Arial"/>
                <w:sz w:val="18"/>
                <w:szCs w:val="18"/>
                <w:b w:val="1"/>
                <w:bCs w:val="1"/>
                <w:color w:val="auto"/>
              </w:rPr>
              <w:t>CALCULATION OF REGISTRATION FEE</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maximum</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aggregate</w:t>
            </w:r>
          </w:p>
        </w:tc>
        <w:tc>
          <w:tcPr>
            <w:tcW w:w="12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Amount of</w:t>
            </w:r>
          </w:p>
        </w:tc>
      </w:tr>
      <w:tr>
        <w:trPr>
          <w:trHeight w:val="216"/>
        </w:trPr>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offering</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registration</w:t>
            </w:r>
          </w:p>
        </w:tc>
      </w:tr>
      <w:tr>
        <w:trPr>
          <w:trHeight w:val="241"/>
        </w:trPr>
        <w:tc>
          <w:tcPr>
            <w:tcW w:w="8800" w:type="dxa"/>
            <w:vAlign w:val="bottom"/>
          </w:tcPr>
          <w:p>
            <w:pPr>
              <w:ind w:left="2640"/>
              <w:spacing w:after="0"/>
              <w:rPr>
                <w:sz w:val="20"/>
                <w:szCs w:val="20"/>
                <w:color w:val="auto"/>
              </w:rPr>
            </w:pPr>
            <w:r>
              <w:rPr>
                <w:rFonts w:ascii="Arial" w:cs="Arial" w:eastAsia="Arial" w:hAnsi="Arial"/>
                <w:sz w:val="18"/>
                <w:szCs w:val="18"/>
                <w:b w:val="1"/>
                <w:bCs w:val="1"/>
                <w:color w:val="auto"/>
              </w:rPr>
              <w:t>Title of each class of securities to be registered</w:t>
            </w:r>
          </w:p>
        </w:tc>
        <w:tc>
          <w:tcPr>
            <w:tcW w:w="24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price(1)(2)(3)</w:t>
            </w:r>
          </w:p>
        </w:tc>
        <w:tc>
          <w:tcPr>
            <w:tcW w:w="1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fee(1)(4)(5)</w:t>
            </w:r>
          </w:p>
        </w:tc>
      </w:tr>
      <w:tr>
        <w:trPr>
          <w:trHeight w:val="216"/>
        </w:trPr>
        <w:tc>
          <w:tcPr>
            <w:tcW w:w="8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Preferred Shares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Debt Securities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Rights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Depositary Shares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   40,000,000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4,848.00</w:t>
            </w:r>
          </w:p>
        </w:tc>
      </w:tr>
    </w:tbl>
    <w:p>
      <w:pPr>
        <w:spacing w:after="0" w:line="187" w:lineRule="exact"/>
        <w:rPr>
          <w:sz w:val="20"/>
          <w:szCs w:val="20"/>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is hereby registering such indeterminate number or amount, as the case may be, of the securities of each identified class as may from time to time be offered at indeterminate prices, with a total aggregate principal amount or initial purchase price not to exceed $40,000,000. Securities registered hereby may be offered for U.S. dollars or the equivalent thereof in foreign currencies. Securities registered hereby may be sold separately or in combination with other securities registered hereby.</w:t>
      </w:r>
    </w:p>
    <w:p>
      <w:pPr>
        <w:spacing w:after="0" w:line="186"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securities being registered hereby may be convertible into or exchangeable or exercisable for other securities of any identified class. In addition to the securities that may be issued directly under this registration statement, there is being registered hereunder such indeterminate aggregate number or amount, as the case may be, of the securities of each identified class as may from time to time be issued upon the conversion, exchange, settlement or exercise of other securities offered hereby. Separate consideration may or may not be received for securities that are issued upon the conversion or exercise of, or in exchange for, other securities or that are issued in units.</w:t>
      </w:r>
    </w:p>
    <w:p>
      <w:pPr>
        <w:spacing w:after="0" w:line="18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registration fee pursuant to Rule 457(o) under the Securities Act, and exclusive of accrued interest, distributions and dividends, if any. The proposed maximum offering price will be determined from time to time in connection with the issuance of the securities registered hereunder.</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JUNE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154940</wp:posOffset>
            </wp:positionV>
            <wp:extent cx="2358390" cy="1174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5839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US$40,000,000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Shares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Preferred Shares</w:t>
      </w:r>
    </w:p>
    <w:p>
      <w:pPr>
        <w:jc w:val="center"/>
        <w:spacing w:after="0" w:line="230" w:lineRule="auto"/>
        <w:rPr>
          <w:sz w:val="20"/>
          <w:szCs w:val="20"/>
          <w:color w:val="auto"/>
        </w:rPr>
      </w:pPr>
      <w:r>
        <w:rPr>
          <w:rFonts w:ascii="Arial" w:cs="Arial" w:eastAsia="Arial" w:hAnsi="Arial"/>
          <w:sz w:val="22"/>
          <w:szCs w:val="22"/>
          <w:b w:val="1"/>
          <w:bCs w:val="1"/>
          <w:color w:val="auto"/>
        </w:rPr>
        <w:t>Warrants</w:t>
      </w:r>
    </w:p>
    <w:p>
      <w:pPr>
        <w:jc w:val="center"/>
        <w:spacing w:after="0" w:line="236" w:lineRule="auto"/>
        <w:rPr>
          <w:sz w:val="20"/>
          <w:szCs w:val="20"/>
          <w:color w:val="auto"/>
        </w:rPr>
      </w:pPr>
      <w:r>
        <w:rPr>
          <w:rFonts w:ascii="Arial" w:cs="Arial" w:eastAsia="Arial" w:hAnsi="Arial"/>
          <w:sz w:val="22"/>
          <w:szCs w:val="22"/>
          <w:b w:val="1"/>
          <w:bCs w:val="1"/>
          <w:color w:val="auto"/>
        </w:rPr>
        <w:t>Debt Securities</w:t>
      </w:r>
    </w:p>
    <w:p>
      <w:pPr>
        <w:jc w:val="center"/>
        <w:spacing w:after="0"/>
        <w:rPr>
          <w:sz w:val="20"/>
          <w:szCs w:val="20"/>
          <w:color w:val="auto"/>
        </w:rPr>
      </w:pPr>
      <w:r>
        <w:rPr>
          <w:rFonts w:ascii="Arial" w:cs="Arial" w:eastAsia="Arial" w:hAnsi="Arial"/>
          <w:sz w:val="18"/>
          <w:szCs w:val="18"/>
          <w:b w:val="1"/>
          <w:bCs w:val="1"/>
          <w:color w:val="auto"/>
        </w:rPr>
        <w:t>Rights</w:t>
      </w:r>
    </w:p>
    <w:p>
      <w:pPr>
        <w:jc w:val="center"/>
        <w:spacing w:after="0" w:line="234" w:lineRule="auto"/>
        <w:rPr>
          <w:sz w:val="20"/>
          <w:szCs w:val="20"/>
          <w:color w:val="auto"/>
        </w:rPr>
      </w:pPr>
      <w:r>
        <w:rPr>
          <w:rFonts w:ascii="Arial" w:cs="Arial" w:eastAsia="Arial" w:hAnsi="Arial"/>
          <w:sz w:val="22"/>
          <w:szCs w:val="22"/>
          <w:b w:val="1"/>
          <w:bCs w:val="1"/>
          <w:color w:val="auto"/>
        </w:rPr>
        <w:t>Depositary Shares</w:t>
      </w:r>
    </w:p>
    <w:p>
      <w:pPr>
        <w:jc w:val="center"/>
        <w:spacing w:after="0"/>
        <w:rPr>
          <w:sz w:val="20"/>
          <w:szCs w:val="20"/>
          <w:color w:val="auto"/>
        </w:rPr>
      </w:pPr>
      <w:r>
        <w:rPr>
          <w:rFonts w:ascii="Arial" w:cs="Arial" w:eastAsia="Arial" w:hAnsi="Arial"/>
          <w:sz w:val="22"/>
          <w:szCs w:val="22"/>
          <w:b w:val="1"/>
          <w:bCs w:val="1"/>
          <w:color w:val="auto"/>
        </w:rPr>
        <w:t>Units</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CLPS Incorporation may offer and sell from time to time up to an aggregate of US$40,000,000 of common shares (issued separately or upon exercise of warrants), preferred shares, warrants, debt securities, rights, depositary shares and units of the Company’s securities. The specific terms of any securities offered will be described in supplements to this prospectus. You should read this prospectus and any applicable prospectus supplement carefully before you purchase our securities. This prospectus may not be used to offer securities unless accompanied by a prospectus supplement.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offer and sell these securities to or through one or more underwriters, dealers and agents, or directly to purchasers, on a continuous or delayed basis. The prospectus supplement for each offering of securities will describe in detail the plan of distribution. If underwriters, dealers and agents are used to sell these securities, we will name them and describe their compensation in a prospectus supplement.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Our outstanding shares are listed for trading on the NASDAQ Stock Market, or NASDAQ, under the symbol “CLPS”. On May 24, 2019, the closing price of our shares on the NASDAQ Stock Market was US$6.2 per share. </w:t>
      </w:r>
      <w:r>
        <w:rPr>
          <w:rFonts w:ascii="Arial" w:cs="Arial" w:eastAsia="Arial" w:hAnsi="Arial"/>
          <w:sz w:val="18"/>
          <w:szCs w:val="18"/>
          <w:b w:val="1"/>
          <w:bCs w:val="1"/>
          <w:color w:val="auto"/>
        </w:rPr>
        <w:t>There is currently no established trading market through which the 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other than the shares, may be sold and purchasers may not be able to resell the securities purchased under this prospectus. This may affect the pricing of the securities in the secondary market, the transparency and availability of trading prices, the liquidity of the securities and the extent of issuer regulation.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 long as the aggregate market value worldwide of our outstanding common equity held by non-affiliates, or public float, is less than US$75 million, the aggregate market value of securities sold by us under this prospectus during the period of 12 calendar months immediately preceding the date of sale may be no more than one-third of our public float. Our public float, as calculated in accordance with General Instruction I.B.5 of Form F-3, was approximately US$22.96 million as of May 24, 2019. We have not sold any securities pursuant to General Instruction I.B.5 of Form F-3 during the prior 12 calendar month period that ends on and includes the date of this prospectus.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Investing in our securities involves risks. Prior to purchasing our securities, you should carefully consider the risk factors that will be described in any applicable prospectus supplement and the risk factors described in our filings with the Securities and Exchange Commission, or the SEC, as explained under the heading “Risk Factors” on page 5 of this prospectus.</w:t>
      </w:r>
    </w:p>
    <w:p>
      <w:pPr>
        <w:spacing w:after="0" w:line="17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Neither the SEC, nor any securities commission of any state of the United States or any Canadian securities regulator has approved or disapproved the securities offered hereby or determined if this prospectus is truthful or complete. Any representation to the contrary is a criminal offence.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June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60" w:type="dxa"/>
            <w:vAlign w:val="bottom"/>
            <w:gridSpan w:val="3"/>
          </w:tcPr>
          <w:p>
            <w:pPr>
              <w:ind w:left="8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ABOUT THIS PROSPECTUS</w:t>
              </w:r>
            </w:hyperlink>
          </w:p>
        </w:tc>
        <w:tc>
          <w:tcPr>
            <w:tcW w:w="8040" w:type="dxa"/>
            <w:vAlign w:val="bottom"/>
            <w:tcBorders>
              <w:bottom w:val="single" w:sz="8" w:color="CCEEFF"/>
            </w:tcBorders>
            <w:gridSpan w:val="13"/>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DOCUMENTS INCORPORATED BY REFERENCE</w:t>
              </w:r>
            </w:hyperlink>
          </w:p>
        </w:tc>
        <w:tc>
          <w:tcPr>
            <w:tcW w:w="6360" w:type="dxa"/>
            <w:vAlign w:val="bottom"/>
            <w:tcBorders>
              <w:bottom w:val="single" w:sz="8" w:color="CCEEFF"/>
            </w:tcBorders>
            <w:gridSpan w:val="3"/>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RISK FACTORS</w:t>
              </w:r>
            </w:hyperlink>
          </w:p>
        </w:tc>
        <w:tc>
          <w:tcPr>
            <w:tcW w:w="9020" w:type="dxa"/>
            <w:vAlign w:val="bottom"/>
            <w:tcBorders>
              <w:bottom w:val="single" w:sz="8" w:color="CCEEFF"/>
            </w:tcBorders>
            <w:gridSpan w:val="19"/>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CAUTIONARY STATEMENT REGARDING FORWARD-LOOKING STATEMENTS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EXCHANGE RATE INFORMATION</w:t>
              </w:r>
            </w:hyperlink>
          </w:p>
        </w:tc>
        <w:tc>
          <w:tcPr>
            <w:tcW w:w="7500" w:type="dxa"/>
            <w:vAlign w:val="bottom"/>
            <w:tcBorders>
              <w:bottom w:val="single" w:sz="8" w:color="CCEEFF"/>
            </w:tcBorders>
            <w:gridSpan w:val="11"/>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2"/>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PRICE RANGE OF COMMON SHARES AND TRADING MARKETS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COMMON SHARES</w:t>
              </w:r>
            </w:hyperlink>
          </w:p>
        </w:tc>
        <w:tc>
          <w:tcPr>
            <w:tcW w:w="5020" w:type="dxa"/>
            <w:vAlign w:val="bottom"/>
            <w:tcBorders>
              <w:top w:val="single" w:sz="8" w:color="CCEEFF"/>
            </w:tcBorders>
            <w:gridSpan w:val="2"/>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DESCRIPTION OF PREFERRED SHARES</w:t>
              </w:r>
            </w:hyperlink>
          </w:p>
        </w:tc>
        <w:tc>
          <w:tcPr>
            <w:tcW w:w="7020" w:type="dxa"/>
            <w:vAlign w:val="bottom"/>
            <w:tcBorders>
              <w:bottom w:val="single" w:sz="8" w:color="CCEEFF"/>
            </w:tcBorders>
            <w:gridSpan w:val="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WARRANTS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DESCRIPTION OF DEBT SECURITIES</w:t>
              </w:r>
            </w:hyperlink>
          </w:p>
        </w:tc>
        <w:tc>
          <w:tcPr>
            <w:tcW w:w="7240" w:type="dxa"/>
            <w:vAlign w:val="bottom"/>
            <w:tcBorders>
              <w:bottom w:val="single" w:sz="8" w:color="CCEEFF"/>
            </w:tcBorders>
            <w:gridSpan w:val="10"/>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RIGHTS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2"/>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DEPOSITARY SHARES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UNITS</w:t>
              </w:r>
            </w:hyperlink>
          </w:p>
        </w:tc>
        <w:tc>
          <w:tcPr>
            <w:tcW w:w="6960" w:type="dxa"/>
            <w:vAlign w:val="bottom"/>
            <w:tcBorders>
              <w:top w:val="single" w:sz="8" w:color="CCEEFF"/>
            </w:tcBorders>
            <w:gridSpan w:val="6"/>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PLAN OF DISTRIBUTION</w:t>
              </w:r>
            </w:hyperlink>
          </w:p>
        </w:tc>
        <w:tc>
          <w:tcPr>
            <w:tcW w:w="8220" w:type="dxa"/>
            <w:vAlign w:val="bottom"/>
            <w:tcBorders>
              <w:bottom w:val="single" w:sz="8" w:color="CCEEFF"/>
            </w:tcBorders>
            <w:gridSpan w:val="1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CERTAIN INCOME TAX CONSIDERATIONS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ENFORCEMENT OF CIVIL LIABILITIES</w:t>
              </w:r>
            </w:hyperlink>
          </w:p>
        </w:tc>
        <w:tc>
          <w:tcPr>
            <w:tcW w:w="7060" w:type="dxa"/>
            <w:vAlign w:val="bottom"/>
            <w:tcBorders>
              <w:bottom w:val="single" w:sz="8" w:color="CCEEFF"/>
            </w:tcBorders>
            <w:gridSpan w:val="8"/>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5655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2175" cy="5655310"/>
                    </a:xfrm>
                    <a:prstGeom prst="rect">
                      <a:avLst/>
                    </a:prstGeom>
                    <a:noFill/>
                  </pic:spPr>
                </pic:pic>
              </a:graphicData>
            </a:graphic>
          </wp:anchor>
        </w:drawing>
        <w:t>ABOUT THIS PROSPECTUS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prospectus is a part of a registration statement that we have filed with the SEC utilizing a “shelf” registration process. Under this shelf registration process, we may sell the securities described in this prospectus in one or more offerings up to a total dollar amount of initial aggregate offering price of US$40,000,000. This prospectus provides you with a general description of the securities that we may offer. Each time we sell securities under this process, we will provide a prospectus supplement that will contain specific information about the terms of that offering, including a description of any risks relating to the offering if those terms and risks are not described in this prospectus. A prospectus supplement may also add, update, or change information contained in this prospectus. If there is any inconsistency between the information in this prospectus and the applicable prospectus supplement, you should rely on the information in the prospectus supplement.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Before investing in our securities, please carefully read both this prospectus and any prospectus supplement together with the documents incorporated by reference into this prospectus, as listed under “Documents Incorporated by Reference,” and the additional information described below under “Where You Can Find More Information.”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securities to or through underwriters or dealers, and we may also sell securities directly to other purchasers or through agents. To the extent not described in this prospectus, the names of any underwriters, dealers, or agents employed by us in the sale of the securities covered by this prospectus, the principal amounts or number of shares or other securities, if any, to be purchased by such underwriters or dealers, and the compensation, if any, of such underwriters, dealers, or agents will be described in a prospectus supplement.</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Owning securities may subject you to tax consequences in the United States. This prospectus or any applicable prospectus supplement may not describe these tax consequences fully. You should read the tax discussion in any prospectus supplement with respect to a particular offering and consult your own tax advisor with respect to your own particular circumstances.</w:t>
      </w:r>
    </w:p>
    <w:p>
      <w:pPr>
        <w:spacing w:after="0" w:line="1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or a prospectus supplement. We have not authorized anyone to provide you with different information. If anyone provides you with different or inconsistent information, you should not rely on it. The distribution or possession of this prospectus in or from certain jurisdictions may be restricted by law. This prospectus is not an offer to sell the securities and is not soliciting an offer to buy the securities in any jurisdiction where the offer or sale is not permitted or where the person making the offer or sale is not qualified to do so or to any person to whom it is not permitted to make such offer or sale. You should assume that the information contained in this prospectus and in any applicable prospectus supplement is accurate only as of the date on the front cover of this prospectus or prospectus supplement, as applicable, and the information incorporated by reference into this prospectus or any prospectus supplement is accurate only as of the date of the document incorporated by reference. Our business, financial condition, results of operations and prospects may have changed since that date.</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prospectus and the documents incorporated by reference into this prospectus contain company names, product names, trade names, trademarks and service marks of CLPS and other organizations, all of which are the property of their respective owners. We own or have rights to trademarks, service marks or trade names that we use in connection with the operation of our business. Solely for convenience, the trademarks, service marks, tradenames and copyrights referred to in this prospectus are listed without the ©, ® and TM symbols, but we will assert, to the fullest extent under applicable law, our rights or the rights of the applicable licensors to these trademarks, service marks and tradenames.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this prospectus, unless the context otherwise requires, references to “CLPS,” the “company,” “we,” “us” or “our” refer to CLPS Incorporation.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360" w:top="931"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3734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2175" cy="3734435"/>
                    </a:xfrm>
                    <a:prstGeom prst="rect">
                      <a:avLst/>
                    </a:prstGeom>
                    <a:noFill/>
                  </pic:spPr>
                </pic:pic>
              </a:graphicData>
            </a:graphic>
          </wp:anchor>
        </w:drawing>
        <w:t>WHERE YOU CAN FIND MORE INFORMATION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filed with the SEC a registration statement on Form F-3, of which this prospectus forms a part. This prospectus does not contain all the information set out in the registration statement. For further information about us and the securities, please refer to the registration statement, including the exhibits to the registration statement. The exhibits to the registration statement provide more details of the matters discussed in this prospectus.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are subject to the informational requirements of the Securities Exchange Act of 1934, or the Exchange Act, and we file reports and other information with the SEC. You may read and copy any of our reports and other information at, and obtain copies upon payment of prescribed fees from, the Public Reference Room maintained by the SEC at 100 F Street, N.E., Washington, DC 20549. In addition, the SEC maintains a web site that contains reports and other information regarding registrants that file electronically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 The public may obtain information on the operation of the Public Reference Room by calling the SEC at 1-800-SEC-0330.</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certain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are also subject to the full informational requirements of the securities commissions in all provinces of Canada, and you are also invited to read and copy any reports, statements or other information, other than confidential filings, that we file with the Canadian provincial securities commissions. These filings are also electronically available from the Canadian System for Electronic Document Analysis and Retrieval at </w:t>
      </w:r>
      <w:r>
        <w:rPr>
          <w:rFonts w:ascii="Arial" w:cs="Arial" w:eastAsia="Arial" w:hAnsi="Arial"/>
          <w:sz w:val="18"/>
          <w:szCs w:val="18"/>
          <w:i w:val="1"/>
          <w:iCs w:val="1"/>
          <w:color w:val="auto"/>
        </w:rPr>
        <w:t>www.sedar.com</w:t>
      </w:r>
      <w:r>
        <w:rPr>
          <w:rFonts w:ascii="Arial" w:cs="Arial" w:eastAsia="Arial" w:hAnsi="Arial"/>
          <w:sz w:val="18"/>
          <w:szCs w:val="18"/>
          <w:color w:val="auto"/>
        </w:rPr>
        <w:t>, the Canadian equivalent of the SEC’s electronic document gathering and retrieval system.</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Our principal executive office is located at the 2nd Floor, Building 18, Shanghai Pudong Software Park, 498 Guoshoujing Road, Pudong, Shanghai 201203, PRC. Our telephone number is (+86)21-31268010. Our website is as follows www.clpsglobal.com. </w:t>
      </w:r>
      <w:r>
        <w:rPr>
          <w:rFonts w:ascii="Arial" w:cs="Arial" w:eastAsia="Arial" w:hAnsi="Arial"/>
          <w:sz w:val="18"/>
          <w:szCs w:val="18"/>
          <w:b w:val="1"/>
          <w:bCs w:val="1"/>
          <w:color w:val="auto"/>
        </w:rPr>
        <w:t>The information on our website is</w:t>
      </w:r>
      <w:r>
        <w:rPr>
          <w:rFonts w:ascii="Arial" w:cs="Arial" w:eastAsia="Arial" w:hAnsi="Arial"/>
          <w:sz w:val="18"/>
          <w:szCs w:val="18"/>
          <w:color w:val="auto"/>
        </w:rPr>
        <w:t xml:space="preserve"> </w:t>
      </w:r>
      <w:r>
        <w:rPr>
          <w:rFonts w:ascii="Arial" w:cs="Arial" w:eastAsia="Arial" w:hAnsi="Arial"/>
          <w:sz w:val="18"/>
          <w:szCs w:val="18"/>
          <w:b w:val="1"/>
          <w:bCs w:val="1"/>
          <w:color w:val="auto"/>
        </w:rPr>
        <w:t>not part of this prospectus.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360" w:top="931"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4420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2175" cy="4420870"/>
                    </a:xfrm>
                    <a:prstGeom prst="rect">
                      <a:avLst/>
                    </a:prstGeom>
                    <a:noFill/>
                  </pic:spPr>
                </pic:pic>
              </a:graphicData>
            </a:graphic>
          </wp:anchor>
        </w:drawing>
        <w:t>DOCUMENTS INCORPORATED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87" w:lineRule="exact"/>
        <w:rPr>
          <w:sz w:val="20"/>
          <w:szCs w:val="20"/>
          <w:color w:val="auto"/>
        </w:rPr>
      </w:pPr>
    </w:p>
    <w:p>
      <w:pPr>
        <w:ind w:left="980" w:hanging="327"/>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7">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June 30, 2018;</w:t>
      </w:r>
    </w:p>
    <w:p>
      <w:pPr>
        <w:spacing w:after="0" w:line="225" w:lineRule="exact"/>
        <w:rPr>
          <w:rFonts w:ascii="Arial" w:cs="Arial" w:eastAsia="Arial" w:hAnsi="Arial"/>
          <w:sz w:val="18"/>
          <w:szCs w:val="18"/>
          <w:color w:val="auto"/>
        </w:rPr>
      </w:pPr>
    </w:p>
    <w:p>
      <w:pPr>
        <w:jc w:val="both"/>
        <w:ind w:left="980" w:hanging="327"/>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shares set forth in our registration statement on </w:t>
      </w:r>
      <w:hyperlink r:id="rId28">
        <w:r>
          <w:rPr>
            <w:rFonts w:ascii="Arial" w:cs="Arial" w:eastAsia="Arial" w:hAnsi="Arial"/>
            <w:sz w:val="18"/>
            <w:szCs w:val="18"/>
            <w:u w:val="single" w:color="auto"/>
            <w:color w:val="0000EE"/>
          </w:rPr>
          <w:t>Form F-1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333-223956) filed with the SEC on March 27, 2018 and declared effective on May 23, 2018, and our </w:t>
      </w:r>
      <w:hyperlink r:id="rId2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22, 2018, including any amendment or report filed for the purpose of updating that description; and</w:t>
      </w:r>
    </w:p>
    <w:p>
      <w:pPr>
        <w:spacing w:after="0" w:line="181" w:lineRule="exact"/>
        <w:rPr>
          <w:rFonts w:ascii="Arial" w:cs="Arial" w:eastAsia="Arial" w:hAnsi="Arial"/>
          <w:sz w:val="18"/>
          <w:szCs w:val="18"/>
          <w:color w:val="auto"/>
        </w:rPr>
      </w:pPr>
    </w:p>
    <w:p>
      <w:pPr>
        <w:ind w:left="980" w:hanging="327"/>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Report of Foreign Private Issuer on Form 6-K furnished to the SEC on </w:t>
      </w:r>
      <w:hyperlink r:id="rId30">
        <w:r>
          <w:rPr>
            <w:rFonts w:ascii="Arial" w:cs="Arial" w:eastAsia="Arial" w:hAnsi="Arial"/>
            <w:sz w:val="18"/>
            <w:szCs w:val="18"/>
            <w:u w:val="single" w:color="auto"/>
            <w:color w:val="0000EE"/>
          </w:rPr>
          <w:t>November 28, 2018</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January 7</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February 20</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March 6</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March 26</w:t>
        </w:r>
      </w:hyperlink>
      <w:r>
        <w:rPr>
          <w:rFonts w:ascii="Arial" w:cs="Arial" w:eastAsia="Arial" w:hAnsi="Arial"/>
          <w:sz w:val="18"/>
          <w:szCs w:val="18"/>
          <w:color w:val="auto"/>
        </w:rPr>
        <w:t xml:space="preserve"> and </w:t>
      </w:r>
      <w:hyperlink r:id="rId35">
        <w:r>
          <w:rPr>
            <w:rFonts w:ascii="Arial" w:cs="Arial" w:eastAsia="Arial" w:hAnsi="Arial"/>
            <w:sz w:val="18"/>
            <w:szCs w:val="18"/>
            <w:u w:val="single" w:color="auto"/>
            <w:color w:val="0000EE"/>
          </w:rPr>
          <w:t>April 22, 2019</w:t>
        </w:r>
      </w:hyperlink>
      <w:r>
        <w:rPr>
          <w:rFonts w:ascii="Arial" w:cs="Arial" w:eastAsia="Arial" w:hAnsi="Arial"/>
          <w:sz w:val="18"/>
          <w:szCs w:val="18"/>
          <w:color w:val="auto"/>
        </w:rPr>
        <w:t>, respectively.</w:t>
      </w:r>
    </w:p>
    <w:p>
      <w:pPr>
        <w:spacing w:after="0" w:line="170"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documents filed by us pursuant to Sections 13(a), 13(c), 14 or 15(d) of the Exchange Act subsequent to the date of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71" w:lineRule="exact"/>
        <w:rPr>
          <w:rFonts w:ascii="Arial" w:cs="Arial" w:eastAsia="Arial" w:hAnsi="Arial"/>
          <w:sz w:val="18"/>
          <w:szCs w:val="18"/>
          <w:color w:val="auto"/>
        </w:rPr>
      </w:pPr>
    </w:p>
    <w:p>
      <w:pPr>
        <w:jc w:val="both"/>
        <w:ind w:firstLine="648"/>
        <w:spacing w:after="0" w:line="302" w:lineRule="auto"/>
        <w:rPr>
          <w:sz w:val="20"/>
          <w:szCs w:val="20"/>
          <w:color w:val="auto"/>
        </w:rPr>
      </w:pPr>
      <w:r>
        <w:rPr>
          <w:rFonts w:ascii="Arial" w:cs="Arial" w:eastAsia="Arial" w:hAnsi="Arial"/>
          <w:sz w:val="16"/>
          <w:szCs w:val="16"/>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54" w:lineRule="exact"/>
        <w:rPr>
          <w:rFonts w:ascii="Arial" w:cs="Arial" w:eastAsia="Arial" w:hAnsi="Arial"/>
          <w:sz w:val="18"/>
          <w:szCs w:val="18"/>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 incorporated by reference into those documents. Requests should be directed to our principal executive office, 2nd Floor, Building 18, Shanghai Pudong Software Park, 498 Guoshoujing Road, Pudong, Shanghai 201203, PRC.</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-70485</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360" w:top="93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4283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242175" cy="4283710"/>
                    </a:xfrm>
                    <a:prstGeom prst="rect">
                      <a:avLst/>
                    </a:prstGeom>
                    <a:noFill/>
                  </pic:spPr>
                </pic:pic>
              </a:graphicData>
            </a:graphic>
          </wp:anchor>
        </w:drawing>
        <w:t>SUMMARY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This summary does not contain all of the information about our company that may be important to you and your investment decision. You should carefully read the entire prospectus and the applicable prospectus supplement, including the section entitled “Risk Factors” as well as the risk factors described in the documents incorporated by reference into this prospectus and the applicable prospectus supplement, before making an investment decision.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630"/>
        <w:spacing w:after="0" w:line="259" w:lineRule="auto"/>
        <w:rPr>
          <w:sz w:val="20"/>
          <w:szCs w:val="20"/>
          <w:color w:val="auto"/>
        </w:rPr>
      </w:pPr>
      <w:r>
        <w:rPr>
          <w:rFonts w:ascii="Arial" w:cs="Arial" w:eastAsia="Arial" w:hAnsi="Arial"/>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and Hong Kong and their PRC-based IT centers.</w:t>
      </w:r>
    </w:p>
    <w:p>
      <w:pPr>
        <w:spacing w:after="0" w:line="187" w:lineRule="exact"/>
        <w:rPr>
          <w:sz w:val="20"/>
          <w:szCs w:val="20"/>
          <w:color w:val="auto"/>
        </w:rPr>
      </w:pPr>
    </w:p>
    <w:p>
      <w:pPr>
        <w:jc w:val="both"/>
        <w:ind w:firstLine="630"/>
        <w:spacing w:after="0" w:line="288" w:lineRule="auto"/>
        <w:rPr>
          <w:sz w:val="20"/>
          <w:szCs w:val="20"/>
          <w:color w:val="auto"/>
        </w:rPr>
      </w:pPr>
      <w:r>
        <w:rPr>
          <w:rFonts w:ascii="Arial" w:cs="Arial" w:eastAsia="Arial" w:hAnsi="Arial"/>
          <w:sz w:val="16"/>
          <w:szCs w:val="16"/>
          <w:color w:val="auto"/>
        </w:rPr>
        <w:t>CLPS Incorporation was incorporated under the laws of the Cayman Islands on May 11, 2017. Since our inception, we have aimed to build one of the largest sales and service delivery platforms for IT services and solutions in China. The nature of the Company’s services is such that it provides a majority of services to its banking and credit card clients in order to build new or modify existing clients’ own proprietary systems. We maintain ten delivery and or research &amp; development centers to serve different customers in various geographic locations. Seven centers are located in China including cities of Shanghai, Beijing, Dalian, Tianjin, Chengdu, Guangzhou and Shenzhen. The remaining three centers are located in Hong Kong, Singapore and Australia.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30"/>
        <w:spacing w:after="0" w:line="264" w:lineRule="auto"/>
        <w:rPr>
          <w:sz w:val="20"/>
          <w:szCs w:val="20"/>
          <w:color w:val="auto"/>
        </w:rPr>
      </w:pPr>
      <w:r>
        <w:rPr>
          <w:rFonts w:ascii="Arial" w:cs="Arial" w:eastAsia="Arial" w:hAnsi="Arial"/>
          <w:sz w:val="18"/>
          <w:szCs w:val="18"/>
          <w:color w:val="auto"/>
        </w:rPr>
        <w:t xml:space="preserve">Our principal executive office is located at the 2nd Floor, Building 18, Shanghai Pudong Software Park, 498 Guoshoujing Road, Pudong, Shanghai 201203, PRC. Our telephone number is (+86)21-31268010. Our website is as follows www.clpsglobal.com. </w:t>
      </w:r>
      <w:r>
        <w:rPr>
          <w:rFonts w:ascii="Arial" w:cs="Arial" w:eastAsia="Arial" w:hAnsi="Arial"/>
          <w:sz w:val="18"/>
          <w:szCs w:val="18"/>
          <w:b w:val="1"/>
          <w:bCs w:val="1"/>
          <w:color w:val="auto"/>
        </w:rPr>
        <w:t>The information on our website is</w:t>
      </w:r>
      <w:r>
        <w:rPr>
          <w:rFonts w:ascii="Arial" w:cs="Arial" w:eastAsia="Arial" w:hAnsi="Arial"/>
          <w:sz w:val="18"/>
          <w:szCs w:val="18"/>
          <w:color w:val="auto"/>
        </w:rPr>
        <w:t xml:space="preserve"> </w:t>
      </w:r>
      <w:r>
        <w:rPr>
          <w:rFonts w:ascii="Arial" w:cs="Arial" w:eastAsia="Arial" w:hAnsi="Arial"/>
          <w:sz w:val="18"/>
          <w:szCs w:val="18"/>
          <w:b w:val="1"/>
          <w:bCs w:val="1"/>
          <w:color w:val="auto"/>
        </w:rPr>
        <w:t>not part of this filing.</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380" w:top="93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 investment in our securities involves a high degree of risk and should be considered speculative. An investment in our securities should only be undertaken by those persons who can afford the total loss of their investment. In addition to the risk factors below, you should carefully consider the risks and uncertainties described under “Item 3D. Risk Factors” in our Annual Report on Form 20-F for the fiscal year ended June 30, 2018 and under “Risk Factors” in our registration statement on Form F-1 (File No. 333-223956) filed with the SEC on March 27, 2018 and declared effective on May 23, 2018, which sections are incorporated by reference herein, and the other information contained in this prospectus, as updated by our subsequent filings under the Exchange Act and the risk factors and other information contained in any applicable prospectus supplement, before purchasing any of our securities. Additional risks and uncertainties not presently known to us or that we believe to be immaterial may also adversely affect our business. If any of these risks actually occur, our business, financial condition, prospects, results of operations or cash flow could be materially and adversely affected and you could lose all or a part of the value of your investment.</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general economic conditions, geopolitical conditions, U.S.-China trade relations and other factors beyond the Company’s control may adversely impact our business and operating results.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operations and performance depend significantly on global and regional economic and geopolitical conditions. Changes in U.S.-China trade policies, and a number of other economic and geopolitical factors both in China and abroad could have a material adverse effect on the Company’s business, financial condition, results of operations or cash flows. Such factors may include, without limitation:</w:t>
      </w:r>
    </w:p>
    <w:p>
      <w:pPr>
        <w:spacing w:after="0" w:line="181" w:lineRule="exact"/>
        <w:rPr>
          <w:sz w:val="20"/>
          <w:szCs w:val="20"/>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20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intergovernmental conflicts or actions, including but not limited to armed conflict, trade wars, retaliatory tariffs, and acts of terrorism or war; and</w:t>
      </w:r>
    </w:p>
    <w:p>
      <w:pPr>
        <w:spacing w:after="0" w:line="19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174" w:lineRule="exact"/>
        <w:rPr>
          <w:sz w:val="20"/>
          <w:szCs w:val="20"/>
          <w:color w:val="auto"/>
        </w:rPr>
      </w:pPr>
    </w:p>
    <w:p>
      <w:pPr>
        <w:ind w:right="180" w:firstLine="648"/>
        <w:spacing w:after="0" w:line="251" w:lineRule="auto"/>
        <w:rPr>
          <w:sz w:val="20"/>
          <w:szCs w:val="20"/>
          <w:color w:val="auto"/>
        </w:rPr>
      </w:pPr>
      <w:r>
        <w:rPr>
          <w:rFonts w:ascii="Arial" w:cs="Arial" w:eastAsia="Arial" w:hAnsi="Arial"/>
          <w:sz w:val="22"/>
          <w:szCs w:val="22"/>
          <w:color w:val="auto"/>
        </w:rPr>
        <w:t>Any of the foregoing or similar factors could result in reduced demand for our services which, in turn, could have material adverse effects on our business and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prospectus, including the documents incorporated by reference herein, contains information that may be forward-looking statements within the meaning of applicable securities laws.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on the success of our business.</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conducted in China and majority of our revenues is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information concerning exchange rates between the RMB and the U.S. dollar for the periods indicated. On May 17, 2019, the buying rate announced by the Federal Reserve Statistical Release was RMB 6.9182 to $1.00.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Spot Exchange Rate</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490"/>
              <w:spacing w:after="0" w:line="198" w:lineRule="exact"/>
              <w:rPr>
                <w:sz w:val="20"/>
                <w:szCs w:val="20"/>
                <w:color w:val="auto"/>
              </w:rPr>
            </w:pPr>
            <w:r>
              <w:rPr>
                <w:rFonts w:ascii="Arial" w:cs="Arial" w:eastAsia="Arial" w:hAnsi="Arial"/>
                <w:sz w:val="18"/>
                <w:szCs w:val="18"/>
                <w:b w:val="1"/>
                <w:bCs w:val="1"/>
                <w:color w:val="auto"/>
              </w:rPr>
              <w:t>Period</w:t>
            </w:r>
          </w:p>
        </w:tc>
        <w:tc>
          <w:tcPr>
            <w:tcW w:w="1440" w:type="dxa"/>
            <w:vAlign w:val="bottom"/>
          </w:tcPr>
          <w:p>
            <w:pPr>
              <w:jc w:val="right"/>
              <w:ind w:right="470"/>
              <w:spacing w:after="0" w:line="198" w:lineRule="exact"/>
              <w:rPr>
                <w:sz w:val="20"/>
                <w:szCs w:val="20"/>
                <w:color w:val="auto"/>
              </w:rPr>
            </w:pPr>
            <w:r>
              <w:rPr>
                <w:rFonts w:ascii="Arial" w:cs="Arial" w:eastAsia="Arial" w:hAnsi="Arial"/>
                <w:sz w:val="18"/>
                <w:szCs w:val="18"/>
                <w:b w:val="1"/>
                <w:bCs w:val="1"/>
                <w:color w:val="auto"/>
              </w:rPr>
              <w:t>Average</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Ended</w:t>
            </w:r>
          </w:p>
        </w:tc>
        <w:tc>
          <w:tcPr>
            <w:tcW w:w="1440" w:type="dxa"/>
            <w:vAlign w:val="bottom"/>
          </w:tcPr>
          <w:p>
            <w:pPr>
              <w:ind w:left="460"/>
              <w:spacing w:after="0"/>
              <w:rPr>
                <w:sz w:val="20"/>
                <w:szCs w:val="20"/>
                <w:color w:val="auto"/>
              </w:rPr>
            </w:pPr>
            <w:r>
              <w:rPr>
                <w:rFonts w:ascii="Arial" w:cs="Arial" w:eastAsia="Arial" w:hAnsi="Arial"/>
                <w:sz w:val="18"/>
                <w:szCs w:val="18"/>
                <w:b w:val="1"/>
                <w:bCs w:val="1"/>
                <w:color w:val="auto"/>
              </w:rPr>
              <w:t>(1)</w:t>
            </w: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Low</w:t>
            </w: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High</w:t>
            </w: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40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(RMB per US$1.00)</w:t>
            </w: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6.9430</w:t>
            </w:r>
          </w:p>
        </w:tc>
        <w:tc>
          <w:tcPr>
            <w:tcW w:w="14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6.6400</w:t>
            </w:r>
          </w:p>
        </w:tc>
        <w:tc>
          <w:tcPr>
            <w:tcW w:w="13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6.4480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6.5063</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6.7569</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6.4773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6.9575</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6.8755</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6.6090</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6.2649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6.9737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January</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6.6958</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6.7863</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6.6958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6.8708</w:t>
            </w: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February</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6.6912</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6.7367</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6.6822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6.7907</w:t>
            </w: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6.7112</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6.7119</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6.6916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6.7381</w:t>
            </w: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April</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6.7347</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6.7161</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6.6870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6.7418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Source: https://www.federalreserve.gov/releases/h10/hist/default.htm.</w:t>
      </w:r>
    </w:p>
    <w:p>
      <w:pPr>
        <w:spacing w:after="0" w:line="225"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averages, lows, and highs are calculated from month-end rates. Monthly averages, lows, and highs are calculated using the average of the daily rates during the relevant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Unless otherwise indicated in a prospectus supplement, the net proceeds that we receive from the sale of the securities offered by this prospectus will be used by us for working capital and general corporate purposes. We have not allocated any portion of the net proceeds for any particular use as of the date of this prospectus. The net proceeds may be invested temporarily until they are used for their stated purpose. Specific information concerning the use of proceeds from the sale of any securities will be included in the prospectus supplement relating to such securities.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SHARES AND TRADING MARKETS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Since May 24, 2018, our shares have been listed on the NASDAQ under the ticker symbol CLPS. The following tables set forth, for the periods indicated, the high and low market prices of our shares as reported on the NASDAQ.</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ind w:left="860"/>
              <w:spacing w:after="0"/>
              <w:rPr>
                <w:sz w:val="20"/>
                <w:szCs w:val="20"/>
                <w:color w:val="auto"/>
              </w:rPr>
            </w:pPr>
            <w:r>
              <w:rPr>
                <w:rFonts w:ascii="Arial" w:cs="Arial" w:eastAsia="Arial" w:hAnsi="Arial"/>
                <w:sz w:val="18"/>
                <w:szCs w:val="18"/>
                <w:b w:val="1"/>
                <w:bCs w:val="1"/>
                <w:color w:val="auto"/>
              </w:rPr>
              <w:t>NASDAQ</w:t>
            </w: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w:t>
            </w:r>
          </w:p>
        </w:tc>
        <w:tc>
          <w:tcPr>
            <w:tcW w:w="13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High US$</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Low US$</w:t>
            </w:r>
          </w:p>
        </w:tc>
        <w:tc>
          <w:tcPr>
            <w:tcW w:w="100" w:type="dxa"/>
            <w:vAlign w:val="bottom"/>
          </w:tcPr>
          <w:p>
            <w:pPr>
              <w:spacing w:after="0"/>
              <w:rPr>
                <w:sz w:val="20"/>
                <w:szCs w:val="20"/>
                <w:color w:val="auto"/>
              </w:rPr>
            </w:pPr>
          </w:p>
        </w:tc>
      </w:tr>
      <w:tr>
        <w:trPr>
          <w:trHeight w:val="216"/>
        </w:trPr>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2018</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r>
      <w:tr>
        <w:trPr>
          <w:trHeight w:val="453"/>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4"/>
          </w:tcPr>
          <w:p>
            <w:pPr>
              <w:ind w:left="860"/>
              <w:spacing w:after="0"/>
              <w:rPr>
                <w:sz w:val="20"/>
                <w:szCs w:val="20"/>
                <w:color w:val="auto"/>
              </w:rPr>
            </w:pPr>
            <w:r>
              <w:rPr>
                <w:rFonts w:ascii="Arial" w:cs="Arial" w:eastAsia="Arial" w:hAnsi="Arial"/>
                <w:sz w:val="18"/>
                <w:szCs w:val="18"/>
                <w:b w:val="1"/>
                <w:bCs w:val="1"/>
                <w:color w:val="auto"/>
              </w:rPr>
              <w:t>NASDAQ</w:t>
            </w: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High US$</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Low US$</w:t>
            </w:r>
          </w:p>
        </w:tc>
        <w:tc>
          <w:tcPr>
            <w:tcW w:w="100" w:type="dxa"/>
            <w:vAlign w:val="bottom"/>
          </w:tcPr>
          <w:p>
            <w:pPr>
              <w:spacing w:after="0"/>
              <w:rPr>
                <w:sz w:val="20"/>
                <w:szCs w:val="20"/>
                <w:color w:val="auto"/>
              </w:rPr>
            </w:pPr>
          </w:p>
        </w:tc>
      </w:tr>
      <w:tr>
        <w:trPr>
          <w:trHeight w:val="216"/>
        </w:trPr>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1st Quarter ended September 30, 2018</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2nd Quarter ended December 31, 2018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ended March 31, 2019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holders of common shares are entitled to vote at all meetings of our shareholders. The holders of common shares are entitled to receive dividends as and when declared by the board, if 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DESCRIPTION OF COMMON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a Cayman Islands company and our affairs are governed by our Memorandum and Articles of Association and Companies Law of the Cayman Islands, which we refer to as the Companies Law below. As of the date hereof, our authorized share capital consists of 100,000,000 common shares with a par value of US$0.0001 per share. As of May 24, 2019, there were 13,913,201 shares issued and outstanding. The following are summaries of material provisions of our memorandum and articles of association and the Companies Law insofar as they relate to the material terms of our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All of our outstanding common shares are fully paid and non-assessable. Certificates representing the common shares are issued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form. Our shareholders, whether or not they are non-residents of the Cayman Islands, may freely hold and transfer their common shares in accordance with the Memorandum and Articles of Association.</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holders of our common shares are entitled to such dividends as may be declared by our board of directors. Our articles of association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our board of directors may declare and pay dividends if justified by our financial position and permitted by law.</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In respect of all matters subject to a shareholders’ vote, each common share is entitled to one vote. Voting at any meeting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Transfer of Common Shares. </w:t>
      </w:r>
      <w:r>
        <w:rPr>
          <w:rFonts w:ascii="Arial" w:cs="Arial" w:eastAsia="Arial" w:hAnsi="Arial"/>
          <w:sz w:val="17"/>
          <w:szCs w:val="17"/>
          <w:color w:val="auto"/>
        </w:rPr>
        <w:t>Subject to the restrictions set out below, any of our shareholders may transfer all or any of his or her common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Calls on Common Shares and Forfeiture of Common Shares. </w:t>
      </w:r>
      <w:r>
        <w:rPr>
          <w:rFonts w:ascii="Arial" w:cs="Arial" w:eastAsia="Arial" w:hAnsi="Arial"/>
          <w:sz w:val="18"/>
          <w:szCs w:val="18"/>
          <w:color w:val="auto"/>
        </w:rPr>
        <w:t>Our board of directors may from time to time make calls upon shareholders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unpaid on their common shares in a notice served to such shareholders at least 14 clear days prior to the specified time of payment. The common shares that have been called upon and remain unpaid are subject to forfeiture.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Redemption of Common Shares. </w:t>
      </w:r>
      <w:r>
        <w:rPr>
          <w:rFonts w:ascii="Arial" w:cs="Arial" w:eastAsia="Arial" w:hAnsi="Arial"/>
          <w:sz w:val="17"/>
          <w:szCs w:val="17"/>
          <w:color w:val="auto"/>
        </w:rPr>
        <w:t>The Companies Law and our memorandum of association permit us to purchase our own shares.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Law have been satisfied, including out of capital, as may be determined by our board of directors.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common shares have no general right under our articles of association to inspect or obtain copies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memorandum of association authorizes our board of directors to issue additional common shares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as our board of directors shall determine, to the extent of available authorized but unissued shares. Our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8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designation of the series to be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common shares.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memorandum and articles of association may discourage, delay or prevent a change of control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 – Exclusive Forum Provision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Law,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Companies Law is modeled after that of English law but does not follow many recent English law statutory enactments. In addition, the Companies Law differs from laws applicable to United States corporations and their shareholders. Set forth below is a summary of some of the significant differences between the provisions of the Companies Law applicable to us and the laws applicable to companies incorporated in the State of Delaware.</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Mergers and Similar Arrangements. </w:t>
      </w:r>
      <w:r>
        <w:rPr>
          <w:rFonts w:ascii="Arial" w:cs="Arial" w:eastAsia="Arial" w:hAnsi="Arial"/>
          <w:sz w:val="18"/>
          <w:szCs w:val="18"/>
          <w:color w:val="auto"/>
        </w:rPr>
        <w:t>The Companies Law permits mergers and consolidations between Cayman Islands companies and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consolidated company and the vesting of the undertaking, property and liabilities of such companies to the consolidated company.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under the Companies Law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17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arrangement is such that an intelligent and honest man of that class acting in respect of his interest would reasonably approve;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When a take-over offer is made and accepted by holders of not less than 90% of the shares within four months, the offer, or may, within a two-month period conversing on the expiration of such four months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ind w:firstLine="648"/>
        <w:spacing w:after="0" w:line="264"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 as a company and as a general rule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8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 and is therefore incapable of ratification by the shareholders;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duly effected if authorized by more than a simple majority vote that has not been obtained;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Indemnification of Directors and Executive Officers and Limitation of Liability. </w:t>
      </w:r>
      <w:r>
        <w:rPr>
          <w:rFonts w:ascii="Arial" w:cs="Arial" w:eastAsia="Arial" w:hAnsi="Arial"/>
          <w:sz w:val="16"/>
          <w:szCs w:val="16"/>
          <w:color w:val="auto"/>
        </w:rPr>
        <w:t>The Companies Law does not limit the extent to which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courts are moving towards an objective standard with regard to the required skill and care and these authorities are likely to be followed in the Cayman Islands.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Shareholder Action by Written Consent. </w:t>
      </w:r>
      <w:r>
        <w:rPr>
          <w:rFonts w:ascii="Arial" w:cs="Arial" w:eastAsia="Arial" w:hAnsi="Arial"/>
          <w:sz w:val="18"/>
          <w:szCs w:val="18"/>
          <w:color w:val="auto"/>
        </w:rPr>
        <w:t>Under the Delaware General Corporation Law, a corporation may eliminate the right of shareholders to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Law provides shareholders with only limited rights to requisition a general meeting and does not provide shareholders with any right to put any proposal before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Cumulative Voting. </w:t>
      </w:r>
      <w:r>
        <w:rPr>
          <w:rFonts w:ascii="Arial" w:cs="Arial" w:eastAsia="Arial" w:hAnsi="Arial"/>
          <w:sz w:val="18"/>
          <w:szCs w:val="18"/>
          <w:color w:val="auto"/>
        </w:rPr>
        <w:t>Under the Delaware General Corporation Law, cumulative voting for elections of directors is not permitted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Law but our articles of association do not provide for cumulative voting.</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Removal of Directors. </w:t>
      </w:r>
      <w:r>
        <w:rPr>
          <w:rFonts w:ascii="Arial" w:cs="Arial" w:eastAsia="Arial" w:hAnsi="Arial"/>
          <w:sz w:val="18"/>
          <w:szCs w:val="18"/>
          <w:color w:val="auto"/>
        </w:rPr>
        <w:t>Under the Delaware General Corporation Law, a director of a corporation with a may be removed with the approval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outstanding shares entitled to vote, unless the certificate of incorporation provides otherwise. Under our articles of association, directors may be removed with or without cause, by an ordinary resolution of our shareholders.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 Delaware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 dissolution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articles of association, our company may be dissolved, liquidated or wound up by a special resolution of our shareholders.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the Companies Law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Amendment of Governing Documents. </w:t>
      </w:r>
      <w:r>
        <w:rPr>
          <w:rFonts w:ascii="Arial" w:cs="Arial" w:eastAsia="Arial" w:hAnsi="Arial"/>
          <w:sz w:val="17"/>
          <w:szCs w:val="17"/>
          <w:color w:val="auto"/>
        </w:rPr>
        <w:t>Under the Delaware General Corporation Law, a corporation’s governing documents may be amended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approval of a majority of the outstanding shares entitled to vote, unless the certificate of incorporation provides otherwise. As permitted by the Companies Law, our memorandum and articles of association may only be amended with a special resolution of our shareholders.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Rights of Non-resident or Foreign Shareholders. </w:t>
      </w:r>
      <w:r>
        <w:rPr>
          <w:rFonts w:ascii="Arial" w:cs="Arial" w:eastAsia="Arial" w:hAnsi="Arial"/>
          <w:sz w:val="18"/>
          <w:szCs w:val="18"/>
          <w:color w:val="auto"/>
        </w:rPr>
        <w:t>There are no limitations imposed by our memorandum and articles of association on the rights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DESCRIPTION OF PREFERRED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the certificate of designation relating to that series. The rights, preferences, privileges and restrictions of the preferred stock of each series will be fixed by the certificate of designation relating to that series.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has the authority, without stockholder approval, subject to limitations prescribed by law, to provide for the issuance of the shares of preferred stock in one or more series, to establish from time to time the number of shares to be included in each such series, and to fix the designation, powers, preferences and rights of the shares of each series and the qualifications, limitations or restrictions, including, but not limited to, the following:</w:t>
      </w:r>
    </w:p>
    <w:p>
      <w:pPr>
        <w:spacing w:after="0" w:line="18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shares constituting that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 rights and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conversion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rights and terms of redemption (including sinking fund provisions);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rights of the series in the event of liquidation, dissolution or winding up.</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All shares of preferred stock offered hereby will, when issued, be fully paid and nonassessable and will not have any preemptive or similar rights. 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set forth in a prospectus supplement relating to the series of preferred stock being offered the following items:</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and stated value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shares of the preferred stock offered, the liquidation preference per share and the offering price of the preferred stock;</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applicable to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dividends are cumulative or non-cumulative and, if cumulative, the date from which dividends on the preferred stock will accumulate;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for a sinking fund, if any, for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 for redemption, if applicable,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stock will be convertible into common stock, including the conversion price (or manner of calculation) and conversion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discussion of any material and/or special United States federal income tax considerations applicable to the preferred stock;</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the liquidation, dissolution or winding up of our affairs;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of preferred stock will be set forth in the applicable prospectus supplement.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may issue warrants for the purchase of common shares. Warrants may be offered separately or together with other securities offered by this prospectus, as the case may be. Unless the applicable prospectus supplement otherwise indicates, each series of warrants will be issued under a separate warrant agreement to be entered into between us and one or more banks or trust companies acting as warrant agent. The applicable prospectus supplement will include details of the warrant agreements covering the warrants being offered. The warrant agent will act solely as our agent and will not assume a relationship of agency with any holders of warrant certificates or beneficial owners of warrants.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sets forth certain general terms and provisions of the warrants offered under this prospectus. The specific terms of the warrants, and the extent to which the general terms described in this section apply to those warrants, will be set forth in the applicable prospectus supplement. The terms of any warrants offered under a prospectus supplement may differ from the terms described below.</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particular terms of each issue of warrants will be described in the related prospectus supplement. This description will include some or all of the following:</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and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at which the warrants will be offered;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currency or currencies in which the warrants will be offered;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and terms of our common shares purchasable upon exercise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common shares that may be purchased upon exercise of each warrant and the price at which and currency or currencies in which our common shares may be purchased upon exercise of each warrant;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will be offered, if any, and the number of the warrants that will be offered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if any, on or after which the warrants and the related securities will be transferable separately;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whether the warrants will be subject to redemption or call and, if so, the terms of such redemption or call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 United States and Canadian tax consequences of owning the warrants;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material terms or conditions of the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warrant will entitle the holder to purchase common shares, as specified in the applicable prospectus supplement at the exercise price that we describe therein.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description is a summary of the material provisions of the debt securities and the related indenture. We urge you to read the form of indenture filed as an exhibit to the registration statement of which this prospectus is a part because the indenture, and not this description, governs your rights as a holder of debt securities. References in this prospectus to an “indenture” refer to the particular indenture under which we may issue a series of debt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The particular terms of each series of debt securities will be described in a prospectus supplement relating to such series, including any pricing supplement. The prospectus supplement will set forth specific terms relating to some or all of the following:</w:t>
      </w:r>
    </w:p>
    <w:p>
      <w:pPr>
        <w:spacing w:after="0" w:line="18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the principal will be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if any, the date interest will accrue, the interest payment dates and the regular record 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mandatory or optional redemption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applicable, the method for determining how the principal, premium, if any, or interest will be calculated by reference to an index or formula;</w:t>
      </w:r>
    </w:p>
    <w:p>
      <w:pPr>
        <w:spacing w:after="0" w:line="248"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the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portion of the principal amount that will be payable upon acceleration of stated maturity, if other than the entire principal amount;</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defeasance provisions if different from those described below under “Satisfaction and Discharge; Defeasance”;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obligation to redeem or purchase the debt securities pursuant to a sinking fund;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security;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subordination provisions, if different from those described below under “Subordination”;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or covenants;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potential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registered in the name of a depositary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event of default is continuing;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executes and delivers to the trustee an officers’ certificate stating that the global security is exchangeable.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18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not be entitled to physical delivery of certificated debt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not be considered to be holders of those debt securities under the indentures.</w:t>
      </w:r>
    </w:p>
    <w:p>
      <w:pPr>
        <w:spacing w:after="0" w:line="225" w:lineRule="exact"/>
        <w:rPr>
          <w:sz w:val="20"/>
          <w:szCs w:val="20"/>
          <w:color w:val="auto"/>
        </w:rPr>
      </w:pPr>
    </w:p>
    <w:p>
      <w:pPr>
        <w:jc w:val="both"/>
        <w:ind w:firstLine="308"/>
        <w:spacing w:after="0" w:line="264"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1" w:lineRule="exact"/>
        <w:rPr>
          <w:sz w:val="20"/>
          <w:szCs w:val="20"/>
          <w:color w:val="auto"/>
        </w:rPr>
      </w:pPr>
    </w:p>
    <w:p>
      <w:pPr>
        <w:jc w:val="both"/>
        <w:ind w:firstLine="308"/>
        <w:spacing w:after="0" w:line="286" w:lineRule="auto"/>
        <w:rPr>
          <w:sz w:val="20"/>
          <w:szCs w:val="20"/>
          <w:color w:val="auto"/>
        </w:rPr>
      </w:pPr>
      <w:r>
        <w:rPr>
          <w:rFonts w:ascii="Arial" w:cs="Arial" w:eastAsia="Arial" w:hAnsi="Arial"/>
          <w:sz w:val="17"/>
          <w:szCs w:val="17"/>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Payments, transfers and exchanges relating to beneficial interests in a global security will be subject to policies and procedures of the depositary.</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depositary policies and procedures may change from time to time. Neither we nor the trustee will have any responsibility or liability for the depositary’s or any participant’s records with respect to beneficial interests in a global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moneys paid by us to a paying agent for payment on any debt security which remain unclaimed at the end of two years after such payment was due will be repaid to us. Thereafter, the holder may look only to us for such payment.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Except as otherwise set forth in the prospectus supplement, we may not consolidate with or merge into any other person, in a transaction in which we are not the surviving corporation, or convey, transfer or lease our properties and assets substantially as an entirety to, any person, unless:</w:t>
      </w:r>
    </w:p>
    <w:p>
      <w:pPr>
        <w:spacing w:after="0" w:line="14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successor, if any, is a U.S. corporation, limited liability company, partnership, trust or other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successor assumes our obligations on the debt securities and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inform you otherwise in the prospectus supplement, the indenture will define an event of default with respect to any series of debt securities as one or more of the following events:</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debt security of that series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any interest on any debt security of that series for 30 days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deposit any sinking fund payment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continued for 90 days after being given the notice required in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bankruptcy, insolvency or reorganization;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event of default specified in the prospectus supplement.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event of default of one series of debt securities is not necessarily an event of default for any other series of debt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 event of default, other than an event of default described in clause (5) above, shall occur and be continuing, either the trustee or the holders of at least 25% in aggregate principal amount of the outstanding securities of that series may declare the principal amount of the debt securities of that series to be due and payable immediately.</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an event of default described in clause (5) above shall occur, the principal amount of all the debt securities of that series will automatically become immediately due and payable. Any payment by us on subordinated debt securities following any such acceleration will be subject to the subordination provisions described below under “Subordinated Debt Securities.”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firstLine="648"/>
        <w:spacing w:after="0" w:line="277" w:lineRule="auto"/>
        <w:rPr>
          <w:sz w:val="20"/>
          <w:szCs w:val="20"/>
          <w:color w:val="auto"/>
        </w:rPr>
      </w:pPr>
      <w:r>
        <w:rPr>
          <w:rFonts w:ascii="Arial" w:cs="Arial" w:eastAsia="Arial" w:hAnsi="Arial"/>
          <w:sz w:val="18"/>
          <w:szCs w:val="18"/>
          <w:color w:val="auto"/>
        </w:rPr>
        <w:t>A holder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960" w:hanging="304"/>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holder has previously given to the trustee written notice of a continuing event of default with respect to the debt securities of that series;</w:t>
      </w:r>
    </w:p>
    <w:p>
      <w:pPr>
        <w:spacing w:after="0" w:line="236" w:lineRule="exact"/>
        <w:rPr>
          <w:rFonts w:ascii="Arial" w:cs="Arial" w:eastAsia="Arial" w:hAnsi="Arial"/>
          <w:sz w:val="17"/>
          <w:szCs w:val="17"/>
          <w:color w:val="auto"/>
        </w:rPr>
      </w:pPr>
    </w:p>
    <w:p>
      <w:pPr>
        <w:ind w:left="960" w:hanging="304"/>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960" w:hanging="304"/>
        <w:spacing w:after="0" w:line="308" w:lineRule="auto"/>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trustee has failed to institute the proceeding and has not received direction inconsistent with the original request from the holders of a majority in aggregate principal amount of the outstanding debt securities of that series within 90 days after the original request.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Holders may, however, sue to enforce the payment of principal or interest on any debt security on or after the due date without following the procedures listed in (1) through (3)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provided in the next two succeeding paragraphs, the applicable trustee and we may make modifications and amendments to the indentures (including, without limitation, through consents obtained in connection with a tender offer or exchange offer for, outstanding securities) and may waive any existing default or event of default (including, without limitation, through consents obtained in connection with a tender offer or exchange offer for, outstanding securities) with the consent of the holders of a majority in aggregate principal amount of the outstanding securities of each series affected by the modification or amendment.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However, neither we nor the trustee may make any amendment or waiver without the consent of the holder of each outstanding security of that series affected by the amendment or waiver if such amendment or waiver would, among other things:</w:t>
      </w:r>
    </w:p>
    <w:p>
      <w:pPr>
        <w:spacing w:after="0" w:line="170" w:lineRule="exact"/>
        <w:rPr>
          <w:sz w:val="20"/>
          <w:szCs w:val="20"/>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amount of securities whose holders must consent to an amendment, supplement or waiver;</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on any debt security or reduce the amount of, or postpone the date fixed for, the payment of any sinking fund;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on acceleration of maturity;</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rate of interest or extend the time for payment of interest on any debt security;</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 principal or interest payment on any debt security in any currency other than that stated in the debt security;</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60" w:hanging="304"/>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 any default or event of default in payment of the principal of, premium or interest on any debt security (except certain rescissions of acceleration); or</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 a redemption payment or modify any of the redemption provisions of any debt security;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firstLine="648"/>
        <w:spacing w:after="0" w:line="277" w:lineRule="auto"/>
        <w:rPr>
          <w:sz w:val="20"/>
          <w:szCs w:val="20"/>
          <w:color w:val="auto"/>
        </w:rPr>
      </w:pPr>
      <w:r>
        <w:rPr>
          <w:rFonts w:ascii="Arial" w:cs="Arial" w:eastAsia="Arial" w:hAnsi="Arial"/>
          <w:sz w:val="18"/>
          <w:szCs w:val="18"/>
          <w:color w:val="auto"/>
        </w:rPr>
        <w:t>Notwithstanding the preceding, without the consent of any holder of outstanding securities, we and the trustee may amend or supplement the indentures:</w:t>
      </w:r>
    </w:p>
    <w:p>
      <w:pPr>
        <w:spacing w:after="0" w:line="170" w:lineRule="exact"/>
        <w:rPr>
          <w:sz w:val="20"/>
          <w:szCs w:val="20"/>
          <w:color w:val="auto"/>
        </w:rPr>
      </w:pPr>
    </w:p>
    <w:p>
      <w:pPr>
        <w:ind w:left="960" w:hanging="304"/>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48" w:lineRule="exact"/>
        <w:rPr>
          <w:rFonts w:ascii="Arial" w:cs="Arial" w:eastAsia="Arial" w:hAnsi="Arial"/>
          <w:sz w:val="16"/>
          <w:szCs w:val="16"/>
          <w:color w:val="auto"/>
        </w:rPr>
      </w:pPr>
    </w:p>
    <w:p>
      <w:pPr>
        <w:ind w:left="960" w:hanging="30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960" w:hanging="304"/>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the assumption of our obligations to holders of any debt security in the case of a merger, consolidation, transfer or sale of all or substantially all of our assets;</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legal rights under the indenture of any such holder;</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comply with requirements of the Commission in order to effect or maintain the qualification of an indenture under the Trust Indenture Act; or</w:t>
      </w:r>
    </w:p>
    <w:p>
      <w:pPr>
        <w:spacing w:after="0" w:line="248" w:lineRule="exact"/>
        <w:rPr>
          <w:rFonts w:ascii="Arial" w:cs="Arial" w:eastAsia="Arial" w:hAnsi="Arial"/>
          <w:sz w:val="16"/>
          <w:szCs w:val="16"/>
          <w:color w:val="auto"/>
        </w:rPr>
      </w:pPr>
    </w:p>
    <w:p>
      <w:pPr>
        <w:jc w:val="both"/>
        <w:ind w:left="960" w:hanging="304"/>
        <w:spacing w:after="0" w:line="264"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trusts by more than one Trustee.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consent of holders is not necessary under the indentures to approve the particular form of any proposed amendment. It is sufficient if such consent approves the substance of the proposed amendment.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w:t>
      </w:r>
    </w:p>
    <w:p>
      <w:pPr>
        <w:spacing w:after="0" w:line="225" w:lineRule="exact"/>
        <w:rPr>
          <w:sz w:val="20"/>
          <w:szCs w:val="20"/>
          <w:color w:val="auto"/>
        </w:rPr>
      </w:pPr>
    </w:p>
    <w:p>
      <w:pPr>
        <w:ind w:left="960" w:hanging="304"/>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be discharged from all of our obligations, subject to limited exceptions, with respect to any series of debt securities then outstanding; and/or</w:t>
      </w:r>
    </w:p>
    <w:p>
      <w:pPr>
        <w:spacing w:after="0" w:line="248" w:lineRule="exact"/>
        <w:rPr>
          <w:rFonts w:ascii="Arial" w:cs="Arial" w:eastAsia="Arial" w:hAnsi="Arial"/>
          <w:sz w:val="16"/>
          <w:szCs w:val="16"/>
          <w:color w:val="auto"/>
        </w:rPr>
      </w:pPr>
    </w:p>
    <w:p>
      <w:pPr>
        <w:ind w:left="960" w:hanging="304"/>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be released from our obligations under the following covenants and from the consequences of an event of default resulting from a breach of certain covenants, including covenants as to payment of taxes and maintenance of corporate existence.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make either of the above elections, we must deposit in trust with the trustee enough money to pay in full the principal and interest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the above events occurs,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and the debt securities will be governed by, and construed under, the law of the State of New York.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limits the right of the trustee, should it become a creditor of us,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is permitted to engage in certain other transactions. However, if the trustee acquires any conflicting interest, and there is a default under the debt securities of any series for which they are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Payment on subordinated debt securities will, to the extent provided in the indenture, be subordinated in right of payment to the prior payment in full of all of our senior indebtedness (except that holders of the notes may receive and retain (i) permitted junior securities and (ii) payments made from the trust described under “Satisfaction and Discharge; Defeasance”). Any subordinated debt securities also are effectively subordinated to all debt and other liabilities, including lease obligations, if any.</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Upon any distribution of our assets upon any dissolution, winding up, liquidation or reorganization, the payment of the principal of and interest on subordinated debt securities will be subordinated in right of payment to the prior payment in full in cash or other payment satisfactory to the holders of senior indebtedness. In the event of any acceleration of subordinated debt securities because of an event of default, the holders of any senior indebtedness would be entitled to payment in full in cash or other payment satisfactory to such holders of all senior indebtedness obligations before the holders of subordinated debt securities are entitled to receive any payment or distribution, except for certain payments made by the trust described under “Satisfaction and Discharge; Defeasance.” The indenture requires us or the trustee to promptly notify holders of designated senior indebtedness if payment of subordinated debt securities is accelerated because of an event of default.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not make any payment on subordinated debt securities, including upon redemption at the option of the holder of any subordinated debt securities or at our option, if:</w:t>
      </w:r>
    </w:p>
    <w:p>
      <w:pPr>
        <w:spacing w:after="0" w:line="170" w:lineRule="exact"/>
        <w:rPr>
          <w:sz w:val="20"/>
          <w:szCs w:val="20"/>
          <w:color w:val="auto"/>
        </w:rPr>
      </w:pPr>
    </w:p>
    <w:p>
      <w:pPr>
        <w:ind w:left="960" w:hanging="304"/>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in the payment of the principal, premium, if any, interest, rent or other obligations in respect of designated senior indebtedness occurs and is continuing beyond any applicable period of grace (called a “payment default”); or</w:t>
      </w:r>
    </w:p>
    <w:p>
      <w:pPr>
        <w:spacing w:after="0" w:line="170" w:lineRule="exact"/>
        <w:rPr>
          <w:rFonts w:ascii="Arial" w:cs="Arial" w:eastAsia="Arial" w:hAnsi="Arial"/>
          <w:sz w:val="18"/>
          <w:szCs w:val="18"/>
          <w:color w:val="auto"/>
        </w:rPr>
      </w:pPr>
    </w:p>
    <w:p>
      <w:pPr>
        <w:jc w:val="both"/>
        <w:ind w:left="960" w:hanging="304"/>
        <w:spacing w:after="0" w:line="264"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other than a payment default on any designated senior indebtedness occurs and is continuing that permits holders of designated senior indebtedness to accelerate its maturity, and the trustee receives notice of such default (called a “payment blockage notice) from us or any other person permitted to give such notice under the indenture (called a “non-payment default”).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trustee or any holder of the notes receives any payment or distribution of our assets in contravention of the subordination provisions on subordinated debt securities before all senior indebtedness is paid in full in cash, property or securities, including by way of set-off,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of our bankruptcy, dissolution or reorganization, holders of senior indebtedness may receive more, ratably, and holders of subordinated debt securities may receive less, ratably, than our other creditors (including our trade creditors). This subordination will not prevent the occurrence of any event of default under the indenture.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prohibited from incurring debt, including senior indebtedness, under the indenture. We may from time to time incur additional debt, including senior indebtedness.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obligated to pay reasonable compensation to the trustee and to indemnify the trustee against certain losses, liabilities or expenses incurred by the trustee in connection with its duties under the indenture. The trustee’s claims for these payments will generally be senior to those of noteholders in respect of all funds collected or held by the trustee.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“indebtedness” means:</w:t>
      </w:r>
    </w:p>
    <w:p>
      <w:pPr>
        <w:spacing w:after="0" w:line="225" w:lineRule="exact"/>
        <w:rPr>
          <w:sz w:val="20"/>
          <w:szCs w:val="20"/>
          <w:color w:val="auto"/>
        </w:rPr>
      </w:pPr>
    </w:p>
    <w:p>
      <w:pPr>
        <w:jc w:val="both"/>
        <w:ind w:firstLine="656"/>
        <w:spacing w:after="0" w:line="259" w:lineRule="auto"/>
        <w:tabs>
          <w:tab w:leader="none" w:pos="9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reimbursement obligations and other liabilities with respect to letters of credit, bank guarantees or bankers’ acceptances;</w:t>
      </w:r>
    </w:p>
    <w:p>
      <w:pPr>
        <w:spacing w:after="0" w:line="225" w:lineRule="exact"/>
        <w:rPr>
          <w:rFonts w:ascii="Arial" w:cs="Arial" w:eastAsia="Arial" w:hAnsi="Arial"/>
          <w:sz w:val="18"/>
          <w:szCs w:val="18"/>
          <w:color w:val="auto"/>
        </w:rPr>
      </w:pPr>
    </w:p>
    <w:p>
      <w:pPr>
        <w:ind w:firstLine="656"/>
        <w:spacing w:after="0" w:line="277" w:lineRule="auto"/>
        <w:tabs>
          <w:tab w:leader="none" w:pos="9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obligations and liabilities in respect of leases required in conformity with generally accepted accounting principles to be accounted for as capitalized lease obligations on our balance sheet;</w:t>
      </w:r>
    </w:p>
    <w:p>
      <w:pPr>
        <w:spacing w:after="0" w:line="170" w:lineRule="exact"/>
        <w:rPr>
          <w:rFonts w:ascii="Arial" w:cs="Arial" w:eastAsia="Arial" w:hAnsi="Arial"/>
          <w:sz w:val="18"/>
          <w:szCs w:val="18"/>
          <w:color w:val="auto"/>
        </w:rPr>
      </w:pPr>
    </w:p>
    <w:p>
      <w:pPr>
        <w:jc w:val="both"/>
        <w:ind w:firstLine="656"/>
        <w:spacing w:after="0" w:line="312" w:lineRule="auto"/>
        <w:tabs>
          <w:tab w:leader="none" w:pos="91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obligations and other liabilities under any lease or related document in connection with the lease of real property which provides that we are contractually obligated to purchase or cause a third party to purchase the leased property and thereby guarantee a minimum residual value of the leased property to the lessor and our obligations under the lease or related document to purchase or to cause a third party to purchase the leased property;</w:t>
      </w:r>
    </w:p>
    <w:p>
      <w:pPr>
        <w:spacing w:after="0" w:line="146" w:lineRule="exact"/>
        <w:rPr>
          <w:rFonts w:ascii="Arial" w:cs="Arial" w:eastAsia="Arial" w:hAnsi="Arial"/>
          <w:sz w:val="16"/>
          <w:szCs w:val="16"/>
          <w:color w:val="auto"/>
        </w:rPr>
      </w:pPr>
    </w:p>
    <w:p>
      <w:pPr>
        <w:ind w:firstLine="656"/>
        <w:spacing w:after="0" w:line="277" w:lineRule="auto"/>
        <w:tabs>
          <w:tab w:leader="none" w:pos="9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obligations with respect to an interest rate or other swap, cap or collar agreement or other similar instrument or agreement or foreign currency hedge, exchange, purchase or other similar instrument or agreement;</w:t>
      </w:r>
    </w:p>
    <w:p>
      <w:pPr>
        <w:spacing w:after="0" w:line="170" w:lineRule="exact"/>
        <w:rPr>
          <w:rFonts w:ascii="Arial" w:cs="Arial" w:eastAsia="Arial" w:hAnsi="Arial"/>
          <w:sz w:val="18"/>
          <w:szCs w:val="18"/>
          <w:color w:val="auto"/>
        </w:rPr>
      </w:pPr>
    </w:p>
    <w:p>
      <w:pPr>
        <w:ind w:right="20" w:firstLine="656"/>
        <w:spacing w:after="0" w:line="308" w:lineRule="auto"/>
        <w:tabs>
          <w:tab w:leader="none" w:pos="917"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direct or indirect guaranties or similar agreements in respect of, and our obligations or liabilities to purchase, acquire or otherwise assure a creditor against loss in respect of, indebtedness, obligations or liabilities of others of the type described in (1) through (5) above;</w:t>
      </w:r>
    </w:p>
    <w:p>
      <w:pPr>
        <w:spacing w:after="0" w:line="146" w:lineRule="exact"/>
        <w:rPr>
          <w:rFonts w:ascii="Arial" w:cs="Arial" w:eastAsia="Arial" w:hAnsi="Arial"/>
          <w:sz w:val="17"/>
          <w:szCs w:val="17"/>
          <w:color w:val="auto"/>
        </w:rPr>
      </w:pPr>
    </w:p>
    <w:p>
      <w:pPr>
        <w:ind w:firstLine="656"/>
        <w:spacing w:after="0" w:line="277" w:lineRule="auto"/>
        <w:tabs>
          <w:tab w:leader="none" w:pos="9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indebtedness or other obligations described in (1) through (6) above secured by any mortgage, pledge, lien or other encumbrance existing on property which is owned or held by us; and</w:t>
      </w:r>
    </w:p>
    <w:p>
      <w:pPr>
        <w:spacing w:after="0" w:line="170" w:lineRule="exact"/>
        <w:rPr>
          <w:rFonts w:ascii="Arial" w:cs="Arial" w:eastAsia="Arial" w:hAnsi="Arial"/>
          <w:sz w:val="18"/>
          <w:szCs w:val="18"/>
          <w:color w:val="auto"/>
        </w:rPr>
      </w:pPr>
    </w:p>
    <w:p>
      <w:pPr>
        <w:ind w:firstLine="656"/>
        <w:spacing w:after="0" w:line="277" w:lineRule="auto"/>
        <w:tabs>
          <w:tab w:leader="none" w:pos="9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and all refinancings, replacements, deferrals, renewals, extensions and refundings of, or amendments, modifications or supplements to, any indebtedness, obligation or liability of the kind described in clauses (1) through (7) above.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“permitted junior securities” means (i) equity interests in the Company; or (ii) debt securities of the Company that are subordinated to all senior indebtedness and any debt securities issued in exchange for senior indebtedness to substantially the same extent as, or to a greater extent than the notes are subordinated to senior indebtedness under the indenture.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However, senior indebtedness does not include:</w:t>
      </w:r>
    </w:p>
    <w:p>
      <w:pPr>
        <w:spacing w:after="0" w:line="187" w:lineRule="exact"/>
        <w:rPr>
          <w:sz w:val="20"/>
          <w:szCs w:val="20"/>
          <w:color w:val="auto"/>
        </w:rPr>
      </w:pPr>
    </w:p>
    <w:p>
      <w:pPr>
        <w:ind w:left="980" w:right="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that expressly provides that it shall not be senior in right of payment to subordinated debt securities or expressly provides that it is on the same basis or junior to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indebtedness to any of our majority-owned subsidiaries;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subordinated debt securities.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DESCRIPTION OF THE RIGHTS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section describes the general terms and provisions of the rights to purchase certain of our securities that we may issue to holders of our securities by this prospectus. The applicable prospectus supplement will describe the specific terms of the rights then issued, and the terms and provisions described in this section will apply only to the extent not superseded by the terms of the applicable prospectus supplement.</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issue, as a dividend at no cost, to holders of record of our securities or any class or series thereof on the applicable record date, rights to purchase common shares or preferred shares, to purchase warrants exercisable for common shares, preferred shares, depositary shares, debt securities or units, to purchase debt securities, to purchase depositary shares or to purchase units consisting of two or more of the foregoing. In this prospectus, we refer to such rights as “stockholder rights.” If stockholder rights are so issued to existing holders of securities, each stockholder right will entitle the registered holder thereof to purchase the securities issuable upon exercise of the rights pursuant to the terms set forth in the applicable prospectus supplement.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stockholder rights are issued, the applicable prospectus supplement will describe the terms of such stockholder rights including the following where applicable:</w:t>
      </w:r>
    </w:p>
    <w:p>
      <w:pPr>
        <w:spacing w:after="0" w:line="17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subscription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subscription agent;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number of common shares, preferred shares, warrants, depositary shares or units, or principal amount of debt securities, purchasable upon exercise of such stockholder rights;</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case of stockholder rights for preferred shares, preferred share warrants, depositary shares or depositary share warrants, the designation, aggregate number, and terms of the class or series of preferred shares purchasable upon exercise of such stockholder rights or warrants;</w:t>
      </w:r>
    </w:p>
    <w:p>
      <w:pPr>
        <w:spacing w:after="0" w:line="123"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stockholder rights for debt securities or debt security warrants, the principal amount of debt securities purchasable upon exercise of such stockholder rights or warrants and the price at, and currency in which, this principal amount of debt securities may be purchased upon such exercise;</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date on which the right to exercise such stockholder rights shall commence and the expiration date on which such right shall expire;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income tax considerations;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material terms of such stockholder rights.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terms of the stockholder rights and the securities issuable upon exercise thereof, the prospectus supplement may describe, for a holder of such stockholder rights who validly exercises all stockholder rights issued to such holder, how to subscribe for unsubscribed securities, issuable pursuant to unexercised stockholder rights issued to other holders, to the extent such stockholder rights have not been exercised.</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Holders of stockholder rights will not be entitled by virtue of being such holders, to vote, to consent, to receive dividends, to receive notice with respect to any meeting of stockholders for the election of our directors or any other matter, or to exercise any rights whatsoever as stockholders of the Company, except to the extent described in the related prospectus supplement. In addition, holders of stockholder rights to purchase debt security warrants will not be entitled by virtue of being such holders, to receive payments of principal of, or premium, if any, or interest on, the debt securities purchasable upon exercise or to enforce covenants in the applicable indenture, except to the extent described in the related prospectus supplement.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We may, at our option, elect to offer fractional shares rather than full shares of the preferred shares of a series. In the event that we determine to do so, we will issue receipts for depositary shares, each of which will represent a fraction (to be set forth in the prospectus supplement relating to a particular series of preferred shares) of a share of a particular series of preferred shares as more fully described below.</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into this prospectus.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ind w:firstLine="648"/>
        <w:spacing w:after="0" w:line="293" w:lineRule="auto"/>
        <w:rPr>
          <w:sz w:val="20"/>
          <w:szCs w:val="20"/>
          <w:color w:val="auto"/>
        </w:rPr>
      </w:pPr>
      <w:r>
        <w:rPr>
          <w:rFonts w:ascii="Arial" w:cs="Arial" w:eastAsia="Arial" w:hAnsi="Arial"/>
          <w:sz w:val="16"/>
          <w:szCs w:val="16"/>
          <w:color w:val="auto"/>
        </w:rPr>
        <w:t>In the event of a distribution other than in cash, the depositary will distribute property received by it to the record holders of depositary shares entitled thereto in proportion to the number of depositary shares owned by the 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 The amount distributed in any of the foregoing cases will be reduced by any amounts required to be withheld by us or the depositary on account of taxes or other governmental charges.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Underlying Preferred Shares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 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 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depositary will forward to the holders of depositary shares all reports and communications from us that are delivered to the depositary and which we are required to furnish to the holders of the related preferred stock. 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units comprised of one or more of the other securities that may be offered under this prospectus, in any combination. The following information, together with the additional information we may include in any applicable prospectus supplements, summarizes the material terms and provisions of any such the units that we may offer under this prospectus. While the information below will apply generally to any units that we may offer under this prospectus, we will describe the particular terms of any series of units in detail in the applicable prospectus supplement. The terms of any units offered under a prospectus supplement may differ from the general terms described below.</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will file the form of unit agreement, if any, between us and a unit agent that describes the terms and conditions of the series of units we are offering, and any supplemental agreements, concurrently with the filing of the applicable prospectus supplement under which such series of units are offered. This summary is subject to, and qualified in their entirety by reference to, all the provisions of the unit agreement, if any, and any supplemental agreements applicable to a particular series of units. We urge you to read the applicable prospectus supplements related to the particular series of units that we sell under this prospectus, as well as the complete unit agreement, if any, and any supplemental agreements that contain the terms of the units.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issue units comprising one or more of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may be issued, if any, may provide that the securities included in the unit may not be held or transferred separately, at any time or at any time before a specified date. We will describe in the applicable prospectus supplement the terms of the series of units.</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provisions described in this section, as well as those described under “Description of Share Capital” and “Description of Warrants” will apply to each unit and to any share or warrant included in each unit, respectively. We may issue units in such amounts and in numerous distinct series as we determine.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sell the securities offered by this prospectus to or through underwriters or dealers, and also may sell those securities to one or more other purchasers directly or through agents, including sales pursuant to ordinary brokerage transactions and transactions in which a broker-dealer solicits purchasers, or if indicated in a prospectus supplement, pursuant to delayed delivery contracts, by remarketing firms or by other means. Underwriters may sell securities to or through dealers. Each prospectus supplement will set forth the terms of the offering, including the name or names of any underwriters, dealers or agents and any fees or compensation payable to them in connection with the offering and sale of a particular series or issue of securities, the public offering price or prices of the securities and the proceeds from the sale of the securities.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securities may be sold, from time to time in one or more transactions at a fixed price or prices which may be changed or at market prices prevailing at the time of sale, at prices related to such prevailing market prices or at negotiated prices, including sales made directly on the NASDAQ or other existing trading markets for the securities. The prices at which the securities may be offered may vary as between purchasers and during the period of distribution. If, in connection with the offering of securities at a fixed price or prices, the underwriters have made a bona fide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us.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Underwriters, dealers and agents who participate in the distribution of the securities may be entitled under agreements to be entered into with us to indemnification by us against certain liabilities, including liabilities under the Securities Act, or to contribution with respect to payments which such underwriters, dealers or agents may be required to make in respect thereof. Such underwriters, dealers and agents may be customers of, engage in transactions with, or perform services for us in the ordinary course of business.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both"/>
        <w:ind w:firstLine="648"/>
        <w:spacing w:after="0" w:line="255" w:lineRule="auto"/>
        <w:rPr>
          <w:sz w:val="20"/>
          <w:szCs w:val="20"/>
          <w:color w:val="auto"/>
        </w:rPr>
      </w:pPr>
      <w:r>
        <w:rPr>
          <w:rFonts w:ascii="Arial" w:cs="Arial" w:eastAsia="Arial" w:hAnsi="Arial"/>
          <w:sz w:val="18"/>
          <w:szCs w:val="18"/>
          <w:color w:val="auto"/>
        </w:rPr>
        <w:t>In connection with any offering of securities, the underwriters may over-allot or effect transactions which stabilize or maintain the market price of the securities offered at a level above that which might otherwise prevail in the open market. Such transactions, if commenced, may be discontinued at any time. Any underwriters, dealers or agents to or through which securities other than our common shares are sold by us for public offering and sale may make a market in such securities, but such underwriters, dealers or agents will not be obligated to do so and may discontinue any such market making at any time and without notice. No assurance can be given that a market for trading in securities of any series or issue will develop or as to the liquidity of any such market, whether or not such securities are listed on a securities exchange.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place, time of delivery, and other terms of the offered securities will be described in the applicable prospectus supplement.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INCOME TAX CONSIDERATIONS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applicable prospectus supplement may describe certain United States federal income tax consequences of the acquisition, ownership and disposition of securities offered by this prospectus by an initial investor who is subject to United States federal income taxation. The applicable prospectus supplement may also describe certain Canadian federal income tax consequences to investors described therein of acquiring securities offered by the prospectus.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incorporated in the Cayman Islands in order to enjoy the following benefits: (1) political and economic stability; (2) an effective judicial system; (3) a favorable tax system; (4) the absence of exchange control or currency restrictions; and (5) the availability of professional and support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w:t>
      </w:r>
    </w:p>
    <w:p>
      <w:pPr>
        <w:spacing w:after="0" w:line="46" w:lineRule="exact"/>
        <w:rPr>
          <w:sz w:val="20"/>
          <w:szCs w:val="20"/>
          <w:color w:val="auto"/>
        </w:rPr>
      </w:pPr>
    </w:p>
    <w:p>
      <w:pPr>
        <w:jc w:val="both"/>
        <w:ind w:firstLine="8"/>
        <w:spacing w:after="0" w:line="254" w:lineRule="auto"/>
        <w:tabs>
          <w:tab w:leader="none" w:pos="2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and (2) Cayman Islands companies may not have standing to sue before the federal courts of the United States. Our constitutional documents do not contain provisions requiring that disputes, including those arising under the securities laws of the United States, between us, our officers, directors and shareholders, be arbitrated.</w:t>
      </w:r>
    </w:p>
    <w:p>
      <w:pPr>
        <w:spacing w:after="0" w:line="1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of our operations are conducted outside the United States, and all of our assets are located outside the United States. A substantial number of our officers are nationals or residents of jurisdictions other than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appointed Corporation Service Company, 251 Little Falls Drive, Wilmington, DE 19808, as our agent upon whom process may be served in any action brought against us under the securities laws of the United States.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Ogier, our counsel as to Cayman Islands law, and Hansen &amp; Partners, our counsel as to PRC law, have advised us, respectively, that there is uncertainty as to whether the courts of the Cayman Islands and China, respectively, would:</w:t>
      </w:r>
    </w:p>
    <w:p>
      <w:pPr>
        <w:spacing w:after="0" w:line="170" w:lineRule="exact"/>
        <w:rPr>
          <w:sz w:val="20"/>
          <w:szCs w:val="20"/>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648"/>
        <w:spacing w:after="0" w:line="269" w:lineRule="auto"/>
        <w:rPr>
          <w:sz w:val="20"/>
          <w:szCs w:val="20"/>
          <w:color w:val="auto"/>
        </w:rPr>
      </w:pPr>
      <w:r>
        <w:rPr>
          <w:rFonts w:ascii="Arial" w:cs="Arial" w:eastAsia="Arial" w:hAnsi="Arial"/>
          <w:sz w:val="17"/>
          <w:szCs w:val="17"/>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Hansen &amp; Partners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statements as of June 30, 2018 and 2017, respectively, and for the years then ended appearing in this prospectus, have been included herein and in the registration statement in reliance upon the report of Friedman LLP, an independent registered public accounting firm appearing elsewhere herein, and upon the authority of that firm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matters as to U.S. federal law in connection with this offering will be passed upon for us by Schiff Hardin LLP. The validity of the shares and certain legal matters relating to the offering as to Cayman Islands law will be passed upon for us by Ogier. Certain legal matters relating to the offering as to Chinese law will be passed upon for us by Hansen &amp; Partners of People’s Republic of China. In addition, certain legal matters in connection with any offering of securities under this prospectus will be passed upon for any underwriters, dealers or agents by counsel to be designated at the time of the offering by such underwriters, dealers or agents with respect to matters of applicable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or Securities Act, may be permitted to directors, officers or persons controlling the registrant pursuant to the foregoing provisions, the registrant has been informed that in the opinion of the Securities and Exchange Commission, or the SEC, such indemnification is against public policy as expressed in the Securities Act and is therefore unenforceable.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2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260" w:type="dxa"/>
            <w:vAlign w:val="bottom"/>
            <w:tcBorders>
              <w:bottom w:val="single" w:sz="8" w:color="0000EE"/>
            </w:tcBorders>
            <w:gridSpan w:val="9"/>
          </w:tcPr>
          <w:p>
            <w:pPr>
              <w:spacing w:after="0" w:line="176" w:lineRule="exact"/>
              <w:rPr>
                <w:rFonts w:ascii="Arial" w:cs="Arial" w:eastAsia="Arial" w:hAnsi="Arial"/>
                <w:sz w:val="18"/>
                <w:szCs w:val="18"/>
                <w:color w:val="0000EE"/>
                <w:w w:val="96"/>
              </w:rPr>
            </w:pPr>
            <w:hyperlink r:id="rId63">
              <w:r>
                <w:rPr>
                  <w:rFonts w:ascii="Arial" w:cs="Arial" w:eastAsia="Arial" w:hAnsi="Arial"/>
                  <w:sz w:val="18"/>
                  <w:szCs w:val="18"/>
                  <w:color w:val="0000EE"/>
                  <w:w w:val="96"/>
                </w:rPr>
                <w:t>Specimen Certificate for Common Shares (incorporated by reference to Exhibit 4.1 from Registration Statement on F-1 (File No. 333-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9"/>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223956) filed with the SEC on March 27, 2018).</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02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10260" w:type="dxa"/>
            <w:vAlign w:val="bottom"/>
            <w:gridSpan w:val="9"/>
          </w:tcPr>
          <w:p>
            <w:pPr>
              <w:spacing w:after="0" w:line="176" w:lineRule="exact"/>
              <w:rPr>
                <w:sz w:val="20"/>
                <w:szCs w:val="20"/>
                <w:color w:val="auto"/>
              </w:rPr>
            </w:pPr>
            <w:r>
              <w:rPr>
                <w:rFonts w:ascii="Arial" w:cs="Arial" w:eastAsia="Arial" w:hAnsi="Arial"/>
                <w:sz w:val="18"/>
                <w:szCs w:val="18"/>
                <w:color w:val="0000EE"/>
              </w:rPr>
              <w:t>Form of Indenture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2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260" w:type="dxa"/>
            <w:vAlign w:val="bottom"/>
            <w:gridSpan w:val="9"/>
          </w:tcPr>
          <w:p>
            <w:pPr>
              <w:spacing w:after="0"/>
              <w:rPr>
                <w:sz w:val="20"/>
                <w:szCs w:val="20"/>
                <w:color w:val="auto"/>
              </w:rPr>
            </w:pPr>
            <w:r>
              <w:rPr>
                <w:rFonts w:ascii="Arial" w:cs="Arial" w:eastAsia="Arial" w:hAnsi="Arial"/>
                <w:sz w:val="18"/>
                <w:szCs w:val="18"/>
                <w:color w:val="auto"/>
              </w:rPr>
              <w:t>Form of Debt Security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02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Form of Deposit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0260" w:type="dxa"/>
            <w:vAlign w:val="bottom"/>
            <w:gridSpan w:val="9"/>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3"/>
              </w:rPr>
              <w:t>Opinion of Ogier</w:t>
            </w:r>
          </w:p>
        </w:tc>
        <w:tc>
          <w:tcPr>
            <w:tcW w:w="9020" w:type="dxa"/>
            <w:vAlign w:val="bottom"/>
            <w:tcBorders>
              <w:bottom w:val="single" w:sz="8" w:color="CCEEFF"/>
            </w:tcBorders>
            <w:gridSpan w:val="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5.2</w:t>
            </w:r>
          </w:p>
        </w:tc>
        <w:tc>
          <w:tcPr>
            <w:tcW w:w="120" w:type="dxa"/>
            <w:vAlign w:val="bottom"/>
          </w:tcPr>
          <w:p>
            <w:pPr>
              <w:spacing w:after="0"/>
              <w:rPr>
                <w:sz w:val="15"/>
                <w:szCs w:val="15"/>
                <w:color w:val="auto"/>
              </w:rPr>
            </w:pPr>
          </w:p>
        </w:tc>
        <w:tc>
          <w:tcPr>
            <w:tcW w:w="10260" w:type="dxa"/>
            <w:vAlign w:val="bottom"/>
            <w:gridSpan w:val="9"/>
          </w:tcPr>
          <w:p>
            <w:pPr>
              <w:spacing w:after="0" w:line="176" w:lineRule="exact"/>
              <w:rPr>
                <w:sz w:val="20"/>
                <w:szCs w:val="20"/>
                <w:color w:val="auto"/>
              </w:rPr>
            </w:pPr>
            <w:r>
              <w:rPr>
                <w:rFonts w:ascii="Arial" w:cs="Arial" w:eastAsia="Arial" w:hAnsi="Arial"/>
                <w:sz w:val="18"/>
                <w:szCs w:val="18"/>
                <w:color w:val="0000EE"/>
              </w:rPr>
              <w:t>Opinion of Schiff Hardin LLP</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5"/>
                <w:szCs w:val="15"/>
                <w:color w:val="auto"/>
              </w:rPr>
            </w:pPr>
          </w:p>
        </w:tc>
        <w:tc>
          <w:tcPr>
            <w:tcW w:w="102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Consent of Friedman LLP</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5"/>
                <w:szCs w:val="15"/>
                <w:color w:val="auto"/>
              </w:rPr>
            </w:pPr>
          </w:p>
        </w:tc>
        <w:tc>
          <w:tcPr>
            <w:tcW w:w="10260" w:type="dxa"/>
            <w:vAlign w:val="bottom"/>
            <w:gridSpan w:val="9"/>
          </w:tcPr>
          <w:p>
            <w:pPr>
              <w:spacing w:after="0" w:line="176" w:lineRule="exact"/>
              <w:rPr>
                <w:sz w:val="20"/>
                <w:szCs w:val="20"/>
                <w:color w:val="auto"/>
              </w:rPr>
            </w:pPr>
            <w:r>
              <w:rPr>
                <w:rFonts w:ascii="Arial" w:cs="Arial" w:eastAsia="Arial" w:hAnsi="Arial"/>
                <w:sz w:val="18"/>
                <w:szCs w:val="18"/>
                <w:color w:val="0000EE"/>
              </w:rPr>
              <w:t>Consent of Ogier (included in Exhibit 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5"/>
                <w:szCs w:val="15"/>
                <w:color w:val="auto"/>
              </w:rPr>
            </w:pPr>
          </w:p>
        </w:tc>
        <w:tc>
          <w:tcPr>
            <w:tcW w:w="102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Consent of Schiff Hardin LLP (included in Exhibit 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5"/>
                <w:szCs w:val="15"/>
                <w:color w:val="auto"/>
              </w:rPr>
            </w:pPr>
          </w:p>
        </w:tc>
        <w:tc>
          <w:tcPr>
            <w:tcW w:w="10260" w:type="dxa"/>
            <w:vAlign w:val="bottom"/>
            <w:gridSpan w:val="9"/>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Powers of Attorney (included on the signature pages to this registration statement)</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02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Statement of Eligibility on Form 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80" w:hanging="318"/>
        <w:spacing w:after="0" w:line="258"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be filed as an exhibit to a post-effective amendment to this registration statement or as an exhibit to a report filed on Form 6-K under the Exchange Act and incorporated herein by reference.</w:t>
      </w:r>
    </w:p>
    <w:p>
      <w:pPr>
        <w:spacing w:after="0" w:line="1"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be filed as a 305B2 filing in connection with an offering of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sz w:val="20"/>
          <w:szCs w:val="20"/>
          <w:color w:val="auto"/>
        </w:rPr>
      </w:pPr>
    </w:p>
    <w:p>
      <w:pPr>
        <w:jc w:val="both"/>
        <w:ind w:firstLine="656"/>
        <w:spacing w:after="0" w:line="273" w:lineRule="auto"/>
        <w:tabs>
          <w:tab w:leader="none" w:pos="93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8" w:lineRule="exact"/>
        <w:rPr>
          <w:rFonts w:ascii="Arial" w:cs="Arial" w:eastAsia="Arial" w:hAnsi="Arial"/>
          <w:sz w:val="17"/>
          <w:szCs w:val="17"/>
          <w:color w:val="auto"/>
        </w:rPr>
      </w:pPr>
    </w:p>
    <w:p>
      <w:pPr>
        <w:jc w:val="both"/>
        <w:ind w:firstLine="656"/>
        <w:spacing w:after="0" w:line="297" w:lineRule="auto"/>
        <w:tabs>
          <w:tab w:leader="none" w:pos="966"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undertakings set forth in paragraphs (a)(1)(i), (a)(1)(ii) and (a)(1)(iii) above do not apply if the information required to be included in a post-effective amendment by those paragraphs is contained in reports filed with or furnished to the SEC by the registrant pursuant to Section 13 or Section 15(d) of the Securities Exchange Act of 1934, or the Exchange Act, that are incorporated by reference into the registration statement, or is contained in a form of prospectus filed pursuant to Rule 424(b) that is part of the registration statement.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both"/>
        <w:ind w:firstLine="656"/>
        <w:spacing w:after="0" w:line="264" w:lineRule="auto"/>
        <w:tabs>
          <w:tab w:leader="none" w:pos="9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656"/>
        <w:spacing w:after="0" w:line="277" w:lineRule="auto"/>
        <w:tabs>
          <w:tab w:leader="none" w:pos="9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656"/>
        <w:spacing w:after="0" w:line="271" w:lineRule="auto"/>
        <w:tabs>
          <w:tab w:leader="none" w:pos="904"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 need not be furnished,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registrant includes in the prospectus, by means of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Rule 3-19 of Regulation S-K if such financial statements and information are contained in periodic reports filed with or furnished to the SEC by the registrant pursuant to Section 13 or Section 15(d) of the Exchange Act that are incorporated by reference into the registration statement.</w:t>
      </w:r>
    </w:p>
    <w:p>
      <w:pPr>
        <w:spacing w:after="0" w:line="178" w:lineRule="exact"/>
        <w:rPr>
          <w:rFonts w:ascii="Arial" w:cs="Arial" w:eastAsia="Arial" w:hAnsi="Arial"/>
          <w:sz w:val="17"/>
          <w:szCs w:val="17"/>
          <w:color w:val="auto"/>
        </w:rPr>
      </w:pPr>
    </w:p>
    <w:p>
      <w:pPr>
        <w:ind w:left="920" w:hanging="264"/>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sz w:val="20"/>
          <w:szCs w:val="20"/>
          <w:color w:val="auto"/>
        </w:rPr>
      </w:pPr>
    </w:p>
    <w:p>
      <w:pPr>
        <w:jc w:val="both"/>
        <w:ind w:firstLine="656"/>
        <w:spacing w:after="0" w:line="269" w:lineRule="auto"/>
        <w:tabs>
          <w:tab w:leader="none" w:pos="947"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 (B)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0" w:lineRule="exact"/>
        <w:rPr>
          <w:sz w:val="20"/>
          <w:szCs w:val="20"/>
          <w:color w:val="auto"/>
        </w:rPr>
      </w:pPr>
    </w:p>
    <w:p>
      <w:pPr>
        <w:jc w:val="both"/>
        <w:ind w:firstLine="656"/>
        <w:spacing w:after="0" w:line="302" w:lineRule="auto"/>
        <w:tabs>
          <w:tab w:leader="none" w:pos="9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right="20" w:firstLine="656"/>
        <w:spacing w:after="0" w:line="277" w:lineRule="auto"/>
        <w:tabs>
          <w:tab w:leader="none" w:pos="9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firstLine="656"/>
        <w:spacing w:after="0" w:line="277" w:lineRule="auto"/>
        <w:tabs>
          <w:tab w:leader="none" w:pos="9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firstLine="656"/>
        <w:spacing w:after="0" w:line="259" w:lineRule="auto"/>
        <w:tabs>
          <w:tab w:leader="none" w:pos="9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jc w:val="both"/>
        <w:ind w:firstLine="656"/>
        <w:spacing w:after="0" w:line="291" w:lineRule="auto"/>
        <w:tabs>
          <w:tab w:leader="none" w:pos="909"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F-3/A and has duly caused this registration statement to be signed on its behalf by the undersigned, thereunto duly authorized, in the People’s Republic of China, on June 14, 2019.</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2"/>
                <w:szCs w:val="22"/>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Xiao Feng Yang</w:t>
            </w:r>
          </w:p>
        </w:tc>
        <w:tc>
          <w:tcPr>
            <w:tcW w:w="2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Chairman, President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14, 2019</w:t>
            </w:r>
          </w:p>
        </w:tc>
      </w:tr>
      <w:tr>
        <w:trPr>
          <w:trHeight w:val="439"/>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c>
          <w:tcPr>
            <w:tcW w:w="2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14, 2019</w:t>
            </w:r>
          </w:p>
        </w:tc>
      </w:t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2280" w:type="dxa"/>
            <w:vAlign w:val="bottom"/>
          </w:tcPr>
          <w:p>
            <w:pPr>
              <w:spacing w:after="0"/>
              <w:rPr>
                <w:sz w:val="17"/>
                <w:szCs w:val="17"/>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Tian van Acken</w:t>
            </w:r>
          </w:p>
        </w:tc>
        <w:tc>
          <w:tcPr>
            <w:tcW w:w="2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14, 2019</w:t>
            </w:r>
          </w:p>
        </w:tc>
      </w:t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2"/>
          </w:tcPr>
          <w:p>
            <w:pPr>
              <w:spacing w:after="0" w:line="203" w:lineRule="exact"/>
              <w:rPr>
                <w:sz w:val="20"/>
                <w:szCs w:val="20"/>
                <w:color w:val="auto"/>
              </w:rPr>
            </w:pPr>
            <w:r>
              <w:rPr>
                <w:rFonts w:ascii="Arial" w:cs="Arial" w:eastAsia="Arial" w:hAnsi="Arial"/>
                <w:sz w:val="18"/>
                <w:szCs w:val="18"/>
                <w:color w:val="auto"/>
              </w:rPr>
              <w:t>(Principal Accounting and Financial Officer)</w:t>
            </w:r>
          </w:p>
        </w:tc>
        <w:tc>
          <w:tcPr>
            <w:tcW w:w="2280" w:type="dxa"/>
            <w:vAlign w:val="bottom"/>
          </w:tcPr>
          <w:p>
            <w:pPr>
              <w:spacing w:after="0"/>
              <w:rPr>
                <w:sz w:val="17"/>
                <w:szCs w:val="17"/>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 He Shao*</w:t>
            </w:r>
          </w:p>
        </w:tc>
        <w:tc>
          <w:tcPr>
            <w:tcW w:w="2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14, 2019</w:t>
            </w:r>
          </w:p>
        </w:tc>
      </w:tr>
      <w:tr>
        <w:trPr>
          <w:trHeight w:val="439"/>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Kewei Huang*</w:t>
            </w:r>
          </w:p>
        </w:tc>
        <w:tc>
          <w:tcPr>
            <w:tcW w:w="2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14, 2019</w:t>
            </w:r>
          </w:p>
        </w:tc>
      </w:tr>
      <w:tr>
        <w:trPr>
          <w:trHeight w:val="439"/>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Amooi*</w:t>
            </w:r>
          </w:p>
        </w:tc>
        <w:tc>
          <w:tcPr>
            <w:tcW w:w="2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14, 2019</w:t>
            </w:r>
          </w:p>
        </w:tc>
      </w:tr>
    </w:tbl>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4701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760"/>
        <w:spacing w:after="0"/>
        <w:tabs>
          <w:tab w:leader="none" w:pos="520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780" w:hanging="596"/>
        <w:spacing w:after="0"/>
        <w:tabs>
          <w:tab w:leader="none" w:pos="4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606425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40" w:type="dxa"/>
            <w:vAlign w:val="bottom"/>
          </w:tcPr>
          <w:p>
            <w:pPr>
              <w:jc w:val="center"/>
              <w:ind w:left="3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4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7"/>
              </w:rPr>
              <w:t>ARTICLE I</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40" w:type="dxa"/>
            <w:vAlign w:val="bottom"/>
          </w:tcPr>
          <w:p>
            <w:pPr>
              <w:jc w:val="center"/>
              <w:ind w:left="50"/>
              <w:spacing w:after="0"/>
              <w:rPr>
                <w:sz w:val="20"/>
                <w:szCs w:val="20"/>
                <w:color w:val="auto"/>
              </w:rPr>
            </w:pPr>
            <w:r>
              <w:rPr>
                <w:rFonts w:ascii="Arial" w:cs="Arial" w:eastAsia="Arial" w:hAnsi="Arial"/>
                <w:sz w:val="18"/>
                <w:szCs w:val="18"/>
                <w:color w:val="auto"/>
                <w:w w:val="96"/>
              </w:rPr>
              <w:t>DEFINITIONS AND INCORPORATION BY REFERENCE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1.1</w:t>
            </w:r>
          </w:p>
        </w:tc>
        <w:tc>
          <w:tcPr>
            <w:tcW w:w="9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Definitions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1.2</w:t>
            </w:r>
          </w:p>
        </w:tc>
        <w:tc>
          <w:tcPr>
            <w:tcW w:w="9240" w:type="dxa"/>
            <w:vAlign w:val="bottom"/>
          </w:tcPr>
          <w:p>
            <w:pPr>
              <w:ind w:left="120"/>
              <w:spacing w:after="0"/>
              <w:rPr>
                <w:sz w:val="20"/>
                <w:szCs w:val="20"/>
                <w:color w:val="auto"/>
              </w:rPr>
            </w:pPr>
            <w:r>
              <w:rPr>
                <w:rFonts w:ascii="Arial" w:cs="Arial" w:eastAsia="Arial" w:hAnsi="Arial"/>
                <w:sz w:val="18"/>
                <w:szCs w:val="18"/>
                <w:color w:val="auto"/>
              </w:rPr>
              <w:t>Other Definitions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1.3</w:t>
            </w:r>
          </w:p>
        </w:tc>
        <w:tc>
          <w:tcPr>
            <w:tcW w:w="9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Incorporation by Reference of Trust Indenture Act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1.4</w:t>
            </w:r>
          </w:p>
        </w:tc>
        <w:tc>
          <w:tcPr>
            <w:tcW w:w="9240" w:type="dxa"/>
            <w:vAlign w:val="bottom"/>
          </w:tcPr>
          <w:p>
            <w:pPr>
              <w:ind w:left="120"/>
              <w:spacing w:after="0"/>
              <w:rPr>
                <w:sz w:val="20"/>
                <w:szCs w:val="20"/>
                <w:color w:val="auto"/>
              </w:rPr>
            </w:pPr>
            <w:r>
              <w:rPr>
                <w:rFonts w:ascii="Arial" w:cs="Arial" w:eastAsia="Arial" w:hAnsi="Arial"/>
                <w:sz w:val="18"/>
                <w:szCs w:val="18"/>
                <w:color w:val="auto"/>
              </w:rPr>
              <w:t>Rules of Construction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jc w:val="center"/>
              <w:ind w:left="30"/>
              <w:spacing w:after="0"/>
              <w:rPr>
                <w:sz w:val="20"/>
                <w:szCs w:val="20"/>
                <w:color w:val="auto"/>
              </w:rPr>
            </w:pPr>
            <w:r>
              <w:rPr>
                <w:rFonts w:ascii="Arial" w:cs="Arial" w:eastAsia="Arial" w:hAnsi="Arial"/>
                <w:sz w:val="18"/>
                <w:szCs w:val="18"/>
                <w:color w:val="auto"/>
              </w:rPr>
              <w:t>ARTICLE II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THE SECURITIES</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2.1</w:t>
            </w:r>
          </w:p>
        </w:tc>
        <w:tc>
          <w:tcPr>
            <w:tcW w:w="9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Issuable in Series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2.2</w:t>
            </w:r>
          </w:p>
        </w:tc>
        <w:tc>
          <w:tcPr>
            <w:tcW w:w="9240" w:type="dxa"/>
            <w:vAlign w:val="bottom"/>
          </w:tcPr>
          <w:p>
            <w:pPr>
              <w:ind w:left="120"/>
              <w:spacing w:after="0"/>
              <w:rPr>
                <w:sz w:val="20"/>
                <w:szCs w:val="20"/>
                <w:color w:val="auto"/>
              </w:rPr>
            </w:pPr>
            <w:r>
              <w:rPr>
                <w:rFonts w:ascii="Arial" w:cs="Arial" w:eastAsia="Arial" w:hAnsi="Arial"/>
                <w:sz w:val="18"/>
                <w:szCs w:val="18"/>
                <w:color w:val="auto"/>
              </w:rPr>
              <w:t>Establishment of Terms of Series of Securities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2.3</w:t>
            </w:r>
          </w:p>
        </w:tc>
        <w:tc>
          <w:tcPr>
            <w:tcW w:w="9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Execution and Authentication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2.4</w:t>
            </w:r>
          </w:p>
        </w:tc>
        <w:tc>
          <w:tcPr>
            <w:tcW w:w="9240" w:type="dxa"/>
            <w:vAlign w:val="bottom"/>
          </w:tcPr>
          <w:p>
            <w:pPr>
              <w:ind w:left="120"/>
              <w:spacing w:after="0"/>
              <w:rPr>
                <w:sz w:val="20"/>
                <w:szCs w:val="20"/>
                <w:color w:val="auto"/>
              </w:rPr>
            </w:pPr>
            <w:r>
              <w:rPr>
                <w:rFonts w:ascii="Arial" w:cs="Arial" w:eastAsia="Arial" w:hAnsi="Arial"/>
                <w:sz w:val="18"/>
                <w:szCs w:val="18"/>
                <w:color w:val="auto"/>
              </w:rPr>
              <w:t>Registrar and Paying Agent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2.5</w:t>
            </w:r>
          </w:p>
        </w:tc>
        <w:tc>
          <w:tcPr>
            <w:tcW w:w="9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Paying Agent to Hold Money in Trust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2.6</w:t>
            </w:r>
          </w:p>
        </w:tc>
        <w:tc>
          <w:tcPr>
            <w:tcW w:w="9240" w:type="dxa"/>
            <w:vAlign w:val="bottom"/>
          </w:tcPr>
          <w:p>
            <w:pPr>
              <w:ind w:left="120"/>
              <w:spacing w:after="0"/>
              <w:rPr>
                <w:sz w:val="20"/>
                <w:szCs w:val="20"/>
                <w:color w:val="auto"/>
              </w:rPr>
            </w:pPr>
            <w:r>
              <w:rPr>
                <w:rFonts w:ascii="Arial" w:cs="Arial" w:eastAsia="Arial" w:hAnsi="Arial"/>
                <w:sz w:val="18"/>
                <w:szCs w:val="18"/>
                <w:color w:val="auto"/>
              </w:rPr>
              <w:t>Security Holder Lists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2.7</w:t>
            </w:r>
          </w:p>
        </w:tc>
        <w:tc>
          <w:tcPr>
            <w:tcW w:w="9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 and Exchange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2.8</w:t>
            </w:r>
          </w:p>
        </w:tc>
        <w:tc>
          <w:tcPr>
            <w:tcW w:w="9240" w:type="dxa"/>
            <w:vAlign w:val="bottom"/>
          </w:tcPr>
          <w:p>
            <w:pPr>
              <w:ind w:left="120"/>
              <w:spacing w:after="0"/>
              <w:rPr>
                <w:sz w:val="20"/>
                <w:szCs w:val="20"/>
                <w:color w:val="auto"/>
              </w:rPr>
            </w:pPr>
            <w:r>
              <w:rPr>
                <w:rFonts w:ascii="Arial" w:cs="Arial" w:eastAsia="Arial" w:hAnsi="Arial"/>
                <w:sz w:val="18"/>
                <w:szCs w:val="18"/>
                <w:color w:val="auto"/>
              </w:rPr>
              <w:t>Mutilated, Destroyed, Lost and Stolen Securities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2.9</w:t>
            </w:r>
          </w:p>
        </w:tc>
        <w:tc>
          <w:tcPr>
            <w:tcW w:w="9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Securities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9"/>
              </w:rPr>
              <w:t>Section 2.10</w:t>
            </w:r>
          </w:p>
        </w:tc>
        <w:tc>
          <w:tcPr>
            <w:tcW w:w="9240" w:type="dxa"/>
            <w:vAlign w:val="bottom"/>
          </w:tcPr>
          <w:p>
            <w:pPr>
              <w:ind w:left="120"/>
              <w:spacing w:after="0"/>
              <w:rPr>
                <w:sz w:val="20"/>
                <w:szCs w:val="20"/>
                <w:color w:val="auto"/>
              </w:rPr>
            </w:pPr>
            <w:r>
              <w:rPr>
                <w:rFonts w:ascii="Arial" w:cs="Arial" w:eastAsia="Arial" w:hAnsi="Arial"/>
                <w:sz w:val="18"/>
                <w:szCs w:val="18"/>
                <w:color w:val="auto"/>
              </w:rPr>
              <w:t>Treasury Securities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2.11</w:t>
            </w:r>
          </w:p>
        </w:tc>
        <w:tc>
          <w:tcPr>
            <w:tcW w:w="9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Temporary Securities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9"/>
              </w:rPr>
              <w:t>Section 2.12</w:t>
            </w:r>
          </w:p>
        </w:tc>
        <w:tc>
          <w:tcPr>
            <w:tcW w:w="9240" w:type="dxa"/>
            <w:vAlign w:val="bottom"/>
          </w:tcPr>
          <w:p>
            <w:pPr>
              <w:ind w:left="120"/>
              <w:spacing w:after="0"/>
              <w:rPr>
                <w:sz w:val="20"/>
                <w:szCs w:val="20"/>
                <w:color w:val="auto"/>
              </w:rPr>
            </w:pPr>
            <w:r>
              <w:rPr>
                <w:rFonts w:ascii="Arial" w:cs="Arial" w:eastAsia="Arial" w:hAnsi="Arial"/>
                <w:sz w:val="18"/>
                <w:szCs w:val="18"/>
                <w:color w:val="auto"/>
              </w:rPr>
              <w:t>Cancellation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2.13</w:t>
            </w:r>
          </w:p>
        </w:tc>
        <w:tc>
          <w:tcPr>
            <w:tcW w:w="9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Defaulted Interest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9"/>
              </w:rPr>
              <w:t>Section 2.14</w:t>
            </w:r>
          </w:p>
        </w:tc>
        <w:tc>
          <w:tcPr>
            <w:tcW w:w="9240" w:type="dxa"/>
            <w:vAlign w:val="bottom"/>
          </w:tcPr>
          <w:p>
            <w:pPr>
              <w:ind w:left="120"/>
              <w:spacing w:after="0"/>
              <w:rPr>
                <w:sz w:val="20"/>
                <w:szCs w:val="20"/>
                <w:color w:val="auto"/>
              </w:rPr>
            </w:pPr>
            <w:r>
              <w:rPr>
                <w:rFonts w:ascii="Arial" w:cs="Arial" w:eastAsia="Arial" w:hAnsi="Arial"/>
                <w:sz w:val="18"/>
                <w:szCs w:val="18"/>
                <w:color w:val="auto"/>
              </w:rPr>
              <w:t>Global Securities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2.15</w:t>
            </w:r>
          </w:p>
        </w:tc>
        <w:tc>
          <w:tcPr>
            <w:tcW w:w="9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CUSIP Numbers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ARTICLE III</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jc w:val="center"/>
              <w:ind w:left="30"/>
              <w:spacing w:after="0"/>
              <w:rPr>
                <w:sz w:val="20"/>
                <w:szCs w:val="20"/>
                <w:color w:val="auto"/>
              </w:rPr>
            </w:pPr>
            <w:r>
              <w:rPr>
                <w:rFonts w:ascii="Arial" w:cs="Arial" w:eastAsia="Arial" w:hAnsi="Arial"/>
                <w:sz w:val="18"/>
                <w:szCs w:val="18"/>
                <w:color w:val="auto"/>
                <w:w w:val="96"/>
              </w:rPr>
              <w:t>REDEMPTION</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3.1</w:t>
            </w:r>
          </w:p>
        </w:tc>
        <w:tc>
          <w:tcPr>
            <w:tcW w:w="9240" w:type="dxa"/>
            <w:vAlign w:val="bottom"/>
          </w:tcPr>
          <w:p>
            <w:pPr>
              <w:ind w:left="120"/>
              <w:spacing w:after="0"/>
              <w:rPr>
                <w:sz w:val="20"/>
                <w:szCs w:val="20"/>
                <w:color w:val="auto"/>
              </w:rPr>
            </w:pPr>
            <w:r>
              <w:rPr>
                <w:rFonts w:ascii="Arial" w:cs="Arial" w:eastAsia="Arial" w:hAnsi="Arial"/>
                <w:sz w:val="18"/>
                <w:szCs w:val="18"/>
                <w:color w:val="auto"/>
              </w:rPr>
              <w:t>Notice to Trustee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3.2</w:t>
            </w:r>
          </w:p>
        </w:tc>
        <w:tc>
          <w:tcPr>
            <w:tcW w:w="9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Selection of Securities to be Redeemed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3.3</w:t>
            </w:r>
          </w:p>
        </w:tc>
        <w:tc>
          <w:tcPr>
            <w:tcW w:w="9240" w:type="dxa"/>
            <w:vAlign w:val="bottom"/>
          </w:tcPr>
          <w:p>
            <w:pPr>
              <w:ind w:left="120"/>
              <w:spacing w:after="0"/>
              <w:rPr>
                <w:sz w:val="20"/>
                <w:szCs w:val="20"/>
                <w:color w:val="auto"/>
              </w:rPr>
            </w:pPr>
            <w:r>
              <w:rPr>
                <w:rFonts w:ascii="Arial" w:cs="Arial" w:eastAsia="Arial" w:hAnsi="Arial"/>
                <w:sz w:val="18"/>
                <w:szCs w:val="18"/>
                <w:color w:val="auto"/>
              </w:rPr>
              <w:t>Notice of Redemptionkon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3.4</w:t>
            </w:r>
          </w:p>
        </w:tc>
        <w:tc>
          <w:tcPr>
            <w:tcW w:w="9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Notice of Redemption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3.5</w:t>
            </w:r>
          </w:p>
        </w:tc>
        <w:tc>
          <w:tcPr>
            <w:tcW w:w="9240" w:type="dxa"/>
            <w:vAlign w:val="bottom"/>
          </w:tcPr>
          <w:p>
            <w:pPr>
              <w:ind w:left="120"/>
              <w:spacing w:after="0"/>
              <w:rPr>
                <w:sz w:val="20"/>
                <w:szCs w:val="20"/>
                <w:color w:val="auto"/>
              </w:rPr>
            </w:pPr>
            <w:r>
              <w:rPr>
                <w:rFonts w:ascii="Arial" w:cs="Arial" w:eastAsia="Arial" w:hAnsi="Arial"/>
                <w:sz w:val="18"/>
                <w:szCs w:val="18"/>
                <w:color w:val="auto"/>
              </w:rPr>
              <w:t>Deposit of Redemption Price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3.6</w:t>
            </w:r>
          </w:p>
        </w:tc>
        <w:tc>
          <w:tcPr>
            <w:tcW w:w="9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Securities Redeemed in Part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760" w:type="dxa"/>
            <w:vAlign w:val="bottom"/>
          </w:tcPr>
          <w:p>
            <w:pPr>
              <w:jc w:val="center"/>
              <w:ind w:left="1510"/>
              <w:spacing w:after="0"/>
              <w:rPr>
                <w:sz w:val="20"/>
                <w:szCs w:val="20"/>
                <w:color w:val="auto"/>
              </w:rPr>
            </w:pPr>
            <w:r>
              <w:rPr>
                <w:rFonts w:ascii="Arial" w:cs="Arial" w:eastAsia="Arial" w:hAnsi="Arial"/>
                <w:sz w:val="18"/>
                <w:szCs w:val="18"/>
                <w:color w:val="auto"/>
              </w:rPr>
              <w:t>ARTICLE IV</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760" w:type="dxa"/>
            <w:vAlign w:val="bottom"/>
          </w:tcPr>
          <w:p>
            <w:pPr>
              <w:jc w:val="center"/>
              <w:ind w:left="1510"/>
              <w:spacing w:after="0"/>
              <w:rPr>
                <w:sz w:val="20"/>
                <w:szCs w:val="20"/>
                <w:color w:val="auto"/>
              </w:rPr>
            </w:pPr>
            <w:r>
              <w:rPr>
                <w:rFonts w:ascii="Arial" w:cs="Arial" w:eastAsia="Arial" w:hAnsi="Arial"/>
                <w:sz w:val="18"/>
                <w:szCs w:val="18"/>
                <w:color w:val="auto"/>
                <w:w w:val="96"/>
              </w:rPr>
              <w:t>COVENANTS</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4.1</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 of Principal and Interest</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4.2</w:t>
            </w:r>
          </w:p>
        </w:tc>
        <w:tc>
          <w:tcPr>
            <w:tcW w:w="7760" w:type="dxa"/>
            <w:vAlign w:val="bottom"/>
          </w:tcPr>
          <w:p>
            <w:pPr>
              <w:ind w:left="120"/>
              <w:spacing w:after="0"/>
              <w:rPr>
                <w:sz w:val="20"/>
                <w:szCs w:val="20"/>
                <w:color w:val="auto"/>
              </w:rPr>
            </w:pPr>
            <w:r>
              <w:rPr>
                <w:rFonts w:ascii="Arial" w:cs="Arial" w:eastAsia="Arial" w:hAnsi="Arial"/>
                <w:sz w:val="18"/>
                <w:szCs w:val="18"/>
                <w:color w:val="auto"/>
              </w:rPr>
              <w:t>SEC Reports</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4.3</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Compliance Certificate</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4.4</w:t>
            </w:r>
          </w:p>
        </w:tc>
        <w:tc>
          <w:tcPr>
            <w:tcW w:w="7760" w:type="dxa"/>
            <w:vAlign w:val="bottom"/>
          </w:tcPr>
          <w:p>
            <w:pPr>
              <w:ind w:left="120"/>
              <w:spacing w:after="0"/>
              <w:rPr>
                <w:sz w:val="20"/>
                <w:szCs w:val="20"/>
                <w:color w:val="auto"/>
              </w:rPr>
            </w:pPr>
            <w:r>
              <w:rPr>
                <w:rFonts w:ascii="Arial" w:cs="Arial" w:eastAsia="Arial" w:hAnsi="Arial"/>
                <w:sz w:val="18"/>
                <w:szCs w:val="18"/>
                <w:color w:val="auto"/>
              </w:rPr>
              <w:t>Stay, Extension and Usury Laws</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4.5</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Existence</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760" w:type="dxa"/>
            <w:vAlign w:val="bottom"/>
            <w:shd w:val="clear" w:color="auto" w:fill="CCEEFF"/>
          </w:tcPr>
          <w:p>
            <w:pPr>
              <w:jc w:val="center"/>
              <w:ind w:left="1510"/>
              <w:spacing w:after="0"/>
              <w:rPr>
                <w:sz w:val="20"/>
                <w:szCs w:val="20"/>
                <w:color w:val="auto"/>
              </w:rPr>
            </w:pPr>
            <w:r>
              <w:rPr>
                <w:rFonts w:ascii="Arial" w:cs="Arial" w:eastAsia="Arial" w:hAnsi="Arial"/>
                <w:sz w:val="18"/>
                <w:szCs w:val="18"/>
                <w:color w:val="auto"/>
                <w:w w:val="98"/>
              </w:rPr>
              <w:t>ARTICLE V</w:t>
            </w:r>
          </w:p>
        </w:tc>
        <w:tc>
          <w:tcPr>
            <w:tcW w:w="2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760" w:type="dxa"/>
            <w:vAlign w:val="bottom"/>
          </w:tcPr>
          <w:p>
            <w:pPr>
              <w:jc w:val="center"/>
              <w:ind w:left="1510"/>
              <w:spacing w:after="0"/>
              <w:rPr>
                <w:sz w:val="20"/>
                <w:szCs w:val="20"/>
                <w:color w:val="auto"/>
              </w:rPr>
            </w:pPr>
            <w:r>
              <w:rPr>
                <w:rFonts w:ascii="Arial" w:cs="Arial" w:eastAsia="Arial" w:hAnsi="Arial"/>
                <w:sz w:val="18"/>
                <w:szCs w:val="18"/>
                <w:color w:val="auto"/>
                <w:w w:val="88"/>
              </w:rPr>
              <w:t>SUCCESSORS</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5.1</w:t>
            </w:r>
          </w:p>
        </w:tc>
        <w:tc>
          <w:tcPr>
            <w:tcW w:w="7760" w:type="dxa"/>
            <w:vAlign w:val="bottom"/>
          </w:tcPr>
          <w:p>
            <w:pPr>
              <w:ind w:left="120"/>
              <w:spacing w:after="0"/>
              <w:rPr>
                <w:sz w:val="20"/>
                <w:szCs w:val="20"/>
                <w:color w:val="auto"/>
              </w:rPr>
            </w:pPr>
            <w:r>
              <w:rPr>
                <w:rFonts w:ascii="Arial" w:cs="Arial" w:eastAsia="Arial" w:hAnsi="Arial"/>
                <w:sz w:val="18"/>
                <w:szCs w:val="18"/>
                <w:color w:val="auto"/>
              </w:rPr>
              <w:t>When Company May Merge, Etc.</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5.2</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Successor Corporation Substituted</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760" w:type="dxa"/>
            <w:vAlign w:val="bottom"/>
            <w:shd w:val="clear" w:color="auto" w:fill="CCEEFF"/>
          </w:tcPr>
          <w:p>
            <w:pPr>
              <w:jc w:val="center"/>
              <w:ind w:left="1510"/>
              <w:spacing w:after="0"/>
              <w:rPr>
                <w:sz w:val="20"/>
                <w:szCs w:val="20"/>
                <w:color w:val="auto"/>
              </w:rPr>
            </w:pPr>
            <w:r>
              <w:rPr>
                <w:rFonts w:ascii="Arial" w:cs="Arial" w:eastAsia="Arial" w:hAnsi="Arial"/>
                <w:sz w:val="18"/>
                <w:szCs w:val="18"/>
                <w:color w:val="auto"/>
              </w:rPr>
              <w:t>ARTICLE VI</w:t>
            </w:r>
          </w:p>
        </w:tc>
        <w:tc>
          <w:tcPr>
            <w:tcW w:w="2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760" w:type="dxa"/>
            <w:vAlign w:val="bottom"/>
          </w:tcPr>
          <w:p>
            <w:pPr>
              <w:jc w:val="center"/>
              <w:ind w:left="1510"/>
              <w:spacing w:after="0"/>
              <w:rPr>
                <w:sz w:val="20"/>
                <w:szCs w:val="20"/>
                <w:color w:val="auto"/>
              </w:rPr>
            </w:pPr>
            <w:r>
              <w:rPr>
                <w:rFonts w:ascii="Arial" w:cs="Arial" w:eastAsia="Arial" w:hAnsi="Arial"/>
                <w:sz w:val="18"/>
                <w:szCs w:val="18"/>
                <w:color w:val="auto"/>
                <w:w w:val="96"/>
              </w:rPr>
              <w:t>DEFAULTS AND REMEDIES</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6.1</w:t>
            </w:r>
          </w:p>
        </w:tc>
        <w:tc>
          <w:tcPr>
            <w:tcW w:w="776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6.2</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Acceleration of Maturity; Rescission and Annulment</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6.3</w:t>
            </w:r>
          </w:p>
        </w:tc>
        <w:tc>
          <w:tcPr>
            <w:tcW w:w="7760" w:type="dxa"/>
            <w:vAlign w:val="bottom"/>
          </w:tcPr>
          <w:p>
            <w:pPr>
              <w:ind w:left="120"/>
              <w:spacing w:after="0"/>
              <w:rPr>
                <w:sz w:val="20"/>
                <w:szCs w:val="20"/>
                <w:color w:val="auto"/>
              </w:rPr>
            </w:pPr>
            <w:r>
              <w:rPr>
                <w:rFonts w:ascii="Arial" w:cs="Arial" w:eastAsia="Arial" w:hAnsi="Arial"/>
                <w:sz w:val="18"/>
                <w:szCs w:val="18"/>
                <w:color w:val="auto"/>
              </w:rPr>
              <w:t>Collection of Indebtedness and Suits for Enforcement by Trustee</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6.4</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Trustee May File Proofs of Claim</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6.5</w:t>
            </w:r>
          </w:p>
        </w:tc>
        <w:tc>
          <w:tcPr>
            <w:tcW w:w="7760" w:type="dxa"/>
            <w:vAlign w:val="bottom"/>
          </w:tcPr>
          <w:p>
            <w:pPr>
              <w:ind w:left="120"/>
              <w:spacing w:after="0"/>
              <w:rPr>
                <w:sz w:val="20"/>
                <w:szCs w:val="20"/>
                <w:color w:val="auto"/>
              </w:rPr>
            </w:pPr>
            <w:r>
              <w:rPr>
                <w:rFonts w:ascii="Arial" w:cs="Arial" w:eastAsia="Arial" w:hAnsi="Arial"/>
                <w:sz w:val="18"/>
                <w:szCs w:val="18"/>
                <w:color w:val="auto"/>
              </w:rPr>
              <w:t>Trustee May Enforce Claims Without Possession of Securities</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6.6</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Application of Money Collected</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6.7</w:t>
            </w:r>
          </w:p>
        </w:tc>
        <w:tc>
          <w:tcPr>
            <w:tcW w:w="7760" w:type="dxa"/>
            <w:vAlign w:val="bottom"/>
          </w:tcPr>
          <w:p>
            <w:pPr>
              <w:ind w:left="120"/>
              <w:spacing w:after="0"/>
              <w:rPr>
                <w:sz w:val="20"/>
                <w:szCs w:val="20"/>
                <w:color w:val="auto"/>
              </w:rPr>
            </w:pPr>
            <w:r>
              <w:rPr>
                <w:rFonts w:ascii="Arial" w:cs="Arial" w:eastAsia="Arial" w:hAnsi="Arial"/>
                <w:sz w:val="18"/>
                <w:szCs w:val="18"/>
                <w:color w:val="auto"/>
              </w:rPr>
              <w:t>Limitation on Suits</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6.8</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Unconditional Right of Holders to Receive Principal and Interest</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6.9</w:t>
            </w:r>
          </w:p>
        </w:tc>
        <w:tc>
          <w:tcPr>
            <w:tcW w:w="7760" w:type="dxa"/>
            <w:vAlign w:val="bottom"/>
          </w:tcPr>
          <w:p>
            <w:pPr>
              <w:ind w:left="120"/>
              <w:spacing w:after="0"/>
              <w:rPr>
                <w:sz w:val="20"/>
                <w:szCs w:val="20"/>
                <w:color w:val="auto"/>
              </w:rPr>
            </w:pPr>
            <w:r>
              <w:rPr>
                <w:rFonts w:ascii="Arial" w:cs="Arial" w:eastAsia="Arial" w:hAnsi="Arial"/>
                <w:sz w:val="18"/>
                <w:szCs w:val="18"/>
                <w:color w:val="auto"/>
              </w:rPr>
              <w:t>Restoration of Rights and Remedies</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6.10</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Rights and Remedies Cumulative</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9"/>
              </w:rPr>
              <w:t>Section 6.11</w:t>
            </w:r>
          </w:p>
        </w:tc>
        <w:tc>
          <w:tcPr>
            <w:tcW w:w="7760" w:type="dxa"/>
            <w:vAlign w:val="bottom"/>
          </w:tcPr>
          <w:p>
            <w:pPr>
              <w:ind w:left="120"/>
              <w:spacing w:after="0"/>
              <w:rPr>
                <w:sz w:val="20"/>
                <w:szCs w:val="20"/>
                <w:color w:val="auto"/>
              </w:rPr>
            </w:pPr>
            <w:r>
              <w:rPr>
                <w:rFonts w:ascii="Arial" w:cs="Arial" w:eastAsia="Arial" w:hAnsi="Arial"/>
                <w:sz w:val="18"/>
                <w:szCs w:val="18"/>
                <w:color w:val="auto"/>
              </w:rPr>
              <w:t>Delay or Omission Not Waiver</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6.12</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Control by Holders</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9"/>
              </w:rPr>
              <w:t>Section 6.13</w:t>
            </w:r>
          </w:p>
        </w:tc>
        <w:tc>
          <w:tcPr>
            <w:tcW w:w="7760" w:type="dxa"/>
            <w:vAlign w:val="bottom"/>
          </w:tcPr>
          <w:p>
            <w:pPr>
              <w:ind w:left="120"/>
              <w:spacing w:after="0"/>
              <w:rPr>
                <w:sz w:val="20"/>
                <w:szCs w:val="20"/>
                <w:color w:val="auto"/>
              </w:rPr>
            </w:pPr>
            <w:r>
              <w:rPr>
                <w:rFonts w:ascii="Arial" w:cs="Arial" w:eastAsia="Arial" w:hAnsi="Arial"/>
                <w:sz w:val="18"/>
                <w:szCs w:val="18"/>
                <w:color w:val="auto"/>
              </w:rPr>
              <w:t>Waiver of Past Defaults</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6.14</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Undertaking for Costs</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760" w:type="dxa"/>
            <w:vAlign w:val="bottom"/>
            <w:shd w:val="clear" w:color="auto" w:fill="CCEEFF"/>
          </w:tcPr>
          <w:p>
            <w:pPr>
              <w:jc w:val="center"/>
              <w:ind w:left="1510"/>
              <w:spacing w:after="0"/>
              <w:rPr>
                <w:sz w:val="20"/>
                <w:szCs w:val="20"/>
                <w:color w:val="auto"/>
              </w:rPr>
            </w:pPr>
            <w:r>
              <w:rPr>
                <w:rFonts w:ascii="Arial" w:cs="Arial" w:eastAsia="Arial" w:hAnsi="Arial"/>
                <w:sz w:val="18"/>
                <w:szCs w:val="18"/>
                <w:color w:val="auto"/>
              </w:rPr>
              <w:t>ARTICLE VII</w:t>
            </w:r>
          </w:p>
        </w:tc>
        <w:tc>
          <w:tcPr>
            <w:tcW w:w="2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760" w:type="dxa"/>
            <w:vAlign w:val="bottom"/>
          </w:tcPr>
          <w:p>
            <w:pPr>
              <w:jc w:val="center"/>
              <w:ind w:left="1510"/>
              <w:spacing w:after="0"/>
              <w:rPr>
                <w:sz w:val="20"/>
                <w:szCs w:val="20"/>
                <w:color w:val="auto"/>
              </w:rPr>
            </w:pPr>
            <w:r>
              <w:rPr>
                <w:rFonts w:ascii="Arial" w:cs="Arial" w:eastAsia="Arial" w:hAnsi="Arial"/>
                <w:sz w:val="18"/>
                <w:szCs w:val="18"/>
                <w:color w:val="auto"/>
                <w:w w:val="95"/>
              </w:rPr>
              <w:t>TRUSTEE</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7.1</w:t>
            </w:r>
          </w:p>
        </w:tc>
        <w:tc>
          <w:tcPr>
            <w:tcW w:w="7760" w:type="dxa"/>
            <w:vAlign w:val="bottom"/>
          </w:tcPr>
          <w:p>
            <w:pPr>
              <w:ind w:left="120"/>
              <w:spacing w:after="0"/>
              <w:rPr>
                <w:sz w:val="20"/>
                <w:szCs w:val="20"/>
                <w:color w:val="auto"/>
              </w:rPr>
            </w:pPr>
            <w:r>
              <w:rPr>
                <w:rFonts w:ascii="Arial" w:cs="Arial" w:eastAsia="Arial" w:hAnsi="Arial"/>
                <w:sz w:val="18"/>
                <w:szCs w:val="18"/>
                <w:color w:val="auto"/>
              </w:rPr>
              <w:t>Duties of Trustee</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7.2</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Rights of Trustee</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7.3</w:t>
            </w:r>
          </w:p>
        </w:tc>
        <w:tc>
          <w:tcPr>
            <w:tcW w:w="7760" w:type="dxa"/>
            <w:vAlign w:val="bottom"/>
          </w:tcPr>
          <w:p>
            <w:pPr>
              <w:ind w:left="120"/>
              <w:spacing w:after="0"/>
              <w:rPr>
                <w:sz w:val="20"/>
                <w:szCs w:val="20"/>
                <w:color w:val="auto"/>
              </w:rPr>
            </w:pPr>
            <w:r>
              <w:rPr>
                <w:rFonts w:ascii="Arial" w:cs="Arial" w:eastAsia="Arial" w:hAnsi="Arial"/>
                <w:sz w:val="18"/>
                <w:szCs w:val="18"/>
                <w:color w:val="auto"/>
              </w:rPr>
              <w:t>Force Majeure</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7.4</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Individual Rights of Trustee</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7.5</w:t>
            </w:r>
          </w:p>
        </w:tc>
        <w:tc>
          <w:tcPr>
            <w:tcW w:w="7760" w:type="dxa"/>
            <w:vAlign w:val="bottom"/>
          </w:tcPr>
          <w:p>
            <w:pPr>
              <w:ind w:left="120"/>
              <w:spacing w:after="0"/>
              <w:rPr>
                <w:sz w:val="20"/>
                <w:szCs w:val="20"/>
                <w:color w:val="auto"/>
              </w:rPr>
            </w:pPr>
            <w:r>
              <w:rPr>
                <w:rFonts w:ascii="Arial" w:cs="Arial" w:eastAsia="Arial" w:hAnsi="Arial"/>
                <w:sz w:val="18"/>
                <w:szCs w:val="18"/>
                <w:color w:val="auto"/>
              </w:rPr>
              <w:t>Trustee’s Disclaimer</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7.6</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Notice of Defaults</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7.7</w:t>
            </w:r>
          </w:p>
        </w:tc>
        <w:tc>
          <w:tcPr>
            <w:tcW w:w="7760" w:type="dxa"/>
            <w:vAlign w:val="bottom"/>
          </w:tcPr>
          <w:p>
            <w:pPr>
              <w:ind w:left="120"/>
              <w:spacing w:after="0"/>
              <w:rPr>
                <w:sz w:val="20"/>
                <w:szCs w:val="20"/>
                <w:color w:val="auto"/>
              </w:rPr>
            </w:pPr>
            <w:r>
              <w:rPr>
                <w:rFonts w:ascii="Arial" w:cs="Arial" w:eastAsia="Arial" w:hAnsi="Arial"/>
                <w:sz w:val="18"/>
                <w:szCs w:val="18"/>
                <w:color w:val="auto"/>
              </w:rPr>
              <w:t>Reports by Trustee to Holders</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7.8</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 and Indemnity</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Section 7.9</w:t>
            </w:r>
          </w:p>
        </w:tc>
        <w:tc>
          <w:tcPr>
            <w:tcW w:w="7760" w:type="dxa"/>
            <w:vAlign w:val="bottom"/>
          </w:tcPr>
          <w:p>
            <w:pPr>
              <w:ind w:left="120"/>
              <w:spacing w:after="0"/>
              <w:rPr>
                <w:sz w:val="20"/>
                <w:szCs w:val="20"/>
                <w:color w:val="auto"/>
              </w:rPr>
            </w:pPr>
            <w:r>
              <w:rPr>
                <w:rFonts w:ascii="Arial" w:cs="Arial" w:eastAsia="Arial" w:hAnsi="Arial"/>
                <w:sz w:val="18"/>
                <w:szCs w:val="18"/>
                <w:color w:val="auto"/>
              </w:rPr>
              <w:t>Replacement of Trustee</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7.10</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Successor Trustee by Merger, etc.</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9"/>
              </w:rPr>
              <w:t>Section 7.11</w:t>
            </w:r>
          </w:p>
        </w:tc>
        <w:tc>
          <w:tcPr>
            <w:tcW w:w="7760" w:type="dxa"/>
            <w:vAlign w:val="bottom"/>
          </w:tcPr>
          <w:p>
            <w:pPr>
              <w:ind w:left="120"/>
              <w:spacing w:after="0"/>
              <w:rPr>
                <w:sz w:val="20"/>
                <w:szCs w:val="20"/>
                <w:color w:val="auto"/>
              </w:rPr>
            </w:pPr>
            <w:r>
              <w:rPr>
                <w:rFonts w:ascii="Arial" w:cs="Arial" w:eastAsia="Arial" w:hAnsi="Arial"/>
                <w:sz w:val="18"/>
                <w:szCs w:val="18"/>
                <w:color w:val="auto"/>
              </w:rPr>
              <w:t>Eligibility; Disqualification</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7.12</w:t>
            </w:r>
          </w:p>
        </w:tc>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Preferential Collection of Claims Against Company</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 DEFEASANCE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8.1</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Satisfaction and Discharge of Indenture</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8.2</w:t>
            </w:r>
          </w:p>
        </w:tc>
        <w:tc>
          <w:tcPr>
            <w:tcW w:w="6940" w:type="dxa"/>
            <w:vAlign w:val="bottom"/>
          </w:tcPr>
          <w:p>
            <w:pPr>
              <w:ind w:left="80"/>
              <w:spacing w:after="0"/>
              <w:rPr>
                <w:sz w:val="20"/>
                <w:szCs w:val="20"/>
                <w:color w:val="auto"/>
              </w:rPr>
            </w:pPr>
            <w:r>
              <w:rPr>
                <w:rFonts w:ascii="Arial" w:cs="Arial" w:eastAsia="Arial" w:hAnsi="Arial"/>
                <w:sz w:val="18"/>
                <w:szCs w:val="18"/>
                <w:color w:val="auto"/>
              </w:rPr>
              <w:t>Application of Trust Funds; Indemnification</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8.3</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Defeasance of Securities of any Series</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8.4</w:t>
            </w:r>
          </w:p>
        </w:tc>
        <w:tc>
          <w:tcPr>
            <w:tcW w:w="6940" w:type="dxa"/>
            <w:vAlign w:val="bottom"/>
          </w:tcPr>
          <w:p>
            <w:pPr>
              <w:ind w:left="80"/>
              <w:spacing w:after="0"/>
              <w:rPr>
                <w:sz w:val="20"/>
                <w:szCs w:val="20"/>
                <w:color w:val="auto"/>
              </w:rPr>
            </w:pPr>
            <w:r>
              <w:rPr>
                <w:rFonts w:ascii="Arial" w:cs="Arial" w:eastAsia="Arial" w:hAnsi="Arial"/>
                <w:sz w:val="18"/>
                <w:szCs w:val="18"/>
                <w:color w:val="auto"/>
              </w:rPr>
              <w:t>Covenant Defeasance</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8.5</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Repayment to Company</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94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rPr>
              <w:t>ARTICLE IX</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340" w:type="dxa"/>
            <w:vAlign w:val="bottom"/>
            <w:gridSpan w:val="2"/>
          </w:tcPr>
          <w:p>
            <w:pPr>
              <w:jc w:val="center"/>
              <w:ind w:right="970"/>
              <w:spacing w:after="0"/>
              <w:rPr>
                <w:sz w:val="20"/>
                <w:szCs w:val="20"/>
                <w:color w:val="auto"/>
              </w:rPr>
            </w:pPr>
            <w:r>
              <w:rPr>
                <w:rFonts w:ascii="Arial" w:cs="Arial" w:eastAsia="Arial" w:hAnsi="Arial"/>
                <w:sz w:val="18"/>
                <w:szCs w:val="18"/>
                <w:color w:val="auto"/>
                <w:w w:val="97"/>
              </w:rPr>
              <w:t>SUPPLEMENTAL INDENTURES, AMENDMENTS AND WAIVERS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9.1</w:t>
            </w:r>
          </w:p>
        </w:tc>
        <w:tc>
          <w:tcPr>
            <w:tcW w:w="6940" w:type="dxa"/>
            <w:vAlign w:val="bottom"/>
          </w:tcPr>
          <w:p>
            <w:pPr>
              <w:ind w:left="80"/>
              <w:spacing w:after="0"/>
              <w:rPr>
                <w:sz w:val="20"/>
                <w:szCs w:val="20"/>
                <w:color w:val="auto"/>
              </w:rPr>
            </w:pPr>
            <w:r>
              <w:rPr>
                <w:rFonts w:ascii="Arial" w:cs="Arial" w:eastAsia="Arial" w:hAnsi="Arial"/>
                <w:sz w:val="18"/>
                <w:szCs w:val="18"/>
                <w:color w:val="auto"/>
              </w:rPr>
              <w:t>Without Consent of Holders</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9.2</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With Consent of Holders</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9.3</w:t>
            </w:r>
          </w:p>
        </w:tc>
        <w:tc>
          <w:tcPr>
            <w:tcW w:w="6940" w:type="dxa"/>
            <w:vAlign w:val="bottom"/>
          </w:tcPr>
          <w:p>
            <w:pPr>
              <w:ind w:left="80"/>
              <w:spacing w:after="0"/>
              <w:rPr>
                <w:sz w:val="20"/>
                <w:szCs w:val="20"/>
                <w:color w:val="auto"/>
              </w:rPr>
            </w:pPr>
            <w:r>
              <w:rPr>
                <w:rFonts w:ascii="Arial" w:cs="Arial" w:eastAsia="Arial" w:hAnsi="Arial"/>
                <w:sz w:val="18"/>
                <w:szCs w:val="18"/>
                <w:color w:val="auto"/>
              </w:rPr>
              <w:t>Limitations</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9.4</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Compliance with Trust Indenture Act</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9.5</w:t>
            </w:r>
          </w:p>
        </w:tc>
        <w:tc>
          <w:tcPr>
            <w:tcW w:w="6940" w:type="dxa"/>
            <w:vAlign w:val="bottom"/>
          </w:tcPr>
          <w:p>
            <w:pPr>
              <w:ind w:left="80"/>
              <w:spacing w:after="0"/>
              <w:rPr>
                <w:sz w:val="20"/>
                <w:szCs w:val="20"/>
                <w:color w:val="auto"/>
              </w:rPr>
            </w:pPr>
            <w:r>
              <w:rPr>
                <w:rFonts w:ascii="Arial" w:cs="Arial" w:eastAsia="Arial" w:hAnsi="Arial"/>
                <w:sz w:val="18"/>
                <w:szCs w:val="18"/>
                <w:color w:val="auto"/>
              </w:rPr>
              <w:t>Revocation and Effect of Consents</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9.6</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Notation on or Exchange of Securities</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9.7</w:t>
            </w:r>
          </w:p>
        </w:tc>
        <w:tc>
          <w:tcPr>
            <w:tcW w:w="6940" w:type="dxa"/>
            <w:vAlign w:val="bottom"/>
          </w:tcPr>
          <w:p>
            <w:pPr>
              <w:ind w:left="80"/>
              <w:spacing w:after="0"/>
              <w:rPr>
                <w:sz w:val="20"/>
                <w:szCs w:val="20"/>
                <w:color w:val="auto"/>
              </w:rPr>
            </w:pPr>
            <w:r>
              <w:rPr>
                <w:rFonts w:ascii="Arial" w:cs="Arial" w:eastAsia="Arial" w:hAnsi="Arial"/>
                <w:sz w:val="18"/>
                <w:szCs w:val="18"/>
                <w:color w:val="auto"/>
              </w:rPr>
              <w:t>Trustee Protected</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40" w:type="dxa"/>
            <w:vAlign w:val="bottom"/>
          </w:tcPr>
          <w:p>
            <w:pPr>
              <w:jc w:val="center"/>
              <w:ind w:left="2250"/>
              <w:spacing w:after="0"/>
              <w:rPr>
                <w:sz w:val="20"/>
                <w:szCs w:val="20"/>
                <w:color w:val="auto"/>
              </w:rPr>
            </w:pPr>
            <w:r>
              <w:rPr>
                <w:rFonts w:ascii="Arial" w:cs="Arial" w:eastAsia="Arial" w:hAnsi="Arial"/>
                <w:sz w:val="18"/>
                <w:szCs w:val="18"/>
                <w:color w:val="auto"/>
                <w:w w:val="98"/>
              </w:rPr>
              <w:t>ARTICLE X</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940" w:type="dxa"/>
            <w:vAlign w:val="bottom"/>
            <w:shd w:val="clear" w:color="auto" w:fill="CCEEFF"/>
          </w:tcPr>
          <w:p>
            <w:pPr>
              <w:jc w:val="center"/>
              <w:ind w:left="2270"/>
              <w:spacing w:after="0"/>
              <w:rPr>
                <w:sz w:val="20"/>
                <w:szCs w:val="20"/>
                <w:color w:val="auto"/>
              </w:rPr>
            </w:pPr>
            <w:r>
              <w:rPr>
                <w:rFonts w:ascii="Arial" w:cs="Arial" w:eastAsia="Arial" w:hAnsi="Arial"/>
                <w:sz w:val="18"/>
                <w:szCs w:val="18"/>
                <w:color w:val="auto"/>
                <w:w w:val="97"/>
              </w:rPr>
              <w:t>MISCELLANEOUS</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Trust Indenture Act Controls</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10.2</w:t>
            </w:r>
          </w:p>
        </w:tc>
        <w:tc>
          <w:tcPr>
            <w:tcW w:w="6940" w:type="dxa"/>
            <w:vAlign w:val="bottom"/>
          </w:tcPr>
          <w:p>
            <w:pPr>
              <w:ind w:left="80"/>
              <w:spacing w:after="0"/>
              <w:rPr>
                <w:sz w:val="20"/>
                <w:szCs w:val="20"/>
                <w:color w:val="auto"/>
              </w:rPr>
            </w:pPr>
            <w:r>
              <w:rPr>
                <w:rFonts w:ascii="Arial" w:cs="Arial" w:eastAsia="Arial" w:hAnsi="Arial"/>
                <w:sz w:val="18"/>
                <w:szCs w:val="18"/>
                <w:color w:val="auto"/>
              </w:rPr>
              <w:t>Notices</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10.3</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Communication by Holders with Other Holders</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10.4</w:t>
            </w:r>
          </w:p>
        </w:tc>
        <w:tc>
          <w:tcPr>
            <w:tcW w:w="6940" w:type="dxa"/>
            <w:vAlign w:val="bottom"/>
          </w:tcPr>
          <w:p>
            <w:pPr>
              <w:ind w:left="80"/>
              <w:spacing w:after="0"/>
              <w:rPr>
                <w:sz w:val="20"/>
                <w:szCs w:val="20"/>
                <w:color w:val="auto"/>
              </w:rPr>
            </w:pPr>
            <w:r>
              <w:rPr>
                <w:rFonts w:ascii="Arial" w:cs="Arial" w:eastAsia="Arial" w:hAnsi="Arial"/>
                <w:sz w:val="18"/>
                <w:szCs w:val="18"/>
                <w:color w:val="auto"/>
              </w:rPr>
              <w:t>Certificate and Opinion as to Conditions Precedent</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10.5</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Statements Required in Certificate or Opinion</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10.6</w:t>
            </w:r>
          </w:p>
        </w:tc>
        <w:tc>
          <w:tcPr>
            <w:tcW w:w="6940" w:type="dxa"/>
            <w:vAlign w:val="bottom"/>
          </w:tcPr>
          <w:p>
            <w:pPr>
              <w:ind w:left="80"/>
              <w:spacing w:after="0"/>
              <w:rPr>
                <w:sz w:val="20"/>
                <w:szCs w:val="20"/>
                <w:color w:val="auto"/>
              </w:rPr>
            </w:pPr>
            <w:r>
              <w:rPr>
                <w:rFonts w:ascii="Arial" w:cs="Arial" w:eastAsia="Arial" w:hAnsi="Arial"/>
                <w:sz w:val="18"/>
                <w:szCs w:val="18"/>
                <w:color w:val="auto"/>
              </w:rPr>
              <w:t>Rules by Trustee and Agents</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10.7</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Holidays</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10.8</w:t>
            </w:r>
          </w:p>
        </w:tc>
        <w:tc>
          <w:tcPr>
            <w:tcW w:w="6940" w:type="dxa"/>
            <w:vAlign w:val="bottom"/>
          </w:tcPr>
          <w:p>
            <w:pPr>
              <w:ind w:left="80"/>
              <w:spacing w:after="0"/>
              <w:rPr>
                <w:sz w:val="20"/>
                <w:szCs w:val="20"/>
                <w:color w:val="auto"/>
              </w:rPr>
            </w:pPr>
            <w:r>
              <w:rPr>
                <w:rFonts w:ascii="Arial" w:cs="Arial" w:eastAsia="Arial" w:hAnsi="Arial"/>
                <w:sz w:val="18"/>
                <w:szCs w:val="18"/>
                <w:color w:val="auto"/>
              </w:rPr>
              <w:t>No Recourse Against Others</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10.9</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Counterparts</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4"/>
              </w:rPr>
              <w:t>Section 10.10</w:t>
            </w:r>
          </w:p>
        </w:tc>
        <w:tc>
          <w:tcPr>
            <w:tcW w:w="6940" w:type="dxa"/>
            <w:vAlign w:val="bottom"/>
          </w:tcPr>
          <w:p>
            <w:pPr>
              <w:ind w:left="80"/>
              <w:spacing w:after="0"/>
              <w:rPr>
                <w:sz w:val="20"/>
                <w:szCs w:val="20"/>
                <w:color w:val="auto"/>
              </w:rPr>
            </w:pPr>
            <w:r>
              <w:rPr>
                <w:rFonts w:ascii="Arial" w:cs="Arial" w:eastAsia="Arial" w:hAnsi="Arial"/>
                <w:sz w:val="18"/>
                <w:szCs w:val="18"/>
                <w:color w:val="auto"/>
              </w:rPr>
              <w:t>Governing Laws</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10.11</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Adverse Interpretation of Other Agreements</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4"/>
              </w:rPr>
              <w:t>Section 10.12</w:t>
            </w:r>
          </w:p>
        </w:tc>
        <w:tc>
          <w:tcPr>
            <w:tcW w:w="6940" w:type="dxa"/>
            <w:vAlign w:val="bottom"/>
          </w:tcPr>
          <w:p>
            <w:pPr>
              <w:ind w:left="80"/>
              <w:spacing w:after="0"/>
              <w:rPr>
                <w:sz w:val="20"/>
                <w:szCs w:val="20"/>
                <w:color w:val="auto"/>
              </w:rPr>
            </w:pPr>
            <w:r>
              <w:rPr>
                <w:rFonts w:ascii="Arial" w:cs="Arial" w:eastAsia="Arial" w:hAnsi="Arial"/>
                <w:sz w:val="18"/>
                <w:szCs w:val="18"/>
                <w:color w:val="auto"/>
              </w:rPr>
              <w:t>Successors</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10.13</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Severability</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4"/>
              </w:rPr>
              <w:t>Section 10.14</w:t>
            </w:r>
          </w:p>
        </w:tc>
        <w:tc>
          <w:tcPr>
            <w:tcW w:w="6940" w:type="dxa"/>
            <w:vAlign w:val="bottom"/>
          </w:tcPr>
          <w:p>
            <w:pPr>
              <w:ind w:left="80"/>
              <w:spacing w:after="0"/>
              <w:rPr>
                <w:sz w:val="20"/>
                <w:szCs w:val="20"/>
                <w:color w:val="auto"/>
              </w:rPr>
            </w:pPr>
            <w:r>
              <w:rPr>
                <w:rFonts w:ascii="Arial" w:cs="Arial" w:eastAsia="Arial" w:hAnsi="Arial"/>
                <w:sz w:val="18"/>
                <w:szCs w:val="18"/>
                <w:color w:val="auto"/>
              </w:rPr>
              <w:t>Table of Contents, Headings, Etc.</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10.15</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 in a Foreign Currency or in ECU</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4"/>
              </w:rPr>
              <w:t>Section 10.16</w:t>
            </w:r>
          </w:p>
        </w:tc>
        <w:tc>
          <w:tcPr>
            <w:tcW w:w="6940" w:type="dxa"/>
            <w:vAlign w:val="bottom"/>
          </w:tcPr>
          <w:p>
            <w:pPr>
              <w:ind w:left="80"/>
              <w:spacing w:after="0"/>
              <w:rPr>
                <w:sz w:val="20"/>
                <w:szCs w:val="20"/>
                <w:color w:val="auto"/>
              </w:rPr>
            </w:pPr>
            <w:r>
              <w:rPr>
                <w:rFonts w:ascii="Arial" w:cs="Arial" w:eastAsia="Arial" w:hAnsi="Arial"/>
                <w:sz w:val="18"/>
                <w:szCs w:val="18"/>
                <w:color w:val="auto"/>
              </w:rPr>
              <w:t>Judgment Currency</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40" w:type="dxa"/>
            <w:vAlign w:val="bottom"/>
          </w:tcPr>
          <w:p>
            <w:pPr>
              <w:jc w:val="center"/>
              <w:ind w:left="2250"/>
              <w:spacing w:after="0"/>
              <w:rPr>
                <w:sz w:val="20"/>
                <w:szCs w:val="20"/>
                <w:color w:val="auto"/>
              </w:rPr>
            </w:pPr>
            <w:r>
              <w:rPr>
                <w:rFonts w:ascii="Arial" w:cs="Arial" w:eastAsia="Arial" w:hAnsi="Arial"/>
                <w:sz w:val="18"/>
                <w:szCs w:val="18"/>
                <w:color w:val="auto"/>
              </w:rPr>
              <w:t>ARTICLE XI</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94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w w:val="96"/>
              </w:rPr>
              <w:t>SINKING FUNDS</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11.1</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Applicability of Article</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11.2</w:t>
            </w:r>
          </w:p>
        </w:tc>
        <w:tc>
          <w:tcPr>
            <w:tcW w:w="6940" w:type="dxa"/>
            <w:vAlign w:val="bottom"/>
          </w:tcPr>
          <w:p>
            <w:pPr>
              <w:ind w:left="80"/>
              <w:spacing w:after="0"/>
              <w:rPr>
                <w:sz w:val="20"/>
                <w:szCs w:val="20"/>
                <w:color w:val="auto"/>
              </w:rPr>
            </w:pPr>
            <w:r>
              <w:rPr>
                <w:rFonts w:ascii="Arial" w:cs="Arial" w:eastAsia="Arial" w:hAnsi="Arial"/>
                <w:sz w:val="18"/>
                <w:szCs w:val="18"/>
                <w:color w:val="auto"/>
              </w:rPr>
              <w:t>Satisfaction of Sinking Fund Payments with Securities</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11.3</w:t>
            </w: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Redemption of Securities for Sinking Fund</w:t>
            </w:r>
          </w:p>
        </w:tc>
        <w:tc>
          <w:tcPr>
            <w:tcW w:w="3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40" w:type="dxa"/>
            <w:vAlign w:val="bottom"/>
          </w:tcPr>
          <w:p>
            <w:pPr>
              <w:jc w:val="center"/>
              <w:ind w:left="2250"/>
              <w:spacing w:after="0"/>
              <w:rPr>
                <w:sz w:val="20"/>
                <w:szCs w:val="20"/>
                <w:color w:val="auto"/>
              </w:rPr>
            </w:pPr>
            <w:r>
              <w:rPr>
                <w:rFonts w:ascii="Arial" w:cs="Arial" w:eastAsia="Arial" w:hAnsi="Arial"/>
                <w:sz w:val="18"/>
                <w:szCs w:val="18"/>
                <w:b w:val="1"/>
                <w:bCs w:val="1"/>
                <w:color w:val="auto"/>
                <w:w w:val="93"/>
              </w:rPr>
              <w:t>Form of Indenture</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20" w:type="dxa"/>
            <w:vAlign w:val="bottom"/>
            <w:gridSpan w:val="3"/>
          </w:tcPr>
          <w:p>
            <w:pPr>
              <w:spacing w:after="0"/>
              <w:rPr>
                <w:sz w:val="20"/>
                <w:szCs w:val="20"/>
                <w:color w:val="auto"/>
              </w:rPr>
            </w:pPr>
            <w:r>
              <w:rPr>
                <w:rFonts w:ascii="Arial" w:cs="Arial" w:eastAsia="Arial" w:hAnsi="Arial"/>
                <w:sz w:val="18"/>
                <w:szCs w:val="18"/>
                <w:color w:val="auto"/>
                <w:w w:val="93"/>
              </w:rPr>
              <w:t>Indenture dated as of [  ] between CLPS Incorporation, Inc., a Cayman Islands company (“Company”), and [</w:t>
            </w:r>
          </w:p>
        </w:tc>
        <w:tc>
          <w:tcPr>
            <w:tcW w:w="3400" w:type="dxa"/>
            <w:vAlign w:val="bottom"/>
          </w:tcPr>
          <w:p>
            <w:pPr>
              <w:jc w:val="right"/>
              <w:spacing w:after="0"/>
              <w:rPr>
                <w:sz w:val="20"/>
                <w:szCs w:val="20"/>
                <w:color w:val="auto"/>
              </w:rPr>
            </w:pPr>
            <w:r>
              <w:rPr>
                <w:rFonts w:ascii="Arial" w:cs="Arial" w:eastAsia="Arial" w:hAnsi="Arial"/>
                <w:sz w:val="18"/>
                <w:szCs w:val="18"/>
                <w:color w:val="auto"/>
                <w:w w:val="93"/>
              </w:rPr>
              <w:t>] (“Trustee”). Each party agrees as follows for</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the benefit of the other party and for the equal and ratable benefit of the Holders of the Securities issued under this Indenture.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Amounts</w:t>
      </w:r>
      <w:r>
        <w:rPr>
          <w:rFonts w:ascii="Arial" w:cs="Arial" w:eastAsia="Arial" w:hAnsi="Arial"/>
          <w:sz w:val="17"/>
          <w:szCs w:val="17"/>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 Resolution</w:t>
      </w:r>
      <w:r>
        <w:rPr>
          <w:rFonts w:ascii="Arial" w:cs="Arial" w:eastAsia="Arial" w:hAnsi="Arial"/>
          <w:sz w:val="16"/>
          <w:szCs w:val="16"/>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hereto for a particular Series, any day except a Saturday, Sunday or a legal holiday in The City of New York on which banking institutions are authorized or required by law, regulation or executive order to close or a day the Corporate Trust Office is closed.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two Officers, one of whom must be the Company’s principal executive officer, principal financial officer or principal accounting officer.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Request</w:t>
      </w:r>
      <w:r>
        <w:rPr>
          <w:rFonts w:ascii="Arial" w:cs="Arial" w:eastAsia="Arial" w:hAnsi="Arial"/>
          <w:sz w:val="18"/>
          <w:szCs w:val="18"/>
          <w:color w:val="auto"/>
        </w:rPr>
        <w:t>” means a written request signed in the name of the Company by its Chairman, its Chief Executive Officer, or any Vice President and by its Chief Financial Officer and delivered to the Trustee.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Corporate Trust Office</w:t>
      </w:r>
      <w:r>
        <w:rPr>
          <w:rFonts w:ascii="Arial" w:cs="Arial" w:eastAsia="Arial" w:hAnsi="Arial"/>
          <w:sz w:val="17"/>
          <w:szCs w:val="17"/>
          <w:color w:val="auto"/>
        </w:rPr>
        <w:t>” means the office of the Trustee at which at any particular time its corporate trust business shall be principally administered.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Currency</w:t>
      </w:r>
      <w:r>
        <w:rPr>
          <w:rFonts w:ascii="Arial" w:cs="Arial" w:eastAsia="Arial" w:hAnsi="Arial"/>
          <w:sz w:val="18"/>
          <w:szCs w:val="18"/>
          <w:color w:val="auto"/>
        </w:rPr>
        <w:t>” means any currency or currency unit issued by a government other than the government of The United States of America.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 Obligations</w:t>
      </w:r>
      <w:r>
        <w:rPr>
          <w:rFonts w:ascii="Arial" w:cs="Arial" w:eastAsia="Arial" w:hAnsi="Arial"/>
          <w:sz w:val="18"/>
          <w:szCs w:val="18"/>
          <w:color w:val="auto"/>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Global Security</w:t>
      </w:r>
      <w:r>
        <w:rPr>
          <w:rFonts w:ascii="Arial" w:cs="Arial" w:eastAsia="Arial" w:hAnsi="Arial"/>
          <w:sz w:val="17"/>
          <w:szCs w:val="17"/>
          <w:color w:val="auto"/>
        </w:rPr>
        <w:t>” or “Global Securities”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 Holder</w:t>
      </w:r>
      <w:r>
        <w:rPr>
          <w:rFonts w:ascii="Arial" w:cs="Arial" w:eastAsia="Arial" w:hAnsi="Arial"/>
          <w:sz w:val="18"/>
          <w:szCs w:val="18"/>
          <w:color w:val="auto"/>
        </w:rPr>
        <w:t>” means a person in whose name a Security is registered.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with respect to any Discount Security which by its terms bears interest only after Maturity, means interest payable after Maturity.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Chairman, the Chief Executive Officer, any Vice President, or the Chief Financial Officer of the Company.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w:t>
      </w:r>
      <w:r>
        <w:rPr>
          <w:rFonts w:ascii="Arial" w:cs="Arial" w:eastAsia="Arial" w:hAnsi="Arial"/>
          <w:sz w:val="18"/>
          <w:szCs w:val="18"/>
          <w:color w:val="auto"/>
        </w:rPr>
        <w:t>” means a certificate signed by two Officers, one of whom must be the Company’s principal executive officer, principal financial officer or principal accounting officer.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which opinion, is acceptable to the Trustee. The counsel may be an employee of or counsel to the Company.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and also means, with respect to a particular corporate trust matter, any other officer to whom any corporate trust matter is referred because of his or her knowledge of and familiarity with a particular subject and who shall in each case have direct responsibility for the administration of this Indenture.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w:t>
      </w:r>
      <w:r>
        <w:rPr>
          <w:rFonts w:ascii="Arial" w:cs="Arial" w:eastAsia="Arial" w:hAnsi="Arial"/>
          <w:sz w:val="17"/>
          <w:szCs w:val="17"/>
          <w:color w:val="auto"/>
        </w:rPr>
        <w:t>” means the debentures, notes or other debt instruments of the Company of any Series authenticated and delivered under this Indenture.</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“Series of Securities” means each series of debentures, notes or other debt instruments of the Company created pursuant to Sections 2.1 and 2.2 hereof.</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(15 U.S. Code §§ 77aaa-77bbbb) as in effect on the date of this Indenture; provided, however, that in the event the Trust Indenture Act of 1939 is amended after such date, “TIA” means, to the extent required by any such amendment, the Trust Indenture Act as so amended.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Trustee</w:t>
      </w:r>
      <w:r>
        <w:rPr>
          <w:rFonts w:ascii="Arial" w:cs="Arial" w:eastAsia="Arial" w:hAnsi="Arial"/>
          <w:sz w:val="16"/>
          <w:szCs w:val="16"/>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5"/>
          </w:tcPr>
          <w:p>
            <w:pPr>
              <w:spacing w:after="0"/>
              <w:rPr>
                <w:sz w:val="20"/>
                <w:szCs w:val="20"/>
                <w:color w:val="auto"/>
              </w:rPr>
            </w:pPr>
            <w:r>
              <w:rPr>
                <w:rFonts w:ascii="Arial" w:cs="Arial" w:eastAsia="Arial" w:hAnsi="Arial"/>
                <w:sz w:val="18"/>
                <w:szCs w:val="18"/>
                <w:color w:val="auto"/>
              </w:rPr>
              <w:t>Section 1.2 Other Definitions.</w:t>
            </w:r>
          </w:p>
        </w:tc>
        <w:tc>
          <w:tcPr>
            <w:tcW w:w="5600" w:type="dxa"/>
            <w:vAlign w:val="bottom"/>
          </w:tcPr>
          <w:p>
            <w:pPr>
              <w:spacing w:after="0"/>
              <w:rPr>
                <w:sz w:val="18"/>
                <w:szCs w:val="18"/>
                <w:color w:val="auto"/>
              </w:rPr>
            </w:pPr>
          </w:p>
        </w:tc>
      </w:tr>
      <w:tr>
        <w:trPr>
          <w:trHeight w:val="473"/>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c>
          <w:tcPr>
            <w:tcW w:w="1260" w:type="dxa"/>
            <w:vAlign w:val="bottom"/>
            <w:tcBorders>
              <w:top w:val="single" w:sz="8" w:color="auto"/>
            </w:tcBorders>
          </w:tcPr>
          <w:p>
            <w:pPr>
              <w:spacing w:after="0"/>
              <w:rPr>
                <w:sz w:val="24"/>
                <w:szCs w:val="24"/>
                <w:color w:val="auto"/>
              </w:rPr>
            </w:pPr>
          </w:p>
        </w:tc>
        <w:tc>
          <w:tcPr>
            <w:tcW w:w="3700" w:type="dxa"/>
            <w:vAlign w:val="bottom"/>
            <w:gridSpan w:val="2"/>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DEFINED IN SECTION</w:t>
            </w:r>
          </w:p>
        </w:tc>
      </w:tr>
      <w:tr>
        <w:trPr>
          <w:trHeight w:val="202"/>
        </w:trPr>
        <w:tc>
          <w:tcPr>
            <w:tcW w:w="20" w:type="dxa"/>
            <w:vAlign w:val="bottom"/>
          </w:tcPr>
          <w:p>
            <w:pPr>
              <w:spacing w:after="0"/>
              <w:rPr>
                <w:sz w:val="17"/>
                <w:szCs w:val="17"/>
                <w:color w:val="auto"/>
              </w:rPr>
            </w:pPr>
          </w:p>
        </w:tc>
        <w:tc>
          <w:tcPr>
            <w:tcW w:w="560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6.1</w:t>
            </w:r>
          </w:p>
        </w:tc>
      </w:tr>
      <w:tr>
        <w:trPr>
          <w:trHeight w:val="216"/>
        </w:trPr>
        <w:tc>
          <w:tcPr>
            <w:tcW w:w="582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5600" w:type="dxa"/>
            <w:vAlign w:val="bottom"/>
          </w:tcPr>
          <w:p>
            <w:pPr>
              <w:spacing w:after="0"/>
              <w:rPr>
                <w:sz w:val="20"/>
                <w:szCs w:val="20"/>
                <w:color w:val="auto"/>
              </w:rPr>
            </w:pPr>
            <w:r>
              <w:rPr>
                <w:rFonts w:ascii="Arial" w:cs="Arial" w:eastAsia="Arial" w:hAnsi="Arial"/>
                <w:sz w:val="18"/>
                <w:szCs w:val="18"/>
                <w:color w:val="auto"/>
              </w:rPr>
              <w:t>6.1</w:t>
            </w:r>
          </w:p>
        </w:tc>
      </w:tr>
      <w:tr>
        <w:trPr>
          <w:trHeight w:val="216"/>
        </w:trPr>
        <w:tc>
          <w:tcPr>
            <w:tcW w:w="582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5600" w:type="dxa"/>
            <w:vAlign w:val="bottom"/>
          </w:tcPr>
          <w:p>
            <w:pPr>
              <w:spacing w:after="0"/>
              <w:rPr>
                <w:sz w:val="20"/>
                <w:szCs w:val="20"/>
                <w:color w:val="auto"/>
              </w:rPr>
            </w:pPr>
            <w:r>
              <w:rPr>
                <w:rFonts w:ascii="Arial" w:cs="Arial" w:eastAsia="Arial" w:hAnsi="Arial"/>
                <w:sz w:val="18"/>
                <w:szCs w:val="18"/>
                <w:color w:val="auto"/>
              </w:rPr>
              <w:t>6.1</w:t>
            </w:r>
          </w:p>
        </w:tc>
      </w:tr>
      <w:tr>
        <w:trPr>
          <w:trHeight w:val="216"/>
        </w:trPr>
        <w:tc>
          <w:tcPr>
            <w:tcW w:w="582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Journal</w:t>
            </w:r>
            <w:r>
              <w:rPr>
                <w:rFonts w:ascii="Arial" w:cs="Arial" w:eastAsia="Arial" w:hAnsi="Arial"/>
                <w:sz w:val="18"/>
                <w:szCs w:val="18"/>
                <w:color w:val="auto"/>
              </w:rPr>
              <w:t>”</w:t>
            </w:r>
          </w:p>
        </w:tc>
        <w:tc>
          <w:tcPr>
            <w:tcW w:w="5600" w:type="dxa"/>
            <w:vAlign w:val="bottom"/>
          </w:tcPr>
          <w:p>
            <w:pPr>
              <w:spacing w:after="0"/>
              <w:rPr>
                <w:sz w:val="20"/>
                <w:szCs w:val="20"/>
                <w:color w:val="auto"/>
              </w:rPr>
            </w:pPr>
            <w:r>
              <w:rPr>
                <w:rFonts w:ascii="Arial" w:cs="Arial" w:eastAsia="Arial" w:hAnsi="Arial"/>
                <w:sz w:val="18"/>
                <w:szCs w:val="18"/>
                <w:color w:val="auto"/>
              </w:rPr>
              <w:t>10.15</w:t>
            </w:r>
          </w:p>
        </w:tc>
      </w:tr>
      <w:tr>
        <w:trPr>
          <w:trHeight w:val="216"/>
        </w:trPr>
        <w:tc>
          <w:tcPr>
            <w:tcW w:w="582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5600" w:type="dxa"/>
            <w:vAlign w:val="bottom"/>
          </w:tcPr>
          <w:p>
            <w:pPr>
              <w:spacing w:after="0"/>
              <w:rPr>
                <w:sz w:val="20"/>
                <w:szCs w:val="20"/>
                <w:color w:val="auto"/>
              </w:rPr>
            </w:pPr>
            <w:r>
              <w:rPr>
                <w:rFonts w:ascii="Arial" w:cs="Arial" w:eastAsia="Arial" w:hAnsi="Arial"/>
                <w:sz w:val="18"/>
                <w:szCs w:val="18"/>
                <w:color w:val="auto"/>
              </w:rPr>
              <w:t>10.16</w:t>
            </w:r>
          </w:p>
        </w:tc>
      </w:tr>
      <w:tr>
        <w:trPr>
          <w:trHeight w:val="216"/>
        </w:trPr>
        <w:tc>
          <w:tcPr>
            <w:tcW w:w="5820" w:type="dxa"/>
            <w:vAlign w:val="bottom"/>
            <w:gridSpan w:val="5"/>
          </w:tcPr>
          <w:p>
            <w:pPr>
              <w:spacing w:after="0"/>
              <w:rPr>
                <w:sz w:val="20"/>
                <w:szCs w:val="20"/>
                <w:color w:val="auto"/>
              </w:rPr>
            </w:pPr>
            <w:r>
              <w:rPr>
                <w:rFonts w:ascii="Arial" w:cs="Arial" w:eastAsia="Arial" w:hAnsi="Arial"/>
                <w:sz w:val="18"/>
                <w:szCs w:val="18"/>
                <w:color w:val="auto"/>
              </w:rPr>
              <w:t>“Legal Holiday”</w:t>
            </w:r>
          </w:p>
        </w:tc>
        <w:tc>
          <w:tcPr>
            <w:tcW w:w="5600" w:type="dxa"/>
            <w:vAlign w:val="bottom"/>
          </w:tcPr>
          <w:p>
            <w:pPr>
              <w:spacing w:after="0"/>
              <w:rPr>
                <w:sz w:val="20"/>
                <w:szCs w:val="20"/>
                <w:color w:val="auto"/>
              </w:rPr>
            </w:pPr>
            <w:r>
              <w:rPr>
                <w:rFonts w:ascii="Arial" w:cs="Arial" w:eastAsia="Arial" w:hAnsi="Arial"/>
                <w:sz w:val="18"/>
                <w:szCs w:val="18"/>
                <w:color w:val="auto"/>
              </w:rPr>
              <w:t>10.7</w:t>
            </w:r>
          </w:p>
        </w:tc>
      </w:tr>
      <w:tr>
        <w:trPr>
          <w:trHeight w:val="216"/>
        </w:trPr>
        <w:tc>
          <w:tcPr>
            <w:tcW w:w="582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w:t>
            </w:r>
          </w:p>
        </w:tc>
        <w:tc>
          <w:tcPr>
            <w:tcW w:w="5600" w:type="dxa"/>
            <w:vAlign w:val="bottom"/>
          </w:tcPr>
          <w:p>
            <w:pPr>
              <w:spacing w:after="0"/>
              <w:rPr>
                <w:sz w:val="20"/>
                <w:szCs w:val="20"/>
                <w:color w:val="auto"/>
              </w:rPr>
            </w:pPr>
            <w:r>
              <w:rPr>
                <w:rFonts w:ascii="Arial" w:cs="Arial" w:eastAsia="Arial" w:hAnsi="Arial"/>
                <w:sz w:val="18"/>
                <w:szCs w:val="18"/>
                <w:color w:val="auto"/>
              </w:rPr>
              <w:t>11.1</w:t>
            </w:r>
          </w:p>
        </w:tc>
      </w:tr>
      <w:tr>
        <w:trPr>
          <w:trHeight w:val="216"/>
        </w:trPr>
        <w:tc>
          <w:tcPr>
            <w:tcW w:w="582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Market Exchange Rate</w:t>
            </w:r>
            <w:r>
              <w:rPr>
                <w:rFonts w:ascii="Arial" w:cs="Arial" w:eastAsia="Arial" w:hAnsi="Arial"/>
                <w:sz w:val="18"/>
                <w:szCs w:val="18"/>
                <w:color w:val="auto"/>
              </w:rPr>
              <w:t>”</w:t>
            </w:r>
          </w:p>
        </w:tc>
        <w:tc>
          <w:tcPr>
            <w:tcW w:w="5600" w:type="dxa"/>
            <w:vAlign w:val="bottom"/>
          </w:tcPr>
          <w:p>
            <w:pPr>
              <w:spacing w:after="0"/>
              <w:rPr>
                <w:sz w:val="20"/>
                <w:szCs w:val="20"/>
                <w:color w:val="auto"/>
              </w:rPr>
            </w:pPr>
            <w:r>
              <w:rPr>
                <w:rFonts w:ascii="Arial" w:cs="Arial" w:eastAsia="Arial" w:hAnsi="Arial"/>
                <w:sz w:val="18"/>
                <w:szCs w:val="18"/>
                <w:color w:val="auto"/>
              </w:rPr>
              <w:t>10.15</w:t>
            </w:r>
          </w:p>
        </w:tc>
      </w:tr>
      <w:tr>
        <w:trPr>
          <w:trHeight w:val="216"/>
        </w:trPr>
        <w:tc>
          <w:tcPr>
            <w:tcW w:w="582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5600" w:type="dxa"/>
            <w:vAlign w:val="bottom"/>
          </w:tcPr>
          <w:p>
            <w:pPr>
              <w:spacing w:after="0"/>
              <w:rPr>
                <w:sz w:val="20"/>
                <w:szCs w:val="20"/>
                <w:color w:val="auto"/>
              </w:rPr>
            </w:pPr>
            <w:r>
              <w:rPr>
                <w:rFonts w:ascii="Arial" w:cs="Arial" w:eastAsia="Arial" w:hAnsi="Arial"/>
                <w:sz w:val="18"/>
                <w:szCs w:val="18"/>
                <w:color w:val="auto"/>
              </w:rPr>
              <w:t>10.16</w:t>
            </w:r>
          </w:p>
        </w:tc>
      </w:tr>
      <w:tr>
        <w:trPr>
          <w:trHeight w:val="216"/>
        </w:trPr>
        <w:tc>
          <w:tcPr>
            <w:tcW w:w="582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Agent</w:t>
            </w:r>
            <w:r>
              <w:rPr>
                <w:rFonts w:ascii="Arial" w:cs="Arial" w:eastAsia="Arial" w:hAnsi="Arial"/>
                <w:sz w:val="18"/>
                <w:szCs w:val="18"/>
                <w:color w:val="auto"/>
              </w:rPr>
              <w:t>”</w:t>
            </w:r>
          </w:p>
        </w:tc>
        <w:tc>
          <w:tcPr>
            <w:tcW w:w="5600" w:type="dxa"/>
            <w:vAlign w:val="bottom"/>
          </w:tcPr>
          <w:p>
            <w:pPr>
              <w:spacing w:after="0"/>
              <w:rPr>
                <w:sz w:val="20"/>
                <w:szCs w:val="20"/>
                <w:color w:val="auto"/>
              </w:rPr>
            </w:pPr>
            <w:r>
              <w:rPr>
                <w:rFonts w:ascii="Arial" w:cs="Arial" w:eastAsia="Arial" w:hAnsi="Arial"/>
                <w:sz w:val="18"/>
                <w:szCs w:val="18"/>
                <w:color w:val="auto"/>
              </w:rPr>
              <w:t>2.4</w:t>
            </w:r>
          </w:p>
        </w:tc>
      </w:tr>
      <w:tr>
        <w:trPr>
          <w:trHeight w:val="216"/>
        </w:trPr>
        <w:tc>
          <w:tcPr>
            <w:tcW w:w="582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w:t>
            </w:r>
          </w:p>
        </w:tc>
        <w:tc>
          <w:tcPr>
            <w:tcW w:w="5600" w:type="dxa"/>
            <w:vAlign w:val="bottom"/>
          </w:tcPr>
          <w:p>
            <w:pPr>
              <w:spacing w:after="0"/>
              <w:rPr>
                <w:sz w:val="20"/>
                <w:szCs w:val="20"/>
                <w:color w:val="auto"/>
              </w:rPr>
            </w:pPr>
            <w:r>
              <w:rPr>
                <w:rFonts w:ascii="Arial" w:cs="Arial" w:eastAsia="Arial" w:hAnsi="Arial"/>
                <w:sz w:val="18"/>
                <w:szCs w:val="18"/>
                <w:color w:val="auto"/>
              </w:rPr>
              <w:t>11.1</w:t>
            </w:r>
          </w:p>
        </w:tc>
      </w:tr>
      <w:tr>
        <w:trPr>
          <w:trHeight w:val="216"/>
        </w:trPr>
        <w:tc>
          <w:tcPr>
            <w:tcW w:w="582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5600" w:type="dxa"/>
            <w:vAlign w:val="bottom"/>
          </w:tcPr>
          <w:p>
            <w:pPr>
              <w:spacing w:after="0"/>
              <w:rPr>
                <w:sz w:val="20"/>
                <w:szCs w:val="20"/>
                <w:color w:val="auto"/>
              </w:rPr>
            </w:pPr>
            <w:r>
              <w:rPr>
                <w:rFonts w:ascii="Arial" w:cs="Arial" w:eastAsia="Arial" w:hAnsi="Arial"/>
                <w:sz w:val="18"/>
                <w:szCs w:val="18"/>
                <w:color w:val="auto"/>
              </w:rPr>
              <w:t>2.4</w:t>
            </w:r>
          </w:p>
        </w:tc>
      </w:tr>
      <w:tr>
        <w:trPr>
          <w:trHeight w:val="216"/>
        </w:trPr>
        <w:tc>
          <w:tcPr>
            <w:tcW w:w="582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5600" w:type="dxa"/>
            <w:vAlign w:val="bottom"/>
          </w:tcPr>
          <w:p>
            <w:pPr>
              <w:spacing w:after="0"/>
              <w:rPr>
                <w:sz w:val="20"/>
                <w:szCs w:val="20"/>
                <w:color w:val="auto"/>
              </w:rPr>
            </w:pPr>
            <w:r>
              <w:rPr>
                <w:rFonts w:ascii="Arial" w:cs="Arial" w:eastAsia="Arial" w:hAnsi="Arial"/>
                <w:sz w:val="18"/>
                <w:szCs w:val="18"/>
                <w:color w:val="auto"/>
              </w:rPr>
              <w:t>2.4</w:t>
            </w:r>
          </w:p>
        </w:tc>
      </w:tr>
      <w:tr>
        <w:trPr>
          <w:trHeight w:val="216"/>
        </w:trPr>
        <w:tc>
          <w:tcPr>
            <w:tcW w:w="582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5600" w:type="dxa"/>
            <w:vAlign w:val="bottom"/>
          </w:tcPr>
          <w:p>
            <w:pPr>
              <w:spacing w:after="0"/>
              <w:rPr>
                <w:sz w:val="20"/>
                <w:szCs w:val="20"/>
                <w:color w:val="auto"/>
              </w:rPr>
            </w:pPr>
            <w:r>
              <w:rPr>
                <w:rFonts w:ascii="Arial" w:cs="Arial" w:eastAsia="Arial" w:hAnsi="Arial"/>
                <w:sz w:val="18"/>
                <w:szCs w:val="18"/>
                <w:color w:val="auto"/>
              </w:rPr>
              <w:t>10.16</w:t>
            </w:r>
          </w:p>
        </w:tc>
      </w:tr>
      <w:tr>
        <w:trPr>
          <w:trHeight w:val="230"/>
        </w:trPr>
        <w:tc>
          <w:tcPr>
            <w:tcW w:w="582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w:t>
            </w:r>
          </w:p>
        </w:tc>
        <w:tc>
          <w:tcPr>
            <w:tcW w:w="5600" w:type="dxa"/>
            <w:vAlign w:val="bottom"/>
          </w:tcPr>
          <w:p>
            <w:pPr>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or prior to the issuance of any Securities within a Series, the following shall be established (as to the Series generally, in the case of Subsection 2.2(a) and either as to such Securities within the Series or as to the Series generally in the case of Subsections 2.2(b) through 2.2(u)) by or pursuant to a Board Resolution, and set forth or determined in the manner provided in a Board Resolution or Officers’ Certificate, and associated supplemental indenture: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the title of the Series (which shall distinguish the Securities of that particular Series from the Securities of any other Series);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thereof) at which the Securities of the Series will be issued;</w:t>
      </w:r>
    </w:p>
    <w:p>
      <w:pPr>
        <w:spacing w:after="0" w:line="225" w:lineRule="exact"/>
        <w:rPr>
          <w:rFonts w:ascii="Arial" w:cs="Arial" w:eastAsia="Arial" w:hAnsi="Arial"/>
          <w:sz w:val="18"/>
          <w:szCs w:val="18"/>
          <w:color w:val="auto"/>
        </w:rPr>
      </w:pPr>
    </w:p>
    <w:p>
      <w:pPr>
        <w:jc w:val="both"/>
        <w:ind w:firstLine="8"/>
        <w:spacing w:after="0" w:line="264" w:lineRule="auto"/>
        <w:tabs>
          <w:tab w:leader="none" w:pos="2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jc w:val="both"/>
        <w:ind w:firstLine="8"/>
        <w:spacing w:after="0" w:line="259"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6" w:lineRule="exact"/>
        <w:rPr>
          <w:rFonts w:ascii="Arial" w:cs="Arial" w:eastAsia="Arial" w:hAnsi="Arial"/>
          <w:sz w:val="18"/>
          <w:szCs w:val="18"/>
          <w:color w:val="auto"/>
        </w:rPr>
      </w:pPr>
    </w:p>
    <w:p>
      <w:pPr>
        <w:jc w:val="both"/>
        <w:ind w:firstLine="8"/>
        <w:spacing w:after="0" w:line="264" w:lineRule="auto"/>
        <w:tabs>
          <w:tab w:leader="none" w:pos="23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81" w:lineRule="exact"/>
        <w:rPr>
          <w:rFonts w:ascii="Arial" w:cs="Arial" w:eastAsia="Arial" w:hAnsi="Arial"/>
          <w:sz w:val="18"/>
          <w:szCs w:val="18"/>
          <w:color w:val="auto"/>
        </w:rPr>
      </w:pPr>
    </w:p>
    <w:p>
      <w:pPr>
        <w:ind w:right="20" w:firstLine="8"/>
        <w:spacing w:after="0" w:line="277" w:lineRule="auto"/>
        <w:tabs>
          <w:tab w:leader="none" w:pos="2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70" w:lineRule="exact"/>
        <w:rPr>
          <w:rFonts w:ascii="Arial" w:cs="Arial" w:eastAsia="Arial" w:hAnsi="Arial"/>
          <w:sz w:val="18"/>
          <w:szCs w:val="18"/>
          <w:color w:val="auto"/>
        </w:rPr>
      </w:pPr>
    </w:p>
    <w:p>
      <w:pPr>
        <w:jc w:val="both"/>
        <w:ind w:firstLine="8"/>
        <w:spacing w:after="0" w:line="264" w:lineRule="auto"/>
        <w:tabs>
          <w:tab w:leader="none" w:pos="26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1" w:lineRule="exact"/>
        <w:rPr>
          <w:rFonts w:ascii="Arial" w:cs="Arial" w:eastAsia="Arial" w:hAnsi="Arial"/>
          <w:sz w:val="18"/>
          <w:szCs w:val="18"/>
          <w:color w:val="auto"/>
        </w:rPr>
      </w:pPr>
    </w:p>
    <w:p>
      <w:pPr>
        <w:ind w:right="20" w:firstLine="8"/>
        <w:spacing w:after="0" w:line="277" w:lineRule="auto"/>
        <w:tabs>
          <w:tab w:leader="none" w:pos="2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other than denominations of $1,000 and any integral multiple thereof, the denominations in which the Securities of the Series shall be issuable;</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forms of the Securities of the Series and whether the Securities will be issuable as Global Securities;</w:t>
      </w:r>
    </w:p>
    <w:p>
      <w:pPr>
        <w:spacing w:after="0" w:line="225" w:lineRule="exact"/>
        <w:rPr>
          <w:rFonts w:ascii="Arial" w:cs="Arial" w:eastAsia="Arial" w:hAnsi="Arial"/>
          <w:sz w:val="18"/>
          <w:szCs w:val="18"/>
          <w:color w:val="auto"/>
        </w:rPr>
      </w:pPr>
    </w:p>
    <w:p>
      <w:pPr>
        <w:ind w:firstLine="8"/>
        <w:spacing w:after="0" w:line="277" w:lineRule="auto"/>
        <w:tabs>
          <w:tab w:leader="none" w:pos="2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6.2;</w:t>
      </w:r>
    </w:p>
    <w:p>
      <w:pPr>
        <w:spacing w:after="0" w:line="170" w:lineRule="exact"/>
        <w:rPr>
          <w:rFonts w:ascii="Arial" w:cs="Arial" w:eastAsia="Arial" w:hAnsi="Arial"/>
          <w:sz w:val="18"/>
          <w:szCs w:val="18"/>
          <w:color w:val="auto"/>
        </w:rPr>
      </w:pPr>
    </w:p>
    <w:p>
      <w:pPr>
        <w:jc w:val="both"/>
        <w:ind w:firstLine="8"/>
        <w:spacing w:after="0" w:line="264"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currency of denomination of the Securities of the Series, which may be Dollars or any Foreign Currency, including, but not limited to, the ECU, and if such currency of denomination is a composite currency other than the ECU, the agency or organization, if any, responsible for overseeing such composite currency;</w:t>
      </w:r>
    </w:p>
    <w:p>
      <w:pPr>
        <w:spacing w:after="0" w:line="181" w:lineRule="exact"/>
        <w:rPr>
          <w:rFonts w:ascii="Arial" w:cs="Arial" w:eastAsia="Arial" w:hAnsi="Arial"/>
          <w:sz w:val="18"/>
          <w:szCs w:val="18"/>
          <w:color w:val="auto"/>
        </w:rPr>
      </w:pPr>
    </w:p>
    <w:p>
      <w:pPr>
        <w:ind w:right="20" w:firstLine="8"/>
        <w:spacing w:after="0" w:line="277"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interest, if any, on the Securities of the Series will be made;</w:t>
      </w:r>
    </w:p>
    <w:p>
      <w:pPr>
        <w:spacing w:after="0" w:line="170" w:lineRule="exact"/>
        <w:rPr>
          <w:rFonts w:ascii="Arial" w:cs="Arial" w:eastAsia="Arial" w:hAnsi="Arial"/>
          <w:sz w:val="18"/>
          <w:szCs w:val="18"/>
          <w:color w:val="auto"/>
        </w:rPr>
      </w:pPr>
    </w:p>
    <w:p>
      <w:pPr>
        <w:ind w:firstLine="8"/>
        <w:spacing w:after="0" w:line="308" w:lineRule="auto"/>
        <w:tabs>
          <w:tab w:leader="none" w:pos="261"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8"/>
        <w:spacing w:after="0" w:line="264"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Securities of the Series;</w:t>
      </w:r>
    </w:p>
    <w:p>
      <w:pPr>
        <w:spacing w:after="0" w:line="225" w:lineRule="exact"/>
        <w:rPr>
          <w:rFonts w:ascii="Arial" w:cs="Arial" w:eastAsia="Arial" w:hAnsi="Arial"/>
          <w:sz w:val="18"/>
          <w:szCs w:val="18"/>
          <w:color w:val="auto"/>
        </w:rPr>
      </w:pPr>
    </w:p>
    <w:p>
      <w:pPr>
        <w:ind w:right="20" w:firstLine="8"/>
        <w:spacing w:after="0" w:line="277" w:lineRule="auto"/>
        <w:tabs>
          <w:tab w:leader="none" w:pos="2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Articles IV or V which applies to Securities of the Series;</w:t>
      </w:r>
    </w:p>
    <w:p>
      <w:pPr>
        <w:spacing w:after="0" w:line="225" w:lineRule="exact"/>
        <w:rPr>
          <w:rFonts w:ascii="Arial" w:cs="Arial" w:eastAsia="Arial" w:hAnsi="Arial"/>
          <w:sz w:val="18"/>
          <w:szCs w:val="18"/>
          <w:color w:val="auto"/>
        </w:rPr>
      </w:pPr>
    </w:p>
    <w:p>
      <w:pPr>
        <w:ind w:firstLine="8"/>
        <w:spacing w:after="0" w:line="277" w:lineRule="auto"/>
        <w:tabs>
          <w:tab w:leader="none" w:pos="2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may supplement, modify or delete any provision of this Indenture insofar as it applies to such Series); and</w:t>
      </w:r>
    </w:p>
    <w:p>
      <w:pPr>
        <w:spacing w:after="0" w:line="170" w:lineRule="exact"/>
        <w:rPr>
          <w:rFonts w:ascii="Arial" w:cs="Arial" w:eastAsia="Arial" w:hAnsi="Arial"/>
          <w:sz w:val="18"/>
          <w:szCs w:val="18"/>
          <w:color w:val="auto"/>
        </w:rPr>
      </w:pPr>
    </w:p>
    <w:p>
      <w:pPr>
        <w:ind w:firstLine="8"/>
        <w:spacing w:after="0" w:line="277" w:lineRule="auto"/>
        <w:tabs>
          <w:tab w:leader="none" w:pos="2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Two Officers shall sign the Securities for the Company by manual or facsimile 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 be valid.</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Security shall not be valid until authenticated by the manual or facsimile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unless otherwise provided by a Board Resolution, a supplemental indenture hereto or an Officers’ Certificate.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shall determine that such action would expose the Trustee to personal liability to Holders of any then outstanding Series of Securities.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Registrar and Paying Agent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delivered (“Notice Agent”). The Trustee or Notice Agent, as applicable, shall deliver such notices and demands to the Company in accordance with Section 10.2 hereof.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delivered at the Corporate Trust Office of the Trustee, and the Company hereby appoints the Trustee as its agent to receive all such presentations, surrenders, notices and demands.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also from time to time designate one or more co-registrars, additional paying agents or notice agents and may from time to time rescind such designations; provided, however,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notice agent. The term “Registrar” includes any co-registrar; the term “Paying Agent” includes any additional paying agent; and the term “Notice Agent” includes any additional notice agent.</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appoints The Depository Trust Company to act as Depositary with respect to 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Security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 Holders of any Series of Securities all money held by it as Paying Agent.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Security Holder Lists</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Trustee shall preserve in as current a form as is reasonably practicable the most recent list available to it of the names and addresses of Security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 Holders of each Series of Securities.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upon receipt of a Company Order.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mutilated Security is surrendered to the Trustee, the Company shall execute and the Trustee, upon receipt of a Company Order, shall authenticate and deliver in exchange therefor a new Security of the same Series and of like tenor and principal amount and bearing a number not contemporaneously outstanding.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upon receipt of a Company Order, shall authenticate and make available for delivery,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Security does not cease to be outstanding because the Company or an Affiliate of the Company holds the Security.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the Trustee knows are so owned shall be so disregarded.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upon receipt of a Company Order,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at any time may deliver Securities to the Trustee for cancellation. The Registrar and the Paying Agent shall forward to the Trustee any Securities surrendered to them for registration of transfer, exchange or payment. Upon receipt of written instruction from the Company, the Trustee shall cancel all Securities surrendered for transfer, exchange, payment, replacement or cancellation and shall destroy such canceled Securities and deliver a certificate of such destruction to the Company, unless the Company otherwise directs. The Company may not issue new Securities to replace Securities that it has paid or delivered to the Trustee for cancellation.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the Company defaults in a payment of interest on a Series of Securities, it shall pay the defaulted interest, plus, to the extent permitted by law, any interest payable on the defaulted interest, to the persons who are Security Holders of the Series on a subsequent special record date. The Company shall fix the record date and payment date. At least 10 days before the record date, the Company shall mail to the Trustee and to each Security Holder of the Series a notice that states the record date, the payment date and the amount of interest to be paid. The Company may pay defaulted interest in any other lawful manner.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308" w:lineRule="auto"/>
        <w:tabs>
          <w:tab w:leader="none" w:pos="24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Terms of Securities</w:t>
      </w:r>
      <w:r>
        <w:rPr>
          <w:rFonts w:ascii="Arial" w:cs="Arial" w:eastAsia="Arial" w:hAnsi="Arial"/>
          <w:sz w:val="17"/>
          <w:szCs w:val="17"/>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firstLine="8"/>
        <w:spacing w:after="0" w:line="271" w:lineRule="auto"/>
        <w:tabs>
          <w:tab w:leader="none" w:pos="268"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Transfer and Exchange</w:t>
      </w:r>
      <w:r>
        <w:rPr>
          <w:rFonts w:ascii="Arial" w:cs="Arial" w:eastAsia="Arial" w:hAnsi="Arial"/>
          <w:sz w:val="17"/>
          <w:szCs w:val="17"/>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Except as provided in this Section 2.14(b),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Legend</w:t>
      </w:r>
      <w:r>
        <w:rPr>
          <w:rFonts w:ascii="Arial" w:cs="Arial" w:eastAsia="Arial" w:hAnsi="Arial"/>
          <w:sz w:val="18"/>
          <w:szCs w:val="18"/>
          <w:color w:val="auto"/>
        </w:rPr>
        <w:t>. Any Global Security issued hereunder shall bear a legend in substantially the following form: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8" w:lineRule="exact"/>
        <w:rPr>
          <w:sz w:val="20"/>
          <w:szCs w:val="20"/>
          <w:color w:val="auto"/>
        </w:rPr>
      </w:pPr>
    </w:p>
    <w:p>
      <w:pPr>
        <w:ind w:firstLine="8"/>
        <w:spacing w:after="0" w:line="277"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Acts of Holders</w:t>
      </w:r>
      <w:r>
        <w:rPr>
          <w:rFonts w:ascii="Arial" w:cs="Arial" w:eastAsia="Arial" w:hAnsi="Arial"/>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70" w:lineRule="exact"/>
        <w:rPr>
          <w:rFonts w:ascii="Arial" w:cs="Arial" w:eastAsia="Arial" w:hAnsi="Arial"/>
          <w:sz w:val="18"/>
          <w:szCs w:val="18"/>
          <w:color w:val="auto"/>
        </w:rPr>
      </w:pPr>
    </w:p>
    <w:p>
      <w:pPr>
        <w:ind w:firstLine="8"/>
        <w:spacing w:after="0" w:line="277"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rFonts w:ascii="Arial" w:cs="Arial" w:eastAsia="Arial" w:hAnsi="Arial"/>
          <w:sz w:val="18"/>
          <w:szCs w:val="18"/>
          <w:color w:val="auto"/>
        </w:rPr>
      </w:pPr>
    </w:p>
    <w:p>
      <w:pPr>
        <w:jc w:val="both"/>
        <w:ind w:firstLine="8"/>
        <w:spacing w:after="0" w:line="259" w:lineRule="auto"/>
        <w:tabs>
          <w:tab w:leader="none" w:pos="22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Except as provided in Section 2.14(e),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w:t>
      </w:r>
      <w:r>
        <w:rPr>
          <w:rFonts w:ascii="Arial" w:cs="Arial" w:eastAsia="Arial" w:hAnsi="Arial"/>
          <w:sz w:val="18"/>
          <w:szCs w:val="18"/>
          <w:color w:val="auto"/>
        </w:rPr>
        <w: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Trustee notice at least 45 days before the redemption date (or such shorter notice as may be acceptable to the Trustee).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Unless otherwise indicated for a particular Series by a Board Resolution, a supplemental indenture hereto or an Officers’ Certificate, if less than all the Securities of a Series are to be redeemed, the Trustee shall select the Securities of the Series to be redeemed in any manner that the Trustee deems fair and appropriate and in accordance with its customary practices or the selection shall be in accordance with DTC procedures, as applicable.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2.2(j),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indicated for a particular Series by Board Resolution, a supplemental indenture hereto or an Officers’ Certificate, at least 30 days but not more than 60 days before a redemption date, the Company shall mail a notice of redemption by first-class mail to each Holder whose Securities are to be redeemed.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225"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At the Company’s request, the Trustee shall give the notice of redemption prepared by the Company, in the Company’s name and at its expense.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Once notice of redemption is mailed or published as provided in Section 3.3,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or before the redemption date, the Company shall deposit with the Paying Agent money sufficient to pay the redemption price of and accrued interest, if any, on all Securities to be redeemed on that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surrender of a Security that is redeemed in part, the Trustee, upon receipt of a Company Order, shall authenticate for the Holder a new Security of the same Series and the same maturity equal in principal amount to the unredeemed portion of the Security surrendered.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and Interest</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SEC Reports</w:t>
      </w:r>
      <w:r>
        <w:rPr>
          <w:rFonts w:ascii="Arial" w:cs="Arial" w:eastAsia="Arial" w:hAnsi="Arial"/>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shall deliver to the Trustee, within 120 days after the end of each fiscal year (which on the date hereof ends on December 31)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will, so long as any of the Securities are outstanding, deliver to the Trustee, forthwith upon becoming aware of any Default or Event of Default, an Officers’ Certificate specifying such Default or Event of Default and what action the Company is taking or proposes to take with respect thereto.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Corporate Existence</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Article V, the Company will do or cause to be done all things necessary to preserve and keep in full force and effect its corporate existence and the rights (charter and statutory), licenses and franchises of the Company; provided, however, that the Company shall not be required to preserve any such right, license or franchise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When Company May Merge, Etc</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“successor person”) unless:</w:t>
      </w:r>
    </w:p>
    <w:p>
      <w:pPr>
        <w:spacing w:after="0" w:line="170" w:lineRule="exact"/>
        <w:rPr>
          <w:sz w:val="20"/>
          <w:szCs w:val="20"/>
          <w:color w:val="auto"/>
        </w:rPr>
      </w:pPr>
    </w:p>
    <w:p>
      <w:pPr>
        <w:ind w:firstLine="8"/>
        <w:spacing w:after="0" w:line="308" w:lineRule="auto"/>
        <w:tabs>
          <w:tab w:leader="none" w:pos="257"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46" w:lineRule="exact"/>
        <w:rPr>
          <w:rFonts w:ascii="Arial" w:cs="Arial" w:eastAsia="Arial" w:hAnsi="Arial"/>
          <w:sz w:val="17"/>
          <w:szCs w:val="17"/>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Successor Corporation Substituted</w:t>
      </w:r>
      <w:r>
        <w:rPr>
          <w:rFonts w:ascii="Arial" w:cs="Arial" w:eastAsia="Arial" w:hAnsi="Arial"/>
          <w:sz w:val="18"/>
          <w:szCs w:val="18"/>
          <w:color w:val="auto"/>
        </w:rPr>
        <w: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DEFAULTS AND REMEDIES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Event of Default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47" w:lineRule="exact"/>
        <w:rPr>
          <w:sz w:val="20"/>
          <w:szCs w:val="20"/>
          <w:color w:val="auto"/>
        </w:rPr>
      </w:pPr>
    </w:p>
    <w:p>
      <w:pPr>
        <w:jc w:val="both"/>
        <w:ind w:firstLine="8"/>
        <w:spacing w:after="0" w:line="264" w:lineRule="auto"/>
        <w:tabs>
          <w:tab w:leader="none" w:pos="2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225" w:lineRule="exact"/>
        <w:rPr>
          <w:rFonts w:ascii="Arial" w:cs="Arial" w:eastAsia="Arial" w:hAnsi="Arial"/>
          <w:sz w:val="18"/>
          <w:szCs w:val="18"/>
          <w:color w:val="auto"/>
        </w:rPr>
      </w:pPr>
    </w:p>
    <w:p>
      <w:pPr>
        <w:jc w:val="both"/>
        <w:ind w:right="20" w:firstLine="8"/>
        <w:spacing w:after="0" w:line="257" w:lineRule="auto"/>
        <w:tabs>
          <w:tab w:leader="none" w:pos="2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8" w:lineRule="exact"/>
        <w:rPr>
          <w:rFonts w:ascii="Arial" w:cs="Arial" w:eastAsia="Arial" w:hAnsi="Arial"/>
          <w:sz w:val="18"/>
          <w:szCs w:val="18"/>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225"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and the order or decree remains unstayed and in effect for 60 days; or</w:t>
      </w:r>
    </w:p>
    <w:p>
      <w:pPr>
        <w:spacing w:after="0" w:line="225" w:lineRule="exact"/>
        <w:rPr>
          <w:rFonts w:ascii="Arial" w:cs="Arial" w:eastAsia="Arial" w:hAnsi="Arial"/>
          <w:sz w:val="18"/>
          <w:szCs w:val="18"/>
          <w:color w:val="auto"/>
        </w:rPr>
      </w:pPr>
    </w:p>
    <w:p>
      <w:pPr>
        <w:ind w:firstLine="8"/>
        <w:spacing w:after="0" w:line="277" w:lineRule="auto"/>
        <w:tabs>
          <w:tab w:leader="none" w:pos="2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both"/>
        <w:spacing w:after="0" w:line="276" w:lineRule="auto"/>
        <w:rPr>
          <w:sz w:val="20"/>
          <w:szCs w:val="20"/>
          <w:color w:val="auto"/>
        </w:rPr>
      </w:pPr>
      <w:r>
        <w:rPr>
          <w:rFonts w:ascii="Arial" w:cs="Arial" w:eastAsia="Arial" w:hAnsi="Arial"/>
          <w:sz w:val="17"/>
          <w:szCs w:val="17"/>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firstLine="8"/>
        <w:spacing w:after="0" w:line="277" w:lineRule="auto"/>
        <w:tabs>
          <w:tab w:leader="none" w:pos="251"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then</w:t>
      </w:r>
      <w:r>
        <w:rPr>
          <w:rFonts w:ascii="Arial" w:cs="Arial" w:eastAsia="Arial" w:hAnsi="Arial"/>
          <w:sz w:val="16"/>
          <w:szCs w:val="16"/>
          <w:color w:val="auto"/>
        </w:rPr>
        <w:t>, the Company will, upon demand of the Trustee, pay to it, for the benefit of the Holders of such Securities, the whole amount then due and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Notwithstanding any other provision of this Indenture, if an Event of Default with respect to any Securities of any Series occurs and is continuing, the Trustee may in its discretion proceed to protect and enforce its rights and the rights of the Holders of Securities of such Series by pursuing any available remedy by proceeding at law or in equity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8" w:lineRule="exact"/>
        <w:rPr>
          <w:sz w:val="20"/>
          <w:szCs w:val="20"/>
          <w:color w:val="auto"/>
        </w:rPr>
      </w:pPr>
    </w:p>
    <w:p>
      <w:pPr>
        <w:jc w:val="both"/>
        <w:ind w:firstLine="8"/>
        <w:spacing w:after="0" w:line="286" w:lineRule="auto"/>
        <w:tabs>
          <w:tab w:leader="none" w:pos="26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(b) to collect and receive any moneys or other property payable or deliverable on any such claims and to distribute the same,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7.8.</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First: To the payment of all amounts due the Trustee under Section 7.8; and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Third: To the Company or to such party as a court of competent jurisdiction shall direct.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Securities of that Series;</w:t>
      </w:r>
    </w:p>
    <w:p>
      <w:pPr>
        <w:spacing w:after="0" w:line="225" w:lineRule="exact"/>
        <w:rPr>
          <w:rFonts w:ascii="Arial" w:cs="Arial" w:eastAsia="Arial" w:hAnsi="Arial"/>
          <w:sz w:val="18"/>
          <w:szCs w:val="18"/>
          <w:color w:val="auto"/>
        </w:rPr>
      </w:pPr>
    </w:p>
    <w:p>
      <w:pPr>
        <w:ind w:firstLine="8"/>
        <w:spacing w:after="0" w:line="277" w:lineRule="auto"/>
        <w:tabs>
          <w:tab w:leader="none" w:pos="25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firstLine="8"/>
        <w:spacing w:after="0" w:line="277"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satisfactory to the Trustee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firstLine="8"/>
        <w:spacing w:after="0" w:line="277" w:lineRule="auto"/>
        <w:tabs>
          <w:tab w:leader="none" w:pos="2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1"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right="20" w:firstLine="8"/>
        <w:spacing w:after="0" w:line="277" w:lineRule="auto"/>
        <w:tabs>
          <w:tab w:leader="none" w:pos="2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308" w:lineRule="auto"/>
        <w:tabs>
          <w:tab w:leader="none" w:pos="262"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an Event of Default has occurred and is continuing, the Trustee shall exercise the rights and powers vested in it by this Indenture and use the same degree of care and skill in their exercise as a prudent man would exercise or use under the circumstances in the conduct of his own affairs.</w:t>
      </w:r>
    </w:p>
    <w:p>
      <w:pPr>
        <w:spacing w:after="0" w:line="146" w:lineRule="exact"/>
        <w:rPr>
          <w:rFonts w:ascii="Arial" w:cs="Arial" w:eastAsia="Arial" w:hAnsi="Arial"/>
          <w:sz w:val="17"/>
          <w:szCs w:val="17"/>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225" w:lineRule="exact"/>
        <w:rPr>
          <w:rFonts w:ascii="Arial" w:cs="Arial" w:eastAsia="Arial" w:hAnsi="Arial"/>
          <w:sz w:val="18"/>
          <w:szCs w:val="18"/>
          <w:color w:val="auto"/>
        </w:rPr>
      </w:pPr>
    </w:p>
    <w:p>
      <w:pPr>
        <w:jc w:val="both"/>
        <w:ind w:firstLine="8"/>
        <w:spacing w:after="0" w:line="276" w:lineRule="auto"/>
        <w:tabs>
          <w:tab w:leader="none" w:pos="276"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spacing w:after="0" w:line="173"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Trustee may not be relieved from liability for its own negligent action, its own negligent failure to act or its own willful misconduct, except that:</w:t>
      </w:r>
    </w:p>
    <w:p>
      <w:pPr>
        <w:spacing w:after="0" w:line="236" w:lineRule="exact"/>
        <w:rPr>
          <w:rFonts w:ascii="Arial" w:cs="Arial" w:eastAsia="Arial" w:hAnsi="Arial"/>
          <w:sz w:val="17"/>
          <w:szCs w:val="17"/>
          <w:color w:val="auto"/>
        </w:rPr>
      </w:pPr>
    </w:p>
    <w:p>
      <w:pPr>
        <w:ind w:left="220" w:hanging="212"/>
        <w:spacing w:after="0"/>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firstLine="8"/>
        <w:spacing w:after="0" w:line="277" w:lineRule="auto"/>
        <w:tabs>
          <w:tab w:leader="none" w:pos="2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jc w:val="both"/>
        <w:ind w:firstLine="8"/>
        <w:spacing w:after="0" w:line="259" w:lineRule="auto"/>
        <w:tabs>
          <w:tab w:leader="none" w:pos="31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87"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paragraph (a), (b) and (c) of this Section.</w:t>
      </w:r>
    </w:p>
    <w:p>
      <w:pPr>
        <w:spacing w:after="0" w:line="225" w:lineRule="exact"/>
        <w:rPr>
          <w:rFonts w:ascii="Arial" w:cs="Arial" w:eastAsia="Arial" w:hAnsi="Arial"/>
          <w:sz w:val="18"/>
          <w:szCs w:val="18"/>
          <w:color w:val="auto"/>
        </w:rPr>
      </w:pPr>
    </w:p>
    <w:p>
      <w:pPr>
        <w:ind w:firstLine="8"/>
        <w:spacing w:after="0" w:line="277" w:lineRule="auto"/>
        <w:tabs>
          <w:tab w:leader="none" w:pos="2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unless it receives security or indemnity satisfactory to it against any loss, liability or expense.</w:t>
      </w:r>
    </w:p>
    <w:p>
      <w:pPr>
        <w:spacing w:after="0" w:line="170" w:lineRule="exact"/>
        <w:rPr>
          <w:rFonts w:ascii="Arial" w:cs="Arial" w:eastAsia="Arial" w:hAnsi="Arial"/>
          <w:sz w:val="18"/>
          <w:szCs w:val="18"/>
          <w:color w:val="auto"/>
        </w:rPr>
      </w:pPr>
    </w:p>
    <w:p>
      <w:pPr>
        <w:ind w:firstLine="8"/>
        <w:spacing w:after="0" w:line="277" w:lineRule="auto"/>
        <w:tabs>
          <w:tab w:leader="none" w:pos="22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jc w:val="both"/>
        <w:ind w:firstLine="8"/>
        <w:spacing w:after="0" w:line="264" w:lineRule="auto"/>
        <w:tabs>
          <w:tab w:leader="none" w:pos="2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81" w:lineRule="exact"/>
        <w:rPr>
          <w:rFonts w:ascii="Arial" w:cs="Arial" w:eastAsia="Arial" w:hAnsi="Arial"/>
          <w:sz w:val="18"/>
          <w:szCs w:val="18"/>
          <w:color w:val="auto"/>
        </w:rPr>
      </w:pPr>
    </w:p>
    <w:p>
      <w:pPr>
        <w:ind w:right="20" w:firstLine="8"/>
        <w:spacing w:after="0" w:line="277" w:lineRule="auto"/>
        <w:tabs>
          <w:tab w:leader="none" w:pos="25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Paying Agent, the Registrar, the Notice Agent, any agent and any authenticating agent shall be entitled to the protections, immunities and standard of care as are set forth in paragraphs (a), (b) and (c) of this Section with respect to the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277" w:lineRule="auto"/>
        <w:tabs>
          <w:tab w:leader="none" w:pos="2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jc w:val="both"/>
        <w:ind w:firstLine="8"/>
        <w:spacing w:after="0" w:line="259"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No such Officers’ Certificate or Opinion of Counsel shall be at the expense of the Trustee. Any request or direction of the Company mentioned herein shall be sufficiently evidenced by an Officers’ Certificate.</w:t>
      </w:r>
    </w:p>
    <w:p>
      <w:pPr>
        <w:spacing w:after="0" w:line="186" w:lineRule="exact"/>
        <w:rPr>
          <w:rFonts w:ascii="Arial" w:cs="Arial" w:eastAsia="Arial" w:hAnsi="Arial"/>
          <w:sz w:val="18"/>
          <w:szCs w:val="18"/>
          <w:color w:val="auto"/>
        </w:rPr>
      </w:pPr>
    </w:p>
    <w:p>
      <w:pPr>
        <w:ind w:right="20" w:firstLine="8"/>
        <w:spacing w:after="0" w:line="277" w:lineRule="auto"/>
        <w:tabs>
          <w:tab w:leader="none" w:pos="25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70" w:lineRule="exact"/>
        <w:rPr>
          <w:rFonts w:ascii="Arial" w:cs="Arial" w:eastAsia="Arial" w:hAnsi="Arial"/>
          <w:sz w:val="18"/>
          <w:szCs w:val="18"/>
          <w:color w:val="auto"/>
        </w:rPr>
      </w:pPr>
    </w:p>
    <w:p>
      <w:pPr>
        <w:jc w:val="both"/>
        <w:ind w:firstLine="8"/>
        <w:spacing w:after="0" w:line="264" w:lineRule="auto"/>
        <w:tabs>
          <w:tab w:leader="none" w:pos="2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negligence or bad faith. The Trustee shall not be liable for any special, punitive or consequential damages, even if they were reasonably foreseeable.</w:t>
      </w:r>
    </w:p>
    <w:p>
      <w:pPr>
        <w:spacing w:after="0" w:line="181" w:lineRule="exact"/>
        <w:rPr>
          <w:rFonts w:ascii="Arial" w:cs="Arial" w:eastAsia="Arial" w:hAnsi="Arial"/>
          <w:sz w:val="18"/>
          <w:szCs w:val="18"/>
          <w:color w:val="auto"/>
        </w:rPr>
      </w:pPr>
    </w:p>
    <w:p>
      <w:pPr>
        <w:jc w:val="both"/>
        <w:ind w:firstLine="8"/>
        <w:spacing w:after="0" w:line="264" w:lineRule="auto"/>
        <w:tabs>
          <w:tab w:leader="none" w:pos="2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of such counsel or any Opinion of Counsel shall be full and complete authorization and protection in respect of any action taken, suffered or omitted by it hereunder, and the Trustee may conclusively rely on any such advice or Opinion of Counsel.</w:t>
      </w:r>
    </w:p>
    <w:p>
      <w:pPr>
        <w:spacing w:after="0" w:line="181" w:lineRule="exact"/>
        <w:rPr>
          <w:rFonts w:ascii="Arial" w:cs="Arial" w:eastAsia="Arial" w:hAnsi="Arial"/>
          <w:sz w:val="18"/>
          <w:szCs w:val="18"/>
          <w:color w:val="auto"/>
        </w:rPr>
      </w:pPr>
    </w:p>
    <w:p>
      <w:pPr>
        <w:jc w:val="both"/>
        <w:ind w:firstLine="8"/>
        <w:spacing w:after="0" w:line="264" w:lineRule="auto"/>
        <w:tabs>
          <w:tab w:leader="none" w:pos="24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the Trustee against the costs, expenses and liabilities which might be incurred by it in compliance with such request or direction.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firstLine="8"/>
        <w:spacing w:after="0" w:line="264" w:lineRule="auto"/>
        <w:tabs>
          <w:tab w:leader="none" w:pos="27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81" w:lineRule="exact"/>
        <w:rPr>
          <w:rFonts w:ascii="Arial" w:cs="Arial" w:eastAsia="Arial" w:hAnsi="Arial"/>
          <w:sz w:val="18"/>
          <w:szCs w:val="18"/>
          <w:color w:val="auto"/>
        </w:rPr>
      </w:pPr>
    </w:p>
    <w:p>
      <w:pPr>
        <w:jc w:val="both"/>
        <w:ind w:firstLine="8"/>
        <w:spacing w:after="0" w:line="264" w:lineRule="auto"/>
        <w:tabs>
          <w:tab w:leader="none" w:pos="2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(other than a payment default under Section 6.1 or 6.2) unless a Responsible Officer of the Trustee has received written notice of any event which is in fact such a default at the Corporate Trust Office of the Trustee, and such notice references the Securities generally or the Securities of a particular Series and this Indenture.</w:t>
      </w:r>
    </w:p>
    <w:p>
      <w:pPr>
        <w:spacing w:after="0" w:line="181" w:lineRule="exact"/>
        <w:rPr>
          <w:rFonts w:ascii="Arial" w:cs="Arial" w:eastAsia="Arial" w:hAnsi="Arial"/>
          <w:sz w:val="18"/>
          <w:szCs w:val="18"/>
          <w:color w:val="auto"/>
        </w:rPr>
      </w:pPr>
    </w:p>
    <w:p>
      <w:pPr>
        <w:ind w:firstLine="8"/>
        <w:spacing w:after="0" w:line="308" w:lineRule="auto"/>
        <w:tabs>
          <w:tab w:leader="none" w:pos="22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rights, privileges, protections, immunities and benefits given to the Trustee, including without limitation its right to be indemnified, are extended to, and shall enforceable by, the Trustee in each of its capacities hereunder, and to each agent, custodian and other Person employed to act hereunder.</w:t>
      </w:r>
    </w:p>
    <w:p>
      <w:pPr>
        <w:spacing w:after="0" w:line="146" w:lineRule="exact"/>
        <w:rPr>
          <w:rFonts w:ascii="Arial" w:cs="Arial" w:eastAsia="Arial" w:hAnsi="Arial"/>
          <w:sz w:val="17"/>
          <w:szCs w:val="17"/>
          <w:color w:val="auto"/>
        </w:rPr>
      </w:pPr>
    </w:p>
    <w:p>
      <w:pPr>
        <w:jc w:val="both"/>
        <w:ind w:firstLine="8"/>
        <w:spacing w:after="0" w:line="264" w:lineRule="auto"/>
        <w:tabs>
          <w:tab w:leader="none" w:pos="22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may request that the Issuer deliver an Officers’ Certificate setting forth the names of individuals and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Trustee shall have no duty to inquire as to or monitor the performance of the Issuer with respect to the covenants contained in Article IV.</w:t>
      </w:r>
    </w:p>
    <w:p>
      <w:pPr>
        <w:spacing w:after="0" w:line="236" w:lineRule="exact"/>
        <w:rPr>
          <w:rFonts w:ascii="Arial" w:cs="Arial" w:eastAsia="Arial" w:hAnsi="Arial"/>
          <w:sz w:val="17"/>
          <w:szCs w:val="17"/>
          <w:color w:val="auto"/>
        </w:rPr>
      </w:pPr>
    </w:p>
    <w:p>
      <w:pPr>
        <w:ind w:left="220" w:hanging="212"/>
        <w:spacing w:after="0"/>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shall not be required to give any note, bond or surety in respect of the execution of the trusts and powers under this Indenture.</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Nothing herein shall be deemed to require the Trustee to submit to the jurisdiction or venue of a non-U.S. court.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59" w:lineRule="auto"/>
        <w:tabs>
          <w:tab w:leader="none" w:pos="2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Trustee shall have no liability for delays or inability to perform its duties hereunder due to </w:t>
      </w:r>
      <w:r>
        <w:rPr>
          <w:rFonts w:ascii="Arial" w:cs="Arial" w:eastAsia="Arial" w:hAnsi="Arial"/>
          <w:sz w:val="18"/>
          <w:szCs w:val="18"/>
          <w:u w:val="single" w:color="auto"/>
          <w:color w:val="auto"/>
        </w:rPr>
        <w:t>forces majeure</w:t>
      </w:r>
      <w:r>
        <w:rPr>
          <w:rFonts w:ascii="Arial" w:cs="Arial" w:eastAsia="Arial" w:hAnsi="Arial"/>
          <w:sz w:val="18"/>
          <w:szCs w:val="18"/>
          <w:color w:val="auto"/>
        </w:rPr>
        <w:t>, events beyond its control, such as (but not exclusively) civil unrest, earthquakes, hurricanes or other natural disasters, floods, utility failures, transmission interruptions, power failures, wars, governmental declarations or Acts of God; it being understood that the Trustee shall use reasonable efforts which are consistent with accepted practices in the banking industry to resume performance as soon as practicable under the circumstances.</w:t>
      </w:r>
    </w:p>
    <w:p>
      <w:pPr>
        <w:spacing w:after="0" w:line="186" w:lineRule="exact"/>
        <w:rPr>
          <w:rFonts w:ascii="Arial" w:cs="Arial" w:eastAsia="Arial" w:hAnsi="Arial"/>
          <w:sz w:val="18"/>
          <w:szCs w:val="18"/>
          <w:color w:val="auto"/>
        </w:rPr>
      </w:pPr>
    </w:p>
    <w:p>
      <w:pPr>
        <w:ind w:right="20" w:firstLine="8"/>
        <w:spacing w:after="0" w:line="277"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Delivery of reports or information by the Company shall not be deemed to confer actual or constructive knowledge or notice on the Trustee with respect to a Default or Event of Default,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7.11 and 7.12.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 Default or Event of Default occurs and is continuing with respect to the Securities of any Series and if it is known to a Responsible Officer of the Trustee, the Trustee shall mail (or deliver notice subject to the applicable procedures of the Depositary or relevant clearing system) to each Security Holder of the Securities of that Series notice of a Default or Event of Default within 90 days after it occurs or, if later, after a Responsible Officer of the Trustee has written notice of such Default or Event of Default. Except in the case of a Default or Event of Default in payment of principal of or interest on any Security of any Series, or in the payment of any sinking fund installment, the Trustee may withhold the notice if and so long as its corporate trust committee or a committee of its Responsible Officers in good faith determines that withholding the notice is in the interests of Security Holders of that Series.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60 days after May 15 in each year, the Trustee shall transmit by mail to all Security Holders, as their names and addresses appear on the register kept by the Registrar, a brief report dated as of such May 15, in accordance with, and to the extent required under, TIA § 313.</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copy of each report at the time of its mailing to Security Holders of any Series shall be filed with the SEC and each stock exchange on which the Securities of that Series are listed. The Company shall promptly notify the Trustee when Securities of any Series are listed on any stock exchange.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shall indemnify each of the Trustee and any predecessor Trustee against any loss, liability or expense (including the cost of defending itself) incurred by it except as set forth in the next paragraph in the performance of the Trustee duties under this Indenture as Trustee or Agent. The Trustee shall notify the Company promptly of any claim for which it may seek indemnity; provided, however, that failure to so notify the Company shall not relieve it of its obligations hereunder. The Company shall defend the claim and the Trustee shall cooperate in the defense; provided, however, the Trustee may conduct its own defense if there is a conflict of interest between the interests of the Company and those of the Trustee. The Trustee may have one separate counsel (in addition to local counsel, if applicable)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or agents of the Trustee.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Agent or agent of the Trustee to the extent it is attributed to its own negligence or willful conduct as determined by a court of competent jurisdiction in a final, non-appealable order.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When the Trustee incurs expenses or renders services after an Event of Default specified in Section 6.1(d) or (e) occurs, the expenses and the compensation for the services (including the fees and expenses of its agents and counsel) are intended to constitute expenses of administration under any Bankruptcy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and removal of the Trustee.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66"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fails to comply with Section 7.11;</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is adjudged a bankrupt or an insolvent or an order for relief is entered with respect to the Trustee under any Bankruptcy Law;</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successor Trustee shall deliver a written acceptance of its appointment to the retiring Trustee and to the Company. Immediately after that, the retiring Trustee upon payment of its fees and expenses then unpaid shall transfer all property held by it as Trustee to the successor Trustee subject to the lien provided for in Section 7.8,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 Holder of each such Series. Notwithstanding replacement of the Trustee pursuant to this Section 7.9, the Company’s obligations under Section 7.8 hereof shall continue for the benefit of the retiring Trustee with respect to expenses and liabilities incurred by it prior to such replacement.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the successor corporation without any further act shall be the successor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Indenture shall always have a Trustee who satisfies the requirements of TIA § 310(a)(1), (2) and (5). The Trustee shall always have a combined capital and surplus of at least $150,000 as set forth in its most recent published annual report of condition. The Trustee shall comply with TIA § 310(b).</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Indenture shall upon Company Order cease to be of further effect (except as hereinafter provided in this Section 8.1), and the Trustee, at the expense of the Company, shall execute proper instruments acknowledging satisfaction and discharge of this Indenture, when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either</w:t>
      </w:r>
    </w:p>
    <w:p>
      <w:pPr>
        <w:spacing w:after="0" w:line="225" w:lineRule="exact"/>
        <w:rPr>
          <w:sz w:val="20"/>
          <w:szCs w:val="20"/>
          <w:color w:val="auto"/>
        </w:rPr>
      </w:pPr>
    </w:p>
    <w:p>
      <w:pPr>
        <w:ind w:firstLine="8"/>
        <w:spacing w:after="0" w:line="277" w:lineRule="auto"/>
        <w:tabs>
          <w:tab w:leader="none" w:pos="2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Securities that have been destroyed, lost or stolen and that have been replaced or paid) have been delivered to the Trustee for cancellation; or</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225" w:lineRule="exact"/>
        <w:rPr>
          <w:sz w:val="20"/>
          <w:szCs w:val="20"/>
          <w:color w:val="auto"/>
        </w:rPr>
      </w:pPr>
    </w:p>
    <w:p>
      <w:pPr>
        <w:ind w:left="300" w:hanging="29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firstLine="8"/>
        <w:spacing w:after="0" w:line="277" w:lineRule="auto"/>
        <w:tabs>
          <w:tab w:leader="none" w:pos="2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Company, in the case of (A), (B) or (C) above,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87"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firstLine="8"/>
        <w:spacing w:after="0" w:line="277" w:lineRule="auto"/>
        <w:tabs>
          <w:tab w:leader="none" w:pos="2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Notwithstanding the satisfaction and discharge of this Indenture, the obligations of the Company to the Trustee under Section 7.8, and, if money shall have been deposited with the Trustee pursuant to clause (a) of this Section, the provisions of Sections 2.4, 2.7, 2.8, 8.2 and 8.5 shall survive.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Application of Trust Funds; 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93" w:lineRule="auto"/>
        <w:tabs>
          <w:tab w:leader="none" w:pos="261"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Subject to the provisions of Section 8.5, all money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spacing w:after="0" w:line="164" w:lineRule="exact"/>
        <w:rPr>
          <w:rFonts w:ascii="Arial" w:cs="Arial" w:eastAsia="Arial" w:hAnsi="Arial"/>
          <w:sz w:val="16"/>
          <w:szCs w:val="16"/>
          <w:color w:val="auto"/>
        </w:rPr>
      </w:pPr>
    </w:p>
    <w:p>
      <w:pPr>
        <w:jc w:val="both"/>
        <w:ind w:firstLine="8"/>
        <w:spacing w:after="0" w:line="264" w:lineRule="auto"/>
        <w:tabs>
          <w:tab w:leader="none" w:pos="2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8.3 or 8.4 or the interest and principal received in respect of such obligations other than any payable by or on behalf of Holders.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jc w:val="both"/>
        <w:ind w:firstLine="8"/>
        <w:spacing w:after="0" w:line="297" w:lineRule="auto"/>
        <w:tabs>
          <w:tab w:leader="none" w:pos="2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Trustee shall deliver or pay to the Company from time to time upon Company Request any U.S. Government Obligations or Foreign Government Obligations or money held by it as provided in Sections 8.3 or 8.4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Legal Defeasance of Securities of any Series</w:t>
      </w:r>
      <w:r>
        <w:rPr>
          <w:rFonts w:ascii="Arial" w:cs="Arial" w:eastAsia="Arial" w:hAnsi="Arial"/>
          <w:sz w:val="18"/>
          <w:szCs w:val="18"/>
          <w:color w:val="auto"/>
        </w:rPr>
        <w: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Unless this Section 8.3 is otherwise specified, pursuant to Section 2.2(t),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154" w:lineRule="exact"/>
        <w:rPr>
          <w:sz w:val="20"/>
          <w:szCs w:val="20"/>
          <w:color w:val="auto"/>
        </w:rPr>
      </w:pPr>
    </w:p>
    <w:p>
      <w:pPr>
        <w:jc w:val="both"/>
        <w:ind w:firstLine="8"/>
        <w:spacing w:after="0" w:line="259" w:lineRule="auto"/>
        <w:tabs>
          <w:tab w:leader="none" w:pos="2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provisions of Sections 2.4, 2.7, 2.8, 8.2, 8.3 and 8.5;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rights, powers, trust and immunities of the Trustee 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225" w:lineRule="exact"/>
        <w:rPr>
          <w:sz w:val="20"/>
          <w:szCs w:val="20"/>
          <w:color w:val="auto"/>
        </w:rPr>
      </w:pPr>
    </w:p>
    <w:p>
      <w:pPr>
        <w:jc w:val="both"/>
        <w:ind w:firstLine="8"/>
        <w:spacing w:after="0" w:line="270" w:lineRule="auto"/>
        <w:tabs>
          <w:tab w:leader="none" w:pos="262"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81" w:lineRule="exact"/>
        <w:rPr>
          <w:rFonts w:ascii="Arial" w:cs="Arial" w:eastAsia="Arial" w:hAnsi="Arial"/>
          <w:sz w:val="17"/>
          <w:szCs w:val="17"/>
          <w:color w:val="auto"/>
        </w:rPr>
      </w:pPr>
    </w:p>
    <w:p>
      <w:pPr>
        <w:ind w:firstLine="8"/>
        <w:spacing w:after="0" w:line="277" w:lineRule="auto"/>
        <w:tabs>
          <w:tab w:leader="none" w:pos="2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right="20" w:firstLine="8"/>
        <w:spacing w:after="0" w:line="277" w:lineRule="auto"/>
        <w:tabs>
          <w:tab w:leader="none" w:pos="2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0" w:lineRule="exact"/>
        <w:rPr>
          <w:rFonts w:ascii="Arial" w:cs="Arial" w:eastAsia="Arial" w:hAnsi="Arial"/>
          <w:sz w:val="18"/>
          <w:szCs w:val="18"/>
          <w:color w:val="auto"/>
        </w:rPr>
      </w:pPr>
    </w:p>
    <w:p>
      <w:pPr>
        <w:jc w:val="both"/>
        <w:ind w:firstLine="8"/>
        <w:spacing w:after="0" w:line="255" w:lineRule="auto"/>
        <w:tabs>
          <w:tab w:leader="none" w:pos="26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both"/>
        <w:ind w:firstLine="8"/>
        <w:spacing w:after="0" w:line="264" w:lineRule="auto"/>
        <w:tabs>
          <w:tab w:leader="none" w:pos="2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81" w:lineRule="exact"/>
        <w:rPr>
          <w:rFonts w:ascii="Arial" w:cs="Arial" w:eastAsia="Arial" w:hAnsi="Arial"/>
          <w:sz w:val="18"/>
          <w:szCs w:val="18"/>
          <w:color w:val="auto"/>
        </w:rPr>
      </w:pPr>
    </w:p>
    <w:p>
      <w:pPr>
        <w:ind w:firstLine="8"/>
        <w:spacing w:after="0" w:line="277" w:lineRule="auto"/>
        <w:tabs>
          <w:tab w:leader="none" w:pos="2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Unless this Section 8.4 is otherwise specified pursuant to Section 2.2(t) to be inapplicable to Securities of any Series, the Company may omit to comply with respect to the Securities of any Series with any term, provision or condition set forth under Sections 4.2, 4.3, 4.4, 4.5, and 5.1 as well as any additional covenants specified in a supplemental indenture for such Series of Securities or a Board Resolution or an Officers’ Certificate delivered pursuant to Section 2.2(t)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2.2(r) and designated as an Event of Default shall not constitute a Default or Event of Default hereunder, with respect to the Securities of such Series, provided that the following conditions shall have been satisfied:</w:t>
      </w:r>
    </w:p>
    <w:p>
      <w:pPr>
        <w:spacing w:after="0" w:line="178" w:lineRule="exact"/>
        <w:rPr>
          <w:sz w:val="20"/>
          <w:szCs w:val="20"/>
          <w:color w:val="auto"/>
        </w:rPr>
      </w:pPr>
    </w:p>
    <w:p>
      <w:pPr>
        <w:jc w:val="both"/>
        <w:ind w:firstLine="8"/>
        <w:spacing w:after="0" w:line="270" w:lineRule="auto"/>
        <w:tabs>
          <w:tab w:leader="none" w:pos="268" w:val="left"/>
        </w:tabs>
        <w:numPr>
          <w:ilvl w:val="0"/>
          <w:numId w:val="79"/>
        </w:numPr>
        <w:rPr>
          <w:rFonts w:ascii="Arial" w:cs="Arial" w:eastAsia="Arial" w:hAnsi="Arial"/>
          <w:sz w:val="17"/>
          <w:szCs w:val="17"/>
          <w:color w:val="auto"/>
        </w:rPr>
      </w:pPr>
      <w:r>
        <w:rPr>
          <w:rFonts w:ascii="Arial" w:cs="Arial" w:eastAsia="Arial" w:hAnsi="Arial"/>
          <w:sz w:val="17"/>
          <w:szCs w:val="17"/>
          <w:color w:val="auto"/>
        </w:rPr>
        <w:t>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81" w:lineRule="exact"/>
        <w:rPr>
          <w:rFonts w:ascii="Arial" w:cs="Arial" w:eastAsia="Arial" w:hAnsi="Arial"/>
          <w:sz w:val="17"/>
          <w:szCs w:val="17"/>
          <w:color w:val="auto"/>
        </w:rPr>
      </w:pPr>
    </w:p>
    <w:p>
      <w:pPr>
        <w:ind w:firstLine="8"/>
        <w:spacing w:after="0" w:line="277" w:lineRule="auto"/>
        <w:tabs>
          <w:tab w:leader="none" w:pos="271"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 Default or Event of Default with respect to the Securities of such Series shall have occurred and be continuing on the date of such deposit;</w:t>
      </w:r>
    </w:p>
    <w:p>
      <w:pPr>
        <w:spacing w:after="0" w:line="236" w:lineRule="exact"/>
        <w:rPr>
          <w:rFonts w:ascii="Arial" w:cs="Arial" w:eastAsia="Arial" w:hAnsi="Arial"/>
          <w:sz w:val="17"/>
          <w:szCs w:val="17"/>
          <w:color w:val="auto"/>
        </w:rPr>
      </w:pPr>
    </w:p>
    <w:p>
      <w:pPr>
        <w:jc w:val="both"/>
        <w:ind w:firstLine="8"/>
        <w:spacing w:after="0" w:line="312" w:lineRule="auto"/>
        <w:tabs>
          <w:tab w:leader="none" w:pos="274"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46" w:lineRule="exact"/>
        <w:rPr>
          <w:rFonts w:ascii="Arial" w:cs="Arial" w:eastAsia="Arial" w:hAnsi="Arial"/>
          <w:sz w:val="16"/>
          <w:szCs w:val="16"/>
          <w:color w:val="auto"/>
        </w:rPr>
      </w:pPr>
    </w:p>
    <w:p>
      <w:pPr>
        <w:jc w:val="both"/>
        <w:ind w:firstLine="8"/>
        <w:spacing w:after="0" w:line="264"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81" w:lineRule="exact"/>
        <w:rPr>
          <w:rFonts w:ascii="Arial" w:cs="Arial" w:eastAsia="Arial" w:hAnsi="Arial"/>
          <w:sz w:val="18"/>
          <w:szCs w:val="18"/>
          <w:color w:val="auto"/>
        </w:rPr>
      </w:pPr>
    </w:p>
    <w:p>
      <w:pPr>
        <w:ind w:firstLine="8"/>
        <w:spacing w:after="0" w:line="277" w:lineRule="auto"/>
        <w:tabs>
          <w:tab w:leader="none" w:pos="24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Trustee and the Paying Agent shall pay to the Company upon written request any money held by them for the payment of principal and interest that remains unclaimed for two years. After that, Security Holders entitled to the money must look to the Company for payment as general creditors unless an applicable abandoned property law designates another person.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INDENTURES, AMENDMENTS AND WAIVERS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and the Trustee may amend or supplement this Indenture or the Securities of one or more Series without the consent of any Security Holder:</w:t>
      </w:r>
    </w:p>
    <w:p>
      <w:pPr>
        <w:spacing w:after="0" w:line="248" w:lineRule="exact"/>
        <w:rPr>
          <w:sz w:val="20"/>
          <w:szCs w:val="20"/>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 Holder;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Securities of any Series as permitted by this Indenture;</w:t>
      </w:r>
    </w:p>
    <w:p>
      <w:pPr>
        <w:spacing w:after="0" w:line="225" w:lineRule="exact"/>
        <w:rPr>
          <w:rFonts w:ascii="Arial" w:cs="Arial" w:eastAsia="Arial" w:hAnsi="Arial"/>
          <w:sz w:val="18"/>
          <w:szCs w:val="18"/>
          <w:color w:val="auto"/>
        </w:rPr>
      </w:pPr>
    </w:p>
    <w:p>
      <w:pPr>
        <w:jc w:val="both"/>
        <w:ind w:firstLine="8"/>
        <w:spacing w:after="0" w:line="264" w:lineRule="auto"/>
        <w:tabs>
          <w:tab w:leader="none" w:pos="2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Without the consent of each Security Holder affected, an amendment or waiver may not:</w:t>
      </w:r>
    </w:p>
    <w:p>
      <w:pPr>
        <w:spacing w:after="0" w:line="225"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jc w:val="both"/>
        <w:ind w:firstLine="8"/>
        <w:spacing w:after="0" w:line="264" w:lineRule="auto"/>
        <w:tabs>
          <w:tab w:leader="none" w:pos="2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1" w:lineRule="exact"/>
        <w:rPr>
          <w:rFonts w:ascii="Arial" w:cs="Arial" w:eastAsia="Arial" w:hAnsi="Arial"/>
          <w:sz w:val="18"/>
          <w:szCs w:val="18"/>
          <w:color w:val="auto"/>
        </w:rPr>
      </w:pPr>
    </w:p>
    <w:p>
      <w:pPr>
        <w:ind w:left="240" w:hanging="232"/>
        <w:spacing w:after="0"/>
        <w:tabs>
          <w:tab w:leader="none" w:pos="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Compliance with Trust Indenture Act</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Every amendment or waiver to this Indenture or the issuance of and establishment of the form and terms and conditions of Securities of one or more Series shall be set forth in a supplemental indenture hereto that complies with the TIA as then in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amendment or waiver once effective shall bind every Security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Trustee may place an appropriate notation about an amendment or waiver on any Security of any Series thereafter authenticated. The Company in exchange for Securities of that Series may issue and the Trustee shall authenticate upon receipt of a Company Order new Securities of that Series that reflect the amendment or waiver.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in the English language, referencing this Indenture and the applicable securities or series of securities, and delivered in person or mailed by first-class mail, or by facsimile transmission: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2nd Floor, Building 18, Shanghai Pudong Software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498 Guoshoujing Road, Pudong, Shanghai 201203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21-31268010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904"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Fax No: [</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700" w:space="580"/>
            <w:col w:w="10140"/>
          </w:cols>
          <w:pgMar w:left="240" w:top="904" w:right="239" w:bottom="1440" w:gutter="0" w:footer="0" w:header="0"/>
          <w:type w:val="continuous"/>
        </w:sectPr>
      </w:pPr>
    </w:p>
    <w:p>
      <w:pPr>
        <w:spacing w:after="0"/>
        <w:rPr>
          <w:sz w:val="20"/>
          <w:szCs w:val="20"/>
          <w:color w:val="auto"/>
        </w:rPr>
      </w:pPr>
      <w:r>
        <w:rPr>
          <w:rFonts w:ascii="Arial" w:cs="Arial" w:eastAsia="Arial" w:hAnsi="Arial"/>
          <w:sz w:val="17"/>
          <w:szCs w:val="17"/>
          <w:color w:val="auto"/>
        </w:rPr>
        <w:t>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40" w:space="580"/>
            <w:col w:w="10000"/>
          </w:cols>
          <w:pgMar w:left="240" w:top="904"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 communications.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notice or communication to a Security Holder shall be mailed by first-class mail to his address shown on the register kept by the Registrar or delivered subject to the applicable procedures of Depositary or relevant clearing system. Failure to mail a notice or communication to a Security Holder of any Series or any defect in it shall not affect its sufficiency with respect to other Security Holders of that or any other Series.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notice or communication is mailed or published in the manner provided above, within the time prescribed, it is duly given, whether or not the Security Holder receives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the Company mails a notice or communication to Security Holders, it shall mail a copy to the Trustee and each Agent at the same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Security Holders of any Series may communicate pursuant to TIA § 312(b) with other Security Holders of that Series or any other Series with respect to their rights under this Indenture or the Securities of that Series or all Series. The Company, the Trustee, the Registrar and anyone else shall have the protection of TIA § 312(c).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Upon any request or application by the Company to the Trustee to take any action under this Indenture, the Company shall furnish to the Trustee:</w:t>
      </w:r>
    </w:p>
    <w:p>
      <w:pPr>
        <w:spacing w:after="0" w:line="237" w:lineRule="exact"/>
        <w:rPr>
          <w:sz w:val="20"/>
          <w:szCs w:val="20"/>
          <w:color w:val="auto"/>
        </w:rPr>
      </w:pPr>
    </w:p>
    <w:p>
      <w:pPr>
        <w:ind w:right="20" w:firstLine="8"/>
        <w:spacing w:after="0" w:line="277" w:lineRule="auto"/>
        <w:tabs>
          <w:tab w:leader="none" w:pos="2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7" w:name="page68"/>
    <w:bookmarkEnd w:id="67"/>
    <w:p>
      <w:pPr>
        <w:ind w:right="2340" w:firstLine="8"/>
        <w:spacing w:after="0" w:line="501"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an Opinion of Counsel stating that, in the opinion of such counsel, all such conditions precedent have been complied with. Section 10.5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firstLine="8"/>
        <w:spacing w:after="0" w:line="277" w:lineRule="auto"/>
        <w:tabs>
          <w:tab w:leader="none" w:pos="27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firstLine="8"/>
        <w:spacing w:after="0" w:line="277" w:lineRule="auto"/>
        <w:tabs>
          <w:tab w:leader="none" w:pos="26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 Holders of one or more Series. Any Agent may make reasonable rules and set reasonable requirements for its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 Holder by accepting a Security waives and releases all such liability. The waiver and release are part of the consideration for the issue of the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Governing Laws</w:t>
      </w:r>
      <w:r>
        <w:rPr>
          <w:rFonts w:ascii="Arial" w:cs="Arial" w:eastAsia="Arial" w:hAnsi="Arial"/>
          <w:sz w:val="18"/>
          <w:szCs w:val="18"/>
          <w:color w:val="auto"/>
        </w:rPr>
        <w:t>.</w:t>
      </w:r>
    </w:p>
    <w:p>
      <w:pPr>
        <w:spacing w:after="0" w:line="22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THIS INDENTURE AND THE SECURITIES SHALL BE GOVERNED BY THE LAWS OF THE STATE OF NEW YORK APPLICABLE TO AGREEMENTS MADE AND TO BE PERFORMED IN SUCH STATE, WITHOUT REGARD TO THE CONFLICT OF LAWS PROVISIONS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Securities in a Foreign Currency or in ECU</w:t>
      </w:r>
      <w:r>
        <w:rPr>
          <w:rFonts w:ascii="Arial" w:cs="Arial" w:eastAsia="Arial" w:hAnsi="Arial"/>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ECUs,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or, in the case of ECUs, in Luxembourg or such other quotations or, in the case of ECUs,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day and year first above written.</w:t>
      </w:r>
    </w:p>
    <w:p>
      <w:pPr>
        <w:spacing w:after="0" w:line="221"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-130175</wp:posOffset>
            </wp:positionV>
            <wp:extent cx="24612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980"/>
        <w:spacing w:after="0"/>
        <w:tabs>
          <w:tab w:leader="none" w:pos="7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-130175</wp:posOffset>
            </wp:positionV>
            <wp:extent cx="24612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ind w:left="10420"/>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187960</wp:posOffset>
            </wp:positionV>
            <wp:extent cx="1020445" cy="420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1020445" cy="42037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 - Ogier Global (Cayman) Limited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89 Nexus Way, Camana Bay</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Grand Cayman KY1-9009</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Cayman Islands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 June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Incorporation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+852 3656 6054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nathan.powell@ogier.com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Reference: NMP/FYC/173339.00002</w:t>
      </w:r>
    </w:p>
    <w:p>
      <w:pPr>
        <w:spacing w:after="0" w:line="1610" w:lineRule="exact"/>
        <w:rPr>
          <w:sz w:val="20"/>
          <w:szCs w:val="20"/>
          <w:color w:val="auto"/>
        </w:rPr>
      </w:pPr>
    </w:p>
    <w:p>
      <w:pPr>
        <w:sectPr>
          <w:pgSz w:w="11900" w:h="16838" w:orient="portrait"/>
          <w:cols w:equalWidth="0" w:num="2">
            <w:col w:w="6160" w:space="680"/>
            <w:col w:w="4580"/>
          </w:cols>
          <w:pgMar w:left="240" w:top="112" w:right="239" w:bottom="1440" w:gutter="0" w:footer="0" w:header="0"/>
          <w:type w:val="continuous"/>
        </w:sectPr>
      </w:pP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acted as Cayman Islands counsel to the Company in connection with the Company's preparation of the Registration Statement on Form F-3, including all amendments or supplements thereto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to be filed by the Company with the United States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xml:space="preserve">) under the United States Securities Act 1933, as amended (the </w:t>
      </w:r>
      <w:r>
        <w:rPr>
          <w:rFonts w:ascii="Arial" w:cs="Arial" w:eastAsia="Arial" w:hAnsi="Arial"/>
          <w:sz w:val="18"/>
          <w:szCs w:val="18"/>
          <w:b w:val="1"/>
          <w:bCs w:val="1"/>
          <w:color w:val="auto"/>
        </w:rPr>
        <w:t>Act</w:t>
      </w:r>
      <w:r>
        <w:rPr>
          <w:rFonts w:ascii="Arial" w:cs="Arial" w:eastAsia="Arial" w:hAnsi="Arial"/>
          <w:sz w:val="18"/>
          <w:szCs w:val="18"/>
          <w:color w:val="auto"/>
        </w:rPr>
        <w:t xml:space="preserve">) on or about the date hereof. The Registration Statement relates to the offering and sale from time to time, as set forth in the Registration Statement, the form of prospectus contained therein (the </w:t>
      </w:r>
      <w:r>
        <w:rPr>
          <w:rFonts w:ascii="Arial" w:cs="Arial" w:eastAsia="Arial" w:hAnsi="Arial"/>
          <w:sz w:val="18"/>
          <w:szCs w:val="18"/>
          <w:b w:val="1"/>
          <w:bCs w:val="1"/>
          <w:color w:val="auto"/>
        </w:rPr>
        <w:t>Prospectus</w:t>
      </w:r>
      <w:r>
        <w:rPr>
          <w:rFonts w:ascii="Arial" w:cs="Arial" w:eastAsia="Arial" w:hAnsi="Arial"/>
          <w:sz w:val="18"/>
          <w:szCs w:val="18"/>
          <w:color w:val="auto"/>
        </w:rPr>
        <w:t xml:space="preserve">) of the following securities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84"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shares of US$0.0001 par value each (the </w:t>
      </w:r>
      <w:r>
        <w:rPr>
          <w:rFonts w:ascii="Arial" w:cs="Arial" w:eastAsia="Arial" w:hAnsi="Arial"/>
          <w:sz w:val="18"/>
          <w:szCs w:val="18"/>
          <w:b w:val="1"/>
          <w:bCs w:val="1"/>
          <w:color w:val="auto"/>
        </w:rPr>
        <w:t>Common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one or more classes of the Company's preferred shares to be created by the Company (the </w:t>
      </w:r>
      <w:r>
        <w:rPr>
          <w:rFonts w:ascii="Arial" w:cs="Arial" w:eastAsia="Arial" w:hAnsi="Arial"/>
          <w:sz w:val="18"/>
          <w:szCs w:val="18"/>
          <w:b w:val="1"/>
          <w:bCs w:val="1"/>
          <w:color w:val="auto"/>
        </w:rPr>
        <w:t>Preferred Shares</w:t>
      </w:r>
      <w:r>
        <w:rPr>
          <w:rFonts w:ascii="Arial" w:cs="Arial" w:eastAsia="Arial" w:hAnsi="Arial"/>
          <w:sz w:val="18"/>
          <w:szCs w:val="18"/>
          <w:color w:val="auto"/>
        </w:rPr>
        <w:t xml:space="preserve">, together with the Common Shares, the </w:t>
      </w:r>
      <w:r>
        <w:rPr>
          <w:rFonts w:ascii="Arial" w:cs="Arial" w:eastAsia="Arial" w:hAnsi="Arial"/>
          <w:sz w:val="18"/>
          <w:szCs w:val="18"/>
          <w:b w:val="1"/>
          <w:bCs w:val="1"/>
          <w:color w:val="auto"/>
        </w:rPr>
        <w:t>Equity Securities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warrants to be issued to purchase the Common Shares (the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debt securities to be issued pursuant to the applicable indenture to be entered into by the Company (the </w:t>
      </w:r>
      <w:r>
        <w:rPr>
          <w:rFonts w:ascii="Arial" w:cs="Arial" w:eastAsia="Arial" w:hAnsi="Arial"/>
          <w:sz w:val="18"/>
          <w:szCs w:val="18"/>
          <w:b w:val="1"/>
          <w:bCs w:val="1"/>
          <w:color w:val="auto"/>
        </w:rPr>
        <w:t>Debt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rights to purchase common stock, preferred stock, debt securities, other securities or any combination of those securities (the </w:t>
      </w:r>
      <w:r>
        <w:rPr>
          <w:rFonts w:ascii="Arial" w:cs="Arial" w:eastAsia="Arial" w:hAnsi="Arial"/>
          <w:sz w:val="18"/>
          <w:szCs w:val="18"/>
          <w:b w:val="1"/>
          <w:bCs w:val="1"/>
          <w:color w:val="auto"/>
        </w:rPr>
        <w:t>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depositary shares representing a fraction of a share of a particular series of preferred shares (the </w:t>
      </w:r>
      <w:r>
        <w:rPr>
          <w:rFonts w:ascii="Arial" w:cs="Arial" w:eastAsia="Arial" w:hAnsi="Arial"/>
          <w:sz w:val="18"/>
          <w:szCs w:val="18"/>
          <w:b w:val="1"/>
          <w:bCs w:val="1"/>
          <w:color w:val="auto"/>
        </w:rPr>
        <w:t>Depositary Shares</w:t>
      </w:r>
      <w:r>
        <w:rPr>
          <w:rFonts w:ascii="Arial" w:cs="Arial" w:eastAsia="Arial" w:hAnsi="Arial"/>
          <w:sz w:val="18"/>
          <w:szCs w:val="18"/>
          <w:color w:val="auto"/>
        </w:rPr>
        <w:t>); and/or</w:t>
      </w:r>
    </w:p>
    <w:p>
      <w:pPr>
        <w:spacing w:after="0" w:line="22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units comprising any combination of Common Shares, Preferred Shares, Warrants, Debt Securities, Rights, Depositary Shares or any combination of the foregoing securities.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been advised that the Securities may be issued and sold or delivered from time to time as set forth in the Registration Statement, any amendment thereto and the Prospectus contained therein pursuant to Rule 462(b) under the Act and that this opinion is required to be furnished in accordance with the requirements of Item 601(b)(5) of Regulation S-K under the Act. No opinion is expressed herein as to any matter pertaining to the contents of the Registration Statement or related applicable Prospectus other than as expressly stated herein with respect to the issue of the Securities.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Pr>
          <w:p>
            <w:pPr>
              <w:ind w:left="100"/>
              <w:spacing w:after="0"/>
              <w:rPr>
                <w:sz w:val="20"/>
                <w:szCs w:val="20"/>
                <w:color w:val="auto"/>
              </w:rPr>
            </w:pPr>
            <w:r>
              <w:rPr>
                <w:rFonts w:ascii="Arial" w:cs="Arial" w:eastAsia="Arial" w:hAnsi="Arial"/>
                <w:sz w:val="18"/>
                <w:szCs w:val="18"/>
                <w:b w:val="1"/>
                <w:bCs w:val="1"/>
                <w:color w:val="auto"/>
              </w:rPr>
              <w:t>Ogier</w:t>
            </w:r>
          </w:p>
        </w:tc>
        <w:tc>
          <w:tcPr>
            <w:tcW w:w="7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rPr>
                <w:sz w:val="20"/>
                <w:szCs w:val="20"/>
                <w:color w:val="auto"/>
              </w:rPr>
            </w:pPr>
            <w:r>
              <w:rPr>
                <w:rFonts w:ascii="Arial" w:cs="Arial" w:eastAsia="Arial" w:hAnsi="Arial"/>
                <w:sz w:val="18"/>
                <w:szCs w:val="18"/>
                <w:color w:val="auto"/>
                <w:w w:val="92"/>
              </w:rPr>
              <w:t>British Virgin Islands, Cayman Islands, Guernsey, Jersey</w:t>
            </w:r>
          </w:p>
        </w:tc>
        <w:tc>
          <w:tcPr>
            <w:tcW w:w="7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Partners</w:t>
            </w: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rPr>
                <w:sz w:val="20"/>
                <w:szCs w:val="20"/>
                <w:color w:val="auto"/>
              </w:rPr>
            </w:pPr>
            <w:r>
              <w:rPr>
                <w:rFonts w:ascii="Arial" w:cs="Arial" w:eastAsia="Arial" w:hAnsi="Arial"/>
                <w:sz w:val="18"/>
                <w:szCs w:val="18"/>
                <w:color w:val="auto"/>
              </w:rPr>
              <w:t>and Luxembourg practitioners</w:t>
            </w:r>
          </w:p>
        </w:tc>
        <w:tc>
          <w:tcPr>
            <w:tcW w:w="7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Nicholas Plowman</w:t>
            </w: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rPr>
                <w:sz w:val="20"/>
                <w:szCs w:val="20"/>
                <w:color w:val="auto"/>
              </w:rPr>
            </w:pPr>
            <w:r>
              <w:rPr>
                <w:rFonts w:ascii="Arial" w:cs="Arial" w:eastAsia="Arial" w:hAnsi="Arial"/>
                <w:sz w:val="18"/>
                <w:szCs w:val="18"/>
                <w:color w:val="auto"/>
              </w:rPr>
              <w:t>Floor 11 Central Tower</w:t>
            </w:r>
          </w:p>
        </w:tc>
        <w:tc>
          <w:tcPr>
            <w:tcW w:w="7100" w:type="dxa"/>
            <w:vAlign w:val="bottom"/>
          </w:tcPr>
          <w:p>
            <w:pPr>
              <w:ind w:left="140"/>
              <w:spacing w:after="0"/>
              <w:rPr>
                <w:sz w:val="20"/>
                <w:szCs w:val="20"/>
                <w:color w:val="auto"/>
              </w:rPr>
            </w:pPr>
            <w:r>
              <w:rPr>
                <w:rFonts w:ascii="Arial" w:cs="Arial" w:eastAsia="Arial" w:hAnsi="Arial"/>
                <w:sz w:val="18"/>
                <w:szCs w:val="18"/>
                <w:color w:val="auto"/>
              </w:rPr>
              <w:t>Nathan Powell</w:t>
            </w: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rPr>
                <w:sz w:val="20"/>
                <w:szCs w:val="20"/>
                <w:color w:val="auto"/>
              </w:rPr>
            </w:pPr>
            <w:r>
              <w:rPr>
                <w:rFonts w:ascii="Arial" w:cs="Arial" w:eastAsia="Arial" w:hAnsi="Arial"/>
                <w:sz w:val="18"/>
                <w:szCs w:val="18"/>
                <w:color w:val="auto"/>
              </w:rPr>
              <w:t>28 Queen's Road Central</w:t>
            </w:r>
          </w:p>
        </w:tc>
        <w:tc>
          <w:tcPr>
            <w:tcW w:w="7100" w:type="dxa"/>
            <w:vAlign w:val="bottom"/>
          </w:tcPr>
          <w:p>
            <w:pPr>
              <w:ind w:left="140"/>
              <w:spacing w:after="0"/>
              <w:rPr>
                <w:sz w:val="20"/>
                <w:szCs w:val="20"/>
                <w:color w:val="auto"/>
              </w:rPr>
            </w:pPr>
            <w:r>
              <w:rPr>
                <w:rFonts w:ascii="Arial" w:cs="Arial" w:eastAsia="Arial" w:hAnsi="Arial"/>
                <w:sz w:val="18"/>
                <w:szCs w:val="18"/>
                <w:color w:val="auto"/>
              </w:rPr>
              <w:t>Ray Ng</w:t>
            </w: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rPr>
                <w:sz w:val="20"/>
                <w:szCs w:val="20"/>
                <w:color w:val="auto"/>
              </w:rPr>
            </w:pPr>
            <w:r>
              <w:rPr>
                <w:rFonts w:ascii="Arial" w:cs="Arial" w:eastAsia="Arial" w:hAnsi="Arial"/>
                <w:sz w:val="18"/>
                <w:szCs w:val="18"/>
                <w:color w:val="auto"/>
              </w:rPr>
              <w:t>Central</w:t>
            </w:r>
          </w:p>
        </w:tc>
        <w:tc>
          <w:tcPr>
            <w:tcW w:w="7100" w:type="dxa"/>
            <w:vAlign w:val="bottom"/>
          </w:tcPr>
          <w:p>
            <w:pPr>
              <w:ind w:left="140"/>
              <w:spacing w:after="0"/>
              <w:rPr>
                <w:sz w:val="20"/>
                <w:szCs w:val="20"/>
                <w:color w:val="auto"/>
              </w:rPr>
            </w:pPr>
            <w:r>
              <w:rPr>
                <w:rFonts w:ascii="Arial" w:cs="Arial" w:eastAsia="Arial" w:hAnsi="Arial"/>
                <w:sz w:val="18"/>
                <w:szCs w:val="18"/>
                <w:color w:val="auto"/>
              </w:rPr>
              <w:t>Kate Hodson</w:t>
            </w: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rPr>
                <w:sz w:val="20"/>
                <w:szCs w:val="20"/>
                <w:color w:val="auto"/>
              </w:rPr>
            </w:pPr>
            <w:r>
              <w:rPr>
                <w:rFonts w:ascii="Arial" w:cs="Arial" w:eastAsia="Arial" w:hAnsi="Arial"/>
                <w:sz w:val="18"/>
                <w:szCs w:val="18"/>
                <w:color w:val="auto"/>
              </w:rPr>
              <w:t>Hong Kong</w:t>
            </w:r>
          </w:p>
        </w:tc>
        <w:tc>
          <w:tcPr>
            <w:tcW w:w="7100" w:type="dxa"/>
            <w:vAlign w:val="bottom"/>
          </w:tcPr>
          <w:p>
            <w:pPr>
              <w:ind w:left="140"/>
              <w:spacing w:after="0"/>
              <w:rPr>
                <w:sz w:val="20"/>
                <w:szCs w:val="20"/>
                <w:color w:val="auto"/>
              </w:rPr>
            </w:pPr>
            <w:r>
              <w:rPr>
                <w:rFonts w:ascii="Arial" w:cs="Arial" w:eastAsia="Arial" w:hAnsi="Arial"/>
                <w:sz w:val="18"/>
                <w:szCs w:val="18"/>
                <w:color w:val="auto"/>
              </w:rPr>
              <w:t>David Nelson</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Anthony Oakes</w:t>
            </w: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rPr>
                <w:sz w:val="20"/>
                <w:szCs w:val="20"/>
                <w:color w:val="auto"/>
              </w:rPr>
            </w:pPr>
            <w:r>
              <w:rPr>
                <w:rFonts w:ascii="Arial" w:cs="Arial" w:eastAsia="Arial" w:hAnsi="Arial"/>
                <w:sz w:val="18"/>
                <w:szCs w:val="18"/>
                <w:color w:val="auto"/>
              </w:rPr>
              <w:t>T +852 3656 6000</w:t>
            </w:r>
          </w:p>
        </w:tc>
        <w:tc>
          <w:tcPr>
            <w:tcW w:w="7100" w:type="dxa"/>
            <w:vAlign w:val="bottom"/>
          </w:tcPr>
          <w:p>
            <w:pPr>
              <w:ind w:left="140"/>
              <w:spacing w:after="0"/>
              <w:rPr>
                <w:sz w:val="20"/>
                <w:szCs w:val="20"/>
                <w:color w:val="auto"/>
              </w:rPr>
            </w:pPr>
            <w:r>
              <w:rPr>
                <w:rFonts w:ascii="Arial" w:cs="Arial" w:eastAsia="Arial" w:hAnsi="Arial"/>
                <w:sz w:val="18"/>
                <w:szCs w:val="18"/>
                <w:color w:val="auto"/>
              </w:rPr>
              <w:t>Oliver Payne</w:t>
            </w:r>
          </w:p>
        </w:tc>
        <w:tc>
          <w:tcPr>
            <w:tcW w:w="0" w:type="dxa"/>
            <w:vAlign w:val="bottom"/>
          </w:tcPr>
          <w:p>
            <w:pPr>
              <w:spacing w:after="0"/>
              <w:rPr>
                <w:sz w:val="1"/>
                <w:szCs w:val="1"/>
                <w:color w:val="auto"/>
              </w:rPr>
            </w:pPr>
          </w:p>
        </w:tc>
      </w:tr>
      <w:tr>
        <w:trPr>
          <w:trHeight w:val="212"/>
        </w:trPr>
        <w:tc>
          <w:tcPr>
            <w:tcW w:w="4320" w:type="dxa"/>
            <w:vAlign w:val="bottom"/>
          </w:tcPr>
          <w:p>
            <w:pPr>
              <w:ind w:left="100"/>
              <w:spacing w:after="0"/>
              <w:rPr>
                <w:sz w:val="20"/>
                <w:szCs w:val="20"/>
                <w:color w:val="auto"/>
              </w:rPr>
            </w:pPr>
            <w:r>
              <w:rPr>
                <w:rFonts w:ascii="Arial" w:cs="Arial" w:eastAsia="Arial" w:hAnsi="Arial"/>
                <w:sz w:val="18"/>
                <w:szCs w:val="18"/>
                <w:color w:val="auto"/>
              </w:rPr>
              <w:t>F +852 3656 6001</w:t>
            </w:r>
          </w:p>
        </w:tc>
        <w:tc>
          <w:tcPr>
            <w:tcW w:w="7100" w:type="dxa"/>
            <w:vAlign w:val="bottom"/>
          </w:tcPr>
          <w:p>
            <w:pPr>
              <w:ind w:left="140"/>
              <w:spacing w:after="0"/>
              <w:rPr>
                <w:sz w:val="20"/>
                <w:szCs w:val="20"/>
                <w:color w:val="auto"/>
              </w:rPr>
            </w:pPr>
            <w:r>
              <w:rPr>
                <w:rFonts w:ascii="Arial" w:cs="Arial" w:eastAsia="Arial" w:hAnsi="Arial"/>
                <w:sz w:val="18"/>
                <w:szCs w:val="18"/>
                <w:color w:val="auto"/>
              </w:rPr>
              <w:t>James Bergstrom</w:t>
            </w:r>
          </w:p>
        </w:tc>
        <w:tc>
          <w:tcPr>
            <w:tcW w:w="0" w:type="dxa"/>
            <w:vAlign w:val="bottom"/>
          </w:tcPr>
          <w:p>
            <w:pPr>
              <w:spacing w:after="0"/>
              <w:rPr>
                <w:sz w:val="1"/>
                <w:szCs w:val="1"/>
                <w:color w:val="auto"/>
              </w:rPr>
            </w:pPr>
          </w:p>
        </w:tc>
      </w:tr>
      <w:tr>
        <w:trPr>
          <w:trHeight w:val="234"/>
        </w:trPr>
        <w:tc>
          <w:tcPr>
            <w:tcW w:w="4320" w:type="dxa"/>
            <w:vAlign w:val="bottom"/>
          </w:tcPr>
          <w:p>
            <w:pPr>
              <w:ind w:left="100"/>
              <w:spacing w:after="0"/>
              <w:rPr>
                <w:sz w:val="20"/>
                <w:szCs w:val="20"/>
                <w:color w:val="auto"/>
              </w:rPr>
            </w:pPr>
            <w:r>
              <w:rPr>
                <w:rFonts w:ascii="Arial" w:cs="Arial" w:eastAsia="Arial" w:hAnsi="Arial"/>
                <w:sz w:val="18"/>
                <w:szCs w:val="18"/>
                <w:b w:val="1"/>
                <w:bCs w:val="1"/>
                <w:color w:val="auto"/>
              </w:rPr>
              <w:t>ogier.com</w:t>
            </w:r>
          </w:p>
        </w:tc>
        <w:tc>
          <w:tcPr>
            <w:tcW w:w="7100" w:type="dxa"/>
            <w:vAlign w:val="bottom"/>
          </w:tcPr>
          <w:p>
            <w:pPr>
              <w:ind w:left="140"/>
              <w:spacing w:after="0"/>
              <w:rPr>
                <w:sz w:val="20"/>
                <w:szCs w:val="20"/>
                <w:color w:val="auto"/>
              </w:rPr>
            </w:pPr>
            <w:r>
              <w:rPr>
                <w:rFonts w:ascii="Arial" w:cs="Arial" w:eastAsia="Arial" w:hAnsi="Arial"/>
                <w:sz w:val="18"/>
                <w:szCs w:val="18"/>
                <w:color w:val="auto"/>
              </w:rPr>
              <w:t>Marcus Leese</w:t>
            </w:r>
          </w:p>
        </w:tc>
        <w:tc>
          <w:tcPr>
            <w:tcW w:w="0" w:type="dxa"/>
            <w:vAlign w:val="bottom"/>
          </w:tcPr>
          <w:p>
            <w:pPr>
              <w:spacing w:after="0"/>
              <w:rPr>
                <w:sz w:val="1"/>
                <w:szCs w:val="1"/>
                <w:color w:val="auto"/>
              </w:rPr>
            </w:pPr>
          </w:p>
        </w:tc>
      </w:tr>
      <w:tr>
        <w:trPr>
          <w:trHeight w:val="534"/>
        </w:trPr>
        <w:tc>
          <w:tcPr>
            <w:tcW w:w="43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22"/>
          <w:szCs w:val="22"/>
          <w:color w:val="auto"/>
        </w:rPr>
        <w:t>Page 2 of 7</w:t>
      </w:r>
    </w:p>
    <w:p>
      <w:pPr>
        <w:spacing w:after="0" w:line="21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20" w:lineRule="exact"/>
        <w:rPr>
          <w:sz w:val="20"/>
          <w:szCs w:val="20"/>
          <w:color w:val="auto"/>
        </w:rPr>
      </w:pPr>
    </w:p>
    <w:p>
      <w:pPr>
        <w:ind w:left="640" w:hanging="632"/>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examined</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 xml:space="preserve">For the purposes of giving this opinion, we have examined originals, copies, or drafts of the following documents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280" w:hanging="637"/>
        <w:spacing w:after="0" w:line="277" w:lineRule="auto"/>
        <w:tabs>
          <w:tab w:leader="none" w:pos="12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the certificate of incorporation of the Company dated 11 May 2017 issued by the Registrar of Companies of the Cayman Islands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80" w:hanging="637"/>
        <w:spacing w:after="0" w:line="277" w:lineRule="auto"/>
        <w:tabs>
          <w:tab w:leader="none" w:pos="12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the amended and restated memorandum and articles of association of the Company adopted by special resolutions of the Company dated 7 December 2017 (respectively, the </w:t>
      </w:r>
      <w:r>
        <w:rPr>
          <w:rFonts w:ascii="Arial" w:cs="Arial" w:eastAsia="Arial" w:hAnsi="Arial"/>
          <w:sz w:val="18"/>
          <w:szCs w:val="18"/>
          <w:b w:val="1"/>
          <w:bCs w:val="1"/>
          <w:color w:val="auto"/>
        </w:rPr>
        <w:t>Memorandum</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280" w:hanging="637"/>
        <w:spacing w:after="0"/>
        <w:tabs>
          <w:tab w:leader="none" w:pos="12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a certificate of good standing dated 15 April 2019 (the </w:t>
      </w:r>
      <w:r>
        <w:rPr>
          <w:rFonts w:ascii="Arial" w:cs="Arial" w:eastAsia="Arial" w:hAnsi="Arial"/>
          <w:sz w:val="17"/>
          <w:szCs w:val="17"/>
          <w:b w:val="1"/>
          <w:bCs w:val="1"/>
          <w:color w:val="auto"/>
        </w:rPr>
        <w:t>Good Standing Certificate</w:t>
      </w:r>
      <w:r>
        <w:rPr>
          <w:rFonts w:ascii="Arial" w:cs="Arial" w:eastAsia="Arial" w:hAnsi="Arial"/>
          <w:sz w:val="17"/>
          <w:szCs w:val="17"/>
          <w:color w:val="auto"/>
        </w:rPr>
        <w:t>) issued by the Registrar in respect of the Company;</w:t>
      </w:r>
    </w:p>
    <w:p>
      <w:pPr>
        <w:spacing w:after="0" w:line="236" w:lineRule="exact"/>
        <w:rPr>
          <w:rFonts w:ascii="Arial" w:cs="Arial" w:eastAsia="Arial" w:hAnsi="Arial"/>
          <w:sz w:val="17"/>
          <w:szCs w:val="17"/>
          <w:color w:val="auto"/>
        </w:rPr>
      </w:pPr>
    </w:p>
    <w:p>
      <w:pPr>
        <w:ind w:left="1280" w:hanging="637"/>
        <w:spacing w:after="0"/>
        <w:tabs>
          <w:tab w:leader="none" w:pos="12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a copy of the register of directors of the Company as at 25 May 2018 (the </w:t>
      </w:r>
      <w:r>
        <w:rPr>
          <w:rFonts w:ascii="Arial" w:cs="Arial" w:eastAsia="Arial" w:hAnsi="Arial"/>
          <w:sz w:val="18"/>
          <w:szCs w:val="18"/>
          <w:b w:val="1"/>
          <w:bCs w:val="1"/>
          <w:color w:val="auto"/>
        </w:rPr>
        <w:t>ROD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637"/>
        <w:spacing w:after="0"/>
        <w:tabs>
          <w:tab w:leader="none" w:pos="12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a copy of the register of members of the Company as at 25 May 2018 (the </w:t>
      </w:r>
      <w:r>
        <w:rPr>
          <w:rFonts w:ascii="Arial" w:cs="Arial" w:eastAsia="Arial" w:hAnsi="Arial"/>
          <w:sz w:val="18"/>
          <w:szCs w:val="18"/>
          <w:b w:val="1"/>
          <w:bCs w:val="1"/>
          <w:color w:val="auto"/>
        </w:rPr>
        <w:t>ROM</w:t>
      </w:r>
      <w:r>
        <w:rPr>
          <w:rFonts w:ascii="Arial" w:cs="Arial" w:eastAsia="Arial" w:hAnsi="Arial"/>
          <w:sz w:val="18"/>
          <w:szCs w:val="18"/>
          <w:color w:val="auto"/>
        </w:rPr>
        <w:t xml:space="preserve">, and together with the ROD, the </w:t>
      </w:r>
      <w:r>
        <w:rPr>
          <w:rFonts w:ascii="Arial" w:cs="Arial" w:eastAsia="Arial" w:hAnsi="Arial"/>
          <w:sz w:val="18"/>
          <w:szCs w:val="18"/>
          <w:b w:val="1"/>
          <w:bCs w:val="1"/>
          <w:color w:val="auto"/>
        </w:rPr>
        <w:t>Registers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280" w:hanging="637"/>
        <w:spacing w:after="0"/>
        <w:tabs>
          <w:tab w:leader="none" w:pos="12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Registration Statement; and</w:t>
      </w:r>
    </w:p>
    <w:p>
      <w:pPr>
        <w:spacing w:after="0" w:line="221" w:lineRule="exact"/>
        <w:rPr>
          <w:rFonts w:ascii="Arial" w:cs="Arial" w:eastAsia="Arial" w:hAnsi="Arial"/>
          <w:sz w:val="18"/>
          <w:szCs w:val="18"/>
          <w:color w:val="auto"/>
        </w:rPr>
      </w:pPr>
    </w:p>
    <w:p>
      <w:pPr>
        <w:ind w:left="1280" w:hanging="637"/>
        <w:spacing w:after="0"/>
        <w:tabs>
          <w:tab w:leader="none" w:pos="12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a copy of the written resolutions of the board of directors dated 10 June 2019 (the </w:t>
      </w:r>
      <w:r>
        <w:rPr>
          <w:rFonts w:ascii="Arial" w:cs="Arial" w:eastAsia="Arial" w:hAnsi="Arial"/>
          <w:sz w:val="18"/>
          <w:szCs w:val="18"/>
          <w:b w:val="1"/>
          <w:bCs w:val="1"/>
          <w:color w:val="auto"/>
        </w:rPr>
        <w:t>Board Resolutions</w:t>
      </w:r>
      <w:r>
        <w:rPr>
          <w:rFonts w:ascii="Arial" w:cs="Arial" w:eastAsia="Arial" w:hAnsi="Arial"/>
          <w:sz w:val="18"/>
          <w:szCs w:val="18"/>
          <w:color w:val="auto"/>
        </w:rPr>
        <w:t>).</w:t>
      </w:r>
    </w:p>
    <w:p>
      <w:pPr>
        <w:spacing w:after="0" w:line="225" w:lineRule="exact"/>
        <w:rPr>
          <w:sz w:val="20"/>
          <w:szCs w:val="20"/>
          <w:color w:val="auto"/>
        </w:rPr>
      </w:pPr>
    </w:p>
    <w:p>
      <w:pPr>
        <w:ind w:left="640" w:hanging="632"/>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70" w:lineRule="exact"/>
        <w:rPr>
          <w:rFonts w:ascii="Arial" w:cs="Arial" w:eastAsia="Arial" w:hAnsi="Arial"/>
          <w:sz w:val="18"/>
          <w:szCs w:val="18"/>
          <w:b w:val="1"/>
          <w:bCs w:val="1"/>
          <w:color w:val="auto"/>
        </w:rPr>
      </w:pPr>
    </w:p>
    <w:p>
      <w:pPr>
        <w:ind w:left="1280" w:hanging="637"/>
        <w:spacing w:after="0"/>
        <w:tabs>
          <w:tab w:leader="none" w:pos="12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original documents examined by us are authentic and complete;</w:t>
      </w:r>
    </w:p>
    <w:p>
      <w:pPr>
        <w:spacing w:after="0" w:line="225" w:lineRule="exact"/>
        <w:rPr>
          <w:rFonts w:ascii="Arial" w:cs="Arial" w:eastAsia="Arial" w:hAnsi="Arial"/>
          <w:sz w:val="18"/>
          <w:szCs w:val="18"/>
          <w:color w:val="auto"/>
        </w:rPr>
      </w:pPr>
    </w:p>
    <w:p>
      <w:pPr>
        <w:ind w:left="1280" w:hanging="637"/>
        <w:spacing w:after="0" w:line="277" w:lineRule="auto"/>
        <w:tabs>
          <w:tab w:leader="none" w:pos="12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copy documents examined by us (whether in facsimile, electronic or other form) conform to the originals and those originals are authentic and complete;</w:t>
      </w:r>
    </w:p>
    <w:p>
      <w:pPr>
        <w:spacing w:after="0" w:line="170" w:lineRule="exact"/>
        <w:rPr>
          <w:rFonts w:ascii="Arial" w:cs="Arial" w:eastAsia="Arial" w:hAnsi="Arial"/>
          <w:sz w:val="18"/>
          <w:szCs w:val="18"/>
          <w:color w:val="auto"/>
        </w:rPr>
      </w:pPr>
    </w:p>
    <w:p>
      <w:pPr>
        <w:ind w:left="1280" w:hanging="637"/>
        <w:spacing w:after="0"/>
        <w:tabs>
          <w:tab w:leader="none" w:pos="12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signatures, seals, dates, stamps and markings (whether on original or copy documents) are genuine;</w:t>
      </w:r>
    </w:p>
    <w:p>
      <w:pPr>
        <w:spacing w:after="0" w:line="225" w:lineRule="exact"/>
        <w:rPr>
          <w:rFonts w:ascii="Arial" w:cs="Arial" w:eastAsia="Arial" w:hAnsi="Arial"/>
          <w:sz w:val="18"/>
          <w:szCs w:val="18"/>
          <w:color w:val="auto"/>
        </w:rPr>
      </w:pPr>
    </w:p>
    <w:p>
      <w:pPr>
        <w:ind w:left="1280" w:hanging="637"/>
        <w:spacing w:after="0"/>
        <w:tabs>
          <w:tab w:leader="none" w:pos="12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each of the Good Standing Certificate and the Registers is accurate and complete as at the date of this opinion;</w:t>
      </w:r>
    </w:p>
    <w:p>
      <w:pPr>
        <w:spacing w:after="0" w:line="225" w:lineRule="exact"/>
        <w:rPr>
          <w:rFonts w:ascii="Arial" w:cs="Arial" w:eastAsia="Arial" w:hAnsi="Arial"/>
          <w:sz w:val="18"/>
          <w:szCs w:val="18"/>
          <w:color w:val="auto"/>
        </w:rPr>
      </w:pPr>
    </w:p>
    <w:p>
      <w:pPr>
        <w:ind w:left="1280" w:right="20" w:hanging="637"/>
        <w:spacing w:after="0" w:line="277" w:lineRule="auto"/>
        <w:tabs>
          <w:tab w:leader="none" w:pos="12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Memorandum and Articles provided to you are in full force and effect and have not been amended, varied, supplemented or revoked in any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Page 3 of 7</w:t>
      </w:r>
    </w:p>
    <w:p>
      <w:pPr>
        <w:spacing w:after="0" w:line="348" w:lineRule="exact"/>
        <w:rPr>
          <w:sz w:val="20"/>
          <w:szCs w:val="20"/>
          <w:color w:val="auto"/>
        </w:rPr>
      </w:pPr>
    </w:p>
    <w:p>
      <w:pPr>
        <w:jc w:val="both"/>
        <w:ind w:left="1280" w:hanging="637"/>
        <w:spacing w:after="0" w:line="264" w:lineRule="auto"/>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copies of the Registration Statement are true and correct copies and the Registration Statement conform in every material respect to the latest drafts of the same produced to us and, where the Registration Statement has been provided to us in successive drafts marked-up to indicate changes to such documents, all such changes have been so indicated;</w:t>
      </w:r>
    </w:p>
    <w:p>
      <w:pPr>
        <w:spacing w:after="0" w:line="181" w:lineRule="exact"/>
        <w:rPr>
          <w:rFonts w:ascii="Arial" w:cs="Arial" w:eastAsia="Arial" w:hAnsi="Arial"/>
          <w:sz w:val="18"/>
          <w:szCs w:val="18"/>
          <w:color w:val="auto"/>
        </w:rPr>
      </w:pPr>
    </w:p>
    <w:p>
      <w:pPr>
        <w:jc w:val="both"/>
        <w:ind w:left="1280" w:hanging="637"/>
        <w:spacing w:after="0" w:line="302" w:lineRule="auto"/>
        <w:tabs>
          <w:tab w:leader="none" w:pos="12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Board Resolutions remain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transactions set out in the Board Resolutions and no director has a financial interest in or other relationship to a party of the transactions contemplated therein which has not been properly disclosed in the Board Resolutions;</w:t>
      </w:r>
    </w:p>
    <w:p>
      <w:pPr>
        <w:spacing w:after="0" w:line="154" w:lineRule="exact"/>
        <w:rPr>
          <w:rFonts w:ascii="Arial" w:cs="Arial" w:eastAsia="Arial" w:hAnsi="Arial"/>
          <w:sz w:val="16"/>
          <w:szCs w:val="16"/>
          <w:color w:val="auto"/>
        </w:rPr>
      </w:pPr>
    </w:p>
    <w:p>
      <w:pPr>
        <w:ind w:left="1280" w:hanging="637"/>
        <w:spacing w:after="0" w:line="277" w:lineRule="auto"/>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neither the directors and shareholders of the Company have taken any steps to wind up the Company or to appoint a liquidator of the Company and no receiver has been appointed over any of the Company’s property or assets;</w:t>
      </w:r>
    </w:p>
    <w:p>
      <w:pPr>
        <w:spacing w:after="0" w:line="170" w:lineRule="exact"/>
        <w:rPr>
          <w:rFonts w:ascii="Arial" w:cs="Arial" w:eastAsia="Arial" w:hAnsi="Arial"/>
          <w:sz w:val="18"/>
          <w:szCs w:val="18"/>
          <w:color w:val="auto"/>
        </w:rPr>
      </w:pPr>
    </w:p>
    <w:p>
      <w:pPr>
        <w:ind w:left="1280" w:hanging="637"/>
        <w:spacing w:after="0"/>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will issue the Securities in furtherance of its objects as set out in its Memorandum;</w:t>
      </w:r>
    </w:p>
    <w:p>
      <w:pPr>
        <w:spacing w:after="0" w:line="225" w:lineRule="exact"/>
        <w:rPr>
          <w:rFonts w:ascii="Arial" w:cs="Arial" w:eastAsia="Arial" w:hAnsi="Arial"/>
          <w:sz w:val="18"/>
          <w:szCs w:val="18"/>
          <w:color w:val="auto"/>
        </w:rPr>
      </w:pPr>
    </w:p>
    <w:p>
      <w:pPr>
        <w:ind w:left="1280" w:hanging="637"/>
        <w:spacing w:after="0" w:line="277" w:lineRule="auto"/>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will have sufficient authorised share capital to effect the issue of any of the Common Shares and/or the Preferred Shares at the time of issuance, whether as a principal issue or on the conversion, exchange or exercise of any Securities;</w:t>
      </w:r>
    </w:p>
    <w:p>
      <w:pPr>
        <w:spacing w:after="0" w:line="170" w:lineRule="exact"/>
        <w:rPr>
          <w:rFonts w:ascii="Arial" w:cs="Arial" w:eastAsia="Arial" w:hAnsi="Arial"/>
          <w:sz w:val="18"/>
          <w:szCs w:val="18"/>
          <w:color w:val="auto"/>
        </w:rPr>
      </w:pPr>
    </w:p>
    <w:p>
      <w:pPr>
        <w:jc w:val="both"/>
        <w:ind w:left="1280" w:hanging="637"/>
        <w:spacing w:after="0" w:line="257" w:lineRule="auto"/>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form and terms of any and all Securities (including, without limitation, the designation, powers, preferences, rights, qualifications, limitations and restrictions of Preferred Shares), the issuance and sale thereof by the Company, and the Company’s incurrence and performance of its obligations thereunder or in respect thereof (including, without limitation, its obligations under any related agreement, indenture or supplement thereto) in accordance with the terms thereof will not violate the Memorandum and Articles of Association nor any applicable law, regulation, order or decree in the Cayman Islands;</w:t>
      </w:r>
    </w:p>
    <w:p>
      <w:pPr>
        <w:spacing w:after="0" w:line="184" w:lineRule="exact"/>
        <w:rPr>
          <w:rFonts w:ascii="Arial" w:cs="Arial" w:eastAsia="Arial" w:hAnsi="Arial"/>
          <w:sz w:val="18"/>
          <w:szCs w:val="18"/>
          <w:color w:val="auto"/>
        </w:rPr>
      </w:pPr>
    </w:p>
    <w:p>
      <w:pPr>
        <w:ind w:left="1280" w:hanging="637"/>
        <w:spacing w:after="0"/>
        <w:tabs>
          <w:tab w:leader="none" w:pos="12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with respect to any Preferred Shares to be issued underlying the Depositary Shares (the </w:t>
      </w:r>
      <w:r>
        <w:rPr>
          <w:rFonts w:ascii="Arial" w:cs="Arial" w:eastAsia="Arial" w:hAnsi="Arial"/>
          <w:sz w:val="16"/>
          <w:szCs w:val="16"/>
          <w:b w:val="1"/>
          <w:bCs w:val="1"/>
          <w:color w:val="auto"/>
        </w:rPr>
        <w:t>Underlying Shares</w:t>
      </w:r>
      <w:r>
        <w:rPr>
          <w:rFonts w:ascii="Arial" w:cs="Arial" w:eastAsia="Arial" w:hAnsi="Arial"/>
          <w:sz w:val="16"/>
          <w:szCs w:val="16"/>
          <w:color w:val="auto"/>
        </w:rPr>
        <w:t>), we have further assumed that</w:t>
      </w:r>
    </w:p>
    <w:p>
      <w:pPr>
        <w:spacing w:after="0" w:line="50" w:lineRule="exact"/>
        <w:rPr>
          <w:rFonts w:ascii="Arial" w:cs="Arial" w:eastAsia="Arial" w:hAnsi="Arial"/>
          <w:sz w:val="16"/>
          <w:szCs w:val="16"/>
          <w:color w:val="auto"/>
        </w:rPr>
      </w:pPr>
    </w:p>
    <w:p>
      <w:pPr>
        <w:jc w:val="both"/>
        <w:ind w:left="1280" w:hanging="2"/>
        <w:spacing w:after="0" w:line="271" w:lineRule="auto"/>
        <w:tabs>
          <w:tab w:leader="none" w:pos="1506"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the Underlying Shares will be issued pursuant to a deposit agreement relating to the Depositary Shares (the </w:t>
      </w:r>
      <w:r>
        <w:rPr>
          <w:rFonts w:ascii="Arial" w:cs="Arial" w:eastAsia="Arial" w:hAnsi="Arial"/>
          <w:sz w:val="17"/>
          <w:szCs w:val="17"/>
          <w:b w:val="1"/>
          <w:bCs w:val="1"/>
          <w:color w:val="auto"/>
        </w:rPr>
        <w:t>Deposit Agreement</w:t>
      </w:r>
      <w:r>
        <w:rPr>
          <w:rFonts w:ascii="Arial" w:cs="Arial" w:eastAsia="Arial" w:hAnsi="Arial"/>
          <w:sz w:val="17"/>
          <w:szCs w:val="17"/>
          <w:color w:val="auto"/>
        </w:rPr>
        <w:t xml:space="preserve">) to be entered into between the Company and an entity selected by the Company to act as depositary (the </w:t>
      </w:r>
      <w:r>
        <w:rPr>
          <w:rFonts w:ascii="Arial" w:cs="Arial" w:eastAsia="Arial" w:hAnsi="Arial"/>
          <w:sz w:val="17"/>
          <w:szCs w:val="17"/>
          <w:b w:val="1"/>
          <w:bCs w:val="1"/>
          <w:color w:val="auto"/>
        </w:rPr>
        <w:t>Depositary</w:t>
      </w:r>
      <w:r>
        <w:rPr>
          <w:rFonts w:ascii="Arial" w:cs="Arial" w:eastAsia="Arial" w:hAnsi="Arial"/>
          <w:sz w:val="17"/>
          <w:szCs w:val="17"/>
          <w:color w:val="auto"/>
        </w:rPr>
        <w:t>), (ii) the Deposit Agreement will be governed by and construed in accordance with the laws of New York and will constitute a valid and binding obligation of each party thereto; and (iii) the execution and delivery of the Deposit Agreement has been duly authorised by the Company and does not contravene the memorandum and articles of association then in effect or the laws of the Cayman Islands;</w:t>
      </w:r>
    </w:p>
    <w:p>
      <w:pPr>
        <w:spacing w:after="0" w:line="178" w:lineRule="exact"/>
        <w:rPr>
          <w:rFonts w:ascii="Arial" w:cs="Arial" w:eastAsia="Arial" w:hAnsi="Arial"/>
          <w:sz w:val="17"/>
          <w:szCs w:val="17"/>
          <w:color w:val="auto"/>
        </w:rPr>
      </w:pPr>
    </w:p>
    <w:p>
      <w:pPr>
        <w:ind w:left="1280" w:hanging="637"/>
        <w:spacing w:after="0" w:line="277" w:lineRule="auto"/>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invitation has been or will be made by or on behalf of the Company to the public in the Cayman Islands to subscribe for any Security and none of the Securities have been offered or issued to residents of the Cayman Islands;</w:t>
      </w:r>
    </w:p>
    <w:p>
      <w:pPr>
        <w:spacing w:after="0" w:line="170" w:lineRule="exact"/>
        <w:rPr>
          <w:rFonts w:ascii="Arial" w:cs="Arial" w:eastAsia="Arial" w:hAnsi="Arial"/>
          <w:sz w:val="18"/>
          <w:szCs w:val="18"/>
          <w:color w:val="auto"/>
        </w:rPr>
      </w:pPr>
    </w:p>
    <w:p>
      <w:pPr>
        <w:jc w:val="both"/>
        <w:ind w:left="1280" w:hanging="637"/>
        <w:spacing w:after="0" w:line="257" w:lineRule="auto"/>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necessary corporate action will be taken to authorise and approve any issuance of Securities (including, if Preferred Shares are to be issued, all necessary corporate action to establish one or more series of Preferred Shares and fix the designation, powers, preferences, rights, qualifications, limitations and restrictions thereof) and the terms of the offering of such Securities thereof and ant other related matters and that the applicable definitive purchase, underwriting or similar agreement will be duly approved, executed and delivered by or on behalf of the Company and all other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Page 4 of 7</w:t>
      </w:r>
    </w:p>
    <w:p>
      <w:pPr>
        <w:spacing w:after="0" w:line="348" w:lineRule="exact"/>
        <w:rPr>
          <w:sz w:val="20"/>
          <w:szCs w:val="20"/>
          <w:color w:val="auto"/>
        </w:rPr>
      </w:pPr>
    </w:p>
    <w:p>
      <w:pPr>
        <w:ind w:left="1280" w:hanging="637"/>
        <w:spacing w:after="0" w:line="277" w:lineRule="auto"/>
        <w:tabs>
          <w:tab w:leader="none" w:pos="1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upon the issue of any Common Shares and/or Preferred Shares, the Company will receive consideration for the full issue price thereof which shall be equal to at least the par value thereof;</w:t>
      </w:r>
    </w:p>
    <w:p>
      <w:pPr>
        <w:spacing w:after="0" w:line="170" w:lineRule="exact"/>
        <w:rPr>
          <w:rFonts w:ascii="Arial" w:cs="Arial" w:eastAsia="Arial" w:hAnsi="Arial"/>
          <w:sz w:val="18"/>
          <w:szCs w:val="18"/>
          <w:color w:val="auto"/>
        </w:rPr>
      </w:pPr>
    </w:p>
    <w:p>
      <w:pPr>
        <w:jc w:val="both"/>
        <w:ind w:left="1280" w:hanging="637"/>
        <w:spacing w:after="0" w:line="264" w:lineRule="auto"/>
        <w:tabs>
          <w:tab w:leader="none" w:pos="1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capacity, power and authority of all parties other than the Company to enter into and perform their obligations under any and all documents entered into by such parties in connection with the issuance of the Securities, and the due execution and delivery thereof by each party thereto;</w:t>
      </w:r>
    </w:p>
    <w:p>
      <w:pPr>
        <w:spacing w:after="0" w:line="181" w:lineRule="exact"/>
        <w:rPr>
          <w:rFonts w:ascii="Arial" w:cs="Arial" w:eastAsia="Arial" w:hAnsi="Arial"/>
          <w:sz w:val="18"/>
          <w:szCs w:val="18"/>
          <w:color w:val="auto"/>
        </w:rPr>
      </w:pPr>
    </w:p>
    <w:p>
      <w:pPr>
        <w:ind w:left="1280" w:hanging="637"/>
        <w:spacing w:after="0" w:line="277" w:lineRule="auto"/>
        <w:tabs>
          <w:tab w:leader="none" w:pos="1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is, and after the allotment (where applicable) and issuance of any Security will be, able to pay its liabilities as they fall due; and</w:t>
      </w:r>
    </w:p>
    <w:p>
      <w:pPr>
        <w:spacing w:after="0" w:line="170" w:lineRule="exact"/>
        <w:rPr>
          <w:rFonts w:ascii="Arial" w:cs="Arial" w:eastAsia="Arial" w:hAnsi="Arial"/>
          <w:sz w:val="18"/>
          <w:szCs w:val="18"/>
          <w:color w:val="auto"/>
        </w:rPr>
      </w:pPr>
    </w:p>
    <w:p>
      <w:pPr>
        <w:ind w:left="1280" w:hanging="637"/>
        <w:spacing w:after="0" w:line="277" w:lineRule="auto"/>
        <w:tabs>
          <w:tab w:leader="none" w:pos="1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there is no provision of the law of any jurisdiction, other than the Cayman Islands, which would have any implication in relation to the opinions expressed herein.</w:t>
      </w:r>
    </w:p>
    <w:p>
      <w:pPr>
        <w:spacing w:after="0" w:line="166" w:lineRule="exact"/>
        <w:rPr>
          <w:sz w:val="20"/>
          <w:szCs w:val="20"/>
          <w:color w:val="auto"/>
        </w:rPr>
      </w:pPr>
    </w:p>
    <w:p>
      <w:pPr>
        <w:ind w:left="640" w:hanging="632"/>
        <w:spacing w:after="0"/>
        <w:tabs>
          <w:tab w:leader="none" w:pos="6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the basis of the examinations and assumptions referred to above and subject to the limitations and qualifications set forth in paragraph 4 below, we are of the opinion that:</w:t>
      </w:r>
    </w:p>
    <w:p>
      <w:pPr>
        <w:spacing w:after="0" w:line="16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Corporate status</w:t>
      </w:r>
    </w:p>
    <w:p>
      <w:pPr>
        <w:spacing w:after="0" w:line="229" w:lineRule="exact"/>
        <w:rPr>
          <w:sz w:val="20"/>
          <w:szCs w:val="20"/>
          <w:color w:val="auto"/>
        </w:rPr>
      </w:pPr>
    </w:p>
    <w:p>
      <w:pPr>
        <w:ind w:left="1280" w:hanging="637"/>
        <w:spacing w:after="0" w:line="277" w:lineRule="auto"/>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has been duly incorporated as an exempted company and is validly existing and in good standing with the Registrar. It is a separate legal entity and is subject to suit in its own name.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Valid Issuance of Common Shares and Preferred Shares</w:t>
      </w:r>
    </w:p>
    <w:p>
      <w:pPr>
        <w:spacing w:after="0" w:line="229" w:lineRule="exact"/>
        <w:rPr>
          <w:sz w:val="20"/>
          <w:szCs w:val="20"/>
          <w:color w:val="auto"/>
        </w:rPr>
      </w:pPr>
    </w:p>
    <w:p>
      <w:pPr>
        <w:ind w:left="1280" w:hanging="637"/>
        <w:spacing w:after="0"/>
        <w:tabs>
          <w:tab w:leader="none" w:pos="12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 respect to the Common Shares, when</w:t>
      </w:r>
    </w:p>
    <w:p>
      <w:pPr>
        <w:spacing w:after="0" w:line="221" w:lineRule="exact"/>
        <w:rPr>
          <w:rFonts w:ascii="Arial" w:cs="Arial" w:eastAsia="Arial" w:hAnsi="Arial"/>
          <w:sz w:val="18"/>
          <w:szCs w:val="18"/>
          <w:color w:val="auto"/>
        </w:rPr>
      </w:pPr>
    </w:p>
    <w:p>
      <w:pPr>
        <w:ind w:left="1920" w:hanging="642"/>
        <w:spacing w:after="0" w:line="282" w:lineRule="auto"/>
        <w:tabs>
          <w:tab w:leader="none" w:pos="19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has taken all necessary corporate action to approve the issuance and allotment of the Common Shares, the terms of the offering of the Common Shares and any other related matters;</w:t>
      </w:r>
    </w:p>
    <w:p>
      <w:pPr>
        <w:spacing w:after="0" w:line="165" w:lineRule="exact"/>
        <w:rPr>
          <w:rFonts w:ascii="Arial" w:cs="Arial" w:eastAsia="Arial" w:hAnsi="Arial"/>
          <w:sz w:val="18"/>
          <w:szCs w:val="18"/>
          <w:color w:val="auto"/>
        </w:rPr>
      </w:pPr>
    </w:p>
    <w:p>
      <w:pPr>
        <w:jc w:val="both"/>
        <w:ind w:left="1920" w:hanging="642"/>
        <w:spacing w:after="0" w:line="293" w:lineRule="auto"/>
        <w:tabs>
          <w:tab w:leader="none" w:pos="19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either (A) the provisions of the applicable definitive purchase, underwriting or similar agreement approved by the Board have been satisfied and payment of the consideration specified therein (being not less than the par value of the Common Shares) has been made, or (B) if such Common Shares are issuable upon conversion, exchange, redemption, repurchase or exercise of any other security, the terms of such security, the Memorandum and Articles or the instrument governing such security providing for such conversion, exchange, redemption, repurchase or exercise for Common Shares, as approved by the Board, have been satisfied and the consideration approved by the Board (being not less than the par value of the Common Shares) received;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Page 5 of 7</w:t>
      </w:r>
    </w:p>
    <w:p>
      <w:pPr>
        <w:spacing w:after="0" w:line="200" w:lineRule="exact"/>
        <w:rPr>
          <w:sz w:val="20"/>
          <w:szCs w:val="20"/>
          <w:color w:val="auto"/>
        </w:rPr>
      </w:pPr>
    </w:p>
    <w:p>
      <w:pPr>
        <w:spacing w:after="0" w:line="391" w:lineRule="exact"/>
        <w:rPr>
          <w:sz w:val="20"/>
          <w:szCs w:val="20"/>
          <w:color w:val="auto"/>
        </w:rPr>
      </w:pPr>
    </w:p>
    <w:p>
      <w:pPr>
        <w:ind w:left="1920" w:hanging="642"/>
        <w:spacing w:after="0" w:line="277" w:lineRule="auto"/>
        <w:tabs>
          <w:tab w:leader="none" w:pos="19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valid entry have been made in the register of members of the Company reflecting such issuance of Common Shares, in each case in accordance with the Memorandum and Articles,</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Common Shares will be recognised as having been duly authorised and validly issued, fully paid and non-assessable.</w:t>
      </w:r>
    </w:p>
    <w:p>
      <w:pPr>
        <w:spacing w:after="0" w:line="225" w:lineRule="exact"/>
        <w:rPr>
          <w:sz w:val="20"/>
          <w:szCs w:val="20"/>
          <w:color w:val="auto"/>
        </w:rPr>
      </w:pPr>
    </w:p>
    <w:p>
      <w:pPr>
        <w:ind w:left="1280" w:hanging="637"/>
        <w:spacing w:after="0"/>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 respect to the Preferred Shares, when:</w:t>
      </w:r>
    </w:p>
    <w:p>
      <w:pPr>
        <w:spacing w:after="0" w:line="221" w:lineRule="exact"/>
        <w:rPr>
          <w:rFonts w:ascii="Arial" w:cs="Arial" w:eastAsia="Arial" w:hAnsi="Arial"/>
          <w:sz w:val="18"/>
          <w:szCs w:val="18"/>
          <w:color w:val="auto"/>
        </w:rPr>
      </w:pPr>
    </w:p>
    <w:p>
      <w:pPr>
        <w:jc w:val="both"/>
        <w:ind w:left="1920" w:hanging="642"/>
        <w:spacing w:after="0" w:line="277" w:lineRule="auto"/>
        <w:tabs>
          <w:tab w:leader="none" w:pos="19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xml:space="preserve">) and the Company has taken all necessary corporate action to approve the creation, issuance and the terms of the Preferred Shares, the terms of the offering of the Preferred Shares and other any related matters, including, without limitation, the amendment to the authorised share capital of the Company by the creation of the Preferred Shares and the amendment to the Memorandum and Articles reflecting the creation of such Preferred Shares and setting out the terms, rights and obligations of such Preferred Shares (the </w:t>
      </w:r>
      <w:r>
        <w:rPr>
          <w:rFonts w:ascii="Arial" w:cs="Arial" w:eastAsia="Arial" w:hAnsi="Arial"/>
          <w:sz w:val="17"/>
          <w:szCs w:val="17"/>
          <w:b w:val="1"/>
          <w:bCs w:val="1"/>
          <w:color w:val="auto"/>
        </w:rPr>
        <w:t>Amended Memorandum and Articles</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left="1920" w:hanging="642"/>
        <w:spacing w:after="0" w:line="293" w:lineRule="auto"/>
        <w:tabs>
          <w:tab w:leader="none" w:pos="19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either (A) the provisions of the applicable definitive purchase, underwriting or similar agreement approved by the Board have been satisfied and payment of the consideration specified therein (being not less than the par value of the Preferred Shares) has been made, or (B) if such Preferred Shares are issuable upon conversion, exchange, redemption, repurchase or exercise of any other security, the terms of such security, the Amended Memorandum and Articles or the instrument governing such security providing for such conversion, exchange, redemption, repurchase or exercise for Preferred Shares, as approved by the Board, have been satisfied and the consideration approved by the Board (being not less than the par value of the Preferred Shares) received; and</w:t>
      </w:r>
    </w:p>
    <w:p>
      <w:pPr>
        <w:spacing w:after="0" w:line="164" w:lineRule="exact"/>
        <w:rPr>
          <w:rFonts w:ascii="Arial" w:cs="Arial" w:eastAsia="Arial" w:hAnsi="Arial"/>
          <w:sz w:val="16"/>
          <w:szCs w:val="16"/>
          <w:color w:val="auto"/>
        </w:rPr>
      </w:pPr>
    </w:p>
    <w:p>
      <w:pPr>
        <w:ind w:left="1920" w:hanging="642"/>
        <w:spacing w:after="0" w:line="277" w:lineRule="auto"/>
        <w:tabs>
          <w:tab w:leader="none" w:pos="19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valid entry have been made in the register of members of the Company reflecting such issuance of Preferred Shares, in each case in accordance with the Amended Memorandum and Articles,</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Preferred Shares will be recognised as having been duly authorised and validly issued, fully paid and non-assessable.</w:t>
      </w:r>
    </w:p>
    <w:p>
      <w:pPr>
        <w:spacing w:after="0" w:line="225" w:lineRule="exact"/>
        <w:rPr>
          <w:sz w:val="20"/>
          <w:szCs w:val="20"/>
          <w:color w:val="auto"/>
        </w:rPr>
      </w:pPr>
    </w:p>
    <w:p>
      <w:pPr>
        <w:ind w:left="1280" w:hanging="637"/>
        <w:spacing w:after="0"/>
        <w:tabs>
          <w:tab w:leader="none" w:pos="12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With respect to the Underlying Shares to be issued, when:</w:t>
      </w:r>
    </w:p>
    <w:p>
      <w:pPr>
        <w:spacing w:after="0" w:line="221" w:lineRule="exact"/>
        <w:rPr>
          <w:rFonts w:ascii="Arial" w:cs="Arial" w:eastAsia="Arial" w:hAnsi="Arial"/>
          <w:sz w:val="18"/>
          <w:szCs w:val="18"/>
          <w:color w:val="auto"/>
        </w:rPr>
      </w:pPr>
    </w:p>
    <w:p>
      <w:pPr>
        <w:jc w:val="both"/>
        <w:ind w:left="1920" w:hanging="642"/>
        <w:spacing w:after="0" w:line="258" w:lineRule="auto"/>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and the Company has taken all necessary corporate action to approve the creation, issuance and the terms of the Underlying Shares, the terms of the issuance of the Underlying Shares and other any related matters, including, without limitation, the amendment to the authorised share capital of the Company by the creation of the Underlying Shares and the amendment to the Memorandum and Articles reflecting the creation of such Underlying Shares and setting out the terms, rights and obligations of such Underlying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Page 6 of 7</w:t>
      </w:r>
    </w:p>
    <w:p>
      <w:pPr>
        <w:spacing w:after="0" w:line="348" w:lineRule="exact"/>
        <w:rPr>
          <w:sz w:val="20"/>
          <w:szCs w:val="20"/>
          <w:color w:val="auto"/>
        </w:rPr>
      </w:pPr>
    </w:p>
    <w:p>
      <w:pPr>
        <w:ind w:left="1920" w:hanging="642"/>
        <w:spacing w:after="0" w:line="277" w:lineRule="auto"/>
        <w:tabs>
          <w:tab w:leader="none" w:pos="1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of the Deposit Agreement approved by the Board have been satisfied and payment of the consideration specified therein (being not less than the par value of the Underlying Shares) has been made; and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1920" w:hanging="642"/>
        <w:spacing w:after="0" w:line="277" w:lineRule="auto"/>
        <w:tabs>
          <w:tab w:leader="none" w:pos="1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valid entry have been made in the register of members of the Company reflecting such issuance of Underlying Shares to the Depositary, in each case in accordance with the Amended Memorandum and Articles,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Underlying Shares will be recognised as having been duly authorised and validly issued, fully paid and non-assessable.</w:t>
      </w:r>
    </w:p>
    <w:p>
      <w:pPr>
        <w:spacing w:after="0" w:line="221"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and Qualifications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We offer no opinion:</w:t>
      </w:r>
    </w:p>
    <w:p>
      <w:pPr>
        <w:spacing w:after="0" w:line="225" w:lineRule="exact"/>
        <w:rPr>
          <w:sz w:val="20"/>
          <w:szCs w:val="20"/>
          <w:color w:val="auto"/>
        </w:rPr>
      </w:pPr>
    </w:p>
    <w:p>
      <w:pPr>
        <w:jc w:val="both"/>
        <w:ind w:left="1280" w:hanging="637"/>
        <w:spacing w:after="0" w:line="286" w:lineRule="auto"/>
        <w:tabs>
          <w:tab w:leader="none" w:pos="12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as to any laws other than the laws of the Cayman Islands, and we have not, for the purposes of this opinion, made any investigation of the laws of any other jurisdiction, and we express no opinion as to the meaning, validity, or effect of references in the Registration Statement to statutes, rules, regulations, codes or judicial authority of any jurisdiction other than the Cayman Islands; or</w:t>
      </w:r>
    </w:p>
    <w:p>
      <w:pPr>
        <w:spacing w:after="0" w:line="165" w:lineRule="exact"/>
        <w:rPr>
          <w:rFonts w:ascii="Arial" w:cs="Arial" w:eastAsia="Arial" w:hAnsi="Arial"/>
          <w:sz w:val="17"/>
          <w:szCs w:val="17"/>
          <w:color w:val="auto"/>
        </w:rPr>
      </w:pPr>
    </w:p>
    <w:p>
      <w:pPr>
        <w:jc w:val="both"/>
        <w:ind w:left="1280" w:hanging="637"/>
        <w:spacing w:after="0" w:line="259" w:lineRule="auto"/>
        <w:tabs>
          <w:tab w:leader="none" w:pos="12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to the extent that this opinion expressly provides otherwise, as to the commercial terms of, or the validity, enforceability or effect of the Form S-8, the accuracy of representations, the fulfilment of warranties or conditions, the occurrence of events of default or terminating events or the existence of any conflicts or inconsistencies among the Registration Statement and any other agreements into which the Company may have entered or any other documents.</w:t>
      </w:r>
    </w:p>
    <w:p>
      <w:pPr>
        <w:spacing w:after="0" w:line="183" w:lineRule="exact"/>
        <w:rPr>
          <w:sz w:val="20"/>
          <w:szCs w:val="20"/>
          <w:color w:val="auto"/>
        </w:rPr>
      </w:pPr>
    </w:p>
    <w:p>
      <w:pPr>
        <w:jc w:val="both"/>
        <w:ind w:left="640" w:hanging="634"/>
        <w:spacing w:after="0" w:line="281" w:lineRule="auto"/>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Under the Companies Law (Revised) (</w:t>
      </w:r>
      <w:r>
        <w:rPr>
          <w:rFonts w:ascii="Arial" w:cs="Arial" w:eastAsia="Arial" w:hAnsi="Arial"/>
          <w:sz w:val="17"/>
          <w:szCs w:val="17"/>
          <w:b w:val="1"/>
          <w:bCs w:val="1"/>
          <w:color w:val="auto"/>
        </w:rPr>
        <w:t>Companies Law</w:t>
      </w:r>
      <w:r>
        <w:rPr>
          <w:rFonts w:ascii="Arial" w:cs="Arial" w:eastAsia="Arial" w:hAnsi="Arial"/>
          <w:sz w:val="17"/>
          <w:szCs w:val="17"/>
          <w:color w:val="auto"/>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65" w:lineRule="exact"/>
        <w:rPr>
          <w:sz w:val="20"/>
          <w:szCs w:val="20"/>
          <w:color w:val="auto"/>
        </w:rPr>
      </w:pPr>
    </w:p>
    <w:p>
      <w:pPr>
        <w:jc w:val="both"/>
        <w:ind w:left="640" w:hanging="634"/>
        <w:spacing w:after="0" w:line="289"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In </w:t>
      </w:r>
      <w:r>
        <w:rPr>
          <w:rFonts w:ascii="Arial" w:cs="Arial" w:eastAsia="Arial" w:hAnsi="Arial"/>
          <w:sz w:val="17"/>
          <w:szCs w:val="17"/>
          <w:b w:val="1"/>
          <w:bCs w:val="1"/>
          <w:color w:val="auto"/>
        </w:rPr>
        <w:t>good standing</w:t>
      </w:r>
      <w:r>
        <w:rPr>
          <w:rFonts w:ascii="Arial" w:cs="Arial" w:eastAsia="Arial" w:hAnsi="Arial"/>
          <w:sz w:val="17"/>
          <w:szCs w:val="17"/>
          <w:color w:val="auto"/>
        </w:rPr>
        <w:t xml:space="preserve"> means only that as of the date of this opinion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Law.</w:t>
      </w:r>
    </w:p>
    <w:p>
      <w:pPr>
        <w:spacing w:after="0" w:line="158" w:lineRule="exact"/>
        <w:rPr>
          <w:sz w:val="20"/>
          <w:szCs w:val="20"/>
          <w:color w:val="auto"/>
        </w:rPr>
      </w:pPr>
    </w:p>
    <w:p>
      <w:pPr>
        <w:ind w:left="640" w:hanging="632"/>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of this opinion</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This opinion is:</w:t>
      </w:r>
    </w:p>
    <w:p>
      <w:pPr>
        <w:spacing w:after="0" w:line="225" w:lineRule="exact"/>
        <w:rPr>
          <w:sz w:val="20"/>
          <w:szCs w:val="20"/>
          <w:color w:val="auto"/>
        </w:rPr>
      </w:pPr>
    </w:p>
    <w:p>
      <w:pPr>
        <w:ind w:left="1280" w:hanging="637"/>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governed by, and shall be construed in accordance with, the laws of the Cayman Islands;</w:t>
      </w:r>
    </w:p>
    <w:p>
      <w:pPr>
        <w:spacing w:after="0" w:line="225" w:lineRule="exact"/>
        <w:rPr>
          <w:rFonts w:ascii="Arial" w:cs="Arial" w:eastAsia="Arial" w:hAnsi="Arial"/>
          <w:sz w:val="18"/>
          <w:szCs w:val="18"/>
          <w:color w:val="auto"/>
        </w:rPr>
      </w:pPr>
    </w:p>
    <w:p>
      <w:pPr>
        <w:ind w:left="1280" w:hanging="637"/>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limited to the matters expressly stated in it; and</w:t>
      </w:r>
    </w:p>
    <w:p>
      <w:pPr>
        <w:spacing w:after="0" w:line="225" w:lineRule="exact"/>
        <w:rPr>
          <w:rFonts w:ascii="Arial" w:cs="Arial" w:eastAsia="Arial" w:hAnsi="Arial"/>
          <w:sz w:val="18"/>
          <w:szCs w:val="18"/>
          <w:color w:val="auto"/>
        </w:rPr>
      </w:pPr>
    </w:p>
    <w:p>
      <w:pPr>
        <w:ind w:left="1280" w:hanging="637"/>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otherwise indicated, a reference to any specific Cayman Islands legislation is a reference to that legislation as amended to, and as in force at, the date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Page 7 of 7</w:t>
      </w:r>
    </w:p>
    <w:p>
      <w:pPr>
        <w:spacing w:after="0" w:line="344" w:lineRule="exact"/>
        <w:rPr>
          <w:sz w:val="20"/>
          <w:szCs w:val="20"/>
          <w:color w:val="auto"/>
        </w:rPr>
      </w:pPr>
    </w:p>
    <w:p>
      <w:pPr>
        <w:ind w:left="640" w:hanging="632"/>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Reliance</w:t>
      </w:r>
    </w:p>
    <w:p>
      <w:pPr>
        <w:spacing w:after="0" w:line="229" w:lineRule="exact"/>
        <w:rPr>
          <w:rFonts w:ascii="Arial" w:cs="Arial" w:eastAsia="Arial" w:hAnsi="Arial"/>
          <w:sz w:val="18"/>
          <w:szCs w:val="18"/>
          <w:b w:val="1"/>
          <w:bCs w:val="1"/>
          <w:color w:val="auto"/>
        </w:rPr>
      </w:pPr>
    </w:p>
    <w:p>
      <w:pPr>
        <w:jc w:val="both"/>
        <w:ind w:lef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hereby consent to the filing of this opinion as an exhibit to the Registration Statement and to the reference to our firm under the headings “Enforceability of Civil Liabilities” and “Legal Matters”” of the Registration Statement. In giving such consent, we do not hereby admit that we are experts within the meaning of Section 11 of the Securities Act or that we are in the category of persons whose consent is required under Section 7 of the Securities Act or the Rules and Regulations of the Commission promulgated thereunder.</w:t>
      </w:r>
    </w:p>
    <w:p>
      <w:pPr>
        <w:spacing w:after="0" w:line="18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This opinion may be used only in connection with the offer and sale of the Equity Securities while the Registration Statement is effective.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97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Schiff Hardin LLP Letterhead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2nd Floor, Building 18, Shanghai Pudong Software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498 Guoshoujing Road, Pudong, Shanghai 201203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07"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Registration Statement on Form F-3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acted as counsel to CLPS Incorporation, a Cayman Islands company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a registration statement on Form F-3 (SEC No. 333-231812)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the Company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on May 29, 2019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Registration Statement relates to the issuance and sale from time to time, pursuant to Rule 415 of the rules and regulations promulgated under the Securities Act, of an unspecified number or amount of the following securities of the Company (collectively, or in any combination, the “</w:t>
      </w:r>
      <w:r>
        <w:rPr>
          <w:rFonts w:ascii="Arial" w:cs="Arial" w:eastAsia="Arial" w:hAnsi="Arial"/>
          <w:sz w:val="16"/>
          <w:szCs w:val="16"/>
          <w:b w:val="1"/>
          <w:bCs w:val="1"/>
          <w:color w:val="auto"/>
        </w:rPr>
        <w:t>Company Securities</w:t>
      </w:r>
      <w:r>
        <w:rPr>
          <w:rFonts w:ascii="Arial" w:cs="Arial" w:eastAsia="Arial" w:hAnsi="Arial"/>
          <w:sz w:val="16"/>
          <w:szCs w:val="16"/>
          <w:color w:val="auto"/>
        </w:rPr>
        <w:t>”): (i) common shares, par value $0.0001 per share (the “</w:t>
      </w:r>
      <w:r>
        <w:rPr>
          <w:rFonts w:ascii="Arial" w:cs="Arial" w:eastAsia="Arial" w:hAnsi="Arial"/>
          <w:sz w:val="16"/>
          <w:szCs w:val="16"/>
          <w:b w:val="1"/>
          <w:bCs w:val="1"/>
          <w:color w:val="auto"/>
        </w:rPr>
        <w:t>Common Shares</w:t>
      </w:r>
      <w:r>
        <w:rPr>
          <w:rFonts w:ascii="Arial" w:cs="Arial" w:eastAsia="Arial" w:hAnsi="Arial"/>
          <w:sz w:val="16"/>
          <w:szCs w:val="16"/>
          <w:color w:val="auto"/>
        </w:rPr>
        <w:t>”),</w:t>
      </w:r>
    </w:p>
    <w:p>
      <w:pPr>
        <w:spacing w:after="0" w:line="2" w:lineRule="exact"/>
        <w:rPr>
          <w:sz w:val="20"/>
          <w:szCs w:val="20"/>
          <w:color w:val="auto"/>
        </w:rPr>
      </w:pPr>
    </w:p>
    <w:p>
      <w:pPr>
        <w:jc w:val="both"/>
        <w:ind w:firstLine="8"/>
        <w:spacing w:after="0" w:line="270" w:lineRule="auto"/>
        <w:tabs>
          <w:tab w:leader="none" w:pos="28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preferred shares (the “</w:t>
      </w:r>
      <w:r>
        <w:rPr>
          <w:rFonts w:ascii="Arial" w:cs="Arial" w:eastAsia="Arial" w:hAnsi="Arial"/>
          <w:sz w:val="17"/>
          <w:szCs w:val="17"/>
          <w:b w:val="1"/>
          <w:bCs w:val="1"/>
          <w:color w:val="auto"/>
        </w:rPr>
        <w:t>Preferred Shares</w:t>
      </w:r>
      <w:r>
        <w:rPr>
          <w:rFonts w:ascii="Arial" w:cs="Arial" w:eastAsia="Arial" w:hAnsi="Arial"/>
          <w:sz w:val="17"/>
          <w:szCs w:val="17"/>
          <w:color w:val="auto"/>
        </w:rPr>
        <w:t>”), (iii) warrants to purchase Debt Securities (defined below) and warrants to purchase Common Shares (the “</w:t>
      </w:r>
      <w:r>
        <w:rPr>
          <w:rFonts w:ascii="Arial" w:cs="Arial" w:eastAsia="Arial" w:hAnsi="Arial"/>
          <w:sz w:val="17"/>
          <w:szCs w:val="17"/>
          <w:b w:val="1"/>
          <w:bCs w:val="1"/>
          <w:color w:val="auto"/>
        </w:rPr>
        <w:t>Warrants</w:t>
      </w:r>
      <w:r>
        <w:rPr>
          <w:rFonts w:ascii="Arial" w:cs="Arial" w:eastAsia="Arial" w:hAnsi="Arial"/>
          <w:sz w:val="17"/>
          <w:szCs w:val="17"/>
          <w:color w:val="auto"/>
        </w:rPr>
        <w:t>”), (iv) debt securities, consisting of debentures, notes or other evidences of indebtedness in one or more series (the “</w:t>
      </w:r>
      <w:r>
        <w:rPr>
          <w:rFonts w:ascii="Arial" w:cs="Arial" w:eastAsia="Arial" w:hAnsi="Arial"/>
          <w:sz w:val="17"/>
          <w:szCs w:val="17"/>
          <w:b w:val="1"/>
          <w:bCs w:val="1"/>
          <w:color w:val="auto"/>
        </w:rPr>
        <w:t>Debt Securities</w:t>
      </w:r>
      <w:r>
        <w:rPr>
          <w:rFonts w:ascii="Arial" w:cs="Arial" w:eastAsia="Arial" w:hAnsi="Arial"/>
          <w:sz w:val="17"/>
          <w:szCs w:val="17"/>
          <w:color w:val="auto"/>
        </w:rPr>
        <w:t>”), (v) rights to purchase Common Shares or other securities (the “</w:t>
      </w:r>
      <w:r>
        <w:rPr>
          <w:rFonts w:ascii="Arial" w:cs="Arial" w:eastAsia="Arial" w:hAnsi="Arial"/>
          <w:sz w:val="17"/>
          <w:szCs w:val="17"/>
          <w:b w:val="1"/>
          <w:bCs w:val="1"/>
          <w:color w:val="auto"/>
        </w:rPr>
        <w:t>Rights</w:t>
      </w:r>
      <w:r>
        <w:rPr>
          <w:rFonts w:ascii="Arial" w:cs="Arial" w:eastAsia="Arial" w:hAnsi="Arial"/>
          <w:sz w:val="17"/>
          <w:szCs w:val="17"/>
          <w:color w:val="auto"/>
        </w:rPr>
        <w:t>”), (vi) depositary shares representing fractional shares of Preferred Shares (the “</w:t>
      </w:r>
      <w:r>
        <w:rPr>
          <w:rFonts w:ascii="Arial" w:cs="Arial" w:eastAsia="Arial" w:hAnsi="Arial"/>
          <w:sz w:val="17"/>
          <w:szCs w:val="17"/>
          <w:b w:val="1"/>
          <w:bCs w:val="1"/>
          <w:color w:val="auto"/>
        </w:rPr>
        <w:t>Depositary</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and (vii) units consisting of one or more of the securities described in clauses (i) through (vi) above and which may include debt obligations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person (the “</w:t>
      </w:r>
      <w:r>
        <w:rPr>
          <w:rFonts w:ascii="Arial" w:cs="Arial" w:eastAsia="Arial" w:hAnsi="Arial"/>
          <w:sz w:val="17"/>
          <w:szCs w:val="17"/>
          <w:b w:val="1"/>
          <w:bCs w:val="1"/>
          <w:color w:val="auto"/>
        </w:rPr>
        <w:t>Units</w:t>
      </w:r>
      <w:r>
        <w:rPr>
          <w:rFonts w:ascii="Arial" w:cs="Arial" w:eastAsia="Arial" w:hAnsi="Arial"/>
          <w:sz w:val="17"/>
          <w:szCs w:val="17"/>
          <w:color w:val="auto"/>
        </w:rPr>
        <w:t>”), in each case as contemplated by the Registration Statement to which this opinion has been filed as an exhibit (as the same may be amended from time to time,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(together, the “</w:t>
      </w:r>
      <w:r>
        <w:rPr>
          <w:rFonts w:ascii="Arial" w:cs="Arial" w:eastAsia="Arial" w:hAnsi="Arial"/>
          <w:sz w:val="17"/>
          <w:szCs w:val="17"/>
          <w:b w:val="1"/>
          <w:bCs w:val="1"/>
          <w:color w:val="auto"/>
        </w:rPr>
        <w:t>Company Securities</w:t>
      </w:r>
      <w:r>
        <w:rPr>
          <w:rFonts w:ascii="Arial" w:cs="Arial" w:eastAsia="Arial" w:hAnsi="Arial"/>
          <w:sz w:val="17"/>
          <w:szCs w:val="17"/>
          <w:color w:val="auto"/>
        </w:rPr>
        <w:t>”).</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Debt Securities are to be issued under an indenture, to be entered into between the Company and a trustee chosen by the Company and qualified to act as such under the Trust Indenture Act of 1939, as amended, substantially in the form filed as Exhibit 4.3 to the Registration Statement (the “</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Securities may be issued and sold by the Company pursuant to applicable provisions of Rule 415 under the Securities Act, in amounts, at prices and on terms to be determined in light of market conditions at the time of sale, and as set forth in the Registration Statement, any amendment thereto, the prospectus contained therein (the “</w:t>
      </w:r>
      <w:r>
        <w:rPr>
          <w:rFonts w:ascii="Arial" w:cs="Arial" w:eastAsia="Arial" w:hAnsi="Arial"/>
          <w:sz w:val="17"/>
          <w:szCs w:val="17"/>
          <w:b w:val="1"/>
          <w:bCs w:val="1"/>
          <w:color w:val="auto"/>
        </w:rPr>
        <w:t>Prospectus</w:t>
      </w:r>
      <w:r>
        <w:rPr>
          <w:rFonts w:ascii="Arial" w:cs="Arial" w:eastAsia="Arial" w:hAnsi="Arial"/>
          <w:sz w:val="17"/>
          <w:szCs w:val="17"/>
          <w:color w:val="auto"/>
        </w:rPr>
        <w:t>”) and any supplements to the Prospectus (each, a “</w:t>
      </w:r>
      <w:r>
        <w:rPr>
          <w:rFonts w:ascii="Arial" w:cs="Arial" w:eastAsia="Arial" w:hAnsi="Arial"/>
          <w:sz w:val="17"/>
          <w:szCs w:val="17"/>
          <w:b w:val="1"/>
          <w:bCs w:val="1"/>
          <w:color w:val="auto"/>
        </w:rPr>
        <w:t>Prospectus Supplement</w:t>
      </w:r>
      <w:r>
        <w:rPr>
          <w:rFonts w:ascii="Arial" w:cs="Arial" w:eastAsia="Arial" w:hAnsi="Arial"/>
          <w:sz w:val="17"/>
          <w:szCs w:val="17"/>
          <w:color w:val="auto"/>
        </w:rPr>
        <w:t>”). The Company Securities may be issued from time to time on a delayed or continuous basis, and this opinion is limited to the laws, including the rules and regulations, as in effect on the date hereof, which laws are subject to change with possible retroactive effect.</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opinion letter is being delivered in accordance with the requirements of Item 601(b)(5) of Regulation S-K under the Securities Act. In connection with our opinion, we have examined the Registration Statement, including the exhibits thereto, the Prospectus, and such other documents, corporate records and instruments, and have examined such laws and regulations, as we have deemed necessary for the purposes of this opinion. In making our examination, we have assumed the genuineness of all signatures, the authenticity of all documents submitted to us as originals, the conformity with the originals of all documents submitted to us as copies and the legal capacity of all natural persons. As to matters of fact material to our opinions in this letter, we have relied on certificates and statements from officers and other employees of the Company, public officials and other appropriate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jc w:val="both"/>
        <w:ind w:firstLine="648"/>
        <w:spacing w:after="0" w:line="269" w:lineRule="auto"/>
        <w:rPr>
          <w:sz w:val="20"/>
          <w:szCs w:val="20"/>
          <w:color w:val="auto"/>
        </w:rPr>
      </w:pPr>
      <w:r>
        <w:rPr>
          <w:rFonts w:ascii="Arial" w:cs="Arial" w:eastAsia="Arial" w:hAnsi="Arial"/>
          <w:sz w:val="17"/>
          <w:szCs w:val="17"/>
          <w:color w:val="auto"/>
        </w:rPr>
        <w:t>In rendering the opinions in this letter we have assumed, without independent investigation or verification, that each party to each of the documents executed or to be executed, other than the Company, (a) is validly existing and in good standing under the laws of its jurisdiction of organization, (b) has full power and authority to execute such documents to which it is a party and to perform its obligations thereunder, (c) has taken all necessary action to authorize execution of such documents on its behalf by the persons executing same, (d) has properly executed and delivered, or will properly execute and deliver, each of such documents to which it is a party, and (e) has duly obtained all consents or approvals of any nature from and made all filings with any governmental authorities necessary for such party to execute, deliver or perform its obligations under such documents to which it is a party. In addition, in rendering such opinions we have assumed, without independent investigation or verification, (i) that the execution and delivery of, and performance of their respective obligations under, the documents executed or to be executed by each party thereto, other than the Company, do not violate any law, rule, regulation, agreement or instrument binding upon such party and (ii) that each of such documents is the legal, valid and binding obligation of, and enforceable against, each party thereto, other than the Company. We make no representation that we have independently investigated or verified any of the matters that we have assumed for the purposes of this opinion letter.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the foregoing and subject to the qualifications set forth below, we are of the opinion that:</w:t>
      </w:r>
    </w:p>
    <w:p>
      <w:pPr>
        <w:spacing w:after="0" w:line="221" w:lineRule="exact"/>
        <w:rPr>
          <w:sz w:val="20"/>
          <w:szCs w:val="20"/>
          <w:color w:val="auto"/>
        </w:rPr>
      </w:pPr>
    </w:p>
    <w:p>
      <w:pPr>
        <w:jc w:val="both"/>
        <w:ind w:firstLine="656"/>
        <w:spacing w:after="0" w:line="285" w:lineRule="auto"/>
        <w:tabs>
          <w:tab w:leader="none" w:pos="12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With respect to any offering of the Debt Securities (the “</w:t>
      </w:r>
      <w:r>
        <w:rPr>
          <w:rFonts w:ascii="Arial" w:cs="Arial" w:eastAsia="Arial" w:hAnsi="Arial"/>
          <w:sz w:val="16"/>
          <w:szCs w:val="16"/>
          <w:b w:val="1"/>
          <w:bCs w:val="1"/>
          <w:color w:val="auto"/>
        </w:rPr>
        <w:t>Offered Debt Securities</w:t>
      </w:r>
      <w:r>
        <w:rPr>
          <w:rFonts w:ascii="Arial" w:cs="Arial" w:eastAsia="Arial" w:hAnsi="Arial"/>
          <w:sz w:val="16"/>
          <w:szCs w:val="16"/>
          <w:color w:val="auto"/>
        </w:rPr>
        <w:t>”), when (i) the relevant Indenture, if applicable, has been duly executed and delivered, (ii) a Prospectus Supplement with respect to the Offered Debt Securities has been prepared, delivered and filed in compliance with the Securities Act and the applicable rules and regulations thereunder; (iii) if the Offered Debt Securities are to be sold pursuant to a firm commitment underwritten offering, the underwriting agreement with respect to the Offered Debt Securities has been duly authorized, executed and delivered by the Company and the other parties thereto; (iv) the Board of Directors of the Company, including any appropriate committee appointed thereby (the “</w:t>
      </w:r>
      <w:r>
        <w:rPr>
          <w:rFonts w:ascii="Arial" w:cs="Arial" w:eastAsia="Arial" w:hAnsi="Arial"/>
          <w:sz w:val="16"/>
          <w:szCs w:val="16"/>
          <w:b w:val="1"/>
          <w:bCs w:val="1"/>
          <w:color w:val="auto"/>
        </w:rPr>
        <w:t>Board</w:t>
      </w:r>
      <w:r>
        <w:rPr>
          <w:rFonts w:ascii="Arial" w:cs="Arial" w:eastAsia="Arial" w:hAnsi="Arial"/>
          <w:sz w:val="16"/>
          <w:szCs w:val="16"/>
          <w:color w:val="auto"/>
        </w:rPr>
        <w:t>”), and appropriate officers of the Company have taken all necessary corporate action to approve the issuance and terms of the Offered Debt Securities and related matters; (v) the terms of the Offered Debt Securities and of their issuance and sale have been duly established in conformity with the relevant Indenture so as not to violate any applicable law or the Memorandum and Articles of Association or the By-Laws of the Company or result in a default under or breach of any agreement or instrument binding upon the Company; and (vi) the Offered Debt Securities have been duly executed and authenticated in accordance with the provisions of the relevant Indenture and duly delivered to the purchasers thereof upon payment of the agreed-upon consideration therefor, then the Offered Debt Securities, when issued and sold in accordance with the applicable underwriting agreement, if any, or any other duly authorized, executed and delivered valid and binding purchase or agency agreement, will be legal, valid and binding obligations of the Company, enforceable against the Company in accordance with their respective terms, subject to applicable bankruptcy, insolvency and similar laws affecting creditors’ rights generally, concepts of reasonableness and equitable principles of general applicability, provided that we express no opinion as to (x) the enforceability of any waiver of rights under any usury or state law, (y) the validity, legally binding effect or enforceability of any provision of the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principle amount upon acceleration of the Debt Securities to the extent determined to constitute unearned interest.</w:t>
      </w:r>
    </w:p>
    <w:p>
      <w:pPr>
        <w:spacing w:after="0" w:line="172" w:lineRule="exact"/>
        <w:rPr>
          <w:rFonts w:ascii="Arial" w:cs="Arial" w:eastAsia="Arial" w:hAnsi="Arial"/>
          <w:sz w:val="16"/>
          <w:szCs w:val="16"/>
          <w:color w:val="auto"/>
        </w:rPr>
      </w:pPr>
    </w:p>
    <w:p>
      <w:pPr>
        <w:jc w:val="both"/>
        <w:ind w:firstLine="656"/>
        <w:spacing w:after="0" w:line="285" w:lineRule="auto"/>
        <w:tabs>
          <w:tab w:leader="none" w:pos="121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With respect to any offering of the Warrants (the “</w:t>
      </w:r>
      <w:r>
        <w:rPr>
          <w:rFonts w:ascii="Arial" w:cs="Arial" w:eastAsia="Arial" w:hAnsi="Arial"/>
          <w:sz w:val="16"/>
          <w:szCs w:val="16"/>
          <w:b w:val="1"/>
          <w:bCs w:val="1"/>
          <w:color w:val="auto"/>
        </w:rPr>
        <w:t>Offered Warrants</w:t>
      </w:r>
      <w:r>
        <w:rPr>
          <w:rFonts w:ascii="Arial" w:cs="Arial" w:eastAsia="Arial" w:hAnsi="Arial"/>
          <w:sz w:val="16"/>
          <w:szCs w:val="16"/>
          <w:color w:val="auto"/>
        </w:rPr>
        <w:t>”), when (i) an appropriate Prospectus Supplement with respect to the Offered Warrants has been prepared, delivered and filed in compliance with the Securities Act and the applicable rules and regulations thereunder; (ii) if the Offered Warrants are to be sold pursuant to a firm commitment underwritten offering, the underwriting agreement with respect to the Offered Warrants has been duly authorized, executed and delivered by the Company and the other parties thereto; (iii) the Board, and appropriate officers of the Company have taken all necessary corporate action to approve the issuance and terms of the Offered Warrants and related matters, including the adoption of the warrant agreement with respect to Warrants to purchase the Debt Securities, the warrant agreement with respect to Warrants to purchase Common Shares (“</w:t>
      </w:r>
      <w:r>
        <w:rPr>
          <w:rFonts w:ascii="Arial" w:cs="Arial" w:eastAsia="Arial" w:hAnsi="Arial"/>
          <w:sz w:val="16"/>
          <w:szCs w:val="16"/>
          <w:b w:val="1"/>
          <w:b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as the case may be, for the Offered Warrants; (iv) the terms of the Offered Warrants and of their issuance and sale have been duly established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conformity with the Company’s the Memorandum and Articles of Association or the By-Laws of the Company so as not to violate any applicable law or the Memorandum and Articles of Association or the By-Laws of the Company or result in a default under or breach of any agreement or instrument binding upon the Company; and (v) the Warrant Agreement for the Offered Warrants has been duly executed and delivered and certificates representing the Offered Warrants have been duly executed, countersigned, registered and delivered to the purchasers thereof upon payment of the agreed-upon consideration therefor, then (1) the Offered Warrants, when issued and sold in accordance with the applicable underwriting agreement, if any, or any other duly authorized, executed and delivered valid and binding purchase or agency agreement, will be legal, valid and binding obligations of the Company; and (2) if the Offered Warrants are exercisable for Debt Securities, the Debt Securities issuable upon exercise of the Offered Warrants will be legal,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 assuming the relevant Indenture has been duly executed and delivered and assuming the exercise of the Offered Warrants is in accordance with the terms of the Warrant Agreement with respect to Warrants to purchase Debt Securities and is in accordance with the terms of such Indenture.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9" w:name="page80"/>
    <w:bookmarkEnd w:id="79"/>
    <w:p>
      <w:pPr>
        <w:jc w:val="both"/>
        <w:ind w:left="-8" w:firstLine="656"/>
        <w:spacing w:after="0" w:line="257" w:lineRule="auto"/>
        <w:tabs>
          <w:tab w:leader="none" w:pos="8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With respect to any Rights, when (a) the Board has taken all necessary corporate action to authorize the issuance and the specific terms of such Rights, the terms of the offering thereof, and related matters, and (b) such rights and agreements relating to the Rights have been duly executed and delivered in accordance with the terms thereof (assuming the securities underlying the Rights have been duly authorized, and validly issued by all necessary corporate action and in accordance with applicable law), then such Rights will be valid and binding obligations of the Company, enforceable against the Company in accordance with their terms.</w:t>
      </w:r>
    </w:p>
    <w:p>
      <w:pPr>
        <w:spacing w:after="0" w:line="188" w:lineRule="exact"/>
        <w:rPr>
          <w:rFonts w:ascii="Arial" w:cs="Arial" w:eastAsia="Arial" w:hAnsi="Arial"/>
          <w:sz w:val="18"/>
          <w:szCs w:val="18"/>
          <w:color w:val="auto"/>
        </w:rPr>
      </w:pPr>
    </w:p>
    <w:p>
      <w:pPr>
        <w:jc w:val="both"/>
        <w:ind w:left="-8" w:firstLine="656"/>
        <w:spacing w:after="0" w:line="272" w:lineRule="auto"/>
        <w:tabs>
          <w:tab w:leader="none" w:pos="118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With respect to the Depositary Shares (assuming that the Depositary Shares are: (i) issued and delivered after authorization, execution and delivery of the deposit agreement, approved by us, relating to the Depositary Shares (the “</w:t>
      </w:r>
      <w:r>
        <w:rPr>
          <w:rFonts w:ascii="Arial" w:cs="Arial" w:eastAsia="Arial" w:hAnsi="Arial"/>
          <w:sz w:val="17"/>
          <w:szCs w:val="17"/>
          <w:b w:val="1"/>
          <w:bCs w:val="1"/>
          <w:color w:val="auto"/>
        </w:rPr>
        <w:t>Deposit Agreement</w:t>
      </w:r>
      <w:r>
        <w:rPr>
          <w:rFonts w:ascii="Arial" w:cs="Arial" w:eastAsia="Arial" w:hAnsi="Arial"/>
          <w:sz w:val="17"/>
          <w:szCs w:val="17"/>
          <w:color w:val="auto"/>
        </w:rPr>
        <w:t>”) to be entered into between the Company and and an entity selected by the Company to act as depositary (the “</w:t>
      </w:r>
      <w:r>
        <w:rPr>
          <w:rFonts w:ascii="Arial" w:cs="Arial" w:eastAsia="Arial" w:hAnsi="Arial"/>
          <w:sz w:val="17"/>
          <w:szCs w:val="17"/>
          <w:b w:val="1"/>
          <w:bCs w:val="1"/>
          <w:color w:val="auto"/>
        </w:rPr>
        <w:t>Depositary</w:t>
      </w:r>
      <w:r>
        <w:rPr>
          <w:rFonts w:ascii="Arial" w:cs="Arial" w:eastAsia="Arial" w:hAnsi="Arial"/>
          <w:sz w:val="17"/>
          <w:szCs w:val="17"/>
          <w:color w:val="auto"/>
        </w:rPr>
        <w:t>”), and (ii) issued after the Company’s deposits with the Depositary shares of the Preferred Shares to be represented by such Depositary Shares that are authorized, validly issued, fully paid and nonassessable as contemplated by the Registration Statement and the Deposit Agreement), upon receipt by the Company’s of such lawful consideration therefor as the Board may determine, will be validly issued, and the depositary receipts representing the Depositary Shares will entitle the holders thereof to the rights specified therein and in the deposit agreement pursuant to which they are issued.</w:t>
      </w:r>
    </w:p>
    <w:p>
      <w:pPr>
        <w:spacing w:after="0" w:line="177" w:lineRule="exact"/>
        <w:rPr>
          <w:rFonts w:ascii="Arial" w:cs="Arial" w:eastAsia="Arial" w:hAnsi="Arial"/>
          <w:sz w:val="17"/>
          <w:szCs w:val="17"/>
          <w:color w:val="auto"/>
        </w:rPr>
      </w:pPr>
    </w:p>
    <w:p>
      <w:pPr>
        <w:jc w:val="both"/>
        <w:ind w:left="-8" w:firstLine="656"/>
        <w:spacing w:after="0" w:line="270" w:lineRule="auto"/>
        <w:tabs>
          <w:tab w:leader="none" w:pos="110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With respect to the issuance of any Units, when (a) the Board has taken all necessary corporate action to approve the unit agreement, if any, to be entered into in connection with the issuance of any units and such unit agreement, if any, has been validly executed and delivered by the unit agent, if any, and Company, (b) the Board has taken all necessary corporate action to approve the specific issuance and terms of any Units duly established in accordance with the applicable unit agreement, if any, and (c) such Units have been duly executed, countersigned, registered, issued and delivered in accordance with the unit agreement, if any, and the applicable definitive purchase, underwriting or similar agreement, as applicable, for the consideration therefor set forth in the applicable agreement and approved by the Board (assuming the securities underlying the Units have been duly authorized, and validly issued by all necessary corporate action and in accordance with applicable law), such Units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spacing w:after="0" w:line="18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opinions set forth above are subject to the following qualifications:</w:t>
      </w:r>
    </w:p>
    <w:p>
      <w:pPr>
        <w:spacing w:after="0" w:line="225" w:lineRule="exact"/>
        <w:rPr>
          <w:sz w:val="20"/>
          <w:szCs w:val="20"/>
          <w:color w:val="auto"/>
        </w:rPr>
      </w:pPr>
    </w:p>
    <w:p>
      <w:pPr>
        <w:jc w:val="both"/>
        <w:ind w:left="-8" w:firstLine="8"/>
        <w:spacing w:after="0" w:line="257" w:lineRule="auto"/>
        <w:tabs>
          <w:tab w:leader="none" w:pos="62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opinions expressed herein with respect to the legality, validity, binding nature and enforceability of any Securities are subject to (i) applicable laws relating to bankruptcy, insolvency, reorganization, moratorium, fraudulent transfer or other similar laws affecting creditors’ rights generally, whether now or hereafter in effect and (ii) general principles of equity, including, without limitation, concepts of materiality, laches, reasonableness, good faith and fair dealing and the principles regarding when injunctive or other equitable remedies will be available (regardless of whether considered in a proceeding at law or in equity).</w:t>
      </w:r>
    </w:p>
    <w:p>
      <w:pPr>
        <w:spacing w:after="0" w:line="188" w:lineRule="exact"/>
        <w:rPr>
          <w:rFonts w:ascii="Arial" w:cs="Arial" w:eastAsia="Arial" w:hAnsi="Arial"/>
          <w:sz w:val="18"/>
          <w:szCs w:val="18"/>
          <w:color w:val="auto"/>
        </w:rPr>
      </w:pPr>
    </w:p>
    <w:p>
      <w:pPr>
        <w:ind w:left="-8" w:firstLine="8"/>
        <w:spacing w:after="0" w:line="277" w:lineRule="auto"/>
        <w:tabs>
          <w:tab w:leader="none" w:pos="62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foregoing opinions are limited to the laws of the State of New York and the federal laws of the United States of America, and we express no opinion as to the laws of any other jurisdiction.</w:t>
      </w:r>
    </w:p>
    <w:p>
      <w:pPr>
        <w:spacing w:after="0" w:line="2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800" w:right="239" w:bottom="1440" w:gutter="0" w:footer="0" w:header="0"/>
        </w:sectPr>
      </w:pPr>
    </w:p>
    <w:bookmarkStart w:id="80" w:name="page81"/>
    <w:bookmarkEnd w:id="80"/>
    <w:p>
      <w:pPr>
        <w:jc w:val="both"/>
        <w:ind w:firstLine="648"/>
        <w:spacing w:after="0" w:line="302" w:lineRule="auto"/>
        <w:rPr>
          <w:sz w:val="20"/>
          <w:szCs w:val="20"/>
          <w:color w:val="auto"/>
        </w:rPr>
      </w:pPr>
      <w:r>
        <w:rPr>
          <w:rFonts w:ascii="Arial" w:cs="Arial" w:eastAsia="Arial" w:hAnsi="Arial"/>
          <w:sz w:val="16"/>
          <w:szCs w:val="16"/>
          <w:color w:val="auto"/>
        </w:rPr>
        <w:t>The opinions expressed in this opinion letter are as of the date of this opinion letter only and as to laws covered hereby only as they are in effect on that date, and we assume no obligation to update or supplement such opinion to reflect any facts or circumstances that may come to our attention after that date or any changes in law that may occur or become effective after that date. The opinions herein are limited to the matters expressly set forth in this opinion letter, and no opinion or representation is given or may be inferred beyond the opinions expressly set forth in this opinion letter.</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hereby consent to the filing of this opinion as Exhibit 5.2 to the Registration Statement and to the reference to us under the caption “Legal Matters” in the prospectus contained in the Registration Statement. In giving this consent, we do not thereby admit that we are within the category of persons whose consent is required under Section 7 of the Securities Act or the rules and regulations of the Commission promulgated thereunder.</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Schiff Hardin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975610" cy="4546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29756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to the Amendment No. 1 to Form F-3 of CLPS Incorporation of our report dated September 25, 2018 with respect to the consolidated financial statements of CLPS Incorporation and subsidiaries included in its Annual Report on Form 20-F for the fiscal year ended June 30, 2018, filed with the Securities and Exchange Commission on September 25, 2018. We also consent to the reference to our firm under the wording “Experts” in such Registration Statement.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14, 2019</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decimal"/>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1)"/>
      <w:numFmt w:val="decimal"/>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1)"/>
      <w:numFmt w:val="decimal"/>
      <w:start w:val="1"/>
    </w:lvl>
  </w:abstractNum>
  <w:abstractNum w:abstractNumId="19">
    <w:nsid w:val="7E0C57B1"/>
    <w:multiLevelType w:val="hybridMultilevel"/>
    <w:lvl w:ilvl="0">
      <w:lvlJc w:val="left"/>
      <w:lvlText w:val="(%1)"/>
      <w:numFmt w:val="decimal"/>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1)"/>
      <w:numFmt w:val="decimal"/>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1)"/>
      <w:numFmt w:val="decimal"/>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1)"/>
      <w:numFmt w:val="lowerLetter"/>
      <w:start w:val="1"/>
    </w:lvl>
  </w:abstractNum>
  <w:abstractNum w:abstractNumId="31">
    <w:nsid w:val="100F8FCA"/>
    <w:multiLevelType w:val="hybridMultilevel"/>
    <w:lvl w:ilvl="0">
      <w:lvlJc w:val="left"/>
      <w:lvlText w:val="(%1)"/>
      <w:numFmt w:val="lowerLetter"/>
      <w:start w:val="9"/>
    </w:lvl>
  </w:abstractNum>
  <w:abstractNum w:abstractNumId="32">
    <w:nsid w:val="6590700B"/>
    <w:multiLevelType w:val="hybridMultilevel"/>
    <w:lvl w:ilvl="0">
      <w:lvlJc w:val="left"/>
      <w:lvlText w:val="(%1)"/>
      <w:numFmt w:val="lowerRoman"/>
      <w:start w:val="2"/>
    </w:lvl>
  </w:abstractNum>
  <w:abstractNum w:abstractNumId="33">
    <w:nsid w:val="15014ACB"/>
    <w:multiLevelType w:val="hybridMultilevel"/>
    <w:lvl w:ilvl="0">
      <w:lvlJc w:val="left"/>
      <w:lvlText w:val="(%1)"/>
      <w:numFmt w:val="decimal"/>
      <w:start w:val="2"/>
    </w:lvl>
  </w:abstractNum>
  <w:abstractNum w:abstractNumId="34">
    <w:nsid w:val="5F5E7FD0"/>
    <w:multiLevelType w:val="hybridMultilevel"/>
    <w:lvl w:ilvl="0">
      <w:lvlJc w:val="left"/>
      <w:lvlText w:val="(%1)"/>
      <w:numFmt w:val="upperLetter"/>
      <w:start w:val="1"/>
    </w:lvl>
  </w:abstractNum>
  <w:abstractNum w:abstractNumId="35">
    <w:nsid w:val="98A3148"/>
    <w:multiLevelType w:val="hybridMultilevel"/>
    <w:lvl w:ilvl="0">
      <w:lvlJc w:val="left"/>
      <w:lvlText w:val="(%1)"/>
      <w:numFmt w:val="decimal"/>
      <w:start w:val="6"/>
    </w:lvl>
  </w:abstractNum>
  <w:abstractNum w:abstractNumId="36">
    <w:nsid w:val="799D0247"/>
    <w:multiLevelType w:val="hybridMultilevel"/>
    <w:lvl w:ilvl="0">
      <w:lvlJc w:val="left"/>
      <w:lvlText w:val="(%1)"/>
      <w:numFmt w:val="lowerRoman"/>
      <w:start w:val="1"/>
    </w:lvl>
  </w:abstractNum>
  <w:abstractNum w:abstractNumId="37">
    <w:nsid w:val="6B94764"/>
    <w:multiLevelType w:val="hybridMultilevel"/>
    <w:lvl w:ilvl="0">
      <w:lvlJc w:val="left"/>
      <w:lvlText w:val="(%1)"/>
      <w:numFmt w:val="lowerLetter"/>
      <w:start w:val="2"/>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1)"/>
      <w:numFmt w:val="lowerLetter"/>
      <w:start w:val="1"/>
    </w:lvl>
  </w:abstractNum>
  <w:abstractNum w:abstractNumId="40">
    <w:nsid w:val="1EBA5D23"/>
    <w:multiLevelType w:val="hybridMultilevel"/>
    <w:lvl w:ilvl="0">
      <w:lvlJc w:val="left"/>
      <w:lvlText w:val="(%1)"/>
      <w:numFmt w:val="lowerLetter"/>
      <w:start w:val="2"/>
    </w:lvl>
  </w:abstractNum>
  <w:abstractNum w:abstractNumId="41">
    <w:nsid w:val="661E3F1E"/>
    <w:multiLevelType w:val="hybridMultilevel"/>
    <w:lvl w:ilvl="0">
      <w:lvlJc w:val="left"/>
      <w:lvlText w:val="(%1)"/>
      <w:numFmt w:val="lowerLetter"/>
      <w:start w:val="16"/>
    </w:lvl>
  </w:abstractNum>
  <w:abstractNum w:abstractNumId="42">
    <w:nsid w:val="5DC79EA8"/>
    <w:multiLevelType w:val="hybridMultilevel"/>
    <w:lvl w:ilvl="0">
      <w:lvlJc w:val="left"/>
      <w:lvlText w:val="(%1)"/>
      <w:numFmt w:val="lowerLetter"/>
      <w:start w:val="1"/>
    </w:lvl>
  </w:abstractNum>
  <w:abstractNum w:abstractNumId="43">
    <w:nsid w:val="540A471C"/>
    <w:multiLevelType w:val="hybridMultilevel"/>
    <w:lvl w:ilvl="0">
      <w:lvlJc w:val="left"/>
      <w:lvlText w:val="(%1)"/>
      <w:numFmt w:val="lowerLetter"/>
      <w:start w:val="2"/>
    </w:lvl>
  </w:abstractNum>
  <w:abstractNum w:abstractNumId="44">
    <w:nsid w:val="7BD3EE7B"/>
    <w:multiLevelType w:val="hybridMultilevel"/>
    <w:lvl w:ilvl="0">
      <w:lvlJc w:val="left"/>
      <w:lvlText w:val="(%1)"/>
      <w:numFmt w:val="lowerLetter"/>
      <w:start w:val="4"/>
    </w:lvl>
  </w:abstractNum>
  <w:abstractNum w:abstractNumId="45">
    <w:nsid w:val="51D9C564"/>
    <w:multiLevelType w:val="hybridMultilevel"/>
    <w:lvl w:ilvl="0">
      <w:lvlJc w:val="left"/>
      <w:lvlText w:val="(%1)"/>
      <w:numFmt w:val="lowerLetter"/>
      <w:start w:val="1"/>
    </w:lvl>
  </w:abstractNum>
  <w:abstractNum w:abstractNumId="46">
    <w:nsid w:val="613EFDC5"/>
    <w:multiLevelType w:val="hybridMultilevel"/>
    <w:lvl w:ilvl="0">
      <w:lvlJc w:val="left"/>
      <w:lvlText w:val="(%1)"/>
      <w:numFmt w:val="lowerLetter"/>
      <w:start w:val="1"/>
    </w:lvl>
  </w:abstractNum>
  <w:abstractNum w:abstractNumId="47">
    <w:nsid w:val="BF72B14"/>
    <w:multiLevelType w:val="hybridMultilevel"/>
    <w:lvl w:ilvl="0">
      <w:lvlJc w:val="left"/>
      <w:lvlText w:val="(%1)"/>
      <w:numFmt w:val="lowerLetter"/>
      <w:start w:val="1"/>
    </w:lvl>
  </w:abstractNum>
  <w:abstractNum w:abstractNumId="48">
    <w:nsid w:val="11447B73"/>
    <w:multiLevelType w:val="hybridMultilevel"/>
    <w:lvl w:ilvl="0">
      <w:lvlJc w:val="left"/>
      <w:lvlText w:val="(%1)"/>
      <w:numFmt w:val="lowerRoman"/>
      <w:start w:val="1"/>
    </w:lvl>
  </w:abstractNum>
  <w:abstractNum w:abstractNumId="49">
    <w:nsid w:val="42963E5A"/>
    <w:multiLevelType w:val="hybridMultilevel"/>
    <w:lvl w:ilvl="0">
      <w:lvlJc w:val="left"/>
      <w:lvlText w:val="(%1)"/>
      <w:numFmt w:val="lowerLetter"/>
      <w:start w:val="5"/>
    </w:lvl>
  </w:abstractNum>
  <w:abstractNum w:abstractNumId="50">
    <w:nsid w:val="A0382C5"/>
    <w:multiLevelType w:val="hybridMultilevel"/>
    <w:lvl w:ilvl="0">
      <w:lvlJc w:val="left"/>
      <w:lvlText w:val="(%1)"/>
      <w:numFmt w:val="lowerLetter"/>
      <w:start w:val="9"/>
    </w:lvl>
  </w:abstractNum>
  <w:abstractNum w:abstractNumId="51">
    <w:nsid w:val="8F2B15E"/>
    <w:multiLevelType w:val="hybridMultilevel"/>
    <w:lvl w:ilvl="0">
      <w:lvlJc w:val="left"/>
      <w:lvlText w:val="(%1)"/>
      <w:numFmt w:val="lowerLetter"/>
      <w:start w:val="35"/>
    </w:lvl>
  </w:abstractNum>
  <w:abstractNum w:abstractNumId="52">
    <w:nsid w:val="1A32234B"/>
    <w:multiLevelType w:val="hybridMultilevel"/>
    <w:lvl w:ilvl="0">
      <w:lvlJc w:val="left"/>
      <w:lvlText w:val="(%1)"/>
      <w:numFmt w:val="lowerLetter"/>
      <w:start w:val="61"/>
    </w:lvl>
  </w:abstractNum>
  <w:abstractNum w:abstractNumId="53">
    <w:nsid w:val="3B0FD379"/>
    <w:multiLevelType w:val="hybridMultilevel"/>
    <w:lvl w:ilvl="0">
      <w:lvlJc w:val="left"/>
      <w:lvlText w:val="(%1)"/>
      <w:numFmt w:val="lowerLetter"/>
      <w:start w:val="6"/>
    </w:lvl>
  </w:abstractNum>
  <w:abstractNum w:abstractNumId="54">
    <w:nsid w:val="68EB2F63"/>
    <w:multiLevelType w:val="hybridMultilevel"/>
    <w:lvl w:ilvl="0">
      <w:lvlJc w:val="left"/>
      <w:lvlText w:val="(%1)"/>
      <w:numFmt w:val="lowerLetter"/>
      <w:start w:val="1"/>
    </w:lvl>
  </w:abstractNum>
  <w:abstractNum w:abstractNumId="55">
    <w:nsid w:val="4962813B"/>
    <w:multiLevelType w:val="hybridMultilevel"/>
    <w:lvl w:ilvl="0">
      <w:lvlJc w:val="left"/>
      <w:lvlText w:val="(%1)"/>
      <w:numFmt w:val="lowerLetter"/>
      <w:start w:val="1"/>
    </w:lvl>
  </w:abstractNum>
  <w:abstractNum w:abstractNumId="56">
    <w:nsid w:val="60B6DF70"/>
    <w:multiLevelType w:val="hybridMultilevel"/>
    <w:lvl w:ilvl="0">
      <w:lvlJc w:val="left"/>
      <w:lvlText w:val="(%1)"/>
      <w:numFmt w:val="lowerLetter"/>
      <w:start w:val="1"/>
    </w:lvl>
  </w:abstractNum>
  <w:abstractNum w:abstractNumId="57">
    <w:nsid w:val="6A5EE64"/>
    <w:multiLevelType w:val="hybridMultilevel"/>
    <w:lvl w:ilvl="0">
      <w:lvlJc w:val="left"/>
      <w:lvlText w:val="(%1)"/>
      <w:numFmt w:val="lowerLetter"/>
      <w:start w:val="5"/>
    </w:lvl>
  </w:abstractNum>
  <w:abstractNum w:abstractNumId="58">
    <w:nsid w:val="14330624"/>
    <w:multiLevelType w:val="hybridMultilevel"/>
    <w:lvl w:ilvl="0">
      <w:lvlJc w:val="left"/>
      <w:lvlText w:val="(%1)"/>
      <w:numFmt w:val="lowerLetter"/>
      <w:start w:val="1"/>
    </w:lvl>
  </w:abstractNum>
  <w:abstractNum w:abstractNumId="59">
    <w:nsid w:val="7FFFCA11"/>
    <w:multiLevelType w:val="hybridMultilevel"/>
    <w:lvl w:ilvl="0">
      <w:lvlJc w:val="left"/>
      <w:lvlText w:val="(%1)"/>
      <w:numFmt w:val="lowerLetter"/>
      <w:start w:val="3"/>
    </w:lvl>
  </w:abstractNum>
  <w:abstractNum w:abstractNumId="60">
    <w:nsid w:val="1A27709E"/>
    <w:multiLevelType w:val="hybridMultilevel"/>
    <w:lvl w:ilvl="0">
      <w:lvlJc w:val="left"/>
      <w:lvlText w:val="(%1)"/>
      <w:numFmt w:val="lowerLetter"/>
      <w:start w:val="1"/>
    </w:lvl>
  </w:abstractNum>
  <w:abstractNum w:abstractNumId="61">
    <w:nsid w:val="71EA1109"/>
    <w:multiLevelType w:val="hybridMultilevel"/>
    <w:lvl w:ilvl="0">
      <w:lvlJc w:val="left"/>
      <w:lvlText w:val="(%1)"/>
      <w:numFmt w:val="lowerRoman"/>
      <w:start w:val="1"/>
    </w:lvl>
  </w:abstractNum>
  <w:abstractNum w:abstractNumId="62">
    <w:nsid w:val="100F59DC"/>
    <w:multiLevelType w:val="hybridMultilevel"/>
    <w:lvl w:ilvl="0">
      <w:lvlJc w:val="left"/>
      <w:lvlText w:val="(%1)"/>
      <w:numFmt w:val="lowerLetter"/>
      <w:start w:val="3"/>
    </w:lvl>
  </w:abstractNum>
  <w:abstractNum w:abstractNumId="63">
    <w:nsid w:val="7FB7E0AA"/>
    <w:multiLevelType w:val="hybridMultilevel"/>
    <w:lvl w:ilvl="0">
      <w:lvlJc w:val="left"/>
      <w:lvlText w:val="(%1)"/>
      <w:numFmt w:val="lowerLetter"/>
      <w:start w:val="9"/>
    </w:lvl>
  </w:abstractNum>
  <w:abstractNum w:abstractNumId="64">
    <w:nsid w:val="6EB5BD4"/>
    <w:multiLevelType w:val="hybridMultilevel"/>
    <w:lvl w:ilvl="0">
      <w:lvlJc w:val="left"/>
      <w:lvlText w:val="(%1)"/>
      <w:numFmt w:val="lowerRoman"/>
      <w:start w:val="2"/>
    </w:lvl>
  </w:abstractNum>
  <w:abstractNum w:abstractNumId="65">
    <w:nsid w:val="6F6DD9AC"/>
    <w:multiLevelType w:val="hybridMultilevel"/>
    <w:lvl w:ilvl="0">
      <w:lvlJc w:val="left"/>
      <w:lvlText w:val="(%1)"/>
      <w:numFmt w:val="lowerLetter"/>
      <w:start w:val="4"/>
    </w:lvl>
  </w:abstractNum>
  <w:abstractNum w:abstractNumId="66">
    <w:nsid w:val="94211F2"/>
    <w:multiLevelType w:val="hybridMultilevel"/>
    <w:lvl w:ilvl="0">
      <w:lvlJc w:val="left"/>
      <w:lvlText w:val="(%1)"/>
      <w:numFmt w:val="lowerLetter"/>
      <w:start w:val="1"/>
    </w:lvl>
  </w:abstractNum>
  <w:abstractNum w:abstractNumId="67">
    <w:nsid w:val="885E1B"/>
    <w:multiLevelType w:val="hybridMultilevel"/>
    <w:lvl w:ilvl="0">
      <w:lvlJc w:val="left"/>
      <w:lvlText w:val="(%1)"/>
      <w:numFmt w:val="lowerLetter"/>
      <w:start w:val="7"/>
    </w:lvl>
  </w:abstractNum>
  <w:abstractNum w:abstractNumId="68">
    <w:nsid w:val="76272110"/>
    <w:multiLevelType w:val="hybridMultilevel"/>
    <w:lvl w:ilvl="0">
      <w:lvlJc w:val="left"/>
      <w:lvlText w:val="(%1)"/>
      <w:numFmt w:val="lowerLetter"/>
      <w:start w:val="1"/>
    </w:lvl>
  </w:abstractNum>
  <w:abstractNum w:abstractNumId="69">
    <w:nsid w:val="4C04A8AF"/>
    <w:multiLevelType w:val="hybridMultilevel"/>
    <w:lvl w:ilvl="0">
      <w:lvlJc w:val="left"/>
      <w:lvlText w:val="(%1)"/>
      <w:numFmt w:val="lowerLetter"/>
      <w:start w:val="1"/>
    </w:lvl>
  </w:abstractNum>
  <w:abstractNum w:abstractNumId="70">
    <w:nsid w:val="1716703B"/>
    <w:multiLevelType w:val="hybridMultilevel"/>
    <w:lvl w:ilvl="0">
      <w:lvlJc w:val="left"/>
      <w:lvlText w:val="(%1)"/>
      <w:numFmt w:val="lowerRoman"/>
      <w:start w:val="1"/>
    </w:lvl>
  </w:abstractNum>
  <w:abstractNum w:abstractNumId="71">
    <w:nsid w:val="14E17E33"/>
    <w:multiLevelType w:val="hybridMultilevel"/>
    <w:lvl w:ilvl="0">
      <w:lvlJc w:val="left"/>
      <w:lvlText w:val="(%1)"/>
      <w:numFmt w:val="upperLetter"/>
      <w:start w:val="1"/>
    </w:lvl>
  </w:abstractNum>
  <w:abstractNum w:abstractNumId="72">
    <w:nsid w:val="3222E7CD"/>
    <w:multiLevelType w:val="hybridMultilevel"/>
    <w:lvl w:ilvl="0">
      <w:lvlJc w:val="left"/>
      <w:lvlText w:val="(%1)"/>
      <w:numFmt w:val="lowerLetter"/>
      <w:start w:val="2"/>
    </w:lvl>
  </w:abstractNum>
  <w:abstractNum w:abstractNumId="73">
    <w:nsid w:val="74DE0EE3"/>
    <w:multiLevelType w:val="hybridMultilevel"/>
    <w:lvl w:ilvl="0">
      <w:lvlJc w:val="left"/>
      <w:lvlText w:val="(%1)"/>
      <w:numFmt w:val="lowerLetter"/>
      <w:start w:val="1"/>
    </w:lvl>
  </w:abstractNum>
  <w:abstractNum w:abstractNumId="74">
    <w:nsid w:val="68EBC550"/>
    <w:multiLevelType w:val="hybridMultilevel"/>
    <w:lvl w:ilvl="0">
      <w:lvlJc w:val="left"/>
      <w:lvlText w:val="(%1)"/>
      <w:numFmt w:val="lowerLetter"/>
      <w:start w:val="3"/>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lowerLetter"/>
      <w:start w:val="4"/>
    </w:lvl>
  </w:abstractNum>
  <w:abstractNum w:abstractNumId="77">
    <w:nsid w:val="4A2AC315"/>
    <w:multiLevelType w:val="hybridMultilevel"/>
    <w:lvl w:ilvl="0">
      <w:lvlJc w:val="left"/>
      <w:lvlText w:val="(%1)"/>
      <w:numFmt w:val="lowerLetter"/>
      <w:start w:val="8"/>
    </w:lvl>
  </w:abstractNum>
  <w:abstractNum w:abstractNumId="78">
    <w:nsid w:val="39EE015C"/>
    <w:multiLevelType w:val="hybridMultilevel"/>
    <w:lvl w:ilvl="0">
      <w:lvlJc w:val="left"/>
      <w:lvlText w:val="(%1)"/>
      <w:numFmt w:val="lowerLetter"/>
      <w:start w:val="1"/>
    </w:lvl>
  </w:abstractNum>
  <w:abstractNum w:abstractNumId="79">
    <w:nsid w:val="57FC4FBB"/>
    <w:multiLevelType w:val="hybridMultilevel"/>
    <w:lvl w:ilvl="0">
      <w:lvlJc w:val="left"/>
      <w:lvlText w:val="(%1)"/>
      <w:numFmt w:val="lowerLetter"/>
      <w:start w:val="1"/>
    </w:lvl>
  </w:abstractNum>
  <w:abstractNum w:abstractNumId="80">
    <w:nsid w:val="CC1016F"/>
    <w:multiLevelType w:val="hybridMultilevel"/>
    <w:lvl w:ilvl="0">
      <w:lvlJc w:val="left"/>
      <w:lvlText w:val="(%1)"/>
      <w:numFmt w:val="lowerLetter"/>
      <w:start w:val="1"/>
    </w:lvl>
  </w:abstractNum>
  <w:abstractNum w:abstractNumId="81">
    <w:nsid w:val="43F18422"/>
    <w:multiLevelType w:val="hybridMultilevel"/>
    <w:lvl w:ilvl="0">
      <w:lvlJc w:val="left"/>
      <w:lvlText w:val="(%1)"/>
      <w:numFmt w:val="lowerLetter"/>
      <w:start w:val="1"/>
    </w:lvl>
  </w:abstractNum>
  <w:abstractNum w:abstractNumId="82">
    <w:nsid w:val="60EF0119"/>
    <w:multiLevelType w:val="hybridMultilevel"/>
    <w:lvl w:ilvl="0">
      <w:lvlJc w:val="left"/>
      <w:lvlText w:val="(%1)"/>
      <w:numFmt w:val="lowerLetter"/>
      <w:start w:val="2"/>
    </w:lvl>
  </w:abstractNum>
  <w:abstractNum w:abstractNumId="83">
    <w:nsid w:val="26F324BA"/>
    <w:multiLevelType w:val="hybridMultilevel"/>
    <w:lvl w:ilvl="0">
      <w:lvlJc w:val="left"/>
      <w:lvlText w:val="(%1)"/>
      <w:numFmt w:val="lowerLetter"/>
      <w:start w:val="1"/>
    </w:lvl>
  </w:abstractNum>
  <w:abstractNum w:abstractNumId="84">
    <w:nsid w:val="7F01579B"/>
    <w:multiLevelType w:val="hybridMultilevel"/>
    <w:lvl w:ilvl="0">
      <w:lvlJc w:val="left"/>
      <w:lvlText w:val="(%1)"/>
      <w:numFmt w:val="lowerLetter"/>
      <w:start w:val="1"/>
    </w:lvl>
  </w:abstractNum>
  <w:abstractNum w:abstractNumId="85">
    <w:nsid w:val="49DA307D"/>
    <w:multiLevelType w:val="hybridMultilevel"/>
    <w:lvl w:ilvl="0">
      <w:lvlJc w:val="left"/>
      <w:lvlText w:val="1"/>
      <w:numFmt w:val="bullet"/>
      <w:start w:val="1"/>
    </w:lvl>
    <w:lvl w:ilvl="1">
      <w:lvlJc w:val="left"/>
      <w:lvlText w:val="(%2)"/>
      <w:numFmt w:val="lowerLetter"/>
      <w:start w:val="1"/>
    </w:lvl>
  </w:abstractNum>
  <w:abstractNum w:abstractNumId="86">
    <w:nsid w:val="7055A5F5"/>
    <w:multiLevelType w:val="hybridMultilevel"/>
    <w:lvl w:ilvl="0">
      <w:lvlJc w:val="left"/>
      <w:lvlText w:val="2"/>
      <w:numFmt w:val="bullet"/>
      <w:start w:val="1"/>
    </w:lvl>
    <w:lvl w:ilvl="1">
      <w:lvlJc w:val="left"/>
      <w:lvlText w:val="(%2)"/>
      <w:numFmt w:val="lowerLetter"/>
      <w:start w:val="1"/>
    </w:lvl>
  </w:abstractNum>
  <w:abstractNum w:abstractNumId="87">
    <w:nsid w:val="5FB8370B"/>
    <w:multiLevelType w:val="hybridMultilevel"/>
    <w:lvl w:ilvl="0">
      <w:lvlJc w:val="left"/>
      <w:lvlText w:val="(%1)"/>
      <w:numFmt w:val="lowerLetter"/>
      <w:start w:val="6"/>
    </w:lvl>
    <w:lvl w:ilvl="1">
      <w:lvlJc w:val="left"/>
      <w:lvlText w:val="(%2)"/>
      <w:numFmt w:val="lowerLetter"/>
      <w:start w:val="9"/>
    </w:lvl>
  </w:abstractNum>
  <w:abstractNum w:abstractNumId="88">
    <w:nsid w:val="50801EE1"/>
    <w:multiLevelType w:val="hybridMultilevel"/>
    <w:lvl w:ilvl="0">
      <w:lvlJc w:val="left"/>
      <w:lvlText w:val="(%1)"/>
      <w:numFmt w:val="lowerLetter"/>
      <w:start w:val="15"/>
    </w:lvl>
  </w:abstractNum>
  <w:abstractNum w:abstractNumId="89">
    <w:nsid w:val="488AC1A"/>
    <w:multiLevelType w:val="hybridMultilevel"/>
    <w:lvl w:ilvl="0">
      <w:lvlJc w:val="left"/>
      <w:lvlText w:val="3"/>
      <w:numFmt w:val="bullet"/>
      <w:start w:val="1"/>
    </w:lvl>
  </w:abstractNum>
  <w:abstractNum w:abstractNumId="90">
    <w:nsid w:val="5FB8011C"/>
    <w:multiLevelType w:val="hybridMultilevel"/>
    <w:lvl w:ilvl="0">
      <w:lvlJc w:val="left"/>
      <w:lvlText w:val="(%1)"/>
      <w:numFmt w:val="lowerLetter"/>
      <w:start w:val="1"/>
    </w:lvl>
  </w:abstractNum>
  <w:abstractNum w:abstractNumId="91">
    <w:nsid w:val="6AA78F7F"/>
    <w:multiLevelType w:val="hybridMultilevel"/>
    <w:lvl w:ilvl="0">
      <w:lvlJc w:val="left"/>
      <w:lvlText w:val="(%1)"/>
      <w:numFmt w:val="lowerLetter"/>
      <w:start w:val="2"/>
    </w:lvl>
    <w:lvl w:ilvl="1">
      <w:lvlJc w:val="left"/>
      <w:lvlText w:val="(%2)"/>
      <w:numFmt w:val="lowerRoman"/>
      <w:start w:val="1"/>
    </w:lvl>
  </w:abstractNum>
  <w:abstractNum w:abstractNumId="92">
    <w:nsid w:val="7672BD23"/>
    <w:multiLevelType w:val="hybridMultilevel"/>
    <w:lvl w:ilvl="0">
      <w:lvlJc w:val="left"/>
      <w:lvlText w:val="(%1)"/>
      <w:numFmt w:val="lowerRoman"/>
      <w:start w:val="3"/>
    </w:lvl>
  </w:abstractNum>
  <w:abstractNum w:abstractNumId="93">
    <w:nsid w:val="6FC75AF8"/>
    <w:multiLevelType w:val="hybridMultilevel"/>
    <w:lvl w:ilvl="0">
      <w:lvlJc w:val="left"/>
      <w:lvlText w:val="(%1)"/>
      <w:numFmt w:val="lowerLetter"/>
      <w:start w:val="3"/>
    </w:lvl>
    <w:lvl w:ilvl="1">
      <w:lvlJc w:val="left"/>
      <w:lvlText w:val="(%2)"/>
      <w:numFmt w:val="lowerRoman"/>
      <w:start w:val="1"/>
    </w:lvl>
  </w:abstractNum>
  <w:abstractNum w:abstractNumId="94">
    <w:nsid w:val="6A5F7029"/>
    <w:multiLevelType w:val="hybridMultilevel"/>
    <w:lvl w:ilvl="0">
      <w:lvlJc w:val="left"/>
      <w:lvlText w:val="(%1)"/>
      <w:numFmt w:val="lowerLetter"/>
      <w:start w:val="4"/>
    </w:lvl>
    <w:lvl w:ilvl="1">
      <w:lvlJc w:val="left"/>
      <w:lvlText w:val="(%2)"/>
      <w:numFmt w:val="lowerRoman"/>
      <w:start w:val="1"/>
    </w:lvl>
  </w:abstractNum>
  <w:abstractNum w:abstractNumId="95">
    <w:nsid w:val="7D5E18F8"/>
    <w:multiLevelType w:val="hybridMultilevel"/>
    <w:lvl w:ilvl="0">
      <w:lvlJc w:val="left"/>
      <w:lvlText w:val="(%1)"/>
      <w:numFmt w:val="lowerRoman"/>
      <w:start w:val="2"/>
    </w:lvl>
  </w:abstractNum>
  <w:abstractNum w:abstractNumId="96">
    <w:nsid w:val="5F3534A4"/>
    <w:multiLevelType w:val="hybridMultilevel"/>
    <w:lvl w:ilvl="0">
      <w:lvlJc w:val="left"/>
      <w:lvlText w:val="4"/>
      <w:numFmt w:val="bullet"/>
      <w:start w:val="1"/>
    </w:lvl>
  </w:abstractNum>
  <w:abstractNum w:abstractNumId="97">
    <w:nsid w:val="73A1821B"/>
    <w:multiLevelType w:val="hybridMultilevel"/>
    <w:lvl w:ilvl="0">
      <w:lvlJc w:val="left"/>
      <w:lvlText w:val="(%1)"/>
      <w:numFmt w:val="lowerLetter"/>
      <w:start w:val="1"/>
    </w:lvl>
  </w:abstractNum>
  <w:abstractNum w:abstractNumId="98">
    <w:nsid w:val="7DE67713"/>
    <w:multiLevelType w:val="hybridMultilevel"/>
    <w:lvl w:ilvl="0">
      <w:lvlJc w:val="left"/>
      <w:lvlText w:val="5"/>
      <w:numFmt w:val="bullet"/>
      <w:start w:val="1"/>
    </w:lvl>
  </w:abstractNum>
  <w:abstractNum w:abstractNumId="99">
    <w:nsid w:val="555C55B5"/>
    <w:multiLevelType w:val="hybridMultilevel"/>
    <w:lvl w:ilvl="0">
      <w:lvlJc w:val="left"/>
      <w:lvlText w:val="(%1)"/>
      <w:numFmt w:val="lowerLetter"/>
      <w:start w:val="1"/>
    </w:lvl>
  </w:abstractNum>
  <w:abstractNum w:abstractNumId="100">
    <w:nsid w:val="3FA62ACA"/>
    <w:multiLevelType w:val="hybridMultilevel"/>
    <w:lvl w:ilvl="0">
      <w:lvlJc w:val="left"/>
      <w:lvlText w:val="6"/>
      <w:numFmt w:val="bullet"/>
      <w:start w:val="1"/>
    </w:lvl>
  </w:abstractNum>
  <w:abstractNum w:abstractNumId="101">
    <w:nsid w:val="14FCE74E"/>
    <w:multiLevelType w:val="hybridMultilevel"/>
    <w:lvl w:ilvl="0">
      <w:lvlJc w:val="left"/>
      <w:lvlText w:val="(%1)"/>
      <w:numFmt w:val="lowerRoman"/>
      <w:start w:val="2"/>
    </w:lvl>
  </w:abstractNum>
  <w:abstractNum w:abstractNumId="102">
    <w:nsid w:val="6A3DD3E8"/>
    <w:multiLevelType w:val="hybridMultilevel"/>
    <w:lvl w:ilvl="0">
      <w:lvlJc w:val="left"/>
      <w:lvlText w:val="%1."/>
      <w:numFmt w:val="decimal"/>
      <w:start w:val="1"/>
    </w:lvl>
  </w:abstractNum>
  <w:abstractNum w:abstractNumId="103">
    <w:nsid w:val="71C91298"/>
    <w:multiLevelType w:val="hybridMultilevel"/>
    <w:lvl w:ilvl="0">
      <w:lvlJc w:val="left"/>
      <w:lvlText w:val="%1."/>
      <w:numFmt w:val="decimal"/>
      <w:start w:val="3"/>
    </w:lvl>
  </w:abstractNum>
  <w:abstractNum w:abstractNumId="104">
    <w:nsid w:val="9DAF63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jpe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jpeg"/><Relationship Id="rId27" Type="http://schemas.openxmlformats.org/officeDocument/2006/relationships/hyperlink" Target="http://www.sec.gov/Archives/edgar/data/1724542/000121390018012977/f20f2018_clpsincorporation.htm" TargetMode="External"/><Relationship Id="rId28" Type="http://schemas.openxmlformats.org/officeDocument/2006/relationships/hyperlink" Target="http://www.sec.gov/Archives/edgar/data/1724542/000121390018003524/ff12018_clpsincorporation.htm" TargetMode="External"/><Relationship Id="rId29" Type="http://schemas.openxmlformats.org/officeDocument/2006/relationships/hyperlink" Target="http://www.sec.gov/Archives/edgar/data/1724542/000121390018006724/f8a12b0518_clpsincorporation.htm" TargetMode="External"/><Relationship Id="rId30" Type="http://schemas.openxmlformats.org/officeDocument/2006/relationships/hyperlink" Target="http://www.sec.gov/Archives/edgar/data/1724542/000121390018016651/f6k112818_clpsincorp.htm" TargetMode="External"/><Relationship Id="rId31" Type="http://schemas.openxmlformats.org/officeDocument/2006/relationships/hyperlink" Target="http://www.sec.gov/Archives/edgar/data/1724542/000121390019000288/f6k1218_clpsincorporation.htm" TargetMode="External"/><Relationship Id="rId32" Type="http://schemas.openxmlformats.org/officeDocument/2006/relationships/hyperlink" Target="http://www.sec.gov/Archives/edgar/data/1724542/000121390019002895/f6k0219_clpsincorp.htm" TargetMode="External"/><Relationship Id="rId33" Type="http://schemas.openxmlformats.org/officeDocument/2006/relationships/hyperlink" Target="http://www.sec.gov/Archives/edgar/data/1724542/000121390019003658/f6k030619_clpsincorp.htm" TargetMode="External"/><Relationship Id="rId34" Type="http://schemas.openxmlformats.org/officeDocument/2006/relationships/hyperlink" Target="http://www.sec.gov/Archives/edgar/data/1724542/000121390019004849/f6k0319_clpsincorporation.htm" TargetMode="External"/><Relationship Id="rId35" Type="http://schemas.openxmlformats.org/officeDocument/2006/relationships/hyperlink" Target="http://www.sec.gov/Archives/edgar/data/1724542/000121390019006864/f6k041619_clpsincorporation.htm" TargetMode="External"/><Relationship Id="rId63" Type="http://schemas.openxmlformats.org/officeDocument/2006/relationships/hyperlink" Target="http://www.sec.gov/Archives/edgar/data/1724542/000121390018003524/ff12018ex4-1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2019-12-01T17:13:11Z</dcterms:created>
  <dcterms:modified xsi:type="dcterms:W3CDTF">2019-12-01T17:13:11Z</dcterms:modified>
</cp:coreProperties>
</file>