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2"/>
          <w:szCs w:val="22"/>
          <w:b w:val="1"/>
          <w:bCs w:val="1"/>
          <w:color w:val="auto"/>
        </w:rPr>
        <w:t>As filed with the Securities and Exchange Commission on October 12, 2022</w:t>
      </w:r>
    </w:p>
    <w:p>
      <w:pPr>
        <w:spacing w:after="0" w:line="23"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333-266951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38735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Amendment No. 1 to</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F-3</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REGISTRATION STATEMENT</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UNDER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THE SECURITIES ACT OF 1933</w:t>
      </w:r>
    </w:p>
    <w:p>
      <w:pPr>
        <w:spacing w:after="0" w:line="1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CLPS Incorporation</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57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Cayman Islands</w:t>
            </w:r>
          </w:p>
        </w:tc>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tc>
      </w:tr>
      <w:tr>
        <w:trPr>
          <w:trHeight w:val="198"/>
        </w:trPr>
        <w:tc>
          <w:tcPr>
            <w:tcW w:w="552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(State or other jurisdiction of</w:t>
            </w:r>
          </w:p>
        </w:tc>
        <w:tc>
          <w:tcPr>
            <w:tcW w:w="220" w:type="dxa"/>
            <w:vAlign w:val="bottom"/>
          </w:tcPr>
          <w:p>
            <w:pPr>
              <w:spacing w:after="0"/>
              <w:rPr>
                <w:sz w:val="17"/>
                <w:szCs w:val="17"/>
                <w:color w:val="auto"/>
              </w:rPr>
            </w:pPr>
          </w:p>
        </w:tc>
        <w:tc>
          <w:tcPr>
            <w:tcW w:w="550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(I.R.S. Employer</w:t>
            </w:r>
          </w:p>
        </w:tc>
      </w:tr>
      <w:tr>
        <w:trPr>
          <w:trHeight w:val="234"/>
        </w:trPr>
        <w:tc>
          <w:tcPr>
            <w:tcW w:w="57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Identification No.)</w:t>
            </w: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 Unit 1102, 11th Floor, Millennium City III</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370 Kwun Tong Road, Kwun Tong, Kowloon</w:t>
      </w:r>
    </w:p>
    <w:p>
      <w:pPr>
        <w:spacing w:after="0" w:line="9"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Hong Kong SAR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Tel: (852) 37073600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including zip code, and telephone number, including area code, of registrant’s principal executive offices)</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Corporation Service Company</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251 Little Falls Drive</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Wilmington, DE 19808</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Telephone: (800) 927-9800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(Name, address, including zip code, and telephone number, including area code, of agent for service)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Copies to:</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Mitchell Nussbaum, Esq.</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James Zhang, Esq.</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Loeb &amp; Loeb LLP</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345 Park Avenue</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New York, New York 10154</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(212) 407-4000</w:t>
      </w:r>
    </w:p>
    <w:p>
      <w:pPr>
        <w:spacing w:after="0" w:line="20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Approximate date of commencement of proposed sale to the public: </w:t>
      </w:r>
      <w:r>
        <w:rPr>
          <w:rFonts w:ascii="Times New Roman" w:cs="Times New Roman" w:eastAsia="Times New Roman" w:hAnsi="Times New Roman"/>
          <w:sz w:val="18"/>
          <w:szCs w:val="18"/>
          <w:b w:val="1"/>
          <w:bCs w:val="1"/>
          <w:color w:val="auto"/>
        </w:rPr>
        <w:t>From time to time after the effective date of this registration statement.</w:t>
      </w:r>
    </w:p>
    <w:p>
      <w:pPr>
        <w:spacing w:after="0" w:line="20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8"/>
          <w:szCs w:val="18"/>
          <w:color w:val="auto"/>
        </w:rPr>
        <w:t>☐</w:t>
      </w:r>
    </w:p>
    <w:p>
      <w:pPr>
        <w:spacing w:after="0" w:line="254" w:lineRule="exact"/>
        <w:rPr>
          <w:sz w:val="24"/>
          <w:szCs w:val="24"/>
          <w:color w:val="auto"/>
        </w:rPr>
      </w:pPr>
    </w:p>
    <w:p>
      <w:pPr>
        <w:jc w:val="both"/>
        <w:ind w:right="20"/>
        <w:spacing w:after="0" w:line="235" w:lineRule="exact"/>
        <w:rPr>
          <w:sz w:val="20"/>
          <w:szCs w:val="20"/>
          <w:color w:val="auto"/>
        </w:rPr>
      </w:pPr>
      <w:r>
        <w:rPr>
          <w:rFonts w:ascii="Times New Roman" w:cs="Times New Roman" w:eastAsia="Times New Roman" w:hAnsi="Times New Roman"/>
          <w:sz w:val="18"/>
          <w:szCs w:val="18"/>
          <w:color w:val="auto"/>
        </w:rPr>
        <w:t xml:space="preserve">If any of the securities being registered on this Form are to be offered on a delayed or continuous basis pursuant to Rule 415 under the Securities Act of 1933, please check the following box. </w:t>
      </w:r>
      <w:r>
        <w:rPr>
          <w:rFonts w:ascii="MS PGothic" w:cs="MS PGothic" w:eastAsia="MS PGothic" w:hAnsi="MS PGothic"/>
          <w:sz w:val="18"/>
          <w:szCs w:val="18"/>
          <w:color w:val="auto"/>
        </w:rPr>
        <w:t>☒</w:t>
      </w:r>
    </w:p>
    <w:p>
      <w:pPr>
        <w:spacing w:after="0" w:line="179" w:lineRule="exact"/>
        <w:rPr>
          <w:sz w:val="24"/>
          <w:szCs w:val="24"/>
          <w:color w:val="auto"/>
        </w:rPr>
      </w:pPr>
    </w:p>
    <w:p>
      <w:pPr>
        <w:jc w:val="both"/>
        <w:spacing w:after="0" w:line="235" w:lineRule="exact"/>
        <w:rPr>
          <w:sz w:val="20"/>
          <w:szCs w:val="20"/>
          <w:color w:val="auto"/>
        </w:rPr>
      </w:pPr>
      <w:r>
        <w:rPr>
          <w:rFonts w:ascii="Times New Roman" w:cs="Times New Roman" w:eastAsia="Times New Roman" w:hAnsi="Times New Roman"/>
          <w:sz w:val="18"/>
          <w:szCs w:val="18"/>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79" w:lineRule="exact"/>
        <w:rPr>
          <w:sz w:val="24"/>
          <w:szCs w:val="24"/>
          <w:color w:val="auto"/>
        </w:rPr>
      </w:pPr>
    </w:p>
    <w:p>
      <w:pPr>
        <w:jc w:val="both"/>
        <w:ind w:right="20"/>
        <w:spacing w:after="0" w:line="235" w:lineRule="exact"/>
        <w:rPr>
          <w:sz w:val="20"/>
          <w:szCs w:val="20"/>
          <w:color w:val="auto"/>
        </w:rPr>
      </w:pPr>
      <w:r>
        <w:rPr>
          <w:rFonts w:ascii="Times New Roman" w:cs="Times New Roman" w:eastAsia="Times New Roman" w:hAnsi="Times New Roman"/>
          <w:sz w:val="18"/>
          <w:szCs w:val="18"/>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79" w:lineRule="exact"/>
        <w:rPr>
          <w:sz w:val="24"/>
          <w:szCs w:val="24"/>
          <w:color w:val="auto"/>
        </w:rPr>
      </w:pPr>
    </w:p>
    <w:p>
      <w:pPr>
        <w:jc w:val="both"/>
        <w:spacing w:after="0" w:line="235" w:lineRule="exact"/>
        <w:rPr>
          <w:sz w:val="20"/>
          <w:szCs w:val="20"/>
          <w:color w:val="auto"/>
        </w:rPr>
      </w:pPr>
      <w:r>
        <w:rPr>
          <w:rFonts w:ascii="Times New Roman" w:cs="Times New Roman" w:eastAsia="Times New Roman" w:hAnsi="Times New Roman"/>
          <w:sz w:val="18"/>
          <w:szCs w:val="18"/>
          <w:color w:val="auto"/>
        </w:rPr>
        <w:t xml:space="preserve">If this Form is a registration statement pursuant to General Instruction I.C. or a post-effective amendment thereto that shall become effective upon filing with the Commission pursuant to Rule 462(e) under the Securities Act, check the following box. </w:t>
      </w:r>
      <w:r>
        <w:rPr>
          <w:rFonts w:ascii="MS PGothic" w:cs="MS PGothic" w:eastAsia="MS PGothic" w:hAnsi="MS PGothic"/>
          <w:sz w:val="18"/>
          <w:szCs w:val="18"/>
          <w:color w:val="auto"/>
        </w:rPr>
        <w:t>☐</w:t>
      </w:r>
    </w:p>
    <w:p>
      <w:pPr>
        <w:spacing w:after="0" w:line="179" w:lineRule="exact"/>
        <w:rPr>
          <w:sz w:val="24"/>
          <w:szCs w:val="24"/>
          <w:color w:val="auto"/>
        </w:rPr>
      </w:pPr>
    </w:p>
    <w:p>
      <w:pPr>
        <w:jc w:val="both"/>
        <w:spacing w:after="0" w:line="235" w:lineRule="exact"/>
        <w:rPr>
          <w:sz w:val="20"/>
          <w:szCs w:val="20"/>
          <w:color w:val="auto"/>
        </w:rPr>
      </w:pPr>
      <w:r>
        <w:rPr>
          <w:rFonts w:ascii="Times New Roman" w:cs="Times New Roman" w:eastAsia="Times New Roman" w:hAnsi="Times New Roman"/>
          <w:sz w:val="18"/>
          <w:szCs w:val="18"/>
          <w:color w:val="auto"/>
        </w:rPr>
        <w:t xml:space="preserve">If this Form is a post-effective amendment to a registration statement filed pursuant to General Instruction I.C. filed to register additional securities or additional classes of securities pursuant to Rule 413(b) under the Securities Act, check the following box. </w:t>
      </w:r>
      <w:r>
        <w:rPr>
          <w:rFonts w:ascii="MS PGothic" w:cs="MS PGothic" w:eastAsia="MS PGothic" w:hAnsi="MS PGothic"/>
          <w:sz w:val="18"/>
          <w:szCs w:val="18"/>
          <w:color w:val="auto"/>
        </w:rPr>
        <w:t>☐</w:t>
      </w:r>
    </w:p>
    <w:p>
      <w:pPr>
        <w:spacing w:after="0" w:line="17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w:t>
      </w:r>
    </w:p>
    <w:p>
      <w:pPr>
        <w:spacing w:after="0" w:line="196" w:lineRule="exact"/>
        <w:rPr>
          <w:sz w:val="24"/>
          <w:szCs w:val="24"/>
          <w:color w:val="auto"/>
        </w:rPr>
      </w:pPr>
    </w:p>
    <w:p>
      <w:pPr>
        <w:ind w:left="902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54" w:lineRule="exact"/>
        <w:rPr>
          <w:sz w:val="24"/>
          <w:szCs w:val="24"/>
          <w:color w:val="auto"/>
        </w:rPr>
      </w:pPr>
    </w:p>
    <w:p>
      <w:pPr>
        <w:jc w:val="both"/>
        <w:spacing w:after="0" w:line="229" w:lineRule="exact"/>
        <w:rPr>
          <w:sz w:val="20"/>
          <w:szCs w:val="20"/>
          <w:color w:val="auto"/>
        </w:rPr>
      </w:pPr>
      <w:r>
        <w:rPr>
          <w:rFonts w:ascii="Times New Roman" w:cs="Times New Roman" w:eastAsia="Times New Roman" w:hAnsi="Times New Roman"/>
          <w:sz w:val="18"/>
          <w:szCs w:val="18"/>
          <w:color w:val="auto"/>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596265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16" w:right="339" w:bottom="1440" w:gutter="0" w:footer="0" w:header="0"/>
        </w:sectPr>
      </w:pPr>
    </w:p>
    <w:bookmarkStart w:id="1" w:name="page2"/>
    <w:bookmarkEnd w:id="1"/>
    <w:p>
      <w:pPr>
        <w:jc w:val="both"/>
        <w:spacing w:after="0" w:line="268" w:lineRule="auto"/>
        <w:rPr>
          <w:sz w:val="20"/>
          <w:szCs w:val="20"/>
          <w:color w:val="auto"/>
        </w:rPr>
      </w:pPr>
      <w:r>
        <w:rPr>
          <w:rFonts w:ascii="Times New Roman" w:cs="Times New Roman" w:eastAsia="Times New Roman" w:hAnsi="Times New Roman"/>
          <w:sz w:val="18"/>
          <w:szCs w:val="18"/>
          <w:b w:val="1"/>
          <w:bCs w:val="1"/>
          <w:color w:val="FF0000"/>
        </w:rPr>
        <w:t>The information in this prospectus is not complete and may be changed. We may not sell these securities until the registration statement filed with the Securities and Exchange Commission is effective. This prospectus is not an offer to sell these securities and it is not soliciting an offer to buy these securities in any state where the offer or sale is not permitted.</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FF0000"/>
        </w:rPr>
        <w:t>SUBJECT TO COMPLETION, DATED OCTOBER 12, 2022.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PRELIMINARY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2611120</wp:posOffset>
            </wp:positionH>
            <wp:positionV relativeFrom="paragraph">
              <wp:posOffset>156845</wp:posOffset>
            </wp:positionV>
            <wp:extent cx="1894205" cy="8140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94205" cy="8140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US$80,000,000</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Common Shares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Preferred Shares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Warrants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Debt Securities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Rights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Depositary Shares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Units</w:t>
      </w:r>
    </w:p>
    <w:p>
      <w:pPr>
        <w:spacing w:after="0" w:line="20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CLPS Incorporation may offer and sell from time to time up to an aggregate of US$80,000,000 of common shares (issued separately or upon exercise of warrants or conversion of preferred shares, if convertible), preferred shares, warrants, debt securities, rights, depositary shares and units of the Company’s securities. The specific terms of any securities offered will be described in supplements to this prospectus. You should read this prospectus and any applicable prospectus supplement carefully before you purchase our securities. This prospectus may not be used to offer securities unless accompanied by a prospectus supplement.</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may offer and sell these securities to or through one or more underwriters, dealers and agents, or directly to purchasers, on a continuous or delayed basis. The prospectus supplement for each offering of securities will describe in detail the plan of distribution. If underwriters, dealers and agents are used to sell these securities, we will name them and describe their compensation in a prospectus supplement.</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Our outstanding shares are listed for trading on the NASDAQ Stock Market, or NASDAQ, under the symbol “CLPS”. On October 11, 2022 the closing price of our shares on the NASDAQ Stock Market was US$1.20 per share. </w:t>
      </w:r>
      <w:r>
        <w:rPr>
          <w:rFonts w:ascii="Times New Roman" w:cs="Times New Roman" w:eastAsia="Times New Roman" w:hAnsi="Times New Roman"/>
          <w:sz w:val="18"/>
          <w:szCs w:val="18"/>
          <w:b w:val="1"/>
          <w:bCs w:val="1"/>
          <w:color w:val="auto"/>
        </w:rPr>
        <w:t>There is currently no established trading market through which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securities, other than the common shares, may be sold and purchasers may not be able to resell the securities purchased under this prospectus. This may affect the pricing of the securities in the secondary market, the transparency and availability of trading prices, the liquidity of the securities and the extent of issuer regulation.</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So long as the aggregate market value worldwide of our outstanding common equity held by non-affiliates, or public float, is less than US$75 million, the aggregate market value of securities sold by us under this prospectus during the period of 12 calendar months immediately preceding the date of sale may be no more than one-third of our public float. Our public float, as calculated in accordance with General Instruction I.B.5 of Form F-3, was approximately US$27 million as of October 11, 2022. We have not sold any securities pursuant to General Instruction I.B.5 of Form F-3 during the prior 12 calendar month period that ends on and includes the date of this prospectus.</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Investing in our securities involves risks. Prior to purchasing our securities, you should carefully consider the risk factors that will be described in any applicable prospectus supplement and the risk factors described in our filings with the Securities and Exchange Commission, or the SEC, as explained under the heading “Risk Factors” on page 5 of this prospectus.</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are not a Chinese operating company but a Cayman Islands holding company with operations conducted by our subsidiaries in China. This structure involves unique risks to our investors. Investors in our shares thus are not purchasing equity interest in our operating entities in China but instead are purchasing equity interest in a Cayman Islands holding company. The securities offered in this prospectus are securities of our Cayman Islands holding company, not of our operating subsidiaries. Please see the risk factors fully disclosed in Risk Factors under the paragraphs “Permissions Required from the PRC Authorities for Our Operations,” “Our subsidiaries in China are subject to restrictions on paying dividends and making other payments to our holding company,” and “Recent regulatory developments in China may subject us to additional regulatory review and disclosure requirements, expose us to government interference, or otherwise restrict or completely hinder our ability to offer securities and raise capitals outside China, all of which could materially and adversely affect our business, and cause the value of our securities to significantly decline or become worthless.”</w:t>
      </w:r>
    </w:p>
    <w:p>
      <w:pPr>
        <w:spacing w:after="0" w:line="188"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 nor any securities commission of any state of the United States has approved or disapproved the securities offered hereby or determined if this prospectus is truthful or complete. Any representation to the contrary is a criminal offence.</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date of this prospectus is                 ,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0" w:type="dxa"/>
            <w:vAlign w:val="bottom"/>
            <w:gridSpan w:val="3"/>
          </w:tcPr>
          <w:p>
            <w:pPr>
              <w:ind w:left="7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120" w:type="dxa"/>
            <w:vAlign w:val="bottom"/>
          </w:tcPr>
          <w:p>
            <w:pPr>
              <w:spacing w:after="0"/>
              <w:rPr>
                <w:sz w:val="20"/>
                <w:szCs w:val="20"/>
                <w:color w:val="auto"/>
              </w:rPr>
            </w:pPr>
          </w:p>
        </w:tc>
      </w:tr>
      <w:tr>
        <w:trPr>
          <w:trHeight w:val="439"/>
        </w:trPr>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112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216"/>
        </w:trPr>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196"/>
        </w:trPr>
        <w:tc>
          <w:tcPr>
            <w:tcW w:w="2240" w:type="dxa"/>
            <w:vAlign w:val="bottom"/>
            <w:tcBorders>
              <w:bottom w:val="single" w:sz="8" w:color="0000EE"/>
            </w:tcBorders>
            <w:gridSpan w:val="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ABOUT THIS PROSPECTUS</w:t>
            </w:r>
          </w:p>
        </w:tc>
        <w:tc>
          <w:tcPr>
            <w:tcW w:w="7880" w:type="dxa"/>
            <w:vAlign w:val="bottom"/>
            <w:tcBorders>
              <w:bottom w:val="single" w:sz="8" w:color="CCEEFF"/>
            </w:tcBorders>
            <w:gridSpan w:val="13"/>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1</w:t>
            </w:r>
          </w:p>
        </w:tc>
      </w:tr>
      <w:tr>
        <w:trPr>
          <w:trHeight w:val="176"/>
        </w:trPr>
        <w:tc>
          <w:tcPr>
            <w:tcW w:w="10120" w:type="dxa"/>
            <w:vAlign w:val="bottom"/>
            <w:gridSpan w:val="22"/>
          </w:tcPr>
          <w:p>
            <w:pPr>
              <w:spacing w:after="0" w:line="17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11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2</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3920" w:type="dxa"/>
            <w:vAlign w:val="bottom"/>
            <w:tcBorders>
              <w:bottom w:val="single" w:sz="8" w:color="0000EE"/>
            </w:tcBorders>
            <w:gridSpan w:val="1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DOCUMENTS INCORPORATED BY REFERENCE</w:t>
            </w:r>
          </w:p>
        </w:tc>
        <w:tc>
          <w:tcPr>
            <w:tcW w:w="6200" w:type="dxa"/>
            <w:vAlign w:val="bottom"/>
            <w:tcBorders>
              <w:bottom w:val="single" w:sz="8" w:color="CCEEFF"/>
            </w:tcBorders>
            <w:gridSpan w:val="3"/>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3</w:t>
            </w:r>
          </w:p>
        </w:tc>
      </w:tr>
      <w:tr>
        <w:trPr>
          <w:trHeight w:val="175"/>
        </w:trPr>
        <w:tc>
          <w:tcPr>
            <w:tcW w:w="10120" w:type="dxa"/>
            <w:vAlign w:val="bottom"/>
            <w:gridSpan w:val="22"/>
          </w:tcPr>
          <w:p>
            <w:pPr>
              <w:spacing w:after="0" w:line="176" w:lineRule="exact"/>
              <w:rPr>
                <w:sz w:val="20"/>
                <w:szCs w:val="20"/>
                <w:color w:val="auto"/>
              </w:rPr>
            </w:pPr>
            <w:r>
              <w:rPr>
                <w:rFonts w:ascii="Times New Roman" w:cs="Times New Roman" w:eastAsia="Times New Roman" w:hAnsi="Times New Roman"/>
                <w:sz w:val="18"/>
                <w:szCs w:val="18"/>
                <w:color w:val="0000EE"/>
              </w:rPr>
              <w:t>SUMMARY</w:t>
            </w:r>
          </w:p>
        </w:tc>
        <w:tc>
          <w:tcPr>
            <w:tcW w:w="11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4</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1260" w:type="dxa"/>
            <w:vAlign w:val="bottom"/>
            <w:tcBorders>
              <w:bottom w:val="single" w:sz="8" w:color="0000EE"/>
            </w:tcBorders>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7"/>
              </w:rPr>
              <w:t>RISK FACTORS</w:t>
            </w:r>
          </w:p>
        </w:tc>
        <w:tc>
          <w:tcPr>
            <w:tcW w:w="8860" w:type="dxa"/>
            <w:vAlign w:val="bottom"/>
            <w:tcBorders>
              <w:bottom w:val="single" w:sz="8" w:color="CCEEFF"/>
            </w:tcBorders>
            <w:gridSpan w:val="19"/>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5</w:t>
            </w:r>
          </w:p>
        </w:tc>
      </w:tr>
      <w:tr>
        <w:trPr>
          <w:trHeight w:val="176"/>
        </w:trPr>
        <w:tc>
          <w:tcPr>
            <w:tcW w:w="10120" w:type="dxa"/>
            <w:vAlign w:val="bottom"/>
            <w:gridSpan w:val="22"/>
          </w:tcPr>
          <w:p>
            <w:pPr>
              <w:spacing w:after="0" w:line="176" w:lineRule="exact"/>
              <w:rPr>
                <w:sz w:val="20"/>
                <w:szCs w:val="20"/>
                <w:color w:val="auto"/>
              </w:rPr>
            </w:pPr>
            <w:r>
              <w:rPr>
                <w:rFonts w:ascii="Times New Roman" w:cs="Times New Roman" w:eastAsia="Times New Roman" w:hAnsi="Times New Roman"/>
                <w:sz w:val="18"/>
                <w:szCs w:val="18"/>
                <w:color w:val="0000EE"/>
              </w:rPr>
              <w:t>CAUTIONARY STATEMENT REGARDING FORWARD-LOOKING STATEMENTS</w:t>
            </w:r>
          </w:p>
        </w:tc>
        <w:tc>
          <w:tcPr>
            <w:tcW w:w="11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11</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340" w:type="dxa"/>
            <w:vAlign w:val="bottom"/>
            <w:tcBorders>
              <w:top w:val="single" w:sz="8" w:color="0000EE"/>
            </w:tcBorders>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2780" w:type="dxa"/>
            <w:vAlign w:val="bottom"/>
            <w:tcBorders>
              <w:bottom w:val="single" w:sz="8" w:color="0000EE"/>
            </w:tcBorders>
            <w:gridSpan w:val="1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EXCHANGE RATE INFORMATION</w:t>
            </w:r>
          </w:p>
        </w:tc>
        <w:tc>
          <w:tcPr>
            <w:tcW w:w="7340" w:type="dxa"/>
            <w:vAlign w:val="bottom"/>
            <w:tcBorders>
              <w:bottom w:val="single" w:sz="8" w:color="CCEEFF"/>
            </w:tcBorders>
            <w:gridSpan w:val="11"/>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12</w:t>
            </w:r>
          </w:p>
        </w:tc>
      </w:tr>
      <w:tr>
        <w:trPr>
          <w:trHeight w:val="176"/>
        </w:trPr>
        <w:tc>
          <w:tcPr>
            <w:tcW w:w="10120" w:type="dxa"/>
            <w:vAlign w:val="bottom"/>
            <w:gridSpan w:val="22"/>
          </w:tcPr>
          <w:p>
            <w:pPr>
              <w:spacing w:after="0" w:line="176" w:lineRule="exact"/>
              <w:rPr>
                <w:sz w:val="20"/>
                <w:szCs w:val="20"/>
                <w:color w:val="auto"/>
              </w:rPr>
            </w:pPr>
            <w:r>
              <w:rPr>
                <w:rFonts w:ascii="Times New Roman" w:cs="Times New Roman" w:eastAsia="Times New Roman" w:hAnsi="Times New Roman"/>
                <w:sz w:val="18"/>
                <w:szCs w:val="18"/>
                <w:color w:val="0000EE"/>
              </w:rPr>
              <w:t>USE OF PROCEEDS</w:t>
            </w:r>
          </w:p>
        </w:tc>
        <w:tc>
          <w:tcPr>
            <w:tcW w:w="11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12</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10120" w:type="dxa"/>
            <w:vAlign w:val="bottom"/>
            <w:gridSpan w:val="2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PRICE RANGE OF COMMON SHARES AND TRADING MARKETS</w:t>
            </w:r>
          </w:p>
        </w:tc>
        <w:tc>
          <w:tcPr>
            <w:tcW w:w="11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12</w:t>
            </w:r>
          </w:p>
        </w:tc>
      </w:tr>
      <w:tr>
        <w:trPr>
          <w:trHeight w:val="175"/>
        </w:trPr>
        <w:tc>
          <w:tcPr>
            <w:tcW w:w="5260" w:type="dxa"/>
            <w:vAlign w:val="bottom"/>
            <w:tcBorders>
              <w:top w:val="single" w:sz="8" w:color="0000EE"/>
            </w:tcBorders>
            <w:gridSpan w:val="20"/>
          </w:tcPr>
          <w:p>
            <w:pPr>
              <w:spacing w:after="0" w:line="176" w:lineRule="exact"/>
              <w:rPr>
                <w:sz w:val="20"/>
                <w:szCs w:val="20"/>
                <w:color w:val="auto"/>
              </w:rPr>
            </w:pPr>
            <w:r>
              <w:rPr>
                <w:rFonts w:ascii="Times New Roman" w:cs="Times New Roman" w:eastAsia="Times New Roman" w:hAnsi="Times New Roman"/>
                <w:sz w:val="18"/>
                <w:szCs w:val="18"/>
                <w:color w:val="0000EE"/>
              </w:rPr>
              <w:t>DESCRIPTION OF COMMON SHARES</w:t>
            </w:r>
          </w:p>
        </w:tc>
        <w:tc>
          <w:tcPr>
            <w:tcW w:w="4860" w:type="dxa"/>
            <w:vAlign w:val="bottom"/>
            <w:tcBorders>
              <w:top w:val="single" w:sz="8" w:color="CCEEFF"/>
            </w:tcBorders>
            <w:gridSpan w:val="2"/>
          </w:tcPr>
          <w:p>
            <w:pPr>
              <w:spacing w:after="0"/>
              <w:rPr>
                <w:sz w:val="15"/>
                <w:szCs w:val="15"/>
                <w:color w:val="auto"/>
              </w:rPr>
            </w:pPr>
          </w:p>
        </w:tc>
        <w:tc>
          <w:tcPr>
            <w:tcW w:w="112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13</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3260" w:type="dxa"/>
            <w:vAlign w:val="bottom"/>
            <w:tcBorders>
              <w:bottom w:val="single" w:sz="8" w:color="0000EE"/>
            </w:tcBorders>
            <w:gridSpan w:val="1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DESCRIPTION OF PREFERRED SHARES</w:t>
            </w:r>
          </w:p>
        </w:tc>
        <w:tc>
          <w:tcPr>
            <w:tcW w:w="6860" w:type="dxa"/>
            <w:vAlign w:val="bottom"/>
            <w:tcBorders>
              <w:bottom w:val="single" w:sz="8" w:color="CCEEFF"/>
            </w:tcBorders>
            <w:gridSpan w:val="7"/>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18</w:t>
            </w:r>
          </w:p>
        </w:tc>
      </w:tr>
      <w:tr>
        <w:trPr>
          <w:trHeight w:val="176"/>
        </w:trPr>
        <w:tc>
          <w:tcPr>
            <w:tcW w:w="10120" w:type="dxa"/>
            <w:vAlign w:val="bottom"/>
            <w:gridSpan w:val="22"/>
          </w:tcPr>
          <w:p>
            <w:pPr>
              <w:spacing w:after="0" w:line="176" w:lineRule="exact"/>
              <w:rPr>
                <w:sz w:val="20"/>
                <w:szCs w:val="20"/>
                <w:color w:val="auto"/>
              </w:rPr>
            </w:pPr>
            <w:r>
              <w:rPr>
                <w:rFonts w:ascii="Times New Roman" w:cs="Times New Roman" w:eastAsia="Times New Roman" w:hAnsi="Times New Roman"/>
                <w:sz w:val="18"/>
                <w:szCs w:val="18"/>
                <w:color w:val="0000EE"/>
              </w:rPr>
              <w:t>DESCRIPTION OF WARRANTS</w:t>
            </w:r>
          </w:p>
        </w:tc>
        <w:tc>
          <w:tcPr>
            <w:tcW w:w="11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19</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3040" w:type="dxa"/>
            <w:vAlign w:val="bottom"/>
            <w:tcBorders>
              <w:bottom w:val="single" w:sz="8" w:color="0000EE"/>
            </w:tcBorders>
            <w:gridSpan w:val="1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DESCRIPTION OF DEBT SECURITIES</w:t>
            </w:r>
          </w:p>
        </w:tc>
        <w:tc>
          <w:tcPr>
            <w:tcW w:w="7080" w:type="dxa"/>
            <w:vAlign w:val="bottom"/>
            <w:tcBorders>
              <w:bottom w:val="single" w:sz="8" w:color="CCEEFF"/>
            </w:tcBorders>
            <w:gridSpan w:val="10"/>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20</w:t>
            </w:r>
          </w:p>
        </w:tc>
      </w:tr>
      <w:tr>
        <w:trPr>
          <w:trHeight w:val="176"/>
        </w:trPr>
        <w:tc>
          <w:tcPr>
            <w:tcW w:w="10120" w:type="dxa"/>
            <w:vAlign w:val="bottom"/>
            <w:gridSpan w:val="22"/>
          </w:tcPr>
          <w:p>
            <w:pPr>
              <w:spacing w:after="0" w:line="176" w:lineRule="exact"/>
              <w:rPr>
                <w:sz w:val="20"/>
                <w:szCs w:val="20"/>
                <w:color w:val="auto"/>
              </w:rPr>
            </w:pPr>
            <w:r>
              <w:rPr>
                <w:rFonts w:ascii="Times New Roman" w:cs="Times New Roman" w:eastAsia="Times New Roman" w:hAnsi="Times New Roman"/>
                <w:sz w:val="18"/>
                <w:szCs w:val="18"/>
                <w:color w:val="0000EE"/>
              </w:rPr>
              <w:t>DESCRIPTION OF RIGHTS</w:t>
            </w:r>
          </w:p>
        </w:tc>
        <w:tc>
          <w:tcPr>
            <w:tcW w:w="11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28</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10120" w:type="dxa"/>
            <w:vAlign w:val="bottom"/>
            <w:gridSpan w:val="2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DESCRIPTION OF DEPOSITARY SHARES</w:t>
            </w:r>
          </w:p>
        </w:tc>
        <w:tc>
          <w:tcPr>
            <w:tcW w:w="11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29</w:t>
            </w:r>
          </w:p>
        </w:tc>
      </w:tr>
      <w:tr>
        <w:trPr>
          <w:trHeight w:val="175"/>
        </w:trPr>
        <w:tc>
          <w:tcPr>
            <w:tcW w:w="3320" w:type="dxa"/>
            <w:vAlign w:val="bottom"/>
            <w:tcBorders>
              <w:top w:val="single" w:sz="8" w:color="0000EE"/>
            </w:tcBorders>
            <w:gridSpan w:val="16"/>
          </w:tcPr>
          <w:p>
            <w:pPr>
              <w:spacing w:after="0" w:line="176" w:lineRule="exact"/>
              <w:rPr>
                <w:sz w:val="20"/>
                <w:szCs w:val="20"/>
                <w:color w:val="auto"/>
              </w:rPr>
            </w:pPr>
            <w:r>
              <w:rPr>
                <w:rFonts w:ascii="Times New Roman" w:cs="Times New Roman" w:eastAsia="Times New Roman" w:hAnsi="Times New Roman"/>
                <w:sz w:val="18"/>
                <w:szCs w:val="18"/>
                <w:color w:val="0000EE"/>
              </w:rPr>
              <w:t>DESCRIPTION OF UNITS</w:t>
            </w:r>
          </w:p>
        </w:tc>
        <w:tc>
          <w:tcPr>
            <w:tcW w:w="6800" w:type="dxa"/>
            <w:vAlign w:val="bottom"/>
            <w:tcBorders>
              <w:top w:val="single" w:sz="8" w:color="CCEEFF"/>
            </w:tcBorders>
            <w:gridSpan w:val="6"/>
          </w:tcPr>
          <w:p>
            <w:pPr>
              <w:spacing w:after="0"/>
              <w:rPr>
                <w:sz w:val="15"/>
                <w:szCs w:val="15"/>
                <w:color w:val="auto"/>
              </w:rPr>
            </w:pPr>
          </w:p>
        </w:tc>
        <w:tc>
          <w:tcPr>
            <w:tcW w:w="112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32</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2060" w:type="dxa"/>
            <w:vAlign w:val="bottom"/>
            <w:tcBorders>
              <w:bottom w:val="single" w:sz="8" w:color="0000EE"/>
            </w:tcBorders>
            <w:gridSpan w:val="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PLAN OF DISTRIBUTION</w:t>
            </w:r>
          </w:p>
        </w:tc>
        <w:tc>
          <w:tcPr>
            <w:tcW w:w="8060" w:type="dxa"/>
            <w:vAlign w:val="bottom"/>
            <w:tcBorders>
              <w:bottom w:val="single" w:sz="8" w:color="CCEEFF"/>
            </w:tcBorders>
            <w:gridSpan w:val="15"/>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32</w:t>
            </w:r>
          </w:p>
        </w:tc>
      </w:tr>
      <w:tr>
        <w:trPr>
          <w:trHeight w:val="176"/>
        </w:trPr>
        <w:tc>
          <w:tcPr>
            <w:tcW w:w="10120" w:type="dxa"/>
            <w:vAlign w:val="bottom"/>
            <w:gridSpan w:val="22"/>
          </w:tcPr>
          <w:p>
            <w:pPr>
              <w:spacing w:after="0" w:line="176" w:lineRule="exact"/>
              <w:rPr>
                <w:sz w:val="20"/>
                <w:szCs w:val="20"/>
                <w:color w:val="auto"/>
              </w:rPr>
            </w:pPr>
            <w:r>
              <w:rPr>
                <w:rFonts w:ascii="Times New Roman" w:cs="Times New Roman" w:eastAsia="Times New Roman" w:hAnsi="Times New Roman"/>
                <w:sz w:val="18"/>
                <w:szCs w:val="18"/>
                <w:color w:val="0000EE"/>
              </w:rPr>
              <w:t>CERTAIN INCOME TAX CONSIDERATIONS</w:t>
            </w:r>
          </w:p>
        </w:tc>
        <w:tc>
          <w:tcPr>
            <w:tcW w:w="11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33</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3220" w:type="dxa"/>
            <w:vAlign w:val="bottom"/>
            <w:tcBorders>
              <w:bottom w:val="single" w:sz="8" w:color="0000EE"/>
            </w:tcBorders>
            <w:gridSpan w:val="1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ENFORCEMENT OF CIVIL LIABILITIES</w:t>
            </w:r>
          </w:p>
        </w:tc>
        <w:tc>
          <w:tcPr>
            <w:tcW w:w="6900" w:type="dxa"/>
            <w:vAlign w:val="bottom"/>
            <w:tcBorders>
              <w:bottom w:val="single" w:sz="8" w:color="CCEEFF"/>
            </w:tcBorders>
            <w:gridSpan w:val="8"/>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33</w:t>
            </w:r>
          </w:p>
        </w:tc>
      </w:tr>
      <w:tr>
        <w:trPr>
          <w:trHeight w:val="176"/>
        </w:trPr>
        <w:tc>
          <w:tcPr>
            <w:tcW w:w="10120" w:type="dxa"/>
            <w:vAlign w:val="bottom"/>
            <w:gridSpan w:val="22"/>
          </w:tcPr>
          <w:p>
            <w:pPr>
              <w:spacing w:after="0" w:line="176" w:lineRule="exact"/>
              <w:rPr>
                <w:sz w:val="20"/>
                <w:szCs w:val="20"/>
                <w:color w:val="auto"/>
              </w:rPr>
            </w:pPr>
            <w:r>
              <w:rPr>
                <w:rFonts w:ascii="Times New Roman" w:cs="Times New Roman" w:eastAsia="Times New Roman" w:hAnsi="Times New Roman"/>
                <w:sz w:val="18"/>
                <w:szCs w:val="18"/>
                <w:color w:val="0000EE"/>
              </w:rPr>
              <w:t>EXPERTS</w:t>
            </w:r>
          </w:p>
        </w:tc>
        <w:tc>
          <w:tcPr>
            <w:tcW w:w="11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34</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75"/>
        </w:trPr>
        <w:tc>
          <w:tcPr>
            <w:tcW w:w="10120" w:type="dxa"/>
            <w:vAlign w:val="bottom"/>
            <w:gridSpan w:val="2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LEGAL MATTERS</w:t>
            </w:r>
          </w:p>
        </w:tc>
        <w:tc>
          <w:tcPr>
            <w:tcW w:w="11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34</w:t>
            </w:r>
          </w:p>
        </w:tc>
      </w:tr>
      <w:tr>
        <w:trPr>
          <w:trHeight w:val="21"/>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378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588645</wp:posOffset>
            </wp:positionV>
            <wp:extent cx="7127875" cy="595312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27875" cy="5953125"/>
                    </a:xfrm>
                    <a:prstGeom prst="rect">
                      <a:avLst/>
                    </a:prstGeom>
                    <a:noFill/>
                  </pic:spPr>
                </pic:pic>
              </a:graphicData>
            </a:graphic>
          </wp:anchor>
        </w:drawing>
        <w:t>ABOUT THIS PROSPECTUS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This prospectus is a part of a registration statement that we have filed with the SEC utilizing a “shelf” registration process. Under this shelf registration process, we may sell the securities described in this prospectus in one or more offerings up to a total dollar amount of initial aggregate offering price of US$80,000,000. This prospectus provides you with a general description of the securities that we may offer. Each time we sell securities under this process, we will provide a prospectus supplement that will contain specific information about the terms of that offering, including a description of any risks relating to the offering if those terms and risks are not described in this prospectus. A prospectus supplement may also add, update, or change information contained in this prospectus. If there is any inconsistency between the information in this prospectus and the applicable prospectus supplement, you should rely on the information in the prospectus supplement.</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Before investing in our securities, please carefully read both this prospectus and any prospectus supplement together with the documents incorporated by reference into this prospectus, as listed under “Documents Incorporated by Reference,” and the additional information described below under “Where You Can Find More Information.”</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may sell securities to or through underwriters or dealers, and we may also sell securities directly to other purchasers or through agents. To the extent not described in this prospectus, the names of any underwriters, dealers, or agents employed by us in the sale of the securities covered by this prospectus, the principal amounts or number of shares or other securities, if any, to be purchased by such underwriters or dealers, and the compensation, if any, of such underwriters, dealers, or agents will be described in a prospectus supplement.</w:t>
      </w:r>
    </w:p>
    <w:p>
      <w:pPr>
        <w:spacing w:after="0" w:line="176"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Owning securities may subject you to tax consequences in the United States. This prospectus or any applicable prospectus supplement may not describe these tax consequences fully. You should read the tax discussion in any prospectus supplement with respect to a particular offering and consult your own tax advisor with respect to your own particular circumstances.</w:t>
      </w:r>
    </w:p>
    <w:p>
      <w:pPr>
        <w:spacing w:after="0" w:line="17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You should rely only on the information contained in or incorporated by reference into this prospectus or a prospectus supplement. We have not authorized anyone to provide you with different information. If anyone provides you with different or inconsistent information, you should not rely on it. The distribution or possession of this prospectus in or from certain jurisdictions may be restricted by law. This prospectus is not an offer to sell the securities and is not soliciting an offer to buy the securities in any jurisdiction where the offer or sale is not permitted or where the person making the offer or sale is not qualified to do so or to any person to whom it is not permitted to make such offer or sale. You should assume that the information contained in this prospectus and in any applicable prospectus supplement is accurate only as of the date on the front cover of this prospectus or prospectus supplement, as applicable, and the information incorporated by reference into this prospectus or any prospectus supplement is accurate only as of the date of the document incorporated by reference. Our business, financial condition, results of operations and prospects may have changed since that date.</w:t>
      </w:r>
    </w:p>
    <w:p>
      <w:pPr>
        <w:spacing w:after="0" w:line="18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This prospectus and the documents incorporated by reference into this prospectus contain company names, product names, trade names, trademarks and service marks of CLPS and other organizations, all of which are the property of their respective owners. We own or have rights to trademarks, service marks or trade names that we use in connection with the operation of our business. Solely for convenience, the trademarks, service marks, tradenames and copyrights referred to in this prospectus are listed without the ©, ® and TM symbols, but we will assert, to the fullest extent under applicable law, our rights or the rights of the applicable licensors to these trademarks, service marks and tradenames.</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this prospectus, unless the context otherwise requires, references to “CLPS,” the “company,” “we,” “us” or “our” refer to CLPS Incorporation.</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10795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40"/>
          </w:cols>
          <w:pgMar w:left="420" w:top="1157" w:right="4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588645</wp:posOffset>
            </wp:positionV>
            <wp:extent cx="7127875" cy="307276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27875" cy="3072765"/>
                    </a:xfrm>
                    <a:prstGeom prst="rect">
                      <a:avLst/>
                    </a:prstGeom>
                    <a:noFill/>
                  </pic:spPr>
                </pic:pic>
              </a:graphicData>
            </a:graphic>
          </wp:anchor>
        </w:drawing>
        <w:t>WHERE YOU CAN FIND MORE INFORMATION</w:t>
      </w:r>
    </w:p>
    <w:p>
      <w:pPr>
        <w:spacing w:after="0" w:line="229" w:lineRule="exact"/>
        <w:rPr>
          <w:sz w:val="20"/>
          <w:szCs w:val="20"/>
          <w:color w:val="auto"/>
        </w:rPr>
      </w:pPr>
    </w:p>
    <w:p>
      <w:pPr>
        <w:jc w:val="both"/>
        <w:ind w:right="20" w:firstLine="648"/>
        <w:spacing w:after="0" w:line="289" w:lineRule="auto"/>
        <w:rPr>
          <w:sz w:val="20"/>
          <w:szCs w:val="20"/>
          <w:color w:val="auto"/>
        </w:rPr>
      </w:pPr>
      <w:r>
        <w:rPr>
          <w:rFonts w:ascii="Times New Roman" w:cs="Times New Roman" w:eastAsia="Times New Roman" w:hAnsi="Times New Roman"/>
          <w:sz w:val="17"/>
          <w:szCs w:val="17"/>
          <w:color w:val="auto"/>
        </w:rPr>
        <w:t>We have filed with the SEC a registration statement on Form F-3, of which this prospectus forms a part. This prospectus does not contain all the information set out in the registration statement. For further information about us and the securities, please refer to the registration statement, including the exhibits to the registration statement. The exhibits to the registration statement provide more details of the matters discussed in this prospectus.</w:t>
      </w:r>
    </w:p>
    <w:p>
      <w:pPr>
        <w:spacing w:after="0" w:line="15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We are subject to the informational requirements of the Securities Exchange Act of 1934, or the Exchange Act, and we file reports and other information with the SEC. You may read and copy any of our reports and other information at, and obtain copies upon payment of prescribed fees from, the Public Reference Room maintained by the SEC at 100 F Street, N.E., Washington, DC 20549. In addition, the SEC maintains a web site that contains reports and other information regarding registrants that file electronically with the SEC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 The public may obtain information on the operation of the Public Reference Room by calling the SEC at 1-800-SEC-0330.</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a foreign private issuer, we are exempt under the Exchange Act from, among other things, certain rules prescribing the furnishing and content of proxy statements, and our executive officers, directors and principal shareholders are exempt from the reporting and short-swing profit recovery provisions contained in Section 16 of the Exchange Act. In addition, we are not required under the Exchange Act to file periodic reports and financial statements with the SEC as frequently or as promptly as U.S. companies whose securities are registered under the Exchange Act.</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Our principal executive office is located at Unit 1102, 11th Floor, Millennium City III, 370 Kwun Tong Road, Kwun Tong, Kowloon, Hong Kong SAR. Our telephone number is (852) 37073600. Our website is as follows www.clpsglobal.com. </w:t>
      </w:r>
      <w:r>
        <w:rPr>
          <w:rFonts w:ascii="Times New Roman" w:cs="Times New Roman" w:eastAsia="Times New Roman" w:hAnsi="Times New Roman"/>
          <w:sz w:val="18"/>
          <w:szCs w:val="18"/>
          <w:b w:val="1"/>
          <w:bCs w:val="1"/>
          <w:color w:val="auto"/>
        </w:rPr>
        <w:t>The information on our website is not part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this prospectus.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10795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40"/>
          </w:cols>
          <w:pgMar w:left="420" w:top="1157" w:right="4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588645</wp:posOffset>
            </wp:positionV>
            <wp:extent cx="7127875" cy="47186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27875" cy="4718685"/>
                    </a:xfrm>
                    <a:prstGeom prst="rect">
                      <a:avLst/>
                    </a:prstGeom>
                    <a:noFill/>
                  </pic:spPr>
                </pic:pic>
              </a:graphicData>
            </a:graphic>
          </wp:anchor>
        </w:drawing>
        <w:t>DOCUMENTS INCORPORATED BY REFERENCE</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SEC allows us to “incorporate by reference” into this prospectus the documents we file with, or furnish to, them, which means that we can disclose important information to you by referring you to these documents. The information that we incorporate by reference into this prospectus forms a part of this prospectus, and information that we file later with the SEC automatically updates and supersedes any information in this prospectus. We incorporate by reference into this prospectus the documents listed below:</w:t>
      </w:r>
    </w:p>
    <w:p>
      <w:pPr>
        <w:spacing w:after="0" w:line="180" w:lineRule="exact"/>
        <w:rPr>
          <w:sz w:val="20"/>
          <w:szCs w:val="20"/>
          <w:color w:val="auto"/>
        </w:rPr>
      </w:pPr>
    </w:p>
    <w:p>
      <w:pPr>
        <w:ind w:left="800" w:hanging="145"/>
        <w:spacing w:after="0"/>
        <w:tabs>
          <w:tab w:leader="none" w:pos="8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w:t>
      </w:r>
      <w:hyperlink r:id="rId21">
        <w:r>
          <w:rPr>
            <w:rFonts w:ascii="Times New Roman" w:cs="Times New Roman" w:eastAsia="Times New Roman" w:hAnsi="Times New Roman"/>
            <w:sz w:val="18"/>
            <w:szCs w:val="18"/>
            <w:u w:val="single" w:color="auto"/>
            <w:color w:val="0000EE"/>
          </w:rPr>
          <w:t>Form 20-F</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fiscal years ended June 30, 2021;</w:t>
      </w:r>
    </w:p>
    <w:p>
      <w:pPr>
        <w:spacing w:after="0" w:line="225" w:lineRule="exact"/>
        <w:rPr>
          <w:rFonts w:ascii="Times New Roman" w:cs="Times New Roman" w:eastAsia="Times New Roman" w:hAnsi="Times New Roman"/>
          <w:sz w:val="18"/>
          <w:szCs w:val="18"/>
          <w:color w:val="auto"/>
        </w:rPr>
      </w:pPr>
    </w:p>
    <w:p>
      <w:pPr>
        <w:jc w:val="both"/>
        <w:ind w:firstLine="655"/>
        <w:spacing w:after="0" w:line="266" w:lineRule="auto"/>
        <w:tabs>
          <w:tab w:leader="none" w:pos="80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our shares set forth in our registration statement on </w:t>
      </w:r>
      <w:hyperlink r:id="rId22">
        <w:r>
          <w:rPr>
            <w:rFonts w:ascii="Times New Roman" w:cs="Times New Roman" w:eastAsia="Times New Roman" w:hAnsi="Times New Roman"/>
            <w:sz w:val="18"/>
            <w:szCs w:val="18"/>
            <w:u w:val="single" w:color="auto"/>
            <w:color w:val="0000EE"/>
          </w:rPr>
          <w:t>Form F-1</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(File No. 333-223956) filed with the SEC on March 27, 2018 and declared effective on May 23, 2018, and our </w:t>
      </w:r>
      <w:hyperlink r:id="rId23">
        <w:r>
          <w:rPr>
            <w:rFonts w:ascii="Times New Roman" w:cs="Times New Roman" w:eastAsia="Times New Roman" w:hAnsi="Times New Roman"/>
            <w:sz w:val="18"/>
            <w:szCs w:val="18"/>
            <w:u w:val="single" w:color="auto"/>
            <w:color w:val="0000EE"/>
          </w:rPr>
          <w:t>Form 8-A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filed with the SEC on May 22, 2018, including any amendment or report filed for the purpose of updating that description; and</w:t>
      </w:r>
    </w:p>
    <w:p>
      <w:pPr>
        <w:spacing w:after="0" w:line="175" w:lineRule="exact"/>
        <w:rPr>
          <w:rFonts w:ascii="Times New Roman" w:cs="Times New Roman" w:eastAsia="Times New Roman" w:hAnsi="Times New Roman"/>
          <w:sz w:val="18"/>
          <w:szCs w:val="18"/>
          <w:color w:val="auto"/>
        </w:rPr>
      </w:pPr>
    </w:p>
    <w:p>
      <w:pPr>
        <w:ind w:firstLine="655"/>
        <w:spacing w:after="0" w:line="282" w:lineRule="auto"/>
        <w:tabs>
          <w:tab w:leader="none" w:pos="852"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Report of Foreign Private Issuer on Form 6-K furnished to the SEC on </w:t>
      </w:r>
      <w:hyperlink r:id="rId24">
        <w:r>
          <w:rPr>
            <w:rFonts w:ascii="Times New Roman" w:cs="Times New Roman" w:eastAsia="Times New Roman" w:hAnsi="Times New Roman"/>
            <w:sz w:val="18"/>
            <w:szCs w:val="18"/>
            <w:u w:val="single" w:color="auto"/>
            <w:color w:val="0000EE"/>
          </w:rPr>
          <w:t>December 15, 2021</w:t>
        </w:r>
      </w:hyperlink>
      <w:r>
        <w:rPr>
          <w:rFonts w:ascii="Times New Roman" w:cs="Times New Roman" w:eastAsia="Times New Roman" w:hAnsi="Times New Roman"/>
          <w:sz w:val="18"/>
          <w:szCs w:val="18"/>
          <w:color w:val="auto"/>
        </w:rPr>
        <w:t xml:space="preserve">, </w:t>
      </w:r>
      <w:hyperlink r:id="rId25">
        <w:r>
          <w:rPr>
            <w:rFonts w:ascii="Times New Roman" w:cs="Times New Roman" w:eastAsia="Times New Roman" w:hAnsi="Times New Roman"/>
            <w:sz w:val="18"/>
            <w:szCs w:val="18"/>
            <w:u w:val="single" w:color="auto"/>
            <w:color w:val="0000EE"/>
          </w:rPr>
          <w:t>March 7</w:t>
        </w:r>
      </w:hyperlink>
      <w:r>
        <w:rPr>
          <w:rFonts w:ascii="Times New Roman" w:cs="Times New Roman" w:eastAsia="Times New Roman" w:hAnsi="Times New Roman"/>
          <w:sz w:val="18"/>
          <w:szCs w:val="18"/>
          <w:color w:val="auto"/>
        </w:rPr>
        <w:t xml:space="preserve">, </w:t>
      </w:r>
      <w:hyperlink r:id="rId26">
        <w:r>
          <w:rPr>
            <w:rFonts w:ascii="Times New Roman" w:cs="Times New Roman" w:eastAsia="Times New Roman" w:hAnsi="Times New Roman"/>
            <w:sz w:val="18"/>
            <w:szCs w:val="18"/>
            <w:u w:val="single" w:color="auto"/>
            <w:color w:val="0000EE"/>
          </w:rPr>
          <w:t>April 7</w:t>
        </w:r>
      </w:hyperlink>
      <w:r>
        <w:rPr>
          <w:rFonts w:ascii="Times New Roman" w:cs="Times New Roman" w:eastAsia="Times New Roman" w:hAnsi="Times New Roman"/>
          <w:sz w:val="18"/>
          <w:szCs w:val="18"/>
          <w:color w:val="auto"/>
        </w:rPr>
        <w:t xml:space="preserve">, and </w:t>
      </w:r>
      <w:hyperlink r:id="rId27">
        <w:r>
          <w:rPr>
            <w:rFonts w:ascii="Times New Roman" w:cs="Times New Roman" w:eastAsia="Times New Roman" w:hAnsi="Times New Roman"/>
            <w:sz w:val="18"/>
            <w:szCs w:val="18"/>
            <w:u w:val="single" w:color="auto"/>
            <w:color w:val="0000EE"/>
          </w:rPr>
          <w:t>May 23, 2022</w:t>
        </w:r>
      </w:hyperlink>
      <w:r>
        <w:rPr>
          <w:rFonts w:ascii="Times New Roman" w:cs="Times New Roman" w:eastAsia="Times New Roman" w:hAnsi="Times New Roman"/>
          <w:sz w:val="18"/>
          <w:szCs w:val="18"/>
          <w:color w:val="auto"/>
        </w:rPr>
        <w:t>, respectively.</w:t>
      </w:r>
    </w:p>
    <w:p>
      <w:pPr>
        <w:spacing w:after="0" w:line="162" w:lineRule="exact"/>
        <w:rPr>
          <w:rFonts w:ascii="Times New Roman" w:cs="Times New Roman" w:eastAsia="Times New Roman" w:hAnsi="Times New Roman"/>
          <w:sz w:val="18"/>
          <w:szCs w:val="18"/>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All documents filed by us pursuant to Sections 13(a), 13(c), 14 or 15(d) of the Exchange Act subsequent to the date of the initial filing of this registration statement and prior to effectiveness of the registration statement that contains this prospectus and prior to the termination of the offering of the securities offered by this prospectus are incorporated by reference into this prospectus and form part of this prospectus from the date of filing or furnishing of these documents. Any documents that we furnish to the SEC on Form 6-K subsequent to the date of this prospectus will be incorporated by reference into this prospectus only to the extent specifically set forth in the Form 6-K.</w:t>
      </w:r>
    </w:p>
    <w:p>
      <w:pPr>
        <w:spacing w:after="0" w:line="183" w:lineRule="exact"/>
        <w:rPr>
          <w:rFonts w:ascii="Times New Roman" w:cs="Times New Roman" w:eastAsia="Times New Roman" w:hAnsi="Times New Roman"/>
          <w:sz w:val="18"/>
          <w:szCs w:val="18"/>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Any statement contained in a document incorporated by reference into this prospectus shall be deemed to be modified or superseded for purposes of this prospectus to the extent that a statement contained in this prospectus, in one of those other documents or in any other later filed document that is also incorporated by reference into this prospectus modifies or supersedes that statement. Any such statement so modified shall not be deemed, except as so modified, to constitute a part of this prospectus. Any such statement so superseded shall be deemed not to constitute a part of this prospectus.</w:t>
      </w:r>
    </w:p>
    <w:p>
      <w:pPr>
        <w:spacing w:after="0" w:line="183" w:lineRule="exact"/>
        <w:rPr>
          <w:rFonts w:ascii="Times New Roman" w:cs="Times New Roman" w:eastAsia="Times New Roman" w:hAnsi="Times New Roman"/>
          <w:sz w:val="18"/>
          <w:szCs w:val="18"/>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Any person receiving a copy of this prospectus, including any beneficial owner, may obtain without charge, upon written or oral request, a copy of any of the documents incorporated by reference into this prospectus, except for the exhibits to those documents unless the exhibits are specifically incorporated by reference into those documents. Requests should be directed to our principal executive office, Unit 1102, 11th Floor, Millennium City III, 370 Kwun Tong Road, Kwun Tong, Kowloon, Hong Kong SAR.</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57"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-57785</wp:posOffset>
            </wp:positionH>
            <wp:positionV relativeFrom="paragraph">
              <wp:posOffset>10795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40"/>
          </w:cols>
          <w:pgMar w:left="420" w:top="1157" w:right="4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219075</wp:posOffset>
            </wp:positionH>
            <wp:positionV relativeFrom="page">
              <wp:posOffset>588010</wp:posOffset>
            </wp:positionV>
            <wp:extent cx="7118985" cy="49930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9">
                      <a:extLst>
                        <a:ext uri="{28A0092B-C50C-407E-A947-70E740481C1C}"/>
                      </a:extLst>
                    </a:blip>
                    <a:srcRect/>
                    <a:stretch>
                      <a:fillRect/>
                    </a:stretch>
                  </pic:blipFill>
                  <pic:spPr bwMode="auto">
                    <a:xfrm>
                      <a:off x="0" y="0"/>
                      <a:ext cx="7118985" cy="4993005"/>
                    </a:xfrm>
                    <a:prstGeom prst="rect">
                      <a:avLst/>
                    </a:prstGeom>
                    <a:noFill/>
                  </pic:spPr>
                </pic:pic>
              </a:graphicData>
            </a:graphic>
          </wp:anchor>
        </w:drawing>
        <w:t>SUMMARY</w:t>
      </w:r>
    </w:p>
    <w:p>
      <w:pPr>
        <w:spacing w:after="0" w:line="227" w:lineRule="exact"/>
        <w:rPr>
          <w:sz w:val="20"/>
          <w:szCs w:val="20"/>
          <w:color w:val="auto"/>
        </w:rPr>
      </w:pPr>
    </w:p>
    <w:p>
      <w:pPr>
        <w:jc w:val="both"/>
        <w:ind w:firstLine="630"/>
        <w:spacing w:after="0" w:line="261" w:lineRule="auto"/>
        <w:rPr>
          <w:sz w:val="20"/>
          <w:szCs w:val="20"/>
          <w:color w:val="auto"/>
        </w:rPr>
      </w:pPr>
      <w:r>
        <w:rPr>
          <w:rFonts w:ascii="Times New Roman" w:cs="Times New Roman" w:eastAsia="Times New Roman" w:hAnsi="Times New Roman"/>
          <w:sz w:val="18"/>
          <w:szCs w:val="18"/>
          <w:i w:val="1"/>
          <w:iCs w:val="1"/>
          <w:color w:val="auto"/>
        </w:rPr>
        <w:t>This summary does not contain all of the information about our company that may be important to you and your investment decision. You should carefully read the entire prospectus and the applicable prospectus supplement, including the section entitled “Risk Factors” as well as the risk factors described in the documents incorporated by reference into this prospectus and the applicable prospectus supplement, before making an investment decision.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Company</w:t>
      </w:r>
    </w:p>
    <w:p>
      <w:pPr>
        <w:spacing w:after="0" w:line="229" w:lineRule="exact"/>
        <w:rPr>
          <w:sz w:val="20"/>
          <w:szCs w:val="20"/>
          <w:color w:val="auto"/>
        </w:rPr>
      </w:pPr>
    </w:p>
    <w:p>
      <w:pPr>
        <w:jc w:val="both"/>
        <w:ind w:firstLine="630"/>
        <w:spacing w:after="0" w:line="258" w:lineRule="auto"/>
        <w:rPr>
          <w:sz w:val="20"/>
          <w:szCs w:val="20"/>
          <w:color w:val="auto"/>
        </w:rPr>
      </w:pPr>
      <w:r>
        <w:rPr>
          <w:rFonts w:ascii="Times New Roman" w:cs="Times New Roman" w:eastAsia="Times New Roman" w:hAnsi="Times New Roman"/>
          <w:sz w:val="18"/>
          <w:szCs w:val="18"/>
          <w:color w:val="auto"/>
        </w:rPr>
        <w:t>We are a global information technology (“IT”), consulting and solutions service provider focused on delivering services to global institutions in banking, insurance and financial sectors, both in China (hereinafter defined as the People’s Republic of China including Hong Kong SAR and Macau SAR) and globally. For more than ten years, we have served as an IT solutions provider to a growing network of clients in the global financial industry, including large financial institutions in the US, Europe, Australia and Hong Kong and their PRC-based IT centers. We have created and developed a particular market niche by providing turn-key financial solution.</w:t>
      </w:r>
    </w:p>
    <w:p>
      <w:pPr>
        <w:spacing w:after="0" w:line="183" w:lineRule="exact"/>
        <w:rPr>
          <w:sz w:val="20"/>
          <w:szCs w:val="20"/>
          <w:color w:val="auto"/>
        </w:rPr>
      </w:pPr>
    </w:p>
    <w:p>
      <w:pPr>
        <w:jc w:val="both"/>
        <w:ind w:firstLine="630"/>
        <w:spacing w:after="0" w:line="253" w:lineRule="auto"/>
        <w:rPr>
          <w:sz w:val="20"/>
          <w:szCs w:val="20"/>
          <w:color w:val="auto"/>
        </w:rPr>
      </w:pPr>
      <w:r>
        <w:rPr>
          <w:rFonts w:ascii="Times New Roman" w:cs="Times New Roman" w:eastAsia="Times New Roman" w:hAnsi="Times New Roman"/>
          <w:sz w:val="18"/>
          <w:szCs w:val="18"/>
          <w:color w:val="auto"/>
        </w:rPr>
        <w:t>CLPS Incorporation was incorporated under the laws of the Cayman Islands on May 11, 2017. Since our inception, we have aimed to build one of the largest sales and service delivery platforms for IT services and solutions in China. The nature of our services is such that we provide a majority of services to our banking and credit card clients in order to build new or modify existing clients’ own proprietary systems. We are fully committed to provide digital transformation services with focus on information technology in the banking, wealth management, e-commerce, and automotive industries, among others, through the utilization of innovative technology to achieve our client’s goals. We maintain 19 delivery and/or R&amp;D centers, of which 11 are located in Mainland China (hereinafter defined as the People’s Republic of China excluding Hong Kong SAR and Macau SAR) including Shanghai, Beijing, Dalian, Tianjin, Baoding, Xi’an, Chengdu, Guangzhou, Shenzhen, Hangzhou, and Hainan and eight are located globally (Hong Kong SAR, the United States, the Philippines, Japan, Singapore, Malaysia, Australia, and India.) By combining onsite (when we send our team to our client) or onshore (when we send our team to client’s overseas location) support and consulting with scalable and high-efficiency offsite (when we send our team to a location other than client’s location) or offshore (when we send our team to a location that is other than a client’s location overseas) services and processing, we are able to meet client demands in a cost-effective manner while retaining significant operational flexibility. By serving both Chinese and global clients on a common platform, we are able to leverage the shared resources, management, industry expertise and technological know-how to attract new business and remain cost competitive.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229" w:lineRule="exact"/>
        <w:rPr>
          <w:sz w:val="20"/>
          <w:szCs w:val="20"/>
          <w:color w:val="auto"/>
        </w:rPr>
      </w:pPr>
    </w:p>
    <w:p>
      <w:pPr>
        <w:jc w:val="both"/>
        <w:ind w:firstLine="630"/>
        <w:spacing w:after="0" w:line="266" w:lineRule="auto"/>
        <w:rPr>
          <w:sz w:val="20"/>
          <w:szCs w:val="20"/>
          <w:color w:val="auto"/>
        </w:rPr>
      </w:pPr>
      <w:r>
        <w:rPr>
          <w:rFonts w:ascii="Times New Roman" w:cs="Times New Roman" w:eastAsia="Times New Roman" w:hAnsi="Times New Roman"/>
          <w:sz w:val="18"/>
          <w:szCs w:val="18"/>
          <w:color w:val="auto"/>
        </w:rPr>
        <w:t xml:space="preserve">Our principal executive office is located at Unit 1102, 11th Floor, Millennium City III, 370 Kwun Tong Road, Kwun Tong, Kowloon, Hong Kong SAR. Our telephone number is (851) 37073600. Our website is as follows www.clpsglobal.com. </w:t>
      </w:r>
      <w:r>
        <w:rPr>
          <w:rFonts w:ascii="Times New Roman" w:cs="Times New Roman" w:eastAsia="Times New Roman" w:hAnsi="Times New Roman"/>
          <w:sz w:val="18"/>
          <w:szCs w:val="18"/>
          <w:b w:val="1"/>
          <w:bCs w:val="1"/>
          <w:color w:val="auto"/>
        </w:rPr>
        <w:t>The information on our website is not part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this filing.</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10795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20"/>
          </w:cols>
          <w:pgMar w:left="440" w:top="1157" w:right="4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An investment in our securities involves a high degree of risk and should be considered speculative. An investment in our securities should only be undertaken by those persons who can afford the total loss of their investment. In addition to the risk factors below, you should carefully consider the risks and uncertainties described under “Item 3D. Risk Factors” in our Annual Report on Form 20-F for the fiscal year ended June 30, 2021, which section is incorporated by reference herein, and the other information contained in this prospectus, as updated by our subsequent filings under the Exchange Act and the risk factors and other information contained in any applicable prospectus supplement, before purchasing any of our securities. Additional risks and uncertainties not presently known to us or that we believe to be immaterial may also adversely affect our business. If any of these risks actually occur, our business, financial condition, prospects, results of operations or cash flow could be materially and adversely affected and you could lose all or a part of the value of your investment.</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Changes in general economic conditions, geopolitical conditions, U.S.-China trade relations and other factors beyond the Company’s control may adversely impact our business and operating results.</w:t>
      </w:r>
    </w:p>
    <w:p>
      <w:pPr>
        <w:spacing w:after="0" w:line="15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Company’s operations and performance depend significantly on global and regional economic and geopolitical conditions. Changes in U.S.-China trade policies, and a number of other economic and geopolitical factors both in China and abroad could have a material adverse effect on the Company’s business, financial condition, results of operations or cash flows. Such factors may include, without limitation:</w:t>
      </w:r>
    </w:p>
    <w:p>
      <w:pPr>
        <w:spacing w:after="0" w:line="176" w:lineRule="exact"/>
        <w:rPr>
          <w:sz w:val="20"/>
          <w:szCs w:val="20"/>
          <w:color w:val="auto"/>
        </w:rPr>
      </w:pPr>
    </w:p>
    <w:p>
      <w:pPr>
        <w:jc w:val="both"/>
        <w:ind w:left="980" w:hanging="324"/>
        <w:spacing w:after="0" w:line="266" w:lineRule="auto"/>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instability in political or economic conditions, including but not limited to inflation, recession, foreign currency exchange restrictions and devaluations, restrictive governmental controls on the movement and repatriation of earnings and capital, and actual or anticipated military or political conflicts, particularly in emerging markets;</w:t>
      </w:r>
    </w:p>
    <w:p>
      <w:pPr>
        <w:spacing w:after="0" w:line="17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intergovernmental conflicts or actions, including but not limited to armed conflict, trade wars, retaliatory tariffs, and acts of terrorism or war; and</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interruptions to the Company’s business with its largest customers, distributors and suppliers resulting from but not limited to, strikes, financial instabilities, computer malfunctions or cybersecurity incidents, inventory excesses, natural disasters or other disasters such as fires, floods, earthquakes, hurricanes or explosions.</w:t>
      </w:r>
    </w:p>
    <w:p>
      <w:pPr>
        <w:spacing w:after="0" w:line="176"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Any of the foregoing or similar factors could result in reduced demand for our services which, in turn, could have material adverse effects on our business and results of operations.</w:t>
      </w:r>
    </w:p>
    <w:p>
      <w:pPr>
        <w:spacing w:after="0" w:line="158"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The Holding Foreign Companies Accountable Act could result in delisting of our common stock from Nasdaq Capital Market and lack of a readily available market for our common stock.</w:t>
      </w:r>
    </w:p>
    <w:p>
      <w:pPr>
        <w:spacing w:after="0" w:line="15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On December 18, 2020, the Holding Foreign Companies Accountable Act ("HFCAA") became law. Among other things, the HFCAA requires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 to identify public companies that have retained a registered public accounting firm to issue an audit report where that firm has a branch or office that:</w:t>
      </w:r>
    </w:p>
    <w:p>
      <w:pPr>
        <w:spacing w:after="0" w:line="9" w:lineRule="exact"/>
        <w:rPr>
          <w:sz w:val="20"/>
          <w:szCs w:val="20"/>
          <w:color w:val="auto"/>
        </w:rPr>
      </w:pPr>
    </w:p>
    <w:p>
      <w:pPr>
        <w:jc w:val="both"/>
        <w:ind w:firstLine="8"/>
        <w:spacing w:after="0" w:line="251" w:lineRule="auto"/>
        <w:tabs>
          <w:tab w:leader="none" w:pos="262"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located in a foreign jurisdiction, and (2) the Public Company Accounting Oversight Board (“PCAOB”) has determined that it is unable to inspect or investigate completely because of a position taken by an authority in the foreign jurisdiction. PCAOB has identified several public accounting firms in China and Hong Kong SAR that PCAOB cannot inspect or investigate completely because of a position taken by that foreign government. The PCAOB has oversight authority over public accounting firms that audit financial results of companies subject to the Securities Exchange Act of 1934 (the “Exchange Act”). On December 16, 2021, PCAOB issued the HFCAA Determination Report, which includes a list of those public accounting firms located outside the U.S. that PCAOB is unable to inspect or investigate completely because of a position taken by an authority in the foreign jurisdiction (each a “Listed Auditor”). Our auditor, Ernst &amp; Yong Hua Ming LLP (the “Auditor”), for our 2021 fiscal year audit and currently our public auditor is a Listed Auditor subject to the determinations announced by the PCAOB on December 16, 2021. Our Auditor is located in China.</w:t>
      </w:r>
    </w:p>
    <w:p>
      <w:pPr>
        <w:spacing w:after="0" w:line="19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HFCAA states if the SEC determines that we have filed audit reports issued by a registered public accounting firm that has not been subject to inspection by PCAOB for three consecutive years beginning in 2021, being a Listed Auditor, the SEC shall prohibit our shares from being traded on a national securities exchange or in the over-the counter trading market in the U.S. Accordingly, under the current law this could happen in 2024. On December 2, 2021, the SEC adopted final amendments to its rules implementing the HFCAA (the “Final Amendments”). The Final Amendments include requirements to disclose information, including the auditor name and location, the percentage of shares of the issuer owned by governmental entities, whether governmental entities in the applicable foreign jurisdiction with respect to the auditor has a controlling financial interest with respect to the issuer, the name of each official of the Chinese Communist Party who is a member of the board of the issuer, and whether the articles of incorporation of the issuer contains any charter of the Chinese Communist Party, including the text of any such charter.</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 w:name="page9"/>
    <w:bookmarkEnd w:id="8"/>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SEC publishes a list of Exchange Act reporting companies that retain a Listed Auditor that has issued an audit report for a fiscal year (each company listed is a “Commission Identified Issuer” for purposes of HFCAA). If a Commission Identified Issuer has a Listed Auditor issue audit reports for three consecutive fiscal years, being 2021, 2022 and 2023, then the SEC will impose an initial trading ban on the publicly traded securities of the Commission Identified Issuer in early 2024, which trading ban can be lifted if Commission Identified Issuer retains a public auditor that is not a Listed Auditor and that public auditor issues an audit report for a fiscal year for the Commission Identified Issuer. The SEC’s role at this stage of the process is solely to identify issuers that have used Listed Auditors to audit their financial statements.</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Auditor is the independent registered public accounting firm that issues the audit report included elsewhere in our Form 20-F and conducts the audit of our annual financial results. As an auditor of a company that has its stock traded publicly in the United States, our Auditor is registered with and supervised by the PCAOB and is subject to laws in the United States. Under those laws, the PCAOB conducts regular inspections or audits to assess public accounting firms acting as auditors, including our Auditor, compliance with the applicable PCAOB rules and professional standards. Since our Auditor is located in China, a jurisdiction where the PCAOB has been unable to conduct audits and inspections completely without the approval of the Chinese authorities, our Auditor is not currently audited or inspected completely by the PCAOB and is consequently a Listed Auditor.</w:t>
      </w:r>
    </w:p>
    <w:p>
      <w:pPr>
        <w:spacing w:after="0" w:line="18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inability of the PCAOB to conduct unfettered inspections of public accounting firms in Mainland China and Hong Kong SAR, including our Auditor, prevents the PCAOB from fully evaluating audits and quality control procedures of our Auditor. This lack of full audit and inspection effectively deprives investors in our Common Stock of the benefits of PCAOB oversight and inspections. The inability of the PCAOB to conduct inspections of auditors in China and Hong Kong SAR makes it more difficult to evaluate the effectiveness of our Auditor’s audit procedures or quality control procedures as compared to auditors outside of Mainland China and Hong Kong SAR that are subject to complete audit and investigation by the PCAOB. This limitation on PCAOB audit and inspection could cause investors and potential investors in our Common Stock to lose confidence in our audit procedures and reported financial information and the quality of our financial statements. This lack or loss of confidence could also not only cause investors to avoid trading our Common Stock or sell positions in our Common Stock, but could also undermine efforts of the Company to secure equity or debt financing, hinder any efforts to up-list the Common Stock to a national securities exchange, adversely influence the decision of third parties to conduct business with our company, or have other adverse business or financial consequences. Trading in our securities may be prohibited under the HFCAA if PCAOB determines that it cannot inspect or investigate completely our Auditor, and that as a result, Nasdaq may determine to delist our securities.</w:t>
      </w:r>
    </w:p>
    <w:p>
      <w:pPr>
        <w:spacing w:after="0" w:line="18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There are uncertainties with respect to regulatory cooperation between PCAOB and Chinese regulators under the Statement of Protocol signed by the PCAOB and the CSRC of the People’s Republic of China on August 26, 2022.</w:t>
      </w:r>
    </w:p>
    <w:p>
      <w:pPr>
        <w:spacing w:after="0" w:line="15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On August 26, 2022, the PCAOB signed a Statement of Protocol with the China Securities Regulatory Commission and the Ministry of Finance of the People’s Republic of China, taking the first step toward opening access for the PCAOB to inspect and investigate registered public accounting firms headquartered in Mainland China and Hong Kong. Having made the determinations in 2021 that the positions taken by PRC authorities prevented the PCAOB from inspecting and investigating in Mainland China and Hong Kong completely, the PCAOB is now required to reassess its determinations with regard to inspecting and investigating in Mainland China and Hong Kong by the end of 2022. We have noted the positive progress and will closely follow the development under the Statement of Protocol. However, there are uncertainties with respect to regulatory cooperation between the PCAOB and the Chinese regulators.</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light of an independent auditor’s settlement with the SEC on September 29, 2022 for allegedly asking its clients to select their own samples for testing and to prepare audit documentation to show that the independent auditor itself had gotten and evaluated the supporting evidence for certain clients’ accounting entries, our independent auditor has never asked us to select our own samples for testing or to prepare audit documentation to show that our independent auditor itself had gotten and evaluated the supporting evidence for our accounting entries.</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When the PCAOB reassesses its determinations by the end of 2022, it could determine that it is still unable to inspect and investigate completely audit firms based in China and Hong Kong; as a result, we may be delisted by Nasdaq in accordance with HFCAA.</w:t>
      </w:r>
    </w:p>
    <w:p>
      <w:pPr>
        <w:spacing w:after="0" w:line="15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Under the current version of HFCAA, an SEC ban on trading shares of Common Stock in the U.S. could take place in early 2024 if we have a Listed Auditor (a public auditor that cannot be completely audited and investigated by the PCAOB for three consecutive fiscal years (being 2021, 2022 and 2023)). If this happens, there is no certainty that we will be able to list or otherwise trade our shares on a non-U.S. exchange or that a market for our shares of Common Stock will develop outside of the U.S. The ban on trading of our shares in, or the threat of their being banned from trading in, the U.S. may materially and adversely affect the value of our Shareholders’ investment.</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If the Company is subject to a trading ban in the United States, it may be unable to list its Common Stock on a non-U.S. public stock market, or even if listed on a non-U.S. public stock market, that the Common Stock would enjoy any liquidity or investor support. As such, the Common Stock may be difficult to establish or be unable to be established on a foreign public stock market or quotation system. The absence of a public market for the Common Stock could render the shares of Common Stock an illiquid, potentially worthless investment.</w:t>
      </w:r>
    </w:p>
    <w:p>
      <w:pPr>
        <w:spacing w:after="0" w:line="18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HFCAA or other efforts to increase U.S. regulatory access to audit information could cause investor uncertainty for affected issuers, like our company, and the market price of the shares could be adversely affected. Additionally, whether the PCAOB will be able to conduct inspections of our Auditor before the issuance of our financial statements to be included in our Form 20-F for the fiscal year 2023 or at all, is subject to substantial uncertainty and depends on factors out of our control and our Auditor’s control. If our Auditor is unable to be inspected in time, and we do not engage a public auditor who is not a Listed Auditor prior to the 2023 annual audit, we could be delisted from the Nasdaq Capital Market in 2024 and not eligible for trading on other tiers of the over the counter markets. A ban on trading of our Common Stock would substantially impair your ability to sell or purchase our shares when you wish to do so, and the risk and uncertainty associated with the ban would have a negative impact on the price of our shares of Common Stock. The ban on trading would also significantly affect our ability to raise capital on terms acceptable to us, or at all, which would have a material adverse impact on our business, financial condition, and prospects. If our shares are prohibited from trading in the U.S., there is no certainty that we will be able to list on a non-U.S. exchange or that a market for our shares will develop outside of the U.S.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437" w:gutter="0" w:footer="0" w:header="0"/>
        </w:sectPr>
      </w:pPr>
    </w:p>
    <w:bookmarkStart w:id="9" w:name="page10"/>
    <w:bookmarkEnd w:id="9"/>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While the Company intends to engage an auditor who is audited and investigated completely by the PCAOB in prior to fiscal year 2023, the Company has not engaged such an auditor as of the date of Form F-3. The Company, as a smaller reporting company, may experience delays or difficulties in engaging a public auditor who can be audited and investigated completely by the PCAOB and also audit our operations, which operations are located in Mainland China and Hong Kong SAR.</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Efforts to increase U.S. Regulatory access to information about companies in China or Hong Kong SAR in order to enhance transparency for investors in U.S. corporations traded on U.S. stock markets but with substantial operations in China or Hong Kong SAR, like the Company, and Chinese opposition and reaction to those U.S. efforts could foster additional measures to restrict access to U.S. capital markets by such corporations or expedite delisting of securities of such corporations from U.S. stock markets and quotation systems. The potential enactment of the Accelerating Holding Foreign Companies Accountable Act, if it is enacted into law in the U.S., would decrease the number of non-inspection years from three to two years under HFCAA, thus reducing the time period before our shares of Common Stock may be banned from being traded in the U.S. If this bill were enacted as proposed, and we have a Listed Auditor for fiscal years 2021 and 2022, our shares may be banned from trading in the U.S. in early 2023, not early 2024.</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June 22, 2021, the U.S. Senate passed a bill known as the Accelerating Holding Foreign Companies Accountable Act, to amend Section 104(i) of the Sarbanes-Oxley Act of 2002 (15 U.S.C. 7214(i)) (“Proposed Law”) to prohibit securities of any registrant from being listed on any of the U.S. securities exchanges or traded over-the-counter if the auditor of the registrant’s financial statements is not subject to PCAOB investigation and inspection completely for two consecutive years, instead of three consecutive years as currently provided in the HFCAA.</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February 4, 2022, the U.S. House of Representatives passed the America Competes Act of 2022 which includes the same amendments as the bill passed by the Senate. The America Competes Act, however, includes a broader range of legislation not related to the HFCAA in response to the U.S. Innovation and Competition Act passed by the Senate in 2021. The U.S. House of Representatives and U.S. Senate will need to agree on amendments to these respective bills to align the legislation and pass their amended bills before the U.S. President can sign into law. It is unclear when the U.S. Senate and U.S. House of Representatives will resolve the differences in the U.S. Innovation and Competition Act and the America Competes Act of 2022 bills currently passed, or when the U.S. President will sign the bill to make the amendment into law, if at all. In the case that the bill becomes the law, it may reduce the time period before our shares could be prohibited from trading in the U.S. from 2024 to 2023. Company is not certain as of the date of this Form F-3 of when and if the Proposed Law will become law and applicable to public companies like our company.</w:t>
      </w:r>
    </w:p>
    <w:p>
      <w:pPr>
        <w:spacing w:after="0" w:line="18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the Company becomes directly subject to the recent scrutiny, criticism and negative publicity involving U.S.-listed Chinese/Hong Kong SAR companies, we may have to expend significant resources to investigate and resolve the matters. Any unfavorable results from the investigations could harm our business operations and our reputation.</w:t>
      </w:r>
    </w:p>
    <w:p>
      <w:pPr>
        <w:spacing w:after="0" w:line="17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In 2021 and onwards, U.S. public companies with operations based in China have been subjects of intense scrutiny, criticism and negative publicity by investors, financial commentators and regulatory agencies, such as the SEC and certain members of Congress. Much of the scrutiny, criticism and negative publicity has centered on alleged financial and accounting irregularities, lack of effective internal control over financial reporting, inadequate corporate governance and ineffective implementation thereof and, in many cases, allegations of fraud. As a result of enhanced scrutiny, criticism and negative publicity, the publicly traded stocks of many U.S.-listed Chinese companies have decreased in value and, in some cases, have become virtually worthless or illiquid. Shareholder lawsuits and SEC investigations and enforcement actions can be fostered by intense, negative public focus on Chinese or Hong Kong SAR based companies. The Company does not believe that it is subject to any of these allegations, investigations or enforcement actions as of the date of this Form F-3. If the Company becomes a subject of any unfavorable allegations, whether such allegations are proven to be true or untrue, the Company will have to expend significant resources to investigate such allegations and defend the Company. If such allegations were not proven to be baseless, the Company would be severely hampered and the price of the stock of the Company could decline substantially. If such allegations were proven to be groundless, the investigation might have significantly distracted the attention of the Company’s management. The mere commencement of an investigation by a regulator, like the SEC, even without evidence of any misconduct or violation of laws, can undermine investor confidence in the Company as an investment and do so even if the investigation finds no misconduct or violations of laws or regulations. Regulator investigations can take months or longer to resolve and can require considerable resources of a company to adequately respond to such. investigations.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i w:val="1"/>
          <w:iCs w:val="1"/>
          <w:color w:val="auto"/>
        </w:rPr>
        <w:t>The recent government regulation of business activities of U.S.-listed Chinese companies may negatively impact our operations.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Chinese regulatory authorities issued Opinions on Strictly Cracking Down on Illegal Securities Activities, which were available to the public on July 6, 2021, which further emphasized their goal to strengthen the cross-border regulatory collaboration, to improve relevant laws and regulations on data security, cross-border data transmission, and confidential information management, and provided that efforts will be made to revise the regulations on strengthening the confidentiality and file management relating to the offering and listing of securities overseas, to implement the responsibility on information security of overseas listed companies, and to strengthen the standardized management of cross-border information provision mechanisms and procedures. These opinions are issued in mid-2021, and there were no known further explanations or detailed rules or regulations with respect to such opinions, and there are still uncertainties regarding the interpretation and implementation of these opinions. China intends to improve regulation of cross-border data flows and security, crack down on illegal activity in the securities market and punish fraudulent securities issuance, market manipulation and insider trading. China will also check sources of funding for securities investment and control leverage ratios. If the Chinese government’s regulatory involvement expands and we become subject to that expanded involvement, our operations may be negatively impacted, although, as of the date of this Form F-3, there is no known regulatory involvement of the nature described in this paragraph and there is no discernible immediate impact on our company under the recent regulatory developments described in this paragraph.</w:t>
      </w:r>
    </w:p>
    <w:p>
      <w:pPr>
        <w:spacing w:after="0" w:line="19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We face various risks and uncertainties relating to doing business in Mainland China and Hong Kong SAR. Our business operations are primarily conducted in Mainland China and Hong Kong SAR, and we are subject to complex and evolving Chinese and Hong Kong SAR laws and regulations. For example, the Anti-monopoly Law of the People's Republic of China (Revised in 2022) (“Anti-monopoly Law”) came into effect on August 1, 2022. The “monopolistic practices” defined by the Anti-monopoly Law include (a) the conclusion of a monopolistic agreement; (b) the abuse of dominant market positions; and (c) the concentration that eliminates or restricts competition or may eliminate or restrict competition. Based on Company’s China and global market share, the Company does not have a dominant market position that enables the Company to restrict or eliminate the competition. China promulgated several laws and regulations on data security and personal information protections in the last two years, mainly the Data Security Law of the People's Republic of China (“Data Security Law”), which came into effect on September 1, 2021, and the Personal Information Protection Law of the People's Republic of China (“PIP Law”), which came into effect on November 1, 2021. In the Company's day-to-day business operations, sensitive customer data and personal information will not be received from the Company's clients. The legal consequence of this fact is that neither the Data Security Law or the PIP Law applies to the Company’s business activities in China. And we also face risks associated with regulatory approvals on offshore offerings, as well as the lack of inspection on our Auditor by the PCAOB, which may impact our ability to conduct certain businesses, accept foreign investments, or list and conduct offerings on a United States or other foreign exchange. These risks could result in a material adverse change in our operations and the value of our shares of Common Stock, significantly limit or completely hinder our ability to continue to offer securities to investors, or cause the value of our Common Stock to decline.</w:t>
      </w:r>
    </w:p>
    <w:p>
      <w:pPr>
        <w:spacing w:after="0" w:line="192"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Uncertainties with respect to the PRC legal system, including uncertainties regarding the enforcement of laws, and sudden or unexpected changes in policies, laws and regulations in China, could adversely affect us.</w:t>
      </w:r>
    </w:p>
    <w:p>
      <w:pPr>
        <w:spacing w:after="0" w:line="15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PRC legal system is based on written statutes and court decisions that have limited precedential value. The PRC legal system is evolving rapidly, and therefore the interpretations and enforcement of many laws, regulations and rules may contain inconsistencies and uncertainties.</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From time to time, we may have to resort to administrative and court proceedings to enforce our legal rights. However, since PRC judicial and administrative authorities have significant discretion in interpreting and implementing statutory and contractual terms, it may be more difficult to predict the outcome of a judicial or administrative proceeding than in more developed legal systems. Furthermore, the PRC legal system is based, in part, on government policies and internal rules, some of which are not published in a timely manner, or at all, but which may have retroactive effect. As a result, we may not always be aware of any potential violation of these policies and rules. These uncertainties may impede our contractual, property and procedural rights, which could adversely affect our business, financial condition and results of operations.</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PRC government has significant oversight and discretion over the conduct of our business and may intervene with or influence our operations as the government deems appropriate to further regulatory, political and societal goals. The PRC government has recently published new policies that significantly affected certain industries such as the education and internet industries, and we cannot rule out the possibility that it will in the future release regulations or policies regarding our industry that could adversely affect our business, financial condition and results of operations. Furthermore, the PRC government has also recently indicated an intent to exert more oversight and control over securities offerings and other capital markets activities that are conducted overseas and foreign investment in China-based companies like us. Any such action, once taken by the PRC government, could significantly limit or completely hinder our ability to offer or continue to offer securities to investors and cause the value of such securities to significantly decline or in extreme cases, become worthless.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Permissions Required from the PRC Authorities for Our Operations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conduct our business primarily through our subsidiaries in China. Our operations in China are governed by PRC laws and regulations. As of the date of this Form F-3, our PRC subsidiaries have obtained the requisite licenses and permits from the PRC government authorities that are material for the business operations of our subsidiaries in China, including, Business license, the Human Resource Services License. Given the uncertainties of interpretation and implementation of relevant laws and regulations and the enforcement practice by relevant government authorities, we may be required to obtain additional licenses, permits, filings or approvals for the services in the future.</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1" w:name="page12"/>
    <w:bookmarkEnd w:id="11"/>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Furthermore, in connection with our issuance of securities to foreign investors, under current PRC laws, regulations and regulatory rules, as of the date of this Form F-3, we, our PRC subsidiaries, (i) are not required to obtain permissions from the China Securities Regulatory Commission, or the CSRC,</w:t>
      </w:r>
    </w:p>
    <w:p>
      <w:pPr>
        <w:ind w:firstLine="8"/>
        <w:spacing w:after="0" w:line="260" w:lineRule="auto"/>
        <w:tabs>
          <w:tab w:leader="none" w:pos="27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not required to go through cybersecurity review by the Cyberspace Administration of China, or the CAC, and (iii) have not been asked to obtain such permissions by any PRC authority.</w:t>
      </w:r>
    </w:p>
    <w:p>
      <w:pPr>
        <w:spacing w:after="0" w:line="181"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However, the PRC government has recently indicated an intent to exert more oversight and control over offerings that are conducted overseas and/or foreign investment in China-based issuers.</w:t>
      </w:r>
    </w:p>
    <w:p>
      <w:pPr>
        <w:spacing w:after="0" w:line="16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If any of our Company, our subsidiaries do not receive or maintain the requisite permissions or approvals for our operations, or inadvertently conclude that such permissions or approvals are not required, the relevant PRC regulatory authorities would have broad discretion in dealing with such violations or failures, including imposing fines, confiscating our incomes and products that are deemed to have been obtained through illegal operations, and discontinuing or restricting our operations. It could result in substantial additional costs, adversely affect our ability to conduct our business, compete with other companies, our financial performance and negatively affect investors’ confidence in our financial performance and business prospects. Even if such permissions or approvals are ultimately granted, we may not successfully maintain or renew them and they may be withdrawn. Since applicable laws, regulations, or interpretations for the permissions or approvals may change and we may be required to obtain additional permissions or approvals in the future, we cannot assure you that we may obtain such permissions or approvals in a timely manner, or at all. It could result in a material change in our operations and we may be required to recall some of our current or future products, or even to partially suspend or totally shut down our production. In addition, regulatory changes may relax certain requirements that could benefit our competitors or lower market entry barriers and increase competition. Furthermore, it could significantly limit or completely hinder our ability to offer or continue to offer securities to investors and cause the value of our securities to significantly decline or become worthless.</w:t>
      </w:r>
    </w:p>
    <w:p>
      <w:pPr>
        <w:spacing w:after="0" w:line="18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filing, approval or other administrative requirements of the CSRC or other PRC government authorities may be required to maintain our listing status or conduct future offshore securities or debt offerings.</w:t>
      </w:r>
    </w:p>
    <w:p>
      <w:pPr>
        <w:spacing w:after="0" w:line="15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PRC government authorities may strengthen oversight over offerings that are conducted overseas and/or foreign investment in overseas-listed China-based issuers like us from time to time. Such actions taken by the PRC government authorities may intervene our operations at any time, which are beyond our control. For instance, the relevant PRC governments promulgated the Opinions on Strictly Cracking Down on Illegal Securities Activities, among which, it is mentioned that the administration and supervision of overseas-listed China-based companies will be strengthened, and the special provisions of the State Council on overseas issuance and listing of shares by such companies will be revised, clarifying the responsibilities of domestic industry competent authorities and regulatory authorities. However, due to lack of further interpretations or applications from the competent authorities on such opinions, there are still uncertainties regarding the interpretation and implementation of these opinions, and any new rules or regulations promulgated in the future may impose additional requirements on us.</w:t>
      </w:r>
    </w:p>
    <w:p>
      <w:pPr>
        <w:spacing w:after="0" w:line="19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On December 24, 2021, the CSRC published the draft Regulations of the State Council on the Administration of Overseas Issuance and Listing of Securities by Domestic Companies (Draft for Comments) (the “Administrative Provisions”) and the draft Measures for the Record-Filing of Overseas Issuance and Listing of Securities by Domestic Companies (Draft for Comments) (the “Filing Measures”) for public comments till January 23, 2022. Pursuant to these drafts, a filing-based regulatory system will be applied to both “direct overseas offering and listing” and “indirect overseas offering and listing” of PRC domestic companies. The “indirect overseas offering and listing” of PRC domestic companies refers to such securities offering and listing in an overseas market made in the name of an offshore entity, but based on the underlying equity, assets, earnings or other similar rights of a domestic company which operates its main business domestically. If the issuer meets the following conditions, the offering and listing shall be determined as an indirect overseas offering and listing by a domestic company: (i) the total assets, net assets, revenues or profits of the domestic operating entity or entities of the issuer in the most recent accounting year account for more than 50% of the corresponding figure in the issuer’s audited consolidated financial statements for the same period; (ii) most of the senior managers in charge of business operation and management of the issuer are Chinese citizens or have domicile in China, and its main places of business are located in China or main business activities are conducted in China. As of the date of this Form F-3, it remains uncertain when the final Administrative Provisions and Filing Measures will be adopted and whether they will be adopted in the current draft form. If the Administrative Provisions and Filing Measures are adopted in the current form, we may be required to file the relevant documents with the CSRC within three business days after submitting our listing application documents to the relevant regulator in the place of intended listing, and complete the filing procedures with the CSRC in connection with such future offshore securities offering. Failure to complete the filing under the Administrative Provisions and Filing Measures may subject a PRC domestic company to a warning and a fine of RMB1 million to RMB10 million. In the event of a serious violation of the Administrative Provisions, the PRC domestic company may be ordered to discontinue the related business or suspend its operations for rectification, and its permits or business licenses may be revoked.</w:t>
      </w:r>
    </w:p>
    <w:p>
      <w:pPr>
        <w:spacing w:after="0" w:line="19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Furthermore, on April 2, 2022, the CSRC published the draft Provisions on Strengthening the Confidentiality and Archives Management Related to Overseas Issuance and Listing of Securities by Domestic Companies (Draft for Comments), or the Draft Confidentiality and Archives Management Provisions, for public comments. Pursuant to the Draft Confidentiality and Archives Management Provisions, PRC domestic companies that seek to offer and list securities in overseas markets shall establish confidentiality and archives system. The PRC domestic companies shall obtain approval from the competent authority and file with the confidential administration department at the same level when providing or publicly disclosing documents and materials related to state secrets or secrets of the governmental authorities to the relevant securities companies, securities service agencies or the offshore regulatory authorities or providing or publicly disclosing such documents and materials through its offshore listing entity, and shall complete corresponding procedures when providing or publicly disclosing documents and materials which may adversely influence national security and the public interest to the relevant securities companies, securities service agencies or the offshore regulatory authorities or providing or publicly disclosing such documents and materials through its offshore listing entity. The PRC domestic companies shall provide written statements on the implementation on the aforementioned rules to the relevant securities companies and securities service agencies and the PRC domestic companies shall not provide accounting files to an overseas accounting firm unless such firm comply with the corresponding procedures. As of the date of this Form F-3, the Draft Confidentiality and Archives Management Provisions were released for public comments only and the final version and effective date of such regulations are subject to change with substantial uncertainty.</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437" w:gutter="0" w:footer="0" w:header="0"/>
        </w:sectPr>
      </w:pPr>
    </w:p>
    <w:bookmarkStart w:id="12" w:name="page13"/>
    <w:bookmarkEnd w:id="12"/>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If the CSRC or other PRC regulatory authorities subsequently determine that we need to obtain their approval or complete the required filing or other administrative procedures for any future offshore securities offering or other financing activities, or if such government authorities promulgate any interpretation or implement rules that would require us to obtain approvals from the CSRC or other regulatory authorities or complete required filing or other administrative procedures for any future offshore securities offering or other financing activities, it is uncertain whether we can or how long it will take us to obtain such approval or complete such filing or other administrative procedures, or obtain any waiver of aforesaid requirements if and when procedures are established to obtain such waiver. Any failure to obtain or delay in obtaining such approval or completing such filing or other administrative procedures for any future offshore securities offering, or a rescission of any such approval obtained by us, could subject us to sanctions by the CSRC or other PRC regulatory agencies. In any such event, these regulatory authorities may also impose fines and penalties on our operations in China, limit our operating privileges in China, delay or restrict the repatriation of the proceeds from any future offshore securities offering into the PRC or take other actions that could adversely affect our business, operating results and financial condition, as well as our ability to complete any future offshore securities offering. The CSRC or any other PRC government authorities may also take actions requiring us, or making it advisable for us, to halt any future offshore securities offering. Consequently, if you engage in market trading or other activities in anticipation of and prior to settlement and delivery, you do so at the risk that such settlement and delivery may not occur. Any uncertainties or negative publicity regarding such approval requirements could materially and adversely affect the trading price of our shares.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subsidiaries in Mainland China are subject to restrictions on paying dividends and making other payments to our holding company.</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CLPS Incorporation is our holding company incorporated in the Cayman Islands and has no operation of its own. As a result of the holding company structure, it currently relies on dividend payments from our subsidiaries in Mainland China. However, PRC regulations currently permit payment of dividends only out of accumulated profits, as determined in accordance with PRC accounting standards and regulations. Our subsidiaries in Mainland China are also required to set aside a portion of their after-tax profits according to PRC accounting standards and regulations to fund certain reserve funds. The PRC government also imposes controls on the conversion of RMB into foreign currencies and the remittance of foreign currencies out of Mainland China. We may experience difficulties in completing the administrative procedures necessary to obtain and remit foreign currency. The Company does not believe that any recent new regulations on foreign exchange controls will cause CLPS entities within Mainland China to encounter restrictions or obstacles in distributing profits to foreign shareholders. Furthermore, if our subsidiaries in Mainland China incur debt on their own in the future, the instruments governing the debt may restrict their ability to pay dividends or make other payments. If our subsidiaries in Mainland China are unable to pay dividends or make other payments to us, we may be unable to pay dividends on our shares.</w:t>
      </w:r>
    </w:p>
    <w:p>
      <w:pPr>
        <w:spacing w:after="0" w:line="194"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subsidiaries have not declared or paid any cash dividends to the holding company. CLPS Incorporation has not declared or paid any cash dividends to pay any cash dividends on its ordinary shares.</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provides cash support to its subsidiaries according its business development plan. For fiscal year 2019, 2020, 2021, the Company provided cash support to its subsidiaries in Mainland China, Singapore and Hong Kong SAR. The amounts were offset when the Company’s consolidated financial statements were prepared. The balances due from subsidiaries to the Company were US$5.0 million, US$7.1 million, and US$7.6 million as of June 30 for fiscal 2019, 2020 and 2021, respectively, which were reflected in the section “PARENT COMPANY ONLY CONDENSED FINANCIAL INFORMATION” in our financial statements for fiscal 2019, 2020, and 2021, respectively.</w:t>
      </w:r>
    </w:p>
    <w:p>
      <w:pPr>
        <w:spacing w:after="0" w:line="17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Recent regulatory developments in China may subject us to additional regulatory review and disclosure requirements, expose us to government interference, or otherwise restrict or completely hinder our ability to offer securities and raise capitals outside China, all of which could materially and adversely affect our business, and cause the value of our securities to significantly decline or become worthless.</w:t>
      </w:r>
    </w:p>
    <w:p>
      <w:pPr>
        <w:spacing w:after="0" w:line="17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December 2021, the CAC promulgated the amended Measures of Cybersecurity Review which require cyberspace operators with personal information of more than one million users to file for cybersecurity review with the CRO, in the event such operators plan for an overseas listing. The amended Measures of Cybersecurity Review provide that, among others, an application for cybersecurity review must be made by an issuer that is a “network platform operator” as defined therein before such issuer’s securities become listed in a foreign country, if the issuer possesses personal information of more than one million users, and that the relevant governmental authorities in the PRC may initiate cybersecurity review if such governmental authorities determine an operator’s cyber products or services or data processing activities affect or may affect China’s national security. The amended Measures of Cybersecurity Review took effect on February 15, 2022.</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Under the current PRC cybersecurity laws in China, critical information infrastructure operators that intend to purchase internet products and services that may affect national security must be subject to the cybersecurity review. On July 30, 2021, the State Council of the PRC promulgated the Regulations on the Protection of the Security of Critical Information Infrastructure, which took effect on September 1, 2021. The regulations require, among others, that certain competent authorities shall identify critical information infrastructures. If any critical information infrastructure is identified, they shall promptly notify the relevant operators and the Ministry of Public Security.</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Currently, the cybersecurity laws and regulations have not directly affected our business and operations, As the amended Measures of Cybersecurity Review took effect in February 2022, we may be subject to review when conducting data processing activities, and may face challenges in addressing its requirements and make necessary changes to our internal policies and practices in data processing. As of the date of this Form F-3, we have not been involved in any investigations on cybersecurity review made by the CAC on such basis, and we have not received any inquiry, notice, warning, or sanctions in such respect. Based on the foregoing, we and our PRC legal counsel do not expect that, as of the date of this Form F-3, the current applicable PRC laws on cybersecurity would have a material adverse impact on our business.</w:t>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This prospectus, including the documents incorporated by reference herein, contains information that may be forward-looking statements within the meaning of applicable securities laws. All statements other than statements of historical fact are “forward-looking statements” including any projections of earnings, revenue or other financial items, any statements of the plans, strategies and objectives of management for future operations, any statements concerning proposed new projects or other developments, any statements regarding future economic conditions or performance, any statements of management’s beliefs, goals, strategies, intentions and objectives, and any statements of assumptions underlying any of the foregoing. Words such as “may”, “will”, “should”, “could”, “would”, “predicts”, “potential”, “continue”, “expects”, “anticipates”, “future”, “intends”, “plans”, “believes”, “estimates” and similar expressions, as well as statements in the future tense, identify forward-looking statements.</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These statements are necessarily subjective and involve known and unknown risks, uncertainties and other important factors that could cause our actual results, performance or achievements, or industry results, to differ materially from any future results, performance or achievements described in or implied by such statements. Actual results may differ materially from expected results described in our forward-looking statements, including with respect to correct measurement and identification of factors affecting our business or the extent of their likely impact, the accuracy and completeness of the publicly available information with respect to the factors upon which our business strategy is based on the success of our business.</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Forward-looking statements should not be read as a guarantee of future performance or results, and will not necessarily be accurate indications of whether, or the times by which, our performance or results may be achieved. Forward-looking statements are based on information available at the time those statements are made and management’s belief as of that time with respect to future events, and are subject to risks and uncertainties that could cause actual performance or results to differ materially from those expressed in or suggested by the forward-looking statements.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Flows through Our Organization</w:t>
      </w:r>
    </w:p>
    <w:p>
      <w:pPr>
        <w:spacing w:after="0" w:line="22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CLPS Incorporation is a holding company with no operations of its own. We conduct our operations in mainland China primarily through our subsidiaries in China. As a result, although other means are available for us to obtain financing at the holding company level, CLPS Incorporation’s ability to pay dividends to the shareholders and to service any debt it may incur may depend upon dividends paid by our PRC subsidiaries. If any of our subsidiaries incurs debt on its own behalf, the instruments governing such debt may restrict its ability to pay dividends to CLPS Incorporation. In addition, our PRC subsidiaries are permitted to pay dividends to CLPS Incorporation only out of their retained earnings, if any, as determined in accordance with PRC accounting standards and regulations. Further, our PRC subsidiaries are required to make appropriations to certain statutory reserve funds. Under PRC law, CLPS Incorporation may provide funding to our PRC subsidiaries only through capital contributions or loans, subject to satisfaction of applicable government registration and approval requirements. The subsidiaries have not declared or paid any cash dividends to the holding company. CLPS Incorporation has not declared or paid any cash dividends to pay any cash dividends on its ordinary shares. The Company provides cash support to its subsidiaries according its business development plan. For fiscal year 2019, 2020, 2021, the Company provided cash support to its subsidiaries in Mainland China, Singapore and Hong Kong SAR. The amounts were offset when the Company’s consolidated financial statements were prepared. The balances due from subsidiaries to the Company were US$5.0 million, US$7.1 million, and US$7.6 million as of June 30 for fiscal 2019, 2020 and 2021, respectively, which were reflected in the section “PARENT COMPANY ONLY CONDENSED FINANCIAL INFORMATION” in our financial statements for fiscal 2019, 2020, and 2021, respectively. For the years ended June 30, 2019, 2020 and 2021, cash and cash equivalents of PRC companies were RMB12.99 million (US$1.89 million), 77.91 million (US$11.03 million), 62.66 million (US$9.71 million).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color w:val="auto"/>
        </w:rPr>
        <w:t>EXCHANGE RATE INFORMATION</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business is conducted in China and majority of our revenues is denominated in RMB. Capital accounts of our financial statements are translated into U.S. dollars from RMB at their historical exchange rates when the capital transactions occurred. RMB is not freely convertible into foreign currency and all foreign exchange transactions must take place through authorized institutions. No representation is made that the RMB amounts could have been, or could be, converted into U.S. dollars at the rates used in translation.</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concerning exchange rates between the RMB and the U.S. dollar for the periods indicated. On August 12, 2022, the buying rate announced by the Federal Reserve Statistical Release was RMB 6.7425 to $1.00.</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tcBorders>
              <w:bottom w:val="single" w:sz="8" w:color="auto"/>
            </w:tcBorders>
          </w:tcPr>
          <w:p>
            <w:pPr>
              <w:spacing w:after="0"/>
              <w:rPr>
                <w:sz w:val="21"/>
                <w:szCs w:val="21"/>
                <w:color w:val="auto"/>
              </w:rPr>
            </w:pPr>
          </w:p>
        </w:tc>
        <w:tc>
          <w:tcPr>
            <w:tcW w:w="2740" w:type="dxa"/>
            <w:vAlign w:val="bottom"/>
            <w:tcBorders>
              <w:bottom w:val="single" w:sz="8" w:color="auto"/>
            </w:tcBorders>
            <w:gridSpan w:val="2"/>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Spot Exchange Rate</w:t>
            </w:r>
          </w:p>
        </w:tc>
        <w:tc>
          <w:tcPr>
            <w:tcW w:w="10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194"/>
        </w:trPr>
        <w:tc>
          <w:tcPr>
            <w:tcW w:w="5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jc w:val="right"/>
              <w:ind w:right="470"/>
              <w:spacing w:after="0" w:line="194" w:lineRule="exact"/>
              <w:rPr>
                <w:sz w:val="20"/>
                <w:szCs w:val="20"/>
                <w:color w:val="auto"/>
              </w:rPr>
            </w:pPr>
            <w:r>
              <w:rPr>
                <w:rFonts w:ascii="Times New Roman" w:cs="Times New Roman" w:eastAsia="Times New Roman" w:hAnsi="Times New Roman"/>
                <w:sz w:val="18"/>
                <w:szCs w:val="18"/>
                <w:b w:val="1"/>
                <w:bCs w:val="1"/>
                <w:color w:val="auto"/>
              </w:rPr>
              <w:t>Period</w:t>
            </w:r>
          </w:p>
        </w:tc>
        <w:tc>
          <w:tcPr>
            <w:tcW w:w="1420" w:type="dxa"/>
            <w:vAlign w:val="bottom"/>
          </w:tcPr>
          <w:p>
            <w:pPr>
              <w:jc w:val="right"/>
              <w:ind w:right="450"/>
              <w:spacing w:after="0" w:line="194" w:lineRule="exact"/>
              <w:rPr>
                <w:sz w:val="20"/>
                <w:szCs w:val="20"/>
                <w:color w:val="auto"/>
              </w:rPr>
            </w:pPr>
            <w:r>
              <w:rPr>
                <w:rFonts w:ascii="Times New Roman" w:cs="Times New Roman" w:eastAsia="Times New Roman" w:hAnsi="Times New Roman"/>
                <w:sz w:val="18"/>
                <w:szCs w:val="18"/>
                <w:b w:val="1"/>
                <w:bCs w:val="1"/>
                <w:color w:val="auto"/>
              </w:rPr>
              <w:t>Average</w:t>
            </w:r>
          </w:p>
        </w:tc>
        <w:tc>
          <w:tcPr>
            <w:tcW w:w="1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45"/>
        </w:trPr>
        <w:tc>
          <w:tcPr>
            <w:tcW w:w="5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Ended</w:t>
            </w:r>
          </w:p>
        </w:tc>
        <w:tc>
          <w:tcPr>
            <w:tcW w:w="1420" w:type="dxa"/>
            <w:vAlign w:val="bottom"/>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(1)</w:t>
            </w:r>
          </w:p>
        </w:tc>
        <w:tc>
          <w:tcPr>
            <w:tcW w:w="1320" w:type="dxa"/>
            <w:vAlign w:val="bottom"/>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Low</w:t>
            </w:r>
          </w:p>
        </w:tc>
        <w:tc>
          <w:tcPr>
            <w:tcW w:w="1140" w:type="dxa"/>
            <w:vAlign w:val="bottom"/>
            <w:gridSpan w:val="2"/>
          </w:tcPr>
          <w:p>
            <w:pPr>
              <w:ind w:left="280"/>
              <w:spacing w:after="0"/>
              <w:rPr>
                <w:sz w:val="20"/>
                <w:szCs w:val="20"/>
                <w:color w:val="auto"/>
              </w:rPr>
            </w:pPr>
            <w:r>
              <w:rPr>
                <w:rFonts w:ascii="Times New Roman" w:cs="Times New Roman" w:eastAsia="Times New Roman" w:hAnsi="Times New Roman"/>
                <w:sz w:val="18"/>
                <w:szCs w:val="18"/>
                <w:b w:val="1"/>
                <w:bCs w:val="1"/>
                <w:color w:val="auto"/>
              </w:rPr>
              <w:t>High</w:t>
            </w:r>
          </w:p>
        </w:tc>
      </w:tr>
      <w:tr>
        <w:trPr>
          <w:trHeight w:val="223"/>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1380" w:type="dxa"/>
            <w:vAlign w:val="bottom"/>
            <w:tcBorders>
              <w:top w:val="single" w:sz="8" w:color="auto"/>
            </w:tcBorders>
          </w:tcPr>
          <w:p>
            <w:pPr>
              <w:spacing w:after="0"/>
              <w:rPr>
                <w:sz w:val="19"/>
                <w:szCs w:val="19"/>
                <w:color w:val="auto"/>
              </w:rPr>
            </w:pPr>
          </w:p>
        </w:tc>
        <w:tc>
          <w:tcPr>
            <w:tcW w:w="2740" w:type="dxa"/>
            <w:vAlign w:val="bottom"/>
            <w:tcBorders>
              <w:top w:val="single" w:sz="8" w:color="auto"/>
            </w:tcBorders>
            <w:gridSpan w:val="2"/>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(RMB per US$1.00)</w:t>
            </w:r>
          </w:p>
        </w:tc>
        <w:tc>
          <w:tcPr>
            <w:tcW w:w="10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58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2019</w:t>
            </w:r>
          </w:p>
        </w:tc>
        <w:tc>
          <w:tcPr>
            <w:tcW w:w="12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6.9618</w:t>
            </w:r>
          </w:p>
        </w:tc>
        <w:tc>
          <w:tcPr>
            <w:tcW w:w="1420" w:type="dxa"/>
            <w:vAlign w:val="bottom"/>
            <w:tcBorders>
              <w:top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6.9081</w:t>
            </w:r>
          </w:p>
        </w:tc>
        <w:tc>
          <w:tcPr>
            <w:tcW w:w="1320" w:type="dxa"/>
            <w:vAlign w:val="bottom"/>
            <w:tcBorders>
              <w:top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7.1786</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6.6822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2020</w:t>
            </w:r>
          </w:p>
        </w:tc>
        <w:tc>
          <w:tcPr>
            <w:tcW w:w="120" w:type="dxa"/>
            <w:vAlign w:val="bottom"/>
          </w:tcPr>
          <w:p>
            <w:pPr>
              <w:spacing w:after="0"/>
              <w:rPr>
                <w:sz w:val="18"/>
                <w:szCs w:val="18"/>
                <w:color w:val="auto"/>
              </w:rPr>
            </w:pPr>
          </w:p>
        </w:tc>
        <w:tc>
          <w:tcPr>
            <w:tcW w:w="1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6.5250</w:t>
            </w:r>
          </w:p>
        </w:tc>
        <w:tc>
          <w:tcPr>
            <w:tcW w:w="1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6.9043</w:t>
            </w:r>
          </w:p>
        </w:tc>
        <w:tc>
          <w:tcPr>
            <w:tcW w:w="13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7.1681</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6.5208</w:t>
            </w:r>
          </w:p>
        </w:tc>
      </w:tr>
      <w:tr>
        <w:trPr>
          <w:trHeight w:val="216"/>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2021</w:t>
            </w: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6.3726</w:t>
            </w:r>
          </w:p>
        </w:tc>
        <w:tc>
          <w:tcPr>
            <w:tcW w:w="1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6.4382</w:t>
            </w:r>
          </w:p>
        </w:tc>
        <w:tc>
          <w:tcPr>
            <w:tcW w:w="13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6.3640</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6.5518</w:t>
            </w:r>
          </w:p>
        </w:tc>
      </w:tr>
      <w:tr>
        <w:trPr>
          <w:trHeight w:val="216"/>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2022</w:t>
            </w: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April</w:t>
            </w:r>
          </w:p>
        </w:tc>
        <w:tc>
          <w:tcPr>
            <w:tcW w:w="1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6.6080</w:t>
            </w:r>
          </w:p>
        </w:tc>
        <w:tc>
          <w:tcPr>
            <w:tcW w:w="1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6.4310</w:t>
            </w:r>
          </w:p>
        </w:tc>
        <w:tc>
          <w:tcPr>
            <w:tcW w:w="13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6.3590</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6.6243</w:t>
            </w:r>
          </w:p>
        </w:tc>
      </w:tr>
      <w:tr>
        <w:trPr>
          <w:trHeight w:val="216"/>
        </w:trPr>
        <w:tc>
          <w:tcPr>
            <w:tcW w:w="59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May</w:t>
            </w:r>
          </w:p>
        </w:tc>
        <w:tc>
          <w:tcPr>
            <w:tcW w:w="1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6.6715</w:t>
            </w:r>
          </w:p>
        </w:tc>
        <w:tc>
          <w:tcPr>
            <w:tcW w:w="1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6.6990</w:t>
            </w:r>
          </w:p>
        </w:tc>
        <w:tc>
          <w:tcPr>
            <w:tcW w:w="13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6.6079</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6.7880</w:t>
            </w:r>
          </w:p>
        </w:tc>
      </w:tr>
      <w:tr>
        <w:trPr>
          <w:trHeight w:val="216"/>
        </w:trPr>
        <w:tc>
          <w:tcPr>
            <w:tcW w:w="59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June</w:t>
            </w:r>
          </w:p>
        </w:tc>
        <w:tc>
          <w:tcPr>
            <w:tcW w:w="1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6.6981</w:t>
            </w:r>
          </w:p>
        </w:tc>
        <w:tc>
          <w:tcPr>
            <w:tcW w:w="1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6.6952</w:t>
            </w:r>
          </w:p>
        </w:tc>
        <w:tc>
          <w:tcPr>
            <w:tcW w:w="13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6.6534</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6.7530</w:t>
            </w:r>
          </w:p>
        </w:tc>
      </w:tr>
      <w:tr>
        <w:trPr>
          <w:trHeight w:val="234"/>
        </w:trPr>
        <w:tc>
          <w:tcPr>
            <w:tcW w:w="59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July</w:t>
            </w:r>
          </w:p>
        </w:tc>
        <w:tc>
          <w:tcPr>
            <w:tcW w:w="1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6.7433</w:t>
            </w:r>
          </w:p>
        </w:tc>
        <w:tc>
          <w:tcPr>
            <w:tcW w:w="1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6.7352</w:t>
            </w:r>
          </w:p>
        </w:tc>
        <w:tc>
          <w:tcPr>
            <w:tcW w:w="13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6.6945</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6.7655</w:t>
            </w:r>
          </w:p>
        </w:tc>
      </w:tr>
    </w:tbl>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Source: https://www.federalreserve.gov/releases/h10/hist/default.htm.</w:t>
      </w:r>
    </w:p>
    <w:p>
      <w:pPr>
        <w:spacing w:after="0" w:line="225" w:lineRule="exact"/>
        <w:rPr>
          <w:sz w:val="20"/>
          <w:szCs w:val="20"/>
          <w:color w:val="auto"/>
        </w:rPr>
      </w:pPr>
    </w:p>
    <w:p>
      <w:pPr>
        <w:ind w:left="340" w:hanging="332"/>
        <w:spacing w:after="0" w:line="282" w:lineRule="auto"/>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averages, lows, and highs are calculated from month-end rates. Monthly averages, lows, and highs are calculated using the average of the daily rates during the relevant period.</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Unless otherwise indicated in a prospectus supplement, the net proceeds that we receive from the sale of the securities offered by this prospectus will be used by us for working capital and general corporate purposes. We have not allocated any portion of the net proceeds for any particular use as of the date of this prospectus. The net proceeds may be invested temporarily until they are used for their stated purpose. Specific information concerning the use of proceeds from the sale of any securities will be included in the prospectus supplement relating to such securities.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PRICE RANGE OF COMMON SHARES AND TRADING MARKETS</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Since May 24, 2018, our shares have been listed on the NASDAQ under the ticker symbol CLPS. The following tables set forth, for the periods indicated, the high and low market prices of our shares as reported on the NASDAQ.</w:t>
      </w:r>
    </w:p>
    <w:p>
      <w:pPr>
        <w:sectPr>
          <w:pgSz w:w="11900" w:h="16838" w:orient="portrait"/>
          <w:cols w:equalWidth="0" w:num="1">
            <w:col w:w="11240"/>
          </w:cols>
          <w:pgMar w:left="320" w:top="900" w:right="339" w:bottom="1440" w:gutter="0" w:footer="0" w:header="0"/>
        </w:sect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Fiscal year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543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30, 2021</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543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1st Quarter ended September 30, 2021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2nd Quarter ended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3rd Quarter ended March 31, 2022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4th Quarter ended June 30, 2022</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b w:val="1"/>
          <w:bCs w:val="1"/>
          <w:color w:val="auto"/>
        </w:rPr>
        <w:t>NASDAQ</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1340" w:type="dxa"/>
            <w:vAlign w:val="bottom"/>
            <w:tcBorders>
              <w:top w:val="single" w:sz="8" w:color="auto"/>
            </w:tcBorders>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High US$</w:t>
            </w:r>
          </w:p>
        </w:tc>
        <w:tc>
          <w:tcPr>
            <w:tcW w:w="112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Low US$</w:t>
            </w:r>
          </w:p>
        </w:tc>
        <w:tc>
          <w:tcPr>
            <w:tcW w:w="20" w:type="dxa"/>
            <w:vAlign w:val="bottom"/>
          </w:tcPr>
          <w:p>
            <w:pPr>
              <w:spacing w:after="0"/>
              <w:rPr>
                <w:sz w:val="21"/>
                <w:szCs w:val="21"/>
                <w:color w:val="auto"/>
              </w:rPr>
            </w:pPr>
          </w:p>
        </w:tc>
      </w:tr>
      <w:tr>
        <w:trPr>
          <w:trHeight w:val="234"/>
        </w:trPr>
        <w:tc>
          <w:tcPr>
            <w:tcW w:w="1120" w:type="dxa"/>
            <w:vAlign w:val="bottom"/>
            <w:tcBorders>
              <w:top w:val="single" w:sz="8" w:color="auto"/>
            </w:tcBorders>
          </w:tcPr>
          <w:p>
            <w:pPr>
              <w:ind w:left="720"/>
              <w:spacing w:after="0"/>
              <w:rPr>
                <w:sz w:val="20"/>
                <w:szCs w:val="20"/>
                <w:color w:val="auto"/>
              </w:rPr>
            </w:pPr>
            <w:r>
              <w:rPr>
                <w:rFonts w:ascii="Times New Roman" w:cs="Times New Roman" w:eastAsia="Times New Roman" w:hAnsi="Times New Roman"/>
                <w:sz w:val="18"/>
                <w:szCs w:val="18"/>
                <w:color w:val="auto"/>
                <w:w w:val="93"/>
              </w:rPr>
              <w:t>10.84</w:t>
            </w:r>
          </w:p>
        </w:tc>
        <w:tc>
          <w:tcPr>
            <w:tcW w:w="220" w:type="dxa"/>
            <w:vAlign w:val="bottom"/>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20" w:type="dxa"/>
            <w:vAlign w:val="bottom"/>
          </w:tcPr>
          <w:p>
            <w:pPr>
              <w:spacing w:after="0"/>
              <w:rPr>
                <w:sz w:val="20"/>
                <w:szCs w:val="20"/>
                <w:color w:val="auto"/>
              </w:rPr>
            </w:pPr>
          </w:p>
        </w:tc>
      </w:tr>
      <w:tr>
        <w:trPr>
          <w:trHeight w:val="434"/>
        </w:trPr>
        <w:tc>
          <w:tcPr>
            <w:tcW w:w="2480" w:type="dxa"/>
            <w:vAlign w:val="bottom"/>
            <w:gridSpan w:val="4"/>
          </w:tcPr>
          <w:p>
            <w:pPr>
              <w:ind w:left="840"/>
              <w:spacing w:after="0"/>
              <w:rPr>
                <w:sz w:val="20"/>
                <w:szCs w:val="20"/>
                <w:color w:val="auto"/>
              </w:rPr>
            </w:pPr>
            <w:r>
              <w:rPr>
                <w:rFonts w:ascii="Times New Roman" w:cs="Times New Roman" w:eastAsia="Times New Roman" w:hAnsi="Times New Roman"/>
                <w:sz w:val="18"/>
                <w:szCs w:val="18"/>
                <w:b w:val="1"/>
                <w:bCs w:val="1"/>
                <w:color w:val="auto"/>
              </w:rPr>
              <w:t>NASDAQ</w:t>
            </w:r>
          </w:p>
        </w:tc>
      </w:tr>
      <w:tr>
        <w:trPr>
          <w:trHeight w:val="236"/>
        </w:trPr>
        <w:tc>
          <w:tcPr>
            <w:tcW w:w="1340" w:type="dxa"/>
            <w:vAlign w:val="bottom"/>
            <w:tcBorders>
              <w:top w:val="single" w:sz="8" w:color="auto"/>
            </w:tcBorders>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High US$</w:t>
            </w:r>
          </w:p>
        </w:tc>
        <w:tc>
          <w:tcPr>
            <w:tcW w:w="112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Low US$</w:t>
            </w:r>
          </w:p>
        </w:tc>
        <w:tc>
          <w:tcPr>
            <w:tcW w:w="20" w:type="dxa"/>
            <w:vAlign w:val="bottom"/>
          </w:tcPr>
          <w:p>
            <w:pPr>
              <w:spacing w:after="0"/>
              <w:rPr>
                <w:sz w:val="20"/>
                <w:szCs w:val="20"/>
                <w:color w:val="auto"/>
              </w:rPr>
            </w:pPr>
          </w:p>
        </w:tc>
      </w:tr>
      <w:tr>
        <w:trPr>
          <w:trHeight w:val="198"/>
        </w:trPr>
        <w:tc>
          <w:tcPr>
            <w:tcW w:w="1120" w:type="dxa"/>
            <w:vAlign w:val="bottom"/>
            <w:tcBorders>
              <w:top w:val="single" w:sz="8" w:color="auto"/>
            </w:tcBorders>
          </w:tcPr>
          <w:p>
            <w:pPr>
              <w:ind w:left="820"/>
              <w:spacing w:after="0" w:line="198" w:lineRule="exact"/>
              <w:rPr>
                <w:sz w:val="20"/>
                <w:szCs w:val="20"/>
                <w:color w:val="auto"/>
              </w:rPr>
            </w:pPr>
            <w:r>
              <w:rPr>
                <w:rFonts w:ascii="Times New Roman" w:cs="Times New Roman" w:eastAsia="Times New Roman" w:hAnsi="Times New Roman"/>
                <w:sz w:val="18"/>
                <w:szCs w:val="18"/>
                <w:color w:val="auto"/>
                <w:w w:val="88"/>
              </w:rPr>
              <w:t>4.26</w:t>
            </w:r>
          </w:p>
        </w:tc>
        <w:tc>
          <w:tcPr>
            <w:tcW w:w="220" w:type="dxa"/>
            <w:vAlign w:val="bottom"/>
          </w:tcPr>
          <w:p>
            <w:pPr>
              <w:spacing w:after="0"/>
              <w:rPr>
                <w:sz w:val="17"/>
                <w:szCs w:val="17"/>
                <w:color w:val="auto"/>
              </w:rPr>
            </w:pPr>
          </w:p>
        </w:tc>
        <w:tc>
          <w:tcPr>
            <w:tcW w:w="1120" w:type="dxa"/>
            <w:vAlign w:val="bottom"/>
            <w:tcBorders>
              <w:top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2.73</w:t>
            </w:r>
          </w:p>
        </w:tc>
        <w:tc>
          <w:tcPr>
            <w:tcW w:w="20" w:type="dxa"/>
            <w:vAlign w:val="bottom"/>
          </w:tcPr>
          <w:p>
            <w:pPr>
              <w:spacing w:after="0"/>
              <w:rPr>
                <w:sz w:val="17"/>
                <w:szCs w:val="17"/>
                <w:color w:val="auto"/>
              </w:rPr>
            </w:pPr>
          </w:p>
        </w:tc>
      </w:tr>
      <w:tr>
        <w:trPr>
          <w:trHeight w:val="216"/>
        </w:trPr>
        <w:tc>
          <w:tcPr>
            <w:tcW w:w="134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3.22</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1.96</w:t>
            </w:r>
          </w:p>
        </w:tc>
      </w:tr>
      <w:tr>
        <w:trPr>
          <w:trHeight w:val="216"/>
        </w:trPr>
        <w:tc>
          <w:tcPr>
            <w:tcW w:w="134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2.37</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1.67</w:t>
            </w:r>
          </w:p>
        </w:tc>
      </w:tr>
      <w:tr>
        <w:trPr>
          <w:trHeight w:val="234"/>
        </w:trPr>
        <w:tc>
          <w:tcPr>
            <w:tcW w:w="134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2.20</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1.53</w:t>
            </w:r>
          </w:p>
        </w:tc>
      </w:tr>
    </w:tbl>
    <w:p>
      <w:pPr>
        <w:spacing w:after="0" w:line="198" w:lineRule="exact"/>
        <w:rPr>
          <w:sz w:val="20"/>
          <w:szCs w:val="20"/>
          <w:color w:val="auto"/>
        </w:rPr>
      </w:pPr>
    </w:p>
    <w:p>
      <w:pPr>
        <w:sectPr>
          <w:pgSz w:w="11900" w:h="16838" w:orient="portrait"/>
          <w:cols w:equalWidth="0" w:num="2">
            <w:col w:w="7960" w:space="720"/>
            <w:col w:w="2560"/>
          </w:cols>
          <w:pgMar w:left="320" w:top="900" w:right="339" w:bottom="1440" w:gutter="0" w:footer="0" w:header="0"/>
          <w:type w:val="continuous"/>
        </w:sect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holders of common shares are entitled to vote at all meetings of our shareholders. The holders of common shares are entitled to receive dividends as and when declared by the board, if any.</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type w:val="continuous"/>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COMMON SHARES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are a Cayman Islands company and our affairs are governed by our Memorandum and Articles of Association and Companies Act (Revised) of the Cayman Islands, which we refer to as the Companies Act below. As of the date hereof, our authorized share capital consists of 100,000,000 common shares with a par value of US$0.0001 per share. As of October 11, 2022, there were 22,446,822 shares issued and outstanding. The following summary description sets forth some of the general terms and provisions of our common shares. Because this is a summary description, it does not contain all of the information that may be important to you. For a more detailed description of our common shares, you should refer to our Memorandum and Articles of Association in effect at the time of any offering.</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authorized and unissued common shares are available for issuance without further action by our shareholders, unless such action is required by applicable law or the rules of the Nasdaq Global Market, or any stock exchange on which our securities may be listed at such time. Unless approval of our shareholders is so required, our board of directors will not seek shareholders' approval for the issuance and sale of our common shares.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Shares</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General. </w:t>
      </w:r>
      <w:r>
        <w:rPr>
          <w:rFonts w:ascii="Times New Roman" w:cs="Times New Roman" w:eastAsia="Times New Roman" w:hAnsi="Times New Roman"/>
          <w:sz w:val="18"/>
          <w:szCs w:val="18"/>
          <w:color w:val="auto"/>
        </w:rPr>
        <w:t>All of our outstanding common shares are fully paid and non-assessable. Certificates representing the common shares are issued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registered form. Our shareholders, whether or not they are non-residents of the Cayman Islands, may freely hold and transfer their common shares in accordance with the Memorandum and Articles of Association.</w:t>
      </w:r>
    </w:p>
    <w:p>
      <w:pPr>
        <w:spacing w:after="0" w:line="17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Dividends. </w:t>
      </w:r>
      <w:r>
        <w:rPr>
          <w:rFonts w:ascii="Times New Roman" w:cs="Times New Roman" w:eastAsia="Times New Roman" w:hAnsi="Times New Roman"/>
          <w:sz w:val="18"/>
          <w:szCs w:val="18"/>
          <w:color w:val="auto"/>
        </w:rPr>
        <w:t>The holders of our common shares are entitled to such dividends as may be declared by our board of directors. Our articles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association provide that our board of directors may declare and pay dividends if justified by our financial position and permitted by law.</w:t>
      </w:r>
    </w:p>
    <w:p>
      <w:pPr>
        <w:spacing w:after="0" w:line="15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Voting Rights. </w:t>
      </w:r>
      <w:r>
        <w:rPr>
          <w:rFonts w:ascii="Times New Roman" w:cs="Times New Roman" w:eastAsia="Times New Roman" w:hAnsi="Times New Roman"/>
          <w:sz w:val="18"/>
          <w:szCs w:val="18"/>
          <w:color w:val="auto"/>
        </w:rPr>
        <w:t>In respect of all matters subject to a shareholders’ vote, each common share is entitled to one vote. Voting at any meeting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shareholders is by show of hands unless voting by way of a poll is required by the rules of any stock exchange on which our shares are listed for trading, or a poll is demanded by the chairman of such meeting or one or more shareholders holding not less than 10% of the total voting rights of all shareholders having the right to vote at the meeting. A quorum required for a meeting of shareholders consists of one shareholder who holds at least one-third of our issued voting shares. Shareholders’ meetings may be held annually. Each general meeting, other than an annual general meeting, shall be an extraordinary general meeting. Extraordinary general meetings may be called by a majority of our board of directors or upon a requisition of shareholders holding at the date of deposit of the requisition not less than 40% of the aggregate share capital of our company that carries the right to vote at a general meeting, in which case an advance notice of at least 120 clear days is required for the convening of our annual general meeting and other general meetings by requisition of the shareholders. An ordinary resolution to be passed at a meeting by the shareholders requires the affirmative vote of a simple majority of the votes attaching to the common shares cast at a meeting, while a special resolution requires the affirmative vote of no less than two-thirds of the votes attaching to the common shares cast at a meeting. A special resolution will be required for important matters such as a change of name or making changes to our memorandum and articles of association.</w:t>
      </w:r>
    </w:p>
    <w:p>
      <w:pPr>
        <w:spacing w:after="0" w:line="19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Transfer of Common Shares. </w:t>
      </w:r>
      <w:r>
        <w:rPr>
          <w:rFonts w:ascii="Times New Roman" w:cs="Times New Roman" w:eastAsia="Times New Roman" w:hAnsi="Times New Roman"/>
          <w:sz w:val="18"/>
          <w:szCs w:val="18"/>
          <w:color w:val="auto"/>
        </w:rPr>
        <w:t>Subject to the restrictions set out below, any of our shareholders may transfer all or any of his or her common shares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by an instrument of transfer in the usual or common form or any other form approved by our board of directors. Our board of directors may, in its absolute discretion, decline to register any transfer of any common share irrespective of whether the shares is fully paid or the Company has no lien over it. If our board of directors refuses to register a transfer, it shall, within two months after the date on which the transfer was lodged, send to each of the transferor and the transferee notice of such refusal. Upon completion of this offering, we intend to waive our right to refuse transfers of any common shares. The registration of transfers may, after compliance with any notice required of the stock exchange on which our shares are listed, be suspended at such times and for such periods as our board of directors may determine, provided, however, that the registration of transfers shall not be suspended for more than 30 days in any year as our board of directors may determine.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6" w:name="page17"/>
    <w:bookmarkEnd w:id="16"/>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Calls on Common Shares and Forfeiture of Common Shares. </w:t>
      </w:r>
      <w:r>
        <w:rPr>
          <w:rFonts w:ascii="Times New Roman" w:cs="Times New Roman" w:eastAsia="Times New Roman" w:hAnsi="Times New Roman"/>
          <w:sz w:val="18"/>
          <w:szCs w:val="18"/>
          <w:color w:val="auto"/>
        </w:rPr>
        <w:t>Our board of directors may from time to time make calls upon shareholders for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any amounts unpaid on their common shares in a notice served to such shareholders at least 14 clear days prior to the specified time of payment. The common shares that have been called upon and remain unpaid are subject to forfeiture.</w:t>
      </w:r>
    </w:p>
    <w:p>
      <w:pPr>
        <w:spacing w:after="0" w:line="171"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Redemption of Common Shares. </w:t>
      </w:r>
      <w:r>
        <w:rPr>
          <w:rFonts w:ascii="Times New Roman" w:cs="Times New Roman" w:eastAsia="Times New Roman" w:hAnsi="Times New Roman"/>
          <w:sz w:val="18"/>
          <w:szCs w:val="18"/>
          <w:color w:val="auto"/>
        </w:rPr>
        <w:t>The Companies Act and our memorandum of association permit us to purchase our own shares. In accordance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with our articles of association and provided the necessary shareholders or board approval have been obtained, we may issue shares on terms that are subject to redemption, at our option or at the option of the holders of these shares, on such terms and in such manner, provided the requirements under the Companies Act have been satisfied, including out of capital, as may be determined by our board of directors.</w:t>
      </w:r>
    </w:p>
    <w:p>
      <w:pPr>
        <w:spacing w:after="0" w:line="176"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Inspection of Books and Records. </w:t>
      </w:r>
      <w:r>
        <w:rPr>
          <w:rFonts w:ascii="Times New Roman" w:cs="Times New Roman" w:eastAsia="Times New Roman" w:hAnsi="Times New Roman"/>
          <w:sz w:val="18"/>
          <w:szCs w:val="18"/>
          <w:color w:val="auto"/>
        </w:rPr>
        <w:t>Holders of our common shares have no general right under our articles of association to inspect or obtain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copies of our list of shareholders or our corporate records. However, we will provide our shareholders with annual audited financial statements. See “Where You Can Find Additional Information.”</w:t>
      </w:r>
    </w:p>
    <w:p>
      <w:pPr>
        <w:spacing w:after="0" w:line="171"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Issuance of Additional Shares. </w:t>
      </w:r>
      <w:r>
        <w:rPr>
          <w:rFonts w:ascii="Times New Roman" w:cs="Times New Roman" w:eastAsia="Times New Roman" w:hAnsi="Times New Roman"/>
          <w:sz w:val="18"/>
          <w:szCs w:val="18"/>
          <w:color w:val="auto"/>
        </w:rPr>
        <w:t>Our memorandum of association authorizes our board of directors to issue additional common shares from time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time as our board of directors shall determine, to the extent of available authorized but unissued shares. Our memorandum and articles of association also authorizes our board of directors to establish from time to time one or more series of shares and to determine, with respect to any series of shares, the terms and rights of that series, including:</w:t>
      </w:r>
    </w:p>
    <w:p>
      <w:pPr>
        <w:spacing w:after="0" w:line="180" w:lineRule="exact"/>
        <w:rPr>
          <w:sz w:val="20"/>
          <w:szCs w:val="20"/>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of the series to be issued;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dividend rights, dividend rates, conversion rights, voting rights;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and terms of redemption and liquidation preferences.</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board of directors may issue these shares without action by our shareholders to the extent authorized but unissued. Issuance of these shares may dilute the voting power of holders of common shares.</w:t>
      </w:r>
    </w:p>
    <w:p>
      <w:pPr>
        <w:spacing w:after="0" w:line="158"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Anti-Takeover Provisions. </w:t>
      </w:r>
      <w:r>
        <w:rPr>
          <w:rFonts w:ascii="Times New Roman" w:cs="Times New Roman" w:eastAsia="Times New Roman" w:hAnsi="Times New Roman"/>
          <w:sz w:val="18"/>
          <w:szCs w:val="18"/>
          <w:color w:val="auto"/>
        </w:rPr>
        <w:t>Some provisions of our memorandum and articles of association may discourage, delay or prevent a change of control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our company or management that shareholders may consider favorable, including provisions that authorize our board of directors to issue shares in one or more series and to designate the price, rights, preferences, privileges and restrictions of such shares without any further vote or action by our shareholders, to the extent authorized but unissued.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Articles of Association – Exclusive Forum Provision</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Our Articles of Association provides that the courts of the Cayman Islands shall be the sole and exclusive forum for (i) any derivative action or proceeding brought on behalf of the Company, (ii) any action asserting a claim of breach of a fiduciary duty owed by any director or officer of the Company to the Company or the Company’s shareholders, (iii) any action asserting a claim against the Company arising pursuant to any provision of the Companies Act, the Memorandum of Association of the Company or the Articles of Association of the Company, and (iv) any action asserting a claim against the Company in respect of shareholders’ rights as shareholders or distributions of dividends. This choice of forum provision may limit a shareholder’s ability to bring a claim in a judicial forum that it finds favorable for disputes with us or our directors, officers or other employees, which may discourage such lawsuits against us and our directors, officers and employees. Alternatively, a court, including a Cayman Islands court, could find these provisions of our Articles of Association to be inapplicable or unenforceable in respect of one or more of the specified types of actions or proceedings, which may require us to incur additional costs associated with resolving such matters in other jurisdictions, which could adversely affect our business and financial condition.</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auto"/>
        </w:rPr>
        <w:t>Differences in Corporate Law</w:t>
      </w:r>
    </w:p>
    <w:p>
      <w:pPr>
        <w:spacing w:after="0" w:line="229"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18"/>
          <w:szCs w:val="18"/>
          <w:color w:val="auto"/>
        </w:rPr>
        <w:t>The Companies Act is modeled after the corporate legislation of the United Kingdom but does not follow recent United Kingdom statutory enactments. In addition, the Companies Act differs from laws applicable to United States corporations and their shareholders. Set forth below is a summary of some of the significant differences between the provisions of the Companies Act applicable to us and the laws applicable to companies incorporated in the United States (particularly Delaware) and their shareholders.</w:t>
      </w:r>
    </w:p>
    <w:p>
      <w:pPr>
        <w:spacing w:after="0" w:line="176"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Mergers and Similar Arrangements. </w:t>
      </w:r>
      <w:r>
        <w:rPr>
          <w:rFonts w:ascii="Times New Roman" w:cs="Times New Roman" w:eastAsia="Times New Roman" w:hAnsi="Times New Roman"/>
          <w:sz w:val="18"/>
          <w:szCs w:val="18"/>
          <w:color w:val="auto"/>
        </w:rPr>
        <w:t>The Companies Act provides for the merger or consolidation of two or more companies into a single entity.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legislation makes a distinction between a “consolidation” and a “merger.” In a consolidation, a new entity is formed from the combination of each participating company, and the separate consolidating parties, as a consequence, cease to exist and are each stricken by the Registrar of Companies. In a merger, one company remains as the surviving entity, having in effect absorbed the other merging parties that are then stricken and cease to exist.</w:t>
      </w:r>
    </w:p>
    <w:p>
      <w:pPr>
        <w:spacing w:after="0" w:line="180"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Two or more Cayman-registered companies may merge or consolidate. Cayman-registered companies may also merge or consolidate with foreign companies provided that the laws of the foreign jurisdiction permit such merger or consolidation.</w:t>
      </w:r>
    </w:p>
    <w:p>
      <w:pPr>
        <w:spacing w:after="0" w:line="162"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Under the Companies Act, a plan of merger or consolidation shall be authorized by each constituent company by way of (i) a special resolution of the members of each such constituent company; and (ii) such other authorization, if any, as may be specified in such constituent company’s memorandum and articles of association.</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 merger between a Cayman parent company and its Cayman subsidiary or subsidiaries does not require authorization by a resolution of shareholders of that Cayman subsidiary if a copy of the plan of merger is given to every member of that Cayman subsidiary to be merged unless that member agrees otherwise. For this purpose a subsidiary is a company of which at least ninety percent (90%) of the votes are owned by the parent company.</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consent of each holder of a fixed or floating security interest over a constituent company is required unless this requirement is waived by a court in the Cayman Islands.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Save in certain circumstances, a dissentient shareholder of a Cayman constituent company is entitled to payment of the fair value of his shares upon dissenting to a merger or consolidation. The exercise of appraisal rights will preclude the exercise of any other rights save for the right to seek relief on the grounds that the merger or consolidation is void or unlawful.</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addition, there are statutory provisions that facilitate the reconstruction and amalgamation of companies, provided that the arrangement is approved by a majority in number of each class of shareholders and creditors with whom the arrangement is to be made, and who must in addition represent seventy-five percent (75%) in value of each such class of shareholders or creditors, as the case may be, that are present and voting either in person or by proxy at a meeting, or meetings, convened for that purpose. The convening of the meetings and subsequently the arrangement must be sanctioned by the Grand Court of the Cayman Islands.</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While a dissenting shareholder has the right to express to the court the view that the transaction ought not to be approved, the court can be expected to approve the arrangement if it determines that:</w:t>
      </w:r>
    </w:p>
    <w:p>
      <w:pPr>
        <w:spacing w:after="0" w:line="162" w:lineRule="exact"/>
        <w:rPr>
          <w:sz w:val="20"/>
          <w:szCs w:val="20"/>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statutory provisions as to the required majority vote have been met;</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shareholders have been fairly represented at the meeting in question;</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arrangement is such that an intelligent and honest man of that class acting in respect of his interest ; and</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arrangement is not one that would more properly be sanctioned under some other provision of the Companies Act or that would amount to a "fraud on the minority".</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When a take-over offer is made and accepted by holders of not less than 90% of the shares within four months, the offer, or may, within a two-month period commencing on the expiration of such four months period, require the holders of the remaining shares to transfer such shares on the terms of the offer. An objection can be made to the Grand Court of the Cayman Islands but this is unlikely to succeed in the case of an offer which has been so approved unless there is evidence of fraud, bad faith or collusion.</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8" w:name="page19"/>
    <w:bookmarkEnd w:id="18"/>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the arrangement and reconstruction is thus approved, the dissenting shareholder would have no rights comparable to appraisal rights, which would otherwise ordinarily be available to dissenting shareholders of United States corporations, providing rights to receive payment in cash for the judicially determined value of the shares.</w:t>
      </w:r>
    </w:p>
    <w:p>
      <w:pPr>
        <w:spacing w:after="0" w:line="172"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Shareholders’ Suits. </w:t>
      </w:r>
      <w:r>
        <w:rPr>
          <w:rFonts w:ascii="Times New Roman" w:cs="Times New Roman" w:eastAsia="Times New Roman" w:hAnsi="Times New Roman"/>
          <w:sz w:val="18"/>
          <w:szCs w:val="18"/>
          <w:color w:val="auto"/>
        </w:rPr>
        <w:t>In principle, we will normally be the proper plaintiff to sue for a wrong done to us as a company and as a general rule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derivative action may not be brought by a minority shareholder. However, based on English authorities, which would in all likelihood be of persuasive authority in the Cayman Islands, there are exceptions to the foregoing principle, including when:</w:t>
      </w:r>
    </w:p>
    <w:p>
      <w:pPr>
        <w:spacing w:after="0" w:line="175" w:lineRule="exact"/>
        <w:rPr>
          <w:sz w:val="20"/>
          <w:szCs w:val="20"/>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company acts or proposes to act illegally or ultra vires;</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act complained of, although not ultra vires, could only be duly effected if authorized by more than a simple majority vote that has not been obtained; and</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those who control the company are perpetrating a “fraud on the minority.”</w:t>
      </w:r>
    </w:p>
    <w:p>
      <w:pPr>
        <w:spacing w:after="0" w:line="221"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Indemnification of Directors and Executive Officers and Limitation of Liability. </w:t>
      </w:r>
      <w:r>
        <w:rPr>
          <w:rFonts w:ascii="Times New Roman" w:cs="Times New Roman" w:eastAsia="Times New Roman" w:hAnsi="Times New Roman"/>
          <w:sz w:val="18"/>
          <w:szCs w:val="18"/>
          <w:color w:val="auto"/>
        </w:rPr>
        <w:t>The Companies Act does not limit the extent to which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company’s memorandum and articles of association may provide for indemnification of officers and directors, except to the extent any such provision may be held by the Cayman Islands courts to be contrary to public policy, such as to provide indemnification against civil fraud or the consequences of committing a crime, or against the indemnified person's own fraud or dishonesty. Our memorandum and articles of association permit indemnification of current and former officers and directors for all actions, proceedings, costs, charges, expenses, losses, damages or liabilities incurred or sustained in their capacities as such unless such losses or damages arise from dishonesty of such directors or officers’ willful default of fraud. This standard of conduct is generally the same as permitted under the Delaware General Corporation Law for a Delaware corporation. Insofar as indemnification of each current and former officer for liabilities arising under the Securities Act may be permitted to our directors, officers or persons controlling us under the foregoing provisions, we have been informed that in the opinion of the SEC, such indemnification is against public policy as expressed in the Securities Act and is therefore unenforceable.</w:t>
      </w:r>
    </w:p>
    <w:p>
      <w:pPr>
        <w:spacing w:after="0" w:line="18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Directors’ Fiduciary Duties. </w:t>
      </w:r>
      <w:r>
        <w:rPr>
          <w:rFonts w:ascii="Times New Roman" w:cs="Times New Roman" w:eastAsia="Times New Roman" w:hAnsi="Times New Roman"/>
          <w:sz w:val="18"/>
          <w:szCs w:val="18"/>
          <w:color w:val="auto"/>
        </w:rPr>
        <w:t>Under Delaware corporate law, a director of a Delaware corporation has a fiduciary duty to the corporation and its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shareholders. This duty has two components: the duty of care and the duty of loyalty. The duty of care requires that a director act in good faith, with the care that an ordinarily prudent person would exercise under similar circumstances. Under this duty, a director must inform himself of, and disclose to shareholders, all material information reasonably available regarding a significant transaction. The duty of loyalty requires that a director acts in a manner he reasonably believes to be in the best interests of the corporation. He must not use his corporate position for personal gain or advantage. This duty prohibits self-dealing by a director and mandates that the best interest of the corporation and its shareholders take precedence over any interest possessed by a director, officer or controlling shareholder and not shared by the shareholders generally. In general, actions of a director are presumed to have been made on an informed basis, in good faith and in the honest belief that the action taken was in the best interests of the corporation. However, this presumption may be rebutted by evidence of a breach of one of the fiduciary duties. Should such evidence be presented concerning a transaction by a director, the director must prove the procedural fairness of the transaction, and that the transaction was of fair value to the corporation. As a matter of Cayman Islands law, directors of Cayman Islands companies owe fiduciary duties to their respective companies to, amongst other things, act in good faith in their dealings with or on behalf of the company and exercise their powers and fulfill the duties of their office honestly. Core duties are: a duty to act in good faith in what the directors bona fide consider to be the best interests of the company (and in this regard, it should be noted that the duty is owed to the company and not to associate companies, subsidiaries or holding companies); a duty not to personally profit from opportunities that arise from the office of director; a duty of trusteeship of the company’s assets, a duty not to put himself or herself in a position where the interests of the company conflict with his or her personal interest or his or her duty to a third party, and a duty to exercise powers for the purpose for which such powers were conferred. A director of a Cayman Islands company also owes to the company a duty to act with skill, care and diligence. A director need not exhibit in the performance of his or her duties a greater degree of skill than may reasonably be expected from a person of his or her knowledge and experience.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9" w:name="page20"/>
    <w:bookmarkEnd w:id="19"/>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Shareholder Action by Written Consent. </w:t>
      </w:r>
      <w:r>
        <w:rPr>
          <w:rFonts w:ascii="Times New Roman" w:cs="Times New Roman" w:eastAsia="Times New Roman" w:hAnsi="Times New Roman"/>
          <w:sz w:val="18"/>
          <w:szCs w:val="18"/>
          <w:color w:val="auto"/>
        </w:rPr>
        <w:t>Under the Delaware General Corporation Law, a corporation may eliminate the right of shareholders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act by written consent by amendment to its certificate of incorporation. Cayman Islands law and our articles of association provide that shareholders may approve corporate matters by way of a unanimous written resolution signed by or on behalf of each shareholder who would have been entitled to vote on such matter at a general meeting without a meeting being held.</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Shareholder Proposals. </w:t>
      </w:r>
      <w:r>
        <w:rPr>
          <w:rFonts w:ascii="Times New Roman" w:cs="Times New Roman" w:eastAsia="Times New Roman" w:hAnsi="Times New Roman"/>
          <w:sz w:val="18"/>
          <w:szCs w:val="18"/>
          <w:color w:val="auto"/>
        </w:rPr>
        <w:t>Under the Delaware General Corporation Law, a shareholder has the right to put any proposal before the annual meeting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shareholders, provided it complies with the notice provisions in the governing documents. A special meeting may be called by the board of directors or any other person authorized to do so in the governing documents, but shareholders may be precluded from calling special meetings. The Companies Act provides shareholders with only limited rights to requisition a general meeting and does not provide shareholders with any right to bring business before a general meeting or requisition a general meeting. However, these rights may be provided in articles of association. Our articles of association allow our shareholders holding not less than 40% of all voting power of our share capital in issue to requisition a shareholder’s meeting. Other than this right to requisition a shareholders’ meeting, our articles of association do not provide our shareholders other right to put proposal before a meeting. As an exempted Cayman Islands company, we are not obliged by law to call shareholders’ annual general meetings.</w:t>
      </w:r>
    </w:p>
    <w:p>
      <w:pPr>
        <w:spacing w:after="0" w:line="18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Cumulative Voting. </w:t>
      </w:r>
      <w:r>
        <w:rPr>
          <w:rFonts w:ascii="Times New Roman" w:cs="Times New Roman" w:eastAsia="Times New Roman" w:hAnsi="Times New Roman"/>
          <w:sz w:val="18"/>
          <w:szCs w:val="18"/>
          <w:color w:val="auto"/>
        </w:rPr>
        <w:t>Under the Delaware General Corporation Law, cumulative voting for elections of directors is not permitted unless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corporation’s certificate of incorporation specifically provides for it. Cumulative voting potentially facilitates the representation of minority shareholders on a board of directors since it permits the minority shareholder to cast all the votes to which the shareholder is entitled on a single director, which increases the shareholder’s voting power with respect to electing such director. There are no prohibitions in relation to cumulative voting under the Companies Act but our articles of association do not provide for cumulative voting.</w:t>
      </w:r>
    </w:p>
    <w:p>
      <w:pPr>
        <w:spacing w:after="0" w:line="179"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Removal of Directors. </w:t>
      </w:r>
      <w:r>
        <w:rPr>
          <w:rFonts w:ascii="Times New Roman" w:cs="Times New Roman" w:eastAsia="Times New Roman" w:hAnsi="Times New Roman"/>
          <w:sz w:val="18"/>
          <w:szCs w:val="18"/>
          <w:color w:val="auto"/>
        </w:rPr>
        <w:t>Under the Delaware General Corporation Law, a director of a corporation with a may be removed with the approval of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majority of the outstanding shares entitled to vote, unless the certificate of incorporation provides otherwise. Under our articles of association, directors may be removed, by an ordinary resolution of our shareholders.</w:t>
      </w:r>
    </w:p>
    <w:p>
      <w:pPr>
        <w:spacing w:after="0" w:line="171"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Transactions with Interested Shareholders. </w:t>
      </w:r>
      <w:r>
        <w:rPr>
          <w:rFonts w:ascii="Times New Roman" w:cs="Times New Roman" w:eastAsia="Times New Roman" w:hAnsi="Times New Roman"/>
          <w:sz w:val="18"/>
          <w:szCs w:val="18"/>
          <w:color w:val="auto"/>
        </w:rPr>
        <w:t>The Delaware General Corporation Law contains a business combination statute applicable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Delaware corporations whereby, unless the corporation has specifically elected not to be governed by such statute by amendment to its certificate of incorporation, it is prohibited from engaging in certain business combinations with an “interested shareholder” for three years following the date that such person becomes an interested shareholder. An interested shareholder generally is a person or a group who or which owns or owned 15% or more of the target’s outstanding voting share within the past three years. This has the effect of limiting the ability of a potential acquirer to make a two-tiered bid for the target in which all shareholders would not be treated equally. The statute does not apply if, among other things, prior to the date on which such shareholder becomes an interested shareholder, the board of directors approves either the business combination or the transaction which resulted in the person becoming an interested shareholder. This encourages any potential acquirer of a Delaware corporation to negotiate the terms of any acquisition transaction with the target’s board of directors. The Companies Act has no comparable statute. As a result, we cannot avail ourselves of the types of protections afforded by the Delaware business combination statute. However, although Cayman Islands law does not regulate transactions between a company and its significant shareholders, it does provide that such transactions must be entered into bona fide in the best interests of the company and for a proper corporate purpose and not with the effect of constituting a fraud on the minority shareholders.</w:t>
      </w:r>
    </w:p>
    <w:p>
      <w:pPr>
        <w:spacing w:after="0" w:line="19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Dissolution; Winding up. </w:t>
      </w:r>
      <w:r>
        <w:rPr>
          <w:rFonts w:ascii="Times New Roman" w:cs="Times New Roman" w:eastAsia="Times New Roman" w:hAnsi="Times New Roman"/>
          <w:sz w:val="18"/>
          <w:szCs w:val="18"/>
          <w:color w:val="auto"/>
        </w:rPr>
        <w:t>Under the Delaware General Corporation Law, unless the board of directors approves the proposal to dissolve,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dissolution must be approved by shareholders holding 100% of the total voting power of the corporation. Only if the dissolution is initiated by the board of directors may it be approved by a simple majority of the corporation’s outstanding shares. Delaware law allows a Delaware corporation to include in its certificate of incorporation a supermajority voting requirement in connection with dissolutions initiated by the board. Under the Companies Act, a company may be wound up by either an order of the courts of the Cayman Islands or by a special resolution of its members or, if the company is unable to pay its debts as they fall due, by an ordinary resolution of its members. The court has authority to order winding up in a number of specified circumstances including where it is, in the opinion of the court, just and equitable to do so. Under the Companies Act and our articles of association, our company may be dissolved, liquidated or wound up by a special resolution of our shareholders.</w:t>
      </w:r>
    </w:p>
    <w:p>
      <w:pPr>
        <w:spacing w:after="0" w:line="18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Variation of Rights of Shares. </w:t>
      </w:r>
      <w:r>
        <w:rPr>
          <w:rFonts w:ascii="Times New Roman" w:cs="Times New Roman" w:eastAsia="Times New Roman" w:hAnsi="Times New Roman"/>
          <w:sz w:val="18"/>
          <w:szCs w:val="18"/>
          <w:color w:val="auto"/>
        </w:rPr>
        <w:t>Under the Delaware General Corporation Law, a corporation may vary the rights of a class of shares with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approval of a majority of the outstanding shares of such class, unless the certificate of incorporation provides otherwise. Under the Companies Act and our articles of association, if our share capital is divided into more than one class of shares, we may vary the rights attached to any class with the written consent of the holders of two-thirds of the issued shares of that class or with the sanction of a special resolution passed at a separate general meeting of the holders of the shares of that class.</w:t>
      </w:r>
    </w:p>
    <w:p>
      <w:pPr>
        <w:spacing w:after="0" w:line="179" w:lineRule="exact"/>
        <w:rPr>
          <w:sz w:val="20"/>
          <w:szCs w:val="20"/>
          <w:color w:val="auto"/>
        </w:rPr>
      </w:pPr>
    </w:p>
    <w:p>
      <w:pPr>
        <w:jc w:val="both"/>
        <w:ind w:right="20"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Amendment of Governing Documents. </w:t>
      </w:r>
      <w:r>
        <w:rPr>
          <w:rFonts w:ascii="Times New Roman" w:cs="Times New Roman" w:eastAsia="Times New Roman" w:hAnsi="Times New Roman"/>
          <w:sz w:val="18"/>
          <w:szCs w:val="18"/>
          <w:color w:val="auto"/>
        </w:rPr>
        <w:t>Under the Delaware General Corporation Law, a corporation’s governing documents may be amended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with the approval of a majority of the outstanding shares entitled to vote, unless the certificate of incorporation provides otherwise. As permitted by the Companies Act, our memorandum and articles of association may only be amended with a special resolution of our shareholders.</w:t>
      </w:r>
    </w:p>
    <w:p>
      <w:pPr>
        <w:spacing w:after="0" w:line="171"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Rights of Non-resident or Foreign Shareholders. </w:t>
      </w:r>
      <w:r>
        <w:rPr>
          <w:rFonts w:ascii="Times New Roman" w:cs="Times New Roman" w:eastAsia="Times New Roman" w:hAnsi="Times New Roman"/>
          <w:sz w:val="18"/>
          <w:szCs w:val="18"/>
          <w:color w:val="auto"/>
        </w:rPr>
        <w:t>There are no limitations imposed by our memorandum and articles of association on the rights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non-resident or foreign shareholders to hold or exercise voting rights on our shar.es. In addition, there are no provisions in our memorandum and articles of association governing the ownership threshold above which shareholder ownership must be disclosed.</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0" w:name="page21"/>
    <w:bookmarkEnd w:id="20"/>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PREFERRED SHARES</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following description of preferred shares and the description of the terms of any particular series of preferred shares that we choose to issue hereunder and that will be set forth in the related prospectus supplement are not complete. These descriptions are qualified in their entirety by reference to the certificate of designation relating to that series. The rights, preferences, privileges and restrictions of the preferred shares of each series will be fixed by the certificate of designation relating to that series.</w:t>
      </w:r>
    </w:p>
    <w:p>
      <w:pPr>
        <w:spacing w:after="0" w:line="11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authorized share capital of the Company is currently US$10,000 divided into 100,000,000 shares of US$0.0001 par value each of a single class. Accordingly, the Company will need to obtain shareholders' approval to create a new class of preferred shares and to amend its memorandum and articles of association to provide for the rights of the preferred shares prior to its issuance. Subject to the Company having duly authorized the creation of the new class of preferred shares,</w:t>
      </w:r>
    </w:p>
    <w:p>
      <w:pPr>
        <w:spacing w:after="0" w:line="11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board of directors will have the authority, subject to limitations prescribed by law and the then effective memorandum and articles of association, to provide for the issuance of the preferred shares in one or more series, to establish from time to time the number of shares to be included in each such series, and to fix the designation, powers, preferences and rights of the shares of each series and the qualifications, limitations or restrictions, including, but not limited to, the following:</w:t>
      </w:r>
    </w:p>
    <w:p>
      <w:pPr>
        <w:spacing w:after="0" w:line="112" w:lineRule="exact"/>
        <w:rPr>
          <w:sz w:val="20"/>
          <w:szCs w:val="20"/>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constituting that series;</w:t>
      </w:r>
    </w:p>
    <w:p>
      <w:pPr>
        <w:spacing w:after="0" w:line="15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dividend rights and rates;</w:t>
      </w:r>
    </w:p>
    <w:p>
      <w:pPr>
        <w:spacing w:after="0" w:line="15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voting rights;</w:t>
      </w:r>
    </w:p>
    <w:p>
      <w:pPr>
        <w:spacing w:after="0" w:line="15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conversion terms;</w:t>
      </w:r>
    </w:p>
    <w:p>
      <w:pPr>
        <w:spacing w:after="0" w:line="15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rights and terms of redemption (including sinking fund provisions); and</w:t>
      </w:r>
    </w:p>
    <w:p>
      <w:pPr>
        <w:spacing w:after="0" w:line="15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rights of the series in the event of liquidation, dissolution or winding up.</w:t>
      </w:r>
    </w:p>
    <w:p>
      <w:pPr>
        <w:spacing w:after="0" w:line="15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All preferred shares offered hereby (after the same have been duly created and authorized for issuance) will, when issued, be fully paid and nonassessable and will not have any preemptive or similar rights. Subject to the Company having duly authorized the creation of the new class of preferred shares and the rights of the preferred shares set out in the memorandum and article of association, our board of directors could authorize the issuance of preferred shares with terms and conditions that could have the effect of discouraging a takeover or other transaction that might involve a premium price for holders of the shares or which holders might believe to be in their best interests.</w:t>
      </w:r>
    </w:p>
    <w:p>
      <w:pPr>
        <w:spacing w:after="0" w:line="1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will set forth in a prospectus supplement relating to the series of preferred shares being offered the following items:</w:t>
      </w:r>
    </w:p>
    <w:p>
      <w:pPr>
        <w:spacing w:after="0" w:line="158" w:lineRule="exact"/>
        <w:rPr>
          <w:sz w:val="20"/>
          <w:szCs w:val="20"/>
          <w:color w:val="auto"/>
        </w:rPr>
      </w:pPr>
    </w:p>
    <w:p>
      <w:pPr>
        <w:ind w:left="980" w:hanging="324"/>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and stated value of the preferred shares;</w:t>
      </w:r>
    </w:p>
    <w:p>
      <w:pPr>
        <w:spacing w:after="0" w:line="15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preferred shares offered, the liquidation preference per share and the offering price of the preferred shares;</w:t>
      </w:r>
    </w:p>
    <w:p>
      <w:pPr>
        <w:spacing w:after="0" w:line="15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dividend rate(s), period(s) and/or payment date(s) or method(s) of calculation applicable to the preferred shares;</w:t>
      </w:r>
    </w:p>
    <w:p>
      <w:pPr>
        <w:spacing w:after="0" w:line="157"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dividends are cumulative or non-cumulative and, if cumulative, the date from which dividends on the preferred shares will accumulate;</w:t>
      </w:r>
    </w:p>
    <w:p>
      <w:pPr>
        <w:spacing w:after="0" w:line="94"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procedures for any auction and remarketing, if any, for the preferred shares;</w:t>
      </w:r>
    </w:p>
    <w:p>
      <w:pPr>
        <w:spacing w:after="0" w:line="15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for a sinking fund, if any, for the preferred shares;</w:t>
      </w:r>
    </w:p>
    <w:p>
      <w:pPr>
        <w:spacing w:after="0" w:line="15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 for redemption, if applicable, of the preferred shares;</w:t>
      </w:r>
    </w:p>
    <w:p>
      <w:pPr>
        <w:spacing w:after="0" w:line="15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listing of the preferred shares on any securities exchange;</w:t>
      </w:r>
    </w:p>
    <w:p>
      <w:pPr>
        <w:spacing w:after="0" w:line="157"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conditions, if applicable, upon which the preferred shares will be convertible into common shares, including the conversion price (or manner of calculation) and conversion period;</w:t>
      </w:r>
    </w:p>
    <w:p>
      <w:pPr>
        <w:spacing w:after="0" w:line="94"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voting rights, if any, of the preferred shares;</w:t>
      </w:r>
    </w:p>
    <w:p>
      <w:pPr>
        <w:spacing w:after="0" w:line="15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discussion of any material and/or special United States federal income tax considerations applicable to the preferred shares;</w:t>
      </w:r>
    </w:p>
    <w:p>
      <w:pPr>
        <w:spacing w:after="0" w:line="157"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relative ranking and preferences of the preferred shares as to dividend rights and rights upon the liquidation, dissolution or winding up of our affairs;</w:t>
      </w:r>
    </w:p>
    <w:p>
      <w:pPr>
        <w:spacing w:after="0" w:line="94"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limitations on issuance of any class or series of preferred shares ranking senior to or on a parity with the class or series of preferred shares as to dividend rights and rights upon liquidation, dissolution or winding up of our affairs; and</w:t>
      </w:r>
    </w:p>
    <w:p>
      <w:pPr>
        <w:spacing w:after="0" w:line="94"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specific terms, preferences, rights, limitations or restrictions of the preferred shares.</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transfer agent and registrar for any series of preferred shares will be set forth in the applicable prospectus supplement.</w:t>
      </w: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33" w:right="339" w:bottom="1440" w:gutter="0" w:footer="0" w:header="0"/>
        </w:sectPr>
      </w:pPr>
    </w:p>
    <w:bookmarkStart w:id="21" w:name="page22"/>
    <w:bookmarkEnd w:id="2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DESCRIPTION OF WARRANTS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may issue warrants for the purchase of common shares. Warrants may be offered separately or together with other securities offered by this prospectus, as the case may be. Unless the applicable prospectus supplement otherwise indicates, each series of warrants will be issued under a separate warrant agreement to be entered into between us and one or more banks or trust companies acting as warrant agent. The applicable prospectus supplement will include details of the warrant agreements covering the warrants being offered. The warrant agent will act solely as our agent and will not assume a relationship of agency with any holders of warrant certificates or beneficial owners of warrants.</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following sets forth certain general terms and provisions of the warrants offered under this prospectus. The specific terms of the warrants, and the extent to which the general terms described in this section apply to those warrants, will be set forth in the applicable prospectus supplement. The terms of any warrants offered under a prospectus supplement may differ from the terms described below.</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particular terms of each issue of warrants will be described in the related prospectus supplement. This description will include some or all of the following:</w:t>
      </w:r>
    </w:p>
    <w:p>
      <w:pPr>
        <w:spacing w:after="0" w:line="162" w:lineRule="exact"/>
        <w:rPr>
          <w:sz w:val="20"/>
          <w:szCs w:val="20"/>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and aggregate number of warrants;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at which the warrants will be offered;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or currencies in which the warrants will be offered;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and terms of our common shares purchasable upon exercise of the warrants;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right to exercise the warrants will commence and the date on which the right will expire;</w:t>
      </w:r>
    </w:p>
    <w:p>
      <w:pPr>
        <w:spacing w:after="0" w:line="225"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common shares that may be purchased upon exercise of each warrant and the price at which and currency or currencies in which our common shares may be purchased upon exercise of each warrant;</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and terms of any securities with which the warrants will be offered, if any, and the number of the warrants that will be offered with each security;</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if any, on or after which the warrants and the related securities will be transferable separately;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whether the warrants will be subject to redemption or call and, if so, the terms of such redemption or call provisions;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 United States tax consequences of owning the warrants;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material terms or conditions of the warrants.</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Each warrant will entitle the holder to purchase common shares, as specified in the applicable prospectus supplement at the exercise price that we describe therein. Unless we otherwise specify in the applicable prospectus supplement, holders of the warrants may exercise the warrants at any time up to the specified time on the expiration date that we set forth in the applicable prospectus supplement. After the close of business on the expiration date, unexercised warrants will become void.</w:t>
      </w: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2" w:name="page23"/>
    <w:bookmarkEnd w:id="22"/>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DEBT SECURITIES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This description is a summary of the material provisions of the debt securities and the related indenture. We urge you to read the form of indenture filed as an exhibit to the registration statement of which this prospectus is a part because the indenture, and not this description, governs your rights as a holder of debt securities. References in this prospectus to an “indenture” refer to the particular indenture under which we may issue a series of debt securities.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terms of each series of debt securities will be established by or pursuant to a resolution of our board of directors and set forth or determined in the manner provided in an officers’ certificate or by a supplemental indenture. Debt securities may be issued in separate series without limitation as to aggregate principal amount. We may specify a maximum aggregate principal amount for the debt securities of any series. The particular terms of each series of debt securities will be described in a prospectus supplement relating to such series, including any pricing supplement. The prospectus supplement will set forth specific terms relating to some or all of the following:</w:t>
      </w:r>
    </w:p>
    <w:p>
      <w:pPr>
        <w:spacing w:after="0" w:line="183" w:lineRule="exact"/>
        <w:rPr>
          <w:sz w:val="20"/>
          <w:szCs w:val="20"/>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offering price;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limit on the aggregate principal amount;</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person who shall be entitled to receive interest, if other than the record holder on the record date;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the principal will be payable;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interest rate, if any, the date interest will accrue, the interest payment dates and the regular record dates;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place where payments may be made;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mandatory or optional redemption provisions;</w:t>
      </w:r>
    </w:p>
    <w:p>
      <w:pPr>
        <w:spacing w:after="0" w:line="225"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method for determining how the principal, premium, if any, or interest will be calculated by reference to an index or formula;</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other than U.S. currency, the currency or currency units in which principal, premium, if any, or interest will be payable and whether we or the holder may elect payment to be made in a different currency;</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the principal amount that will be payable upon acceleration of stated maturity, if other than the entire principal amount;</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defeasance provisions if different from those described below under “Satisfaction and Discharge; Defeasance”;</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3" w:name="page24"/>
    <w:bookmarkEnd w:id="23"/>
    <w:p>
      <w:pPr>
        <w:ind w:left="980" w:hanging="324"/>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conversion or exchange provisions;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obligation to redeem or purchase the debt securities pursuant to a sinking fund;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securities will be issuable in the form of a global security;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subordination provisions, if different from those described below under “Subordination”;</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deletions of, or changes or additions to, the events of default or covenants;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specific terms of such debt securities.</w:t>
      </w:r>
    </w:p>
    <w:p>
      <w:pPr>
        <w:spacing w:after="0" w:line="225"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Unless otherwise specified in the prospectus supplement, the debt securities will be registered debt securities. Debt securities may be sold at a substantial discount below their stated principal amount, bearing no interest or interest at a rate which at the time of issuance is below market rates.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Exchange and Transfer</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Debt securities may be transferred or exchanged at the office of the security registrar or at the office of any transfer agent designated by us.</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We will not impose a service charge for any transfer or exchange, but we may require holders to pay any tax or other governmental charges associated with any transfer or exchange.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the event of any potential redemption of debt securities of any series, we will not be required to:</w:t>
      </w:r>
    </w:p>
    <w:p>
      <w:pPr>
        <w:spacing w:after="0" w:line="225" w:lineRule="exact"/>
        <w:rPr>
          <w:sz w:val="20"/>
          <w:szCs w:val="20"/>
          <w:color w:val="auto"/>
        </w:rPr>
      </w:pPr>
    </w:p>
    <w:p>
      <w:pPr>
        <w:ind w:left="980" w:hanging="324"/>
        <w:spacing w:after="0" w:line="282" w:lineRule="auto"/>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register the transfer of, or exchange, any debt security of that series during a period beginning at the opening of business 15 days before the day of mailing of a notice of redemption and ending at the close of business on the day of the mailing; or</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register the transfer of or exchange any debt security of that series selected for redemption, in whole or in part, except the unredeemed portion being redeemed in part.</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may initially appoint the trustee as the security registrar. Any transfer agent, in addition to the security registrar, initially designated by us will be named in the prospectus supplement. We may designate additional transfer agents or change transfer agents or change the office of the transfer agent. However, we will be required to maintain a transfer agent in each place of payment for the debt securities of each series.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Global Securities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debt securities of any series may be represented, in whole or in part, by one or more global securities. Each global security will:</w:t>
      </w:r>
    </w:p>
    <w:p>
      <w:pPr>
        <w:spacing w:after="0" w:line="225" w:lineRule="exact"/>
        <w:rPr>
          <w:sz w:val="20"/>
          <w:szCs w:val="20"/>
          <w:color w:val="auto"/>
        </w:rPr>
      </w:pPr>
    </w:p>
    <w:p>
      <w:pPr>
        <w:ind w:left="980" w:hanging="324"/>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registered in the name of a depositary that we will identify in a prospectus supplement;</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deposited with the depositary or nominee or custodian;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bear any required legends.</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No global security may be exchanged in whole or in part for debt securities registered in the name of any person other than the depositary or any nominee unless:</w:t>
      </w:r>
    </w:p>
    <w:p>
      <w:pPr>
        <w:spacing w:after="0" w:line="162" w:lineRule="exact"/>
        <w:rPr>
          <w:sz w:val="20"/>
          <w:szCs w:val="20"/>
          <w:color w:val="auto"/>
        </w:rPr>
      </w:pPr>
    </w:p>
    <w:p>
      <w:pPr>
        <w:ind w:left="980" w:hanging="324"/>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depositary has notified us that it is unwilling or unable to continue as depositary or has ceased to be qualified to act as depositary;</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4" w:name="page25"/>
    <w:bookmarkEnd w:id="24"/>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event of default is continuing; or</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executes and delivers to the trustee an officers’ certificate stating that the global security is exchangeable.</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long as the depositary, or its nominee, is the registered owner of a global security, the depositary or nominee will be considered the sole owner and holder of the debt securities represented by the global security for all purposes under the indenture. Except in the above limited circumstances, owners of beneficial interests in a global security:</w:t>
      </w:r>
    </w:p>
    <w:p>
      <w:pPr>
        <w:spacing w:after="0" w:line="176" w:lineRule="exact"/>
        <w:rPr>
          <w:sz w:val="20"/>
          <w:szCs w:val="20"/>
          <w:color w:val="auto"/>
        </w:rPr>
      </w:pPr>
    </w:p>
    <w:p>
      <w:pPr>
        <w:ind w:left="980" w:hanging="324"/>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not be entitled to have the debt securities registered in their names;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not be entitled to physical delivery of certificated debt securities;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not be considered to be holders of those debt securities under the indentures.</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Payments on a global security will be made to the depositary or its nominee as the holder of the global security. Some jurisdictions have laws that require that certain purchasers of securities take physical delivery of such securities in definitive form. These laws may impair the ability to transfer beneficial interests in a global security.</w:t>
      </w:r>
    </w:p>
    <w:p>
      <w:pPr>
        <w:spacing w:after="0" w:line="176"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Institutions that have accounts with the depositary or its nominee are referred to as “participants.” Ownership of beneficial interests in a global security will be limited to participants and to persons that may hold beneficial interests through participants. The depositary will credit, on its book-entry registration and transfer system, the respective principal amounts of debt securities represented by the global security to the accounts of its participants.</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Ownership of beneficial interests in a global security will be shown on and effected through records maintained by the depositary, with respect to participants’ interests, or any participant, with respect to interests of persons held by participants on their behalf.</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Payments, transfers and exchanges relating to beneficial interests in a global security will be subject to policies and procedures of the depositary.</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depositary policies and procedures may change from time to time. Neither we nor the trustee will have any responsibility or liability for the depositary’s or any participant’s records with respect to beneficial interests in a global security.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Payment and Paying Agent</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provisions of this paragraph will apply to the debt securities unless otherwise indicated in the prospectus supplement. Payment of interest on a debt security on any interest payment date will be made to the person in whose name the debt security is registered at the close of business on the regular record date. Payment on debt securities of a particular series will be payable at the office of a paying agent or paying agents designated by us. However, at our option, we may pay interest by mailing a check to the record holder. The corporate trust office will be designated as our sole paying agent.</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may also name any other paying agents in the prospectus supplement. We may designate additional paying agents, change paying agents or change the office of any paying agent. However, we will be required to maintain a paying agent in each place of payment for the debt securities of a particular series.</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All moneys paid by us to a paying agent for payment on any debt security which remain unclaimed at the end of two years after such payment was due will be repaid to us. Thereafter, the holder may look only to us for such payment.</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color w:val="auto"/>
        </w:rPr>
        <w:t>Consolidation, Merger and Sale of Assets</w:t>
      </w:r>
    </w:p>
    <w:p>
      <w:pPr>
        <w:spacing w:after="0" w:line="229"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Except as otherwise set forth in the prospectus supplement, we may not consolidate with or merge into any other person, in a transaction in which we are not the surviving corporation, or convey, transfer or lease our properties and assets substantially as an entirety to, any person, unless:</w:t>
      </w:r>
    </w:p>
    <w:p>
      <w:pPr>
        <w:spacing w:after="0" w:line="162" w:lineRule="exact"/>
        <w:rPr>
          <w:sz w:val="20"/>
          <w:szCs w:val="20"/>
          <w:color w:val="auto"/>
        </w:rPr>
      </w:pPr>
    </w:p>
    <w:p>
      <w:pPr>
        <w:ind w:left="980" w:hanging="324"/>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successor, if any, is a U.S. corporation, limited liability company, partnership, trust or other entity;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successor assumes our obligations on the debt securities and under the indenture;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after giving effect to the transaction, no default or event of default shall have occurred and be continuing;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other conditions are met.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Events of Default</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Unless we inform you otherwise in the prospectus supplement, the indenture will define an event of default with respect to any series of debt securities as one or more of the following events:</w:t>
      </w:r>
    </w:p>
    <w:p>
      <w:pPr>
        <w:spacing w:after="0" w:line="162" w:lineRule="exact"/>
        <w:rPr>
          <w:sz w:val="20"/>
          <w:szCs w:val="20"/>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pay principal of or any premium on any debt security of that series when due;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pay any interest on any debt security of that series for 30 days when due;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deposit any sinking fund payment when due;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perform any other covenant in the indenture continued for 90 days after being given the notice required in the indenture;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bankruptcy, insolvency or reorganization;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event of default specified in the prospectus supplement.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An event of default of one series of debt securities is not necessarily an event of default for any other series of debt securities.</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an event of default, other than an event of default described in clause (5) above, shall occur and be continuing, either the trustee or the holders of at least 25% in aggregate principal amount of the outstanding securities of that series may declare the principal amount of the debt securities of that series to be due and payable immediately.</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an event of default described in clause (5) above shall occur, the principal amount of all the debt securities of that series will automatically become immediately due and payable. Any payment by us on subordinated debt securities following any such acceleration will be subject to the subordination provisions described below under “Subordinated Debt Securities.”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After acceleration the holders of a majority in aggregate principal amount of the outstanding securities of that series may, under certain circumstances, rescind and annul such acceleration if all events of default, other than the non-payment of accelerated principal, or other specified amount, have been cured or waived.</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Other than the duty to act with the required care during an event of default, the trustee will not be obligated to exercise any of its rights or powers at the request of the holders unless the holders shall have offered to the trustee reasonable indemnity. Generally, the holders of a majority in aggregate principal amount of the outstanding debt securities of any series will have the right to direct the time, method and place of conducting any proceeding for any remedy available to the trustee or exercising any trust or power conferred on the trustee.</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6" w:name="page27"/>
    <w:bookmarkEnd w:id="26"/>
    <w:p>
      <w:pPr>
        <w:ind w:firstLine="648"/>
        <w:spacing w:after="0" w:line="282" w:lineRule="auto"/>
        <w:rPr>
          <w:sz w:val="20"/>
          <w:szCs w:val="20"/>
          <w:color w:val="auto"/>
        </w:rPr>
      </w:pPr>
      <w:r>
        <w:rPr>
          <w:rFonts w:ascii="Times New Roman" w:cs="Times New Roman" w:eastAsia="Times New Roman" w:hAnsi="Times New Roman"/>
          <w:sz w:val="18"/>
          <w:szCs w:val="18"/>
          <w:color w:val="auto"/>
        </w:rPr>
        <w:t>A holder will not have any right to institute any proceeding under the indentures, or for the appointment of a receiver or a trustee, or for any other remedy under the indentures, unless:</w:t>
      </w:r>
    </w:p>
    <w:p>
      <w:pPr>
        <w:spacing w:after="0" w:line="162" w:lineRule="exact"/>
        <w:rPr>
          <w:sz w:val="20"/>
          <w:szCs w:val="20"/>
          <w:color w:val="auto"/>
        </w:rPr>
      </w:pPr>
    </w:p>
    <w:p>
      <w:pPr>
        <w:ind w:left="960" w:hanging="304"/>
        <w:spacing w:after="0"/>
        <w:tabs>
          <w:tab w:leader="none" w:pos="9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has previously given to the trustee written notice of a continuing event of default with respect to the debt securities of that series;</w:t>
      </w:r>
    </w:p>
    <w:p>
      <w:pPr>
        <w:spacing w:after="0" w:line="225" w:lineRule="exact"/>
        <w:rPr>
          <w:rFonts w:ascii="Times New Roman" w:cs="Times New Roman" w:eastAsia="Times New Roman" w:hAnsi="Times New Roman"/>
          <w:sz w:val="18"/>
          <w:szCs w:val="18"/>
          <w:color w:val="auto"/>
        </w:rPr>
      </w:pPr>
    </w:p>
    <w:p>
      <w:pPr>
        <w:ind w:left="960" w:hanging="304"/>
        <w:spacing w:after="0" w:line="282" w:lineRule="auto"/>
        <w:tabs>
          <w:tab w:leader="none" w:pos="9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at least 25% in aggregate principal amount of the outstanding debt securities of that series have made a written request and have offered reasonable indemnity to the trustee to institute the proceeding; and</w:t>
      </w:r>
    </w:p>
    <w:p>
      <w:pPr>
        <w:spacing w:after="0" w:line="161" w:lineRule="exact"/>
        <w:rPr>
          <w:rFonts w:ascii="Times New Roman" w:cs="Times New Roman" w:eastAsia="Times New Roman" w:hAnsi="Times New Roman"/>
          <w:sz w:val="18"/>
          <w:szCs w:val="18"/>
          <w:color w:val="auto"/>
        </w:rPr>
      </w:pPr>
    </w:p>
    <w:p>
      <w:pPr>
        <w:ind w:left="960" w:hanging="304"/>
        <w:spacing w:after="0" w:line="282" w:lineRule="auto"/>
        <w:tabs>
          <w:tab w:leader="none" w:pos="9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has failed to institute the proceeding and has not received direction inconsistent with the original request from the holders of a majority in aggregate principal amount of the outstanding debt securities of that series within 90 days after the original request.</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Holders may, however, sue to enforce the payment of principal or interest on any debt security on or after the due date without following the procedures listed in (1) through (3) above.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Modification and Waiver</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Except as provided in the next two succeeding paragraphs, the applicable trustee and we may make modifications and amendments to the indentures (including, without limitation, through consents obtained in connection with a tender offer or exchange offer for, outstanding securities) and may waive any existing default or event of default (including, without limitation, through consents obtained in connection with a tender offer or exchange offer for, outstanding securities) with the consent of the holders of a majority in aggregate principal amount of the outstanding securities of each series affected by the modification or amendment.</w:t>
      </w:r>
    </w:p>
    <w:p>
      <w:pPr>
        <w:spacing w:after="0" w:line="183"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However, neither we nor the trustee may make any amendment or waiver without the consent of the holder of each outstanding security of that series affected by the amendment or waiver if such amendment or waiver would, among other things:</w:t>
      </w:r>
    </w:p>
    <w:p>
      <w:pPr>
        <w:spacing w:after="0" w:line="162" w:lineRule="exact"/>
        <w:rPr>
          <w:sz w:val="20"/>
          <w:szCs w:val="20"/>
          <w:color w:val="auto"/>
        </w:rPr>
      </w:pPr>
    </w:p>
    <w:p>
      <w:pPr>
        <w:ind w:left="960" w:hanging="304"/>
        <w:spacing w:after="0"/>
        <w:tabs>
          <w:tab w:leader="none" w:pos="9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the amount of securities whose holders must consent to an amendment, supplement or waiver;</w:t>
      </w:r>
    </w:p>
    <w:p>
      <w:pPr>
        <w:spacing w:after="0" w:line="225" w:lineRule="exact"/>
        <w:rPr>
          <w:rFonts w:ascii="Times New Roman" w:cs="Times New Roman" w:eastAsia="Times New Roman" w:hAnsi="Times New Roman"/>
          <w:sz w:val="18"/>
          <w:szCs w:val="18"/>
          <w:color w:val="auto"/>
        </w:rPr>
      </w:pPr>
    </w:p>
    <w:p>
      <w:pPr>
        <w:ind w:left="960" w:hanging="304"/>
        <w:spacing w:after="0"/>
        <w:tabs>
          <w:tab w:leader="none" w:pos="9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the stated maturity of any debt security;</w:t>
      </w:r>
    </w:p>
    <w:p>
      <w:pPr>
        <w:spacing w:after="0" w:line="225" w:lineRule="exact"/>
        <w:rPr>
          <w:rFonts w:ascii="Times New Roman" w:cs="Times New Roman" w:eastAsia="Times New Roman" w:hAnsi="Times New Roman"/>
          <w:sz w:val="18"/>
          <w:szCs w:val="18"/>
          <w:color w:val="auto"/>
        </w:rPr>
      </w:pPr>
    </w:p>
    <w:p>
      <w:pPr>
        <w:ind w:left="960" w:hanging="304"/>
        <w:spacing w:after="0"/>
        <w:tabs>
          <w:tab w:leader="none" w:pos="9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principal on any debt security or reduce the amount of, or postpone the date fixed for, the payment of any sinking fund;</w:t>
      </w:r>
    </w:p>
    <w:p>
      <w:pPr>
        <w:spacing w:after="0" w:line="225" w:lineRule="exact"/>
        <w:rPr>
          <w:rFonts w:ascii="Times New Roman" w:cs="Times New Roman" w:eastAsia="Times New Roman" w:hAnsi="Times New Roman"/>
          <w:sz w:val="18"/>
          <w:szCs w:val="18"/>
          <w:color w:val="auto"/>
        </w:rPr>
      </w:pPr>
    </w:p>
    <w:p>
      <w:pPr>
        <w:ind w:left="960" w:hanging="304"/>
        <w:spacing w:after="0"/>
        <w:tabs>
          <w:tab w:leader="none" w:pos="9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principal of an original issue discount security on acceleration of maturity;</w:t>
      </w:r>
    </w:p>
    <w:p>
      <w:pPr>
        <w:spacing w:after="0" w:line="225" w:lineRule="exact"/>
        <w:rPr>
          <w:rFonts w:ascii="Times New Roman" w:cs="Times New Roman" w:eastAsia="Times New Roman" w:hAnsi="Times New Roman"/>
          <w:sz w:val="18"/>
          <w:szCs w:val="18"/>
          <w:color w:val="auto"/>
        </w:rPr>
      </w:pPr>
    </w:p>
    <w:p>
      <w:pPr>
        <w:ind w:left="960" w:hanging="304"/>
        <w:spacing w:after="0"/>
        <w:tabs>
          <w:tab w:leader="none" w:pos="9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rate of interest or extend the time for payment of interest on any debt security;</w:t>
      </w:r>
    </w:p>
    <w:p>
      <w:pPr>
        <w:spacing w:after="0" w:line="225" w:lineRule="exact"/>
        <w:rPr>
          <w:rFonts w:ascii="Times New Roman" w:cs="Times New Roman" w:eastAsia="Times New Roman" w:hAnsi="Times New Roman"/>
          <w:sz w:val="18"/>
          <w:szCs w:val="18"/>
          <w:color w:val="auto"/>
        </w:rPr>
      </w:pPr>
    </w:p>
    <w:p>
      <w:pPr>
        <w:ind w:left="960" w:hanging="304"/>
        <w:spacing w:after="0"/>
        <w:tabs>
          <w:tab w:leader="none" w:pos="9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 principal or interest payment on any debt security in any currency other than that stated in the debt security;</w:t>
      </w:r>
    </w:p>
    <w:p>
      <w:pPr>
        <w:spacing w:after="0" w:line="225" w:lineRule="exact"/>
        <w:rPr>
          <w:rFonts w:ascii="Times New Roman" w:cs="Times New Roman" w:eastAsia="Times New Roman" w:hAnsi="Times New Roman"/>
          <w:sz w:val="18"/>
          <w:szCs w:val="18"/>
          <w:color w:val="auto"/>
        </w:rPr>
      </w:pPr>
    </w:p>
    <w:p>
      <w:pPr>
        <w:ind w:left="960" w:hanging="304"/>
        <w:spacing w:after="0"/>
        <w:tabs>
          <w:tab w:leader="none" w:pos="9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 the right to enforce any payment after the stated maturity or redemption date;</w:t>
      </w:r>
    </w:p>
    <w:p>
      <w:pPr>
        <w:spacing w:after="0" w:line="225" w:lineRule="exact"/>
        <w:rPr>
          <w:rFonts w:ascii="Times New Roman" w:cs="Times New Roman" w:eastAsia="Times New Roman" w:hAnsi="Times New Roman"/>
          <w:sz w:val="18"/>
          <w:szCs w:val="18"/>
          <w:color w:val="auto"/>
        </w:rPr>
      </w:pPr>
    </w:p>
    <w:p>
      <w:pPr>
        <w:ind w:left="960" w:hanging="304"/>
        <w:spacing w:after="0" w:line="282" w:lineRule="auto"/>
        <w:tabs>
          <w:tab w:leader="none" w:pos="9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any default or event of default in payment of the principal of, premium or interest on any debt security (except certain rescissions of acceleration); or</w:t>
      </w:r>
    </w:p>
    <w:p>
      <w:pPr>
        <w:spacing w:after="0" w:line="161" w:lineRule="exact"/>
        <w:rPr>
          <w:rFonts w:ascii="Times New Roman" w:cs="Times New Roman" w:eastAsia="Times New Roman" w:hAnsi="Times New Roman"/>
          <w:sz w:val="18"/>
          <w:szCs w:val="18"/>
          <w:color w:val="auto"/>
        </w:rPr>
      </w:pPr>
    </w:p>
    <w:p>
      <w:pPr>
        <w:ind w:left="960" w:hanging="304"/>
        <w:spacing w:after="0"/>
        <w:tabs>
          <w:tab w:leader="none" w:pos="9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a redemption payment or modify any of the redemption provisions of any debt security;</w:t>
      </w: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7" w:name="page28"/>
    <w:bookmarkEnd w:id="27"/>
    <w:p>
      <w:pPr>
        <w:ind w:firstLine="648"/>
        <w:spacing w:after="0" w:line="282" w:lineRule="auto"/>
        <w:rPr>
          <w:sz w:val="20"/>
          <w:szCs w:val="20"/>
          <w:color w:val="auto"/>
        </w:rPr>
      </w:pPr>
      <w:r>
        <w:rPr>
          <w:rFonts w:ascii="Times New Roman" w:cs="Times New Roman" w:eastAsia="Times New Roman" w:hAnsi="Times New Roman"/>
          <w:sz w:val="18"/>
          <w:szCs w:val="18"/>
          <w:color w:val="auto"/>
        </w:rPr>
        <w:t>Notwithstanding the preceding, without the consent of any holder of outstanding securities, we and the trustee may amend or supplement the indentures:</w:t>
      </w:r>
    </w:p>
    <w:p>
      <w:pPr>
        <w:spacing w:after="0" w:line="162" w:lineRule="exact"/>
        <w:rPr>
          <w:sz w:val="20"/>
          <w:szCs w:val="20"/>
          <w:color w:val="auto"/>
        </w:rPr>
      </w:pPr>
    </w:p>
    <w:p>
      <w:pPr>
        <w:ind w:left="960" w:hanging="304"/>
        <w:spacing w:after="0"/>
        <w:tabs>
          <w:tab w:leader="none" w:pos="9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the issuance of and establish the form and terms and conditions of debt securities of any series as permitted by the indenture;</w:t>
      </w:r>
    </w:p>
    <w:p>
      <w:pPr>
        <w:spacing w:after="0" w:line="225" w:lineRule="exact"/>
        <w:rPr>
          <w:rFonts w:ascii="Times New Roman" w:cs="Times New Roman" w:eastAsia="Times New Roman" w:hAnsi="Times New Roman"/>
          <w:sz w:val="18"/>
          <w:szCs w:val="18"/>
          <w:color w:val="auto"/>
        </w:rPr>
      </w:pPr>
    </w:p>
    <w:p>
      <w:pPr>
        <w:ind w:left="960" w:hanging="304"/>
        <w:spacing w:after="0"/>
        <w:tabs>
          <w:tab w:leader="none" w:pos="9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uncertificated securities in addition to or in place of certificated securities;</w:t>
      </w:r>
    </w:p>
    <w:p>
      <w:pPr>
        <w:spacing w:after="0" w:line="225" w:lineRule="exact"/>
        <w:rPr>
          <w:rFonts w:ascii="Times New Roman" w:cs="Times New Roman" w:eastAsia="Times New Roman" w:hAnsi="Times New Roman"/>
          <w:sz w:val="18"/>
          <w:szCs w:val="18"/>
          <w:color w:val="auto"/>
        </w:rPr>
      </w:pPr>
    </w:p>
    <w:p>
      <w:pPr>
        <w:ind w:left="960" w:hanging="304"/>
        <w:spacing w:after="0" w:line="282" w:lineRule="auto"/>
        <w:tabs>
          <w:tab w:leader="none" w:pos="9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the assumption of our obligations to holders of any debt security in the case of a merger, consolidation, transfer or sale of all or substantially all of our assets;</w:t>
      </w:r>
    </w:p>
    <w:p>
      <w:pPr>
        <w:spacing w:after="0" w:line="161" w:lineRule="exact"/>
        <w:rPr>
          <w:rFonts w:ascii="Times New Roman" w:cs="Times New Roman" w:eastAsia="Times New Roman" w:hAnsi="Times New Roman"/>
          <w:sz w:val="18"/>
          <w:szCs w:val="18"/>
          <w:color w:val="auto"/>
        </w:rPr>
      </w:pPr>
    </w:p>
    <w:p>
      <w:pPr>
        <w:ind w:left="960" w:hanging="304"/>
        <w:spacing w:after="0"/>
        <w:tabs>
          <w:tab w:leader="none" w:pos="9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any change that does not adversely affect the legal rights under the indenture of any such holder;</w:t>
      </w:r>
    </w:p>
    <w:p>
      <w:pPr>
        <w:spacing w:after="0" w:line="225" w:lineRule="exact"/>
        <w:rPr>
          <w:rFonts w:ascii="Times New Roman" w:cs="Times New Roman" w:eastAsia="Times New Roman" w:hAnsi="Times New Roman"/>
          <w:sz w:val="18"/>
          <w:szCs w:val="18"/>
          <w:color w:val="auto"/>
        </w:rPr>
      </w:pPr>
    </w:p>
    <w:p>
      <w:pPr>
        <w:ind w:left="960" w:hanging="304"/>
        <w:spacing w:after="0" w:line="282" w:lineRule="auto"/>
        <w:tabs>
          <w:tab w:leader="none" w:pos="9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requirements of the Commission in order to effect or maintain the qualification of an indenture under the Trust Indenture Act; or</w:t>
      </w:r>
    </w:p>
    <w:p>
      <w:pPr>
        <w:spacing w:after="0" w:line="161" w:lineRule="exact"/>
        <w:rPr>
          <w:rFonts w:ascii="Times New Roman" w:cs="Times New Roman" w:eastAsia="Times New Roman" w:hAnsi="Times New Roman"/>
          <w:sz w:val="18"/>
          <w:szCs w:val="18"/>
          <w:color w:val="auto"/>
        </w:rPr>
      </w:pPr>
    </w:p>
    <w:p>
      <w:pPr>
        <w:jc w:val="both"/>
        <w:ind w:left="960" w:hanging="304"/>
        <w:spacing w:after="0" w:line="266" w:lineRule="auto"/>
        <w:tabs>
          <w:tab w:leader="none" w:pos="9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evidence and provide for the acceptance of appointment by a successor trustee with respect to the debt securities of one or more series and to add to or change any of the provisions of the indenture as shall be necessary to provide for or facilitate the administration of the trusts by more than one Trustee.</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consent of holders is not necessary under the indentures to approve the particular form of any proposed amendment. It is sufficient if such consent approves the substance of the proposed amendment.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Satisfaction and Discharge; Defeasance</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may be discharged from our obligations on the debt securities of any series that have matured or will mature or be redeemed within one year if we deposit with the trustee enough cash to pay all the principal, interest and any premium due to the stated maturity date or redemption date of the debt securities.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Each indenture contains a provision that permits us to elect:</w:t>
      </w:r>
    </w:p>
    <w:p>
      <w:pPr>
        <w:spacing w:after="0" w:line="225" w:lineRule="exact"/>
        <w:rPr>
          <w:sz w:val="20"/>
          <w:szCs w:val="20"/>
          <w:color w:val="auto"/>
        </w:rPr>
      </w:pPr>
    </w:p>
    <w:p>
      <w:pPr>
        <w:ind w:left="960" w:hanging="304"/>
        <w:spacing w:after="0"/>
        <w:tabs>
          <w:tab w:leader="none" w:pos="9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be discharged from all of our obligations, subject to limited exceptions, with respect to any series of debt securities then outstanding; and/or</w:t>
      </w:r>
    </w:p>
    <w:p>
      <w:pPr>
        <w:spacing w:after="0" w:line="225" w:lineRule="exact"/>
        <w:rPr>
          <w:rFonts w:ascii="Times New Roman" w:cs="Times New Roman" w:eastAsia="Times New Roman" w:hAnsi="Times New Roman"/>
          <w:sz w:val="18"/>
          <w:szCs w:val="18"/>
          <w:color w:val="auto"/>
        </w:rPr>
      </w:pPr>
    </w:p>
    <w:p>
      <w:pPr>
        <w:ind w:left="960" w:hanging="304"/>
        <w:spacing w:after="0" w:line="282" w:lineRule="auto"/>
        <w:tabs>
          <w:tab w:leader="none" w:pos="9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be released from our obligations under the following covenants and from the consequences of an event of default resulting from a breach of certain covenants, including covenants as to payment of taxes and maintenance of corporate existence.</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To make either of the above elections, we must deposit in trust with the trustee enough money to pay in full the principal and interest on the debt securities. This amount may be made in cash and/or U.S. government obligations. As a condition to either of the above elections, we must deliver to the trustee an opinion of counsel that the holders of the debt securities will not recognize income, gain or loss for federal income tax purposes as a result of the action.</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any of the above events occurs, the holders of the debt securities of the series will not be entitled to the benefits of the indenture, except for the rights of holders to receive payments on debt securities or the registration of transfer and exchange of debt securities and replacement of lost, stolen or mutilated debt securities.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Notices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Notices to holders will be given by mail to the addresses of the holders in the security register.</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Governing Law</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indentures and the debt securities will be governed by, and construed under, the law of the State of New York.</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color w:val="auto"/>
        </w:rPr>
        <w:t>Regarding the Trustee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indenture limits the right of the trustee, should it become a creditor of us, to obtain payment of claims or secure its claims.</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trustee is permitted to engage in certain other transactions. However, if the trustee acquires any conflicting interest, and there is a default under the debt securities of any series for which they are trustee, the trustee must eliminate the conflict or resign.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Subordination</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Payment on subordinated debt securities will, to the extent provided in the indenture, be subordinated in right of payment to the prior payment in full of all of our senior indebtedness (except that holders of the notes may receive and retain (i) permitted junior securities and (ii) payments made from the trust described under “Satisfaction and Discharge; Defeasance”). Any subordinated debt securities also are effectively subordinated to all debt and other liabilities, including lease obligations, if any.</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Upon any distribution of our assets upon any dissolution, winding up, liquidation or reorganization, the payment of the principal of and interest on subordinated debt securities will be subordinated in right of payment to the prior payment in full in cash or other payment satisfactory to the holders of senior indebtedness. In the event of any acceleration of subordinated debt securities because of an event of default, the holders of any senior indebtedness would be entitled to payment in full in cash or other payment satisfactory to such holders of all senior indebtedness obligations before the holders of subordinated debt securities are entitled to receive any payment or distribution, except for certain payments made by the trust described under “Satisfaction and Discharge; Defeasance.” The indenture requires us or the trustee to promptly notify holders of designated senior indebtedness if payment of subordinated debt securities is accelerated because of an event of default.</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may not make any payment on subordinated debt securities, including upon redemption at the option of the holder of any subordinated debt securities or at our option, if:</w:t>
      </w:r>
    </w:p>
    <w:p>
      <w:pPr>
        <w:spacing w:after="0" w:line="162" w:lineRule="exact"/>
        <w:rPr>
          <w:sz w:val="20"/>
          <w:szCs w:val="20"/>
          <w:color w:val="auto"/>
        </w:rPr>
      </w:pPr>
    </w:p>
    <w:p>
      <w:pPr>
        <w:ind w:left="960" w:hanging="304"/>
        <w:spacing w:after="0" w:line="282" w:lineRule="auto"/>
        <w:tabs>
          <w:tab w:leader="none" w:pos="9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default in the payment of the principal, premium, if any, interest, rent or other obligations in respect of designated senior indebtedness occurs and is continuing beyond any applicable period of grace (called a “payment default”); or</w:t>
      </w:r>
    </w:p>
    <w:p>
      <w:pPr>
        <w:spacing w:after="0" w:line="161" w:lineRule="exact"/>
        <w:rPr>
          <w:rFonts w:ascii="Times New Roman" w:cs="Times New Roman" w:eastAsia="Times New Roman" w:hAnsi="Times New Roman"/>
          <w:sz w:val="18"/>
          <w:szCs w:val="18"/>
          <w:color w:val="auto"/>
        </w:rPr>
      </w:pPr>
    </w:p>
    <w:p>
      <w:pPr>
        <w:jc w:val="both"/>
        <w:ind w:left="960" w:hanging="304"/>
        <w:spacing w:after="0" w:line="266" w:lineRule="auto"/>
        <w:tabs>
          <w:tab w:leader="none" w:pos="9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default other than a payment default on any designated senior indebtedness occurs and is continuing that permits holders of designated senior indebtedness to accelerate its maturity, and the trustee receives notice of such default (called a “payment blockage notice) from us or any other person permitted to give such notice under the indenture (called a “non-payment default”).</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If the trustee or any holder of the notes receives any payment or distribution of our assets in contravention of the subordination provisions on subordinated debt securities before all senior indebtedness is paid in full in cash, property or securities, including by way of set-off, or other payment satisfactory to holders of senior indebtedness, then such payment or distribution will be held in trust for the benefit of holders of senior indebtedness or their representatives to the extent necessary to make payment in full in cash or payment satisfactory to the holders of senior indebtedness of all unpaid senior indebtedness.</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the event of our bankruptcy, dissolution or reorganization, holders of senior indebtedness may receive more, ratably, and holders of subordinated debt securities may receive less, ratably, than our other creditors (including our trade creditors). This subordination will not prevent the occurrence of any event of default under the indenture.</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are not prohibited from incurring debt, including senior indebtedness, under the indenture. We may from time to time incur additional debt, including senior indebtedness.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are obligated to pay reasonable compensation to the trustee and to indemnify the trustee against certain losses, liabilities or expenses incurred by the trustee in connection with its duties under the indenture. The trustee’s claims for these payments will generally be senior to those of noteholders in respect of all funds collected or held by the trustee.</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color w:val="auto"/>
        </w:rPr>
        <w:t>Certain Definitions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“indebtedness” means:</w:t>
      </w:r>
    </w:p>
    <w:p>
      <w:pPr>
        <w:spacing w:after="0" w:line="225" w:lineRule="exact"/>
        <w:rPr>
          <w:sz w:val="20"/>
          <w:szCs w:val="20"/>
          <w:color w:val="auto"/>
        </w:rPr>
      </w:pPr>
    </w:p>
    <w:p>
      <w:pPr>
        <w:jc w:val="both"/>
        <w:ind w:firstLine="656"/>
        <w:spacing w:after="0" w:line="261" w:lineRule="auto"/>
        <w:tabs>
          <w:tab w:leader="none" w:pos="922"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indebtedness, obligations and other liabilities for borrowed money, including overdrafts, foreign exchange contracts, currency exchange agreements, interest rate protection agreements, and any loans or advances from banks, or evidenced by bonds, debentures, notes or similar instruments, other than any account payable or other accrued current liability or obligation incurred in the ordinary course of business in connection with the obtaining of materials or services;</w:t>
      </w:r>
    </w:p>
    <w:p>
      <w:pPr>
        <w:spacing w:after="0" w:line="179"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reimbursement obligations and other liabilities with respect to letters of credit, bank guarantees or bankers’ acceptances;</w:t>
      </w:r>
    </w:p>
    <w:p>
      <w:pPr>
        <w:spacing w:after="0" w:line="225" w:lineRule="exact"/>
        <w:rPr>
          <w:rFonts w:ascii="Times New Roman" w:cs="Times New Roman" w:eastAsia="Times New Roman" w:hAnsi="Times New Roman"/>
          <w:sz w:val="18"/>
          <w:szCs w:val="18"/>
          <w:color w:val="auto"/>
        </w:rPr>
      </w:pPr>
    </w:p>
    <w:p>
      <w:pPr>
        <w:ind w:firstLine="656"/>
        <w:spacing w:after="0" w:line="282" w:lineRule="auto"/>
        <w:tabs>
          <w:tab w:leader="none" w:pos="914"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obligations and liabilities in respect of leases required in conformity with generally accepted accounting principles to be accounted for as capitalized lease obligations on our balance sheet;</w:t>
      </w:r>
    </w:p>
    <w:p>
      <w:pPr>
        <w:spacing w:after="0" w:line="161" w:lineRule="exact"/>
        <w:rPr>
          <w:rFonts w:ascii="Times New Roman" w:cs="Times New Roman" w:eastAsia="Times New Roman" w:hAnsi="Times New Roman"/>
          <w:sz w:val="18"/>
          <w:szCs w:val="18"/>
          <w:color w:val="auto"/>
        </w:rPr>
      </w:pPr>
    </w:p>
    <w:p>
      <w:pPr>
        <w:jc w:val="both"/>
        <w:ind w:firstLine="656"/>
        <w:spacing w:after="0" w:line="266" w:lineRule="auto"/>
        <w:tabs>
          <w:tab w:leader="none" w:pos="903"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obligations and other liabilities under any lease or related document in connection with the lease of real property which provides that we are contractually obligated to purchase or cause a third party to purchase the leased property and thereby guarantee a minimum residual value of the leased property to the lessor and our obligations under the lease or related document to purchase or to cause a third party to purchase the leased property;</w:t>
      </w:r>
    </w:p>
    <w:p>
      <w:pPr>
        <w:spacing w:after="0" w:line="175" w:lineRule="exact"/>
        <w:rPr>
          <w:rFonts w:ascii="Times New Roman" w:cs="Times New Roman" w:eastAsia="Times New Roman" w:hAnsi="Times New Roman"/>
          <w:sz w:val="18"/>
          <w:szCs w:val="18"/>
          <w:color w:val="auto"/>
        </w:rPr>
      </w:pPr>
    </w:p>
    <w:p>
      <w:pPr>
        <w:ind w:firstLine="656"/>
        <w:spacing w:after="0" w:line="282" w:lineRule="auto"/>
        <w:tabs>
          <w:tab w:leader="none" w:pos="927"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obligations with respect to an interest rate or other swap, cap or collar agreement or other similar instrument or agreement or foreign currency hedge, exchange, purchase or other similar instrument or agreement;</w:t>
      </w:r>
    </w:p>
    <w:p>
      <w:pPr>
        <w:spacing w:after="0" w:line="161" w:lineRule="exact"/>
        <w:rPr>
          <w:rFonts w:ascii="Times New Roman" w:cs="Times New Roman" w:eastAsia="Times New Roman" w:hAnsi="Times New Roman"/>
          <w:sz w:val="18"/>
          <w:szCs w:val="18"/>
          <w:color w:val="auto"/>
        </w:rPr>
      </w:pPr>
    </w:p>
    <w:p>
      <w:pPr>
        <w:ind w:right="20" w:firstLine="656"/>
        <w:spacing w:after="0" w:line="282" w:lineRule="auto"/>
        <w:tabs>
          <w:tab w:leader="none" w:pos="909"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direct or indirect guaranties or similar agreements in respect of, and our obligations or liabilities to purchase, acquire or otherwise assure a creditor against loss in respect of, indebtedness, obligations or liabilities of others of the type described in (1) through (5) above;</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909"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indebtedness or other obligations described in (1) through (6) above secured by any mortgage, pledge, lien or other encumbrance existing on property which is owned or held by us; and</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903"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and all refinancings, replacements, deferrals, renewals, extensions and refundings of, or amendments, modifications or supplements to, any indebtedness, obligation or liability of the kind described in clauses (1) through (7) above.</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“permitted junior securities” means (i) equity interests in the Company; or (ii) debt securities of the Company that are subordinated to all senior indebtedness and any debt securities issued in exchange for senior indebtedness to substantially the same extent as, or to a greater extent than the notes are subordinated to senior indebtedness under the indenture.</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“senior indebtedness” means the principal, premium, if any, interest, including any interest accruing after bankruptcy, and rent or termination payment on or other amounts due on our current or future indebtedness, whether created, incurred, assumed, guaranteed or in effect guaranteed by us, including any deferrals, renewals, extensions, refundings, amendments, modifications or supplements to the above. However, senior indebtedness does not include:</w:t>
      </w:r>
    </w:p>
    <w:p>
      <w:pPr>
        <w:spacing w:after="0" w:line="180" w:lineRule="exact"/>
        <w:rPr>
          <w:sz w:val="20"/>
          <w:szCs w:val="20"/>
          <w:color w:val="auto"/>
        </w:rPr>
      </w:pPr>
    </w:p>
    <w:p>
      <w:pPr>
        <w:ind w:left="980" w:hanging="324"/>
        <w:spacing w:after="0" w:line="282" w:lineRule="auto"/>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that expressly provides that it shall not be senior in right of payment to subordinated debt securities or expressly provides that it is on the same basis or junior to subordinated debt securities;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indebtedness to any of our majority-owned subsidiaries;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subordinated debt securities.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0" w:name="page31"/>
    <w:bookmarkEnd w:id="30"/>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THE RIGHTS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This section describes the general terms and provisions of the rights to purchase certain of our securities that we may issue to holders of our securities by this prospectus. The applicable prospectus supplement will describe the specific terms of the rights then issued, and the terms and provisions described in this section will apply only to the extent not superseded by the terms of the applicable prospectus supplement.</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may issue, as a dividend at no cost, to holders of record of our securities or any class or series thereof on the applicable record date, rights to purchase common shares or preferred shares, to the extent duly authorized and created, to purchase warrants exercisable for common shares, preferred shares, depositary shares, debt securities or units, to purchase debt securities, to purchase depositary shares or to purchase units consisting of two or more of the foregoing. In this prospectus, we refer to such rights as “stockholder rights.” If stockholder rights are so issued to existing holders of securities, each stockholder right will entitle the registered holder thereof to purchase the securities issuable upon exercise of the rights pursuant to the terms set forth in the applicable prospectus supplement.</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If stockholder rights are issued, the applicable prospectus supplement will describe the terms of such stockholder rights including the following where applicable:</w:t>
      </w:r>
    </w:p>
    <w:p>
      <w:pPr>
        <w:spacing w:after="0" w:line="162" w:lineRule="exact"/>
        <w:rPr>
          <w:sz w:val="20"/>
          <w:szCs w:val="20"/>
          <w:color w:val="auto"/>
        </w:rPr>
      </w:pPr>
    </w:p>
    <w:p>
      <w:pPr>
        <w:ind w:left="980" w:hanging="324"/>
        <w:spacing w:after="0"/>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record date;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subscription price;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subscription agent;</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number of common shares, preferred shares, warrants, depositary shares or units, or principal amount of debt securities, purchasable upon exercise of such stockholder rights;</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stockholder rights for preferred shares, preferred share warrants, depositary shares or depositary share warrants, the designation, aggregate number, and terms of the class or series of preferred shares purchasable upon exercise of such stockholder rights or warrants;</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stockholder rights for debt securities or debt security warrants, the principal amount of debt securities purchasable upon exercise of such stockholder rights or warrants and the price at, and currency in which, this principal amount of debt securities may be purchased upon such exercise;</w:t>
      </w:r>
    </w:p>
    <w:p>
      <w:pPr>
        <w:spacing w:after="0" w:line="17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right to exercise such stockholder rights shall commence and the expiration date on which such right shall expire;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income tax considerations;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material terms of such stockholder rights.</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addition to the terms of the stockholder rights and the securities issuable upon exercise thereof, the prospectus supplement may describe, for a holder of such stockholder rights who validly exercises all stockholder rights issued to such holder, how to subscribe for unsubscribed securities, issuable pursuant to unexercised stockholder rights issued to other holders, to the extent such stockholder rights have not been exercised.</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Holders of stockholder rights will not be entitled by virtue of being such holders, to vote, to consent, to receive dividends, to receive notice with respect to any meeting of stockholders for the election of our directors or any other matter, or to exercise any rights whatsoever as shareholders of the Company, except to the extent described in the related prospectus supplement. In addition, holders of shareholder rights to purchase debt security warrants will not be entitled by virtue of being such holders, to receive payments of principal of, or premium, if any, or interest on, the debt securities purchasable upon exercise or to enforce covenants in the applicable indenture, except to the extent described in the related prospectus supplement.</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1" w:name="page32"/>
    <w:bookmarkEnd w:id="31"/>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THE DEPOSITARY SHARES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We may, at our option, elect to offer fractional shares rather than full shares of the common shares. In the event that we determine to do so, we will issue receipts for depositary shares, each of which will represent a fraction of a common share as more fully described below.</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Any fraction of common shares represented by depositary shares will be deposited under one or more deposit agreements among us, a depositary to be named in the applicable prospectus supplement, and the holders from time to time of depositary receipts issued thereunder. Subject to the terms of the applicable deposit agreement, each holder of a depositary share will be entitled, in proportion to the applicable fraction of a common share by the depositary shares, to all the rights of the common shares represented thereby (including, as applicable, dividend, voting, redemption, subscription and liquidation rights).</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depositary shares will be evidenced by depositary receipts issued pursuant to the deposit agreement. Depositary receipts will be distributed to those persons purchasing the fractional common shares.</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following description sets forth certain general terms and provisions of the depositary shares to which any prospectus supplement may relate. The particular terms of the depositary shares to which any prospectus supplement may relate and the extent, if any, to which such general provisions may apply to the depositary shares so offered will be described in the applicable prospectus supplement. To the extent that any particular terms of the depositary shares or the deposit agreement described in a prospectus supplement differ from any of the terms described below, then the terms described below will be deemed to have been superseded by that prospectus supplement relating to such deposited shares. The forms of deposit agreement and depositary receipt will be filed as exhibits to the documents incorporated or deemed to be incorporated by reference into this prospectus.</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following summary of certain provisions of the depositary shares and deposit agreement does not purport to be complete and is subject to, and is qualified in its entirety by express reference to, all the provisions of the deposit agreement and the applicable prospectus supplement, including the definitions.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Immediately following our issuance of common shares that will be offered as fractional shares, we will deposit the shares with the depositary, which will then issue and deliver the depositary receipts to the purchasers thereof. Depositary receipts will only be issued evidencing whole depositary shares. A depositary receipt may evidence any number of whole depositary shares.</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Pending the preparation of definitive depositary receipts, the depositary may, upon our written order, issue temporary depositary receipts substantially identical to (and entitling the holders thereof to all the rights pertaining to) the definitive depositary receipts but not in definitive form. Definitive depositary receipts will be prepared thereafter without unreasonable delay, and such temporary depositary receipts will be exchangeable for definitive depositary receipts at our expense.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 and Other Distributions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depositary will distribute all cash dividends or other cash distributions received in respect of the common shares to the record holders of depositary shares relating to the common shares in proportion to the number of the depositary shares owned by the holders.</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2" w:name="page33"/>
    <w:bookmarkEnd w:id="32"/>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the event of a distribution other than in cash, the depositary will distribute property received by it to the record holders of depositary shares entitled thereto in proportion to the number of depositary shares owned by the holders, unless the depositary determines that the distribution cannot be made proportionately among the holders or that it is not feasible to make the distributions, in which case the depositary may, with our approval, adopt any method as it deems equitable and practicable for the purpose of effecting the distribution, including the sale (at public or private sale) of the securities or property thus received, or any part thereof, at the place or places and upon those terms as it may deem proper. The amount distributed in any of the foregoing cases will be reduced by any amounts required to be withheld by us or the depositary on account of taxes or other governmental charges.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Redemption of Depositary Shares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If any common shares underlying the depositary shares is subject to redemption, the depositary shares will be redeemed from the proceeds received by the depositary resulting from any redemption, in whole or in part, of the common shares held by the depositary. The redemption price per depositary shares will be equal to the applicable fraction of the redemption price per share payable with respect to the common shares. If we redeem common shares held by the depositary, the depositary will redeem as of the same redemption date the number of depositary shares representing the common shares so redeemed. If less than all the depositary shares are to be redeemed, the depositary shares to be redeemed will be selected by lot or substantially equivalent method determined by the depositary.</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After the date fixed for redemption, the depositary shares so called for redemption will no longer be deemed to be outstanding and all rights of the holders of the depositary shares will cease, except the right to receive the monies payable upon redemption and any money or other property to which the holders of the depositary shares were entitled upon such redemption, upon surrender to the depositary of the depositary receipts evidencing the depositary shares. Any funds deposited by us with the depositary for any depositary shares that the holders thereof fail to redeem will be returned to us after a period of two years from the date the funds are so deposited.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Voting the Underlying Common Shares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Upon receipt of notice of any meeting at which the holders of any common shares are entitled to vote, the depositary will mail the information contained in the notice of meeting to the record holders of the depositary shares relating to the common shares. Each record holder of the depositary shares on the record date (which will be the same date as the record date for the related common shares) will be entitled to instruct the depositary as to the exercise of the voting rights pertaining to the number of common shares represented by that holder’s depositary shares. The depositary will endeavor, insofar as practicable, to vote or cause to be voted the number of common shares represented by the depositary shares in accordance with the instructions, provided the depositary receives the instructions sufficiently in advance of the meeting to enable it to so vote or cause to be voted the common shares, and we will agree to take all reasonable action that may be deemed necessary by the depositary in order to enable the depositary to do so. The depositary will abstain from voting the common shares to the extent it does not receive specific instructions from the holders of depositary shares representing the common shares.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Withdrawal of Stock</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Upon surrender of the depositary receipts at the corporate trust office of the depositary and upon payment of the taxes, charges and fees provided for in the deposit agreement and subject to the terms thereof, the holder of the depositary shares evidenced thereby will be entitled to delivery at such office, to or upon his or her order, of the number of whole shares of the related common shares and any money or other property, if any, represented by the depositary shares. Holders of depositary shares will be entitled to receive whole shares of the related common shares, but holders of the whole common shares will not thereafter be entitled to deposit the common shares with the depositary or to receive depositary shares therefor. If the depositary receipts delivered by the holder evidence a number of depositary shares in excess of the number of depositary shares representing the number of whole shares of the related common shares to be withdrawn, the depositary will deliver to the holder or upon his or her order at the same time a new depositary receipt evidencing the excess number of depositary shares.</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color w:val="auto"/>
        </w:rPr>
        <w:t>Amendment and Termination of a Deposit Agreement</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form of depositary receipt evidencing the depositary shares of any series and any provision of the applicable deposit agreement may at any time and from time to time be amended by agreement between us and the depositary. However, any amendment that materially adversely alters the rights of the holders of depositary shares of any series will not be effective unless the amendment has been approved by the holders of at least a majority of the depositary shares then outstanding. Every holder of a depositary receipt at the time the amendment becomes effective will be deemed, by continuing to hold the depositary receipt, to be bound by the deposit agreement as so amended. Notwithstanding the foregoing, in no event may any amendment impair the right of any holder of any depositary shares, upon surrender of the depositary receipts evidencing the depositary shares and subject to any conditions specified in the deposit agreement, to receive shares of the related common shares and any money or other property represented thereby, except in order to comply with mandatory provisions of applicable law. The deposit agreement may be terminated by us at any time upon not less than 60 days prior written notice to the depositary, in which case, on a date that is not later than 30 days after the date of the notice, the depositary shall deliver or make available for delivery to holders of depositary shares, upon surrender of the depositary receipts evidencing the depositary shares, the number of whole or fractional shares of the related common shares as are represented by the depositary shares. The deposit agreement shall automatically terminate after all outstanding depositary shares have been redeemed or there has been a final distribution in respect of the related common shares in connection with any liquidation, dissolution or winding up of us and the distribution has been distributed to the holders of depositary shares.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Charges of Depositary</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will pay all transfer and other taxes and the governmental charges arising solely from the existence of the depositary arrangements. We will pay the charges of the depositary, including charges in connection with the initial deposit of the related common shares and the initial issuance of the depositary shares and all withdrawals of shares of the related common shares, except that holders of depositary shares will pay transfer and other taxes and governmental charges and any other charges as are expressly provided in the deposit agreement to be for their accounts.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Resignation and Removal of Depositary</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depositary may resign at any time by delivering to us written notice of its election to do so, and we may at any time remove the depositary. Any resignation or removal will take effect upon the appointment of a successor depositary, which successor depositary must be appointed within 60 days after delivery of the notice of resignation or removal and must be a bank or trust company having its principal office in the United States and having a combined capital and surplus of at least $50,000,000.</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Miscellaneous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depositary will forward to the holders of depositary shares all reports and communications from us that are delivered to the depositary and which we are required to furnish to the holders of the related common shares. The depositary’s corporate trust office will be identified in the applicable prospectus supplement. Unless otherwise set forth in the applicable prospectus supplement, the depositary will act as transfer agent and registrar for depositary receipts and if common shares are redeemable, the depositary will also act as redemption agent for the corresponding depositary receipts.</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4" w:name="page35"/>
    <w:bookmarkEnd w:id="34"/>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UNITS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may issue units comprised of one or more of the other securities that may be offered under this prospectus, in any combination. The following information, together with the additional information we may include in any applicable prospectus supplements, summarizes the material terms and provisions of any such the units that we may offer under this prospectus. While the information below will apply generally to any units that we may offer under this prospectus, we will describe the particular terms of any series of units in detail in the applicable prospectus supplement. The terms of any units offered under a prospectus supplement may differ from the general terms described below.</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will file the form of unit agreement, if any, between us and a unit agent that describes the terms and conditions of the series of units we are offering, and any supplemental agreements, concurrently with the filing of the applicable prospectus supplement under which such series of units are offered. This summary is subject to, and qualified in their entirety by reference to, all the provisions of the unit agreement, if any, and any supplemental agreements applicable to a particular series of units. We urge you to read the applicable prospectus supplements related to the particular series of units that we sell under this prospectus, as well as the complete unit agreement, if any, and any supplemental agreements that contain the terms of the units.</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may issue units comprising one or more of shares and warrants in any combination. Each unit will be issued so that the holder of the unit is also the holder of each security included in the unit. Thus, the holder of a unit will have the rights and obligations of a holder of each included security. The unit agreement, under which a unit may be issued, if any, may provide that the securities included in the unit may not be held or transferred separately, at any time or at any time before a specified date. We will describe in the applicable prospectus supplement the terms of the series of units.</w:t>
      </w:r>
    </w:p>
    <w:p>
      <w:pPr>
        <w:spacing w:after="0" w:line="180"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The provisions described in this section, as well as those described under “Description of Share Capital” and “Description of Warrants” will apply to each unit and to any share or warrant included in each unit, respectively. We may issue units in such amounts and in numerous distinct series as we determine.</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may sell the securities offered by this prospectus to or through underwriters or dealers, and also may sell those securities to one or more other purchasers directly or through agents, including sales pursuant to ordinary brokerage transactions and transactions in which a broker-dealer solicits purchasers, or if indicated in a prospectus supplement, pursuant to delayed delivery contracts, by remarketing firms or by other means. Underwriters may sell securities to or through dealers. Each prospectus supplement will set forth the terms of the offering, including the name or names of any underwriters, dealers or agents and any fees or compensation payable to them in connection with the offering and sale of a particular series or issue of securities, the public offering price or prices of the securities and the proceeds from the sale of the securities.</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securities may be sold, from time to time in one or more transactions at a fixed price or prices which may be changed or at market prices prevailing at the time of sale, at prices related to such prevailing market prices or at negotiated prices, including sales made directly on the NASDAQ or other existing trading markets for the securities. The prices at which the securities may be offered may vary as between purchasers and during the period of distribution. If, in connection with the offering of securities at a fixed price or prices, the underwriters have made a bona fide effort to sell all of the securities at the initial offering price fixed in the applicable prospectus supplement, the public offering price may be decreased and thereafter further changed, from time to time, to an amount not greater than the initial public offering price fixed in such prospectus supplement, in which case the compensation realized by the underwriters will be decreased by the amount that the aggregate price paid by purchasers for the securities is less than the gross proceeds paid by the underwriters to us.</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Underwriters, dealers and agents who participate in the distribution of the securities may be entitled under agreements to be entered into with us to indemnification by us against certain liabilities, including liabilities under the Securities Act, or to contribution with respect to payments which such underwriters, dealers or agents may be required to make in respect thereof. Such underwriters, dealers and agents may be customers of, engage in transactions with, or perform services for us in the ordinary course of business.</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5" w:name="page36"/>
    <w:bookmarkEnd w:id="35"/>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connection with any offering of securities, the underwriters may over-allot or effect transactions which stabilize or maintain the market price of the securities offered at a level above that which might otherwise prevail in the open market. Such transactions, if commenced, may be discontinued at any time. Any underwriters, dealers or agents to or through which securities other than our common shares are sold by us for public offering and sale may make a market in such securities, but such underwriters, dealers or agents will not be obligated to do so and may discontinue any such market making at any time and without notice. No assurance can be given that a market for trading in securities of any series or issue will develop or as to the liquidity of any such market, whether or not such securities are listed on a securities exchange.</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place, time of delivery, and other terms of the offered securities will be described in the applicable prospectus supplement.</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CERTAIN INCOME TAX CONSIDERATIONS</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applicable prospectus supplement may describe certain United States federal income tax consequences of the acquisition, ownership and disposition of securities offered by this prospectus by an initial investor who is subject to United States federal income taxation.</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ENFORCEMENT OF CIVIL LIABILITIES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are an exempted company with limited liability incorporated under the laws of the Cayman Islands and our affairs are governed by our memorandum and articles of association and the Companies Act, and the common law of the Cayman Islands. We are incorporated in the Cayman Islands because of certain benefits associated with being a Cayman Islands company, such as: (1) political and economic stability; (2) an effective judicial system; (3) a favorable tax system; (4) the absence of exchange control or currency restrictions; and (5) the availability of professional and support services.</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However, certain disadvantages accompany incorporation in the Cayman Islands. These disadvantages include, but are not limited to, the following: (1) the Cayman Islands has a less developed body of securities laws as compared to the United States and provide less protection for investors; and (2) Cayman Islands companies may not have standing to sue before the federal courts of the United States. Our constitutional documents do not contain provisions requiring that disputes, including those arising under the securities laws of the United States, between us, our officers, directors and shareholders, be arbitrated.</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All of our operations are conducted outside the United States, and all of our assets are located outside the United States. A substantial number of our officers are nationals or residents of jurisdictions other than the United States. As a result, it may be difficult for a shareholder to effect service of process within the United States upon these persons, or to enforce against us or them judgments obtained in United States courts, including judgments predicated upon the civil liability provisions of the securities laws of the United States or any state in the United States. It may also be difficult for you to enforce judgments obtained in U.S. courts based on the civil liability provisions of the U.S. federal securities laws against us and our executive officers and directors.</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have appointed Corporation Service Company, 251 Little Falls Drive, Wilmington, DE 19808, as our agent upon whom process may be served in any action brought against us under the securities laws of the United States.</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Ogier, our counsel as to Cayman Islands law, and Grandway Law Offices, our counsel as to PRC law, have advised us, respectively, that there is uncertainty as to whether the courts of the Cayman Islands and China, respectively, would:</w:t>
      </w:r>
    </w:p>
    <w:p>
      <w:pPr>
        <w:spacing w:after="0" w:line="162" w:lineRule="exact"/>
        <w:rPr>
          <w:sz w:val="20"/>
          <w:szCs w:val="20"/>
          <w:color w:val="auto"/>
        </w:rPr>
      </w:pPr>
    </w:p>
    <w:p>
      <w:pPr>
        <w:ind w:left="980" w:hanging="324"/>
        <w:spacing w:after="0" w:line="282" w:lineRule="auto"/>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recognize or enforce judgments of United States courts obtained against us or our directors or officers predicated upon the civil liability provisions of the securities laws of the United States or any state in the United States; or</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entertain original actions brought in each respective jurisdiction against us or our directors or officers predicated upon the securities laws of the United States or any state in the United States.</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6" w:name="page37"/>
    <w:bookmarkEnd w:id="36"/>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Ogier has advised us that it is uncertain whether the courts of the Cayman Islands will allow shareholders of our company to originate actions in the Cayman Islands based upon securities laws of the United States. In addition, there is uncertainty with regard to Cayman Islands law related to whether a judgment obtained from the U.S. courts under civil liability provisions of U.S. securities laws will be determined by the courts of the Cayman Islands as penal or punitive in nature. If such determination is made, the courts of the Cayman Islands will not recognize or enforce the judgment against a Cayman Islands company, such as our company. As the courts of the Cayman Islands have yet to rule on making such a determination in relation to judgments obtained from U.S. courts under civil liability provisions of U.S. securities laws, it is uncertain whether such judgments would be enforceable in the Cayman Islands. Ogier has further advised us that although there is no statutory enforcement in the Cayman Islands of judgments obtained in the United States, a judgment obtained in such jurisdiction will be recognized and enforced in the courts of the Cayman Islands at common law, without any re-examination of the merits of the underlying dispute, by an action commenced on the foreign judgment debt in the Grand Court of the Cayman Islands, provided such judgment (a) is given by a foreign court of competent jurisdiction, (b) imposes on the judgment debtor a liability to pay a liquidated sum for which the judgment has been given, (c) is final, (d) is not in respect of taxes, a fine or a penalty, (e) was not obtained in a manner and (f) is not of a kind the enforcement of which is contrary to natural justice or the public policy of the Cayman Islands.</w:t>
      </w:r>
    </w:p>
    <w:p>
      <w:pPr>
        <w:spacing w:after="0" w:line="19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Grandway Law Offices has advised us that the recognition and enforcement of foreign judgments are provided for under PRC Civil Procedure Law. PRC courts may recognize and enforce foreign judgments in accordance with the requirements of PRC Civil Procedure Law based either on treaties between China and the country where the judgment is made or on reciprocity between jurisdictions. China does not have any treaties or other form of reciprocity with the United States or the Cayman Islands that provide for the reciprocal recognition and enforcement of foreign judgments. In addition, according to the PRC Civil Procedure Law, courts in the PRC will not enforce a foreign judgment against us or our directors and officers if they decide that the judgment violates the basic principles of PRC law or national sovereignty, security or public interest. As a result, it is uncertain whether and on what basis a PRC court would enforce a judgment rendered by a court in the United States or in the Cayman Islands.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consolidated financial statements of CLPS Incorporation appearing in CLPS Incorporation’s Annual Report (Form 20-F) for the year ended June 30, 2021 have been audited by Ernst &amp; Young Hua Ming LLP, independent registered public accounting firm as set forth in their report thereon included therein, and incorporated herein by reference. Such consolidated financial statements are incorporated herein by reference in reliance upon such report given on the authority of such firm as experts in accounting and auditing. The offices of Ernst &amp; Young Hua Ming LLP are located at 50/F, Shanghai World Financial Center, 100 Century Avenue, Pudong New Area, Shanghai, the People’s Republic of China.</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Certain matters as to U.S. federal law in connection with this offering will be passed upon for us by Loeb &amp; Loeb LLP. The validity of the shares and certain legal matters relating to the offering as to Cayman Islands law will be passed upon for us by Ogier. Certain legal matters relating to the offering as to Chinese law will be passed upon for us by Grandway Law Offices of People’s Republic of China. In addition, certain legal matters in connection with any offering of securities under this prospectus will be passed upon for any underwriters, dealers or agents by counsel to be designated at the time of the offering by such underwriters, dealers or agents with respect to matters of applicable law.</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7" w:name="page38"/>
    <w:bookmarkEnd w:id="37"/>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INFORMATION NOT REQUIRED IN PROSPECTUS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Indemnification of Directors and Officers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Companies Act does not limit the extent to which a company’s memorandum and articles of association may provide for indemnification of officers and directors, except to the extent any such provision may be held by the Cayman Islands courts to be contrary to public policy, such as to provide indemnification against civil fraud or the consequences of committing a crime. Our memorandum and articles of association permit indemnification of officers and directors for losses, damages, costs and expenses incurred in their capacities as such unless such losses or damages arise from dishonesty of such directors or officers willful default of fraud. This standard of conduct is generally the same as permitted under the Delaware General Corporation Law for a Delaware corporation.</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of 1933, as amended, or Securities Act, may be permitted to directors, officers or persons controlling the registrant pursuant to the foregoing provisions, the registrant has been informed that in the opinion of the Securities and Exchange Commission, or the SEC, such indemnification is against public policy as expressed in the Securities Act and is therefore unenforceable.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010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16"/>
        </w:trPr>
        <w:tc>
          <w:tcPr>
            <w:tcW w:w="10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6600" w:type="dxa"/>
            <w:vAlign w:val="bottom"/>
            <w:tcBorders>
              <w:top w:val="single" w:sz="8" w:color="auto"/>
            </w:tcBorders>
          </w:tcPr>
          <w:p>
            <w:pPr>
              <w:spacing w:after="0"/>
              <w:rPr>
                <w:sz w:val="18"/>
                <w:szCs w:val="18"/>
                <w:color w:val="auto"/>
              </w:rPr>
            </w:pPr>
          </w:p>
        </w:tc>
      </w:tr>
      <w:tr>
        <w:trPr>
          <w:trHeight w:val="216"/>
        </w:trPr>
        <w:tc>
          <w:tcPr>
            <w:tcW w:w="1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shd w:val="clear" w:color="auto" w:fill="CCEEFF"/>
          </w:tcPr>
          <w:p>
            <w:pPr>
              <w:spacing w:after="0"/>
              <w:rPr>
                <w:sz w:val="18"/>
                <w:szCs w:val="18"/>
                <w:color w:val="auto"/>
              </w:rPr>
            </w:pPr>
          </w:p>
        </w:tc>
        <w:tc>
          <w:tcPr>
            <w:tcW w:w="1010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Form of Underwriting Agreement</w:t>
            </w:r>
          </w:p>
        </w:tc>
      </w:tr>
      <w:tr>
        <w:trPr>
          <w:trHeight w:val="176"/>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4.1</w:t>
            </w:r>
          </w:p>
        </w:tc>
        <w:tc>
          <w:tcPr>
            <w:tcW w:w="120" w:type="dxa"/>
            <w:vAlign w:val="bottom"/>
          </w:tcPr>
          <w:p>
            <w:pPr>
              <w:spacing w:after="0"/>
              <w:rPr>
                <w:sz w:val="15"/>
                <w:szCs w:val="15"/>
                <w:color w:val="auto"/>
              </w:rPr>
            </w:pPr>
          </w:p>
        </w:tc>
        <w:tc>
          <w:tcPr>
            <w:tcW w:w="10100" w:type="dxa"/>
            <w:vAlign w:val="bottom"/>
            <w:tcBorders>
              <w:bottom w:val="single" w:sz="8" w:color="0000EE"/>
            </w:tcBorders>
            <w:gridSpan w:val="5"/>
          </w:tcPr>
          <w:p>
            <w:pPr>
              <w:spacing w:after="0" w:line="176" w:lineRule="exact"/>
              <w:rPr>
                <w:rFonts w:ascii="Times New Roman" w:cs="Times New Roman" w:eastAsia="Times New Roman" w:hAnsi="Times New Roman"/>
                <w:sz w:val="18"/>
                <w:szCs w:val="18"/>
                <w:color w:val="0000EE"/>
              </w:rPr>
            </w:pPr>
            <w:hyperlink r:id="rId64">
              <w:r>
                <w:rPr>
                  <w:rFonts w:ascii="Times New Roman" w:cs="Times New Roman" w:eastAsia="Times New Roman" w:hAnsi="Times New Roman"/>
                  <w:sz w:val="18"/>
                  <w:szCs w:val="18"/>
                  <w:color w:val="0000EE"/>
                </w:rPr>
                <w:t>Specimen Certificate for Common Shares (incorporated by reference to Exhibit 4.1 from Registration Statement on F-1 (File No. 333-</w:t>
              </w:r>
            </w:hyperlink>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gridSpan w:val="5"/>
          </w:tcPr>
          <w:p>
            <w:pPr>
              <w:spacing w:after="0" w:line="196" w:lineRule="exact"/>
              <w:rPr>
                <w:rFonts w:ascii="Times New Roman" w:cs="Times New Roman" w:eastAsia="Times New Roman" w:hAnsi="Times New Roman"/>
                <w:sz w:val="18"/>
                <w:szCs w:val="18"/>
                <w:color w:val="0000EE"/>
              </w:rPr>
            </w:pPr>
            <w:hyperlink r:id="rId64">
              <w:r>
                <w:rPr>
                  <w:rFonts w:ascii="Times New Roman" w:cs="Times New Roman" w:eastAsia="Times New Roman" w:hAnsi="Times New Roman"/>
                  <w:sz w:val="18"/>
                  <w:szCs w:val="18"/>
                  <w:color w:val="0000EE"/>
                </w:rPr>
                <w:t>223956) filed with the SEC on March 27, 2018).</w:t>
              </w:r>
            </w:hyperlink>
          </w:p>
        </w:tc>
      </w:tr>
      <w:tr>
        <w:trPr>
          <w:trHeight w:val="21"/>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top w:val="single" w:sz="8" w:color="0000EE"/>
            </w:tcBorders>
          </w:tcPr>
          <w:p>
            <w:pPr>
              <w:spacing w:after="0" w:line="20" w:lineRule="exact"/>
              <w:rPr>
                <w:sz w:val="1"/>
                <w:szCs w:val="1"/>
                <w:color w:val="auto"/>
              </w:rPr>
            </w:pPr>
          </w:p>
        </w:tc>
        <w:tc>
          <w:tcPr>
            <w:tcW w:w="92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r>
      <w:tr>
        <w:trPr>
          <w:trHeight w:val="216"/>
        </w:trPr>
        <w:tc>
          <w:tcPr>
            <w:tcW w:w="1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shd w:val="clear" w:color="auto" w:fill="CCEEFF"/>
          </w:tcPr>
          <w:p>
            <w:pPr>
              <w:spacing w:after="0"/>
              <w:rPr>
                <w:sz w:val="18"/>
                <w:szCs w:val="18"/>
                <w:color w:val="auto"/>
              </w:rPr>
            </w:pPr>
          </w:p>
        </w:tc>
        <w:tc>
          <w:tcPr>
            <w:tcW w:w="1010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Form of Warrant</w:t>
            </w:r>
          </w:p>
        </w:tc>
      </w:tr>
      <w:tr>
        <w:trPr>
          <w:trHeight w:val="175"/>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4.3</w:t>
            </w:r>
          </w:p>
        </w:tc>
        <w:tc>
          <w:tcPr>
            <w:tcW w:w="120" w:type="dxa"/>
            <w:vAlign w:val="bottom"/>
          </w:tcPr>
          <w:p>
            <w:pPr>
              <w:spacing w:after="0"/>
              <w:rPr>
                <w:sz w:val="15"/>
                <w:szCs w:val="15"/>
                <w:color w:val="auto"/>
              </w:rPr>
            </w:pPr>
          </w:p>
        </w:tc>
        <w:tc>
          <w:tcPr>
            <w:tcW w:w="10100" w:type="dxa"/>
            <w:vAlign w:val="bottom"/>
            <w:gridSpan w:val="5"/>
          </w:tcPr>
          <w:p>
            <w:pPr>
              <w:spacing w:after="0" w:line="176" w:lineRule="exact"/>
              <w:rPr>
                <w:sz w:val="20"/>
                <w:szCs w:val="20"/>
                <w:color w:val="auto"/>
              </w:rPr>
            </w:pPr>
            <w:r>
              <w:rPr>
                <w:rFonts w:ascii="Times New Roman" w:cs="Times New Roman" w:eastAsia="Times New Roman" w:hAnsi="Times New Roman"/>
                <w:sz w:val="18"/>
                <w:szCs w:val="18"/>
                <w:color w:val="0000EE"/>
              </w:rPr>
              <w:t>Form of Indenture</w:t>
            </w:r>
          </w:p>
        </w:tc>
      </w:tr>
      <w:tr>
        <w:trPr>
          <w:trHeight w:val="21"/>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top w:val="single" w:sz="8" w:color="0000EE"/>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r>
      <w:tr>
        <w:trPr>
          <w:trHeight w:val="216"/>
        </w:trPr>
        <w:tc>
          <w:tcPr>
            <w:tcW w:w="1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4.4*</w:t>
            </w:r>
          </w:p>
        </w:tc>
        <w:tc>
          <w:tcPr>
            <w:tcW w:w="120" w:type="dxa"/>
            <w:vAlign w:val="bottom"/>
            <w:shd w:val="clear" w:color="auto" w:fill="CCEEFF"/>
          </w:tcPr>
          <w:p>
            <w:pPr>
              <w:spacing w:after="0"/>
              <w:rPr>
                <w:sz w:val="18"/>
                <w:szCs w:val="18"/>
                <w:color w:val="auto"/>
              </w:rPr>
            </w:pPr>
          </w:p>
        </w:tc>
        <w:tc>
          <w:tcPr>
            <w:tcW w:w="1010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Form of Warrant Agreement</w:t>
            </w: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tcPr>
          <w:p>
            <w:pPr>
              <w:spacing w:after="0"/>
              <w:rPr>
                <w:sz w:val="18"/>
                <w:szCs w:val="18"/>
                <w:color w:val="auto"/>
              </w:rPr>
            </w:pPr>
          </w:p>
        </w:tc>
        <w:tc>
          <w:tcPr>
            <w:tcW w:w="101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Form of Debt Security</w:t>
            </w:r>
          </w:p>
        </w:tc>
      </w:tr>
      <w:tr>
        <w:trPr>
          <w:trHeight w:val="216"/>
        </w:trPr>
        <w:tc>
          <w:tcPr>
            <w:tcW w:w="1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4.6*</w:t>
            </w:r>
          </w:p>
        </w:tc>
        <w:tc>
          <w:tcPr>
            <w:tcW w:w="120" w:type="dxa"/>
            <w:vAlign w:val="bottom"/>
            <w:shd w:val="clear" w:color="auto" w:fill="CCEEFF"/>
          </w:tcPr>
          <w:p>
            <w:pPr>
              <w:spacing w:after="0"/>
              <w:rPr>
                <w:sz w:val="18"/>
                <w:szCs w:val="18"/>
                <w:color w:val="auto"/>
              </w:rPr>
            </w:pPr>
          </w:p>
        </w:tc>
        <w:tc>
          <w:tcPr>
            <w:tcW w:w="1010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Form of Deposit Agreement</w:t>
            </w: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4.7*</w:t>
            </w:r>
          </w:p>
        </w:tc>
        <w:tc>
          <w:tcPr>
            <w:tcW w:w="120" w:type="dxa"/>
            <w:vAlign w:val="bottom"/>
          </w:tcPr>
          <w:p>
            <w:pPr>
              <w:spacing w:after="0"/>
              <w:rPr>
                <w:sz w:val="18"/>
                <w:szCs w:val="18"/>
                <w:color w:val="auto"/>
              </w:rPr>
            </w:pPr>
          </w:p>
        </w:tc>
        <w:tc>
          <w:tcPr>
            <w:tcW w:w="101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Form of Unit Agreement</w:t>
            </w:r>
          </w:p>
        </w:tc>
      </w:tr>
      <w:tr>
        <w:trPr>
          <w:trHeight w:val="196"/>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23.1</w:t>
            </w:r>
          </w:p>
        </w:tc>
        <w:tc>
          <w:tcPr>
            <w:tcW w:w="120" w:type="dxa"/>
            <w:vAlign w:val="bottom"/>
            <w:tcBorders>
              <w:bottom w:val="single" w:sz="8" w:color="CCEEFF"/>
            </w:tcBorders>
            <w:shd w:val="clear" w:color="auto" w:fill="CCEEFF"/>
          </w:tcPr>
          <w:p>
            <w:pPr>
              <w:spacing w:after="0"/>
              <w:rPr>
                <w:sz w:val="17"/>
                <w:szCs w:val="17"/>
                <w:color w:val="auto"/>
              </w:rPr>
            </w:pPr>
          </w:p>
        </w:tc>
        <w:tc>
          <w:tcPr>
            <w:tcW w:w="2880" w:type="dxa"/>
            <w:vAlign w:val="bottom"/>
            <w:tcBorders>
              <w:bottom w:val="single" w:sz="8" w:color="0000EE"/>
            </w:tcBorders>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Consent of Ernst Young Hua Ming LLP</w:t>
            </w:r>
          </w:p>
        </w:tc>
        <w:tc>
          <w:tcPr>
            <w:tcW w:w="7220" w:type="dxa"/>
            <w:vAlign w:val="bottom"/>
            <w:tcBorders>
              <w:bottom w:val="single" w:sz="8" w:color="CCEEFF"/>
            </w:tcBorders>
            <w:gridSpan w:val="2"/>
            <w:shd w:val="clear" w:color="auto" w:fill="CCEEFF"/>
          </w:tcPr>
          <w:p>
            <w:pPr>
              <w:spacing w:after="0"/>
              <w:rPr>
                <w:sz w:val="17"/>
                <w:szCs w:val="17"/>
                <w:color w:val="auto"/>
              </w:rPr>
            </w:pP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25.1**</w:t>
            </w:r>
          </w:p>
        </w:tc>
        <w:tc>
          <w:tcPr>
            <w:tcW w:w="120" w:type="dxa"/>
            <w:vAlign w:val="bottom"/>
          </w:tcPr>
          <w:p>
            <w:pPr>
              <w:spacing w:after="0"/>
              <w:rPr>
                <w:sz w:val="18"/>
                <w:szCs w:val="18"/>
                <w:color w:val="auto"/>
              </w:rPr>
            </w:pPr>
          </w:p>
        </w:tc>
        <w:tc>
          <w:tcPr>
            <w:tcW w:w="101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Statement of Eligibility on Form T-1</w:t>
            </w:r>
          </w:p>
        </w:tc>
      </w:tr>
      <w:tr>
        <w:trPr>
          <w:trHeight w:val="176"/>
        </w:trPr>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107***</w:t>
            </w:r>
          </w:p>
        </w:tc>
        <w:tc>
          <w:tcPr>
            <w:tcW w:w="120" w:type="dxa"/>
            <w:vAlign w:val="bottom"/>
            <w:shd w:val="clear" w:color="auto" w:fill="CCEEFF"/>
          </w:tcPr>
          <w:p>
            <w:pPr>
              <w:spacing w:after="0"/>
              <w:rPr>
                <w:sz w:val="15"/>
                <w:szCs w:val="15"/>
                <w:color w:val="auto"/>
              </w:rPr>
            </w:pPr>
          </w:p>
        </w:tc>
        <w:tc>
          <w:tcPr>
            <w:tcW w:w="10100" w:type="dxa"/>
            <w:vAlign w:val="bottom"/>
            <w:gridSpan w:val="5"/>
            <w:shd w:val="clear" w:color="auto" w:fill="CCEEFF"/>
          </w:tcPr>
          <w:p>
            <w:pPr>
              <w:spacing w:after="0" w:line="176" w:lineRule="exact"/>
              <w:rPr>
                <w:rFonts w:ascii="Times New Roman" w:cs="Times New Roman" w:eastAsia="Times New Roman" w:hAnsi="Times New Roman"/>
                <w:sz w:val="18"/>
                <w:szCs w:val="18"/>
                <w:color w:val="0000EE"/>
              </w:rPr>
            </w:pPr>
            <w:hyperlink r:id="rId65">
              <w:r>
                <w:rPr>
                  <w:rFonts w:ascii="Times New Roman" w:cs="Times New Roman" w:eastAsia="Times New Roman" w:hAnsi="Times New Roman"/>
                  <w:sz w:val="18"/>
                  <w:szCs w:val="18"/>
                  <w:color w:val="0000EE"/>
                </w:rPr>
                <w:t>Calculation of Filing Fee Table</w:t>
              </w:r>
            </w:hyperlink>
          </w:p>
        </w:tc>
      </w:tr>
      <w:tr>
        <w:trPr>
          <w:trHeight w:val="20"/>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0000EE"/>
            </w:tcBorders>
            <w:shd w:val="clear" w:color="auto" w:fill="CCEEFF"/>
          </w:tcPr>
          <w:p>
            <w:pPr>
              <w:spacing w:after="0" w:line="20" w:lineRule="exact"/>
              <w:rPr>
                <w:sz w:val="1"/>
                <w:szCs w:val="1"/>
                <w:color w:val="auto"/>
              </w:rPr>
            </w:pPr>
          </w:p>
        </w:tc>
        <w:tc>
          <w:tcPr>
            <w:tcW w:w="920" w:type="dxa"/>
            <w:vAlign w:val="bottom"/>
            <w:tcBorders>
              <w:top w:val="single" w:sz="8" w:color="0000EE"/>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66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ind w:left="600" w:hanging="538"/>
        <w:spacing w:after="0" w:line="261" w:lineRule="auto"/>
        <w:tabs>
          <w:tab w:leader="none" w:pos="6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be filed as an exhibit to a post-effective amendment to this registration statement or as an exhibit to a report filed on Form 6-K under the Exchange Act and incorporated herein by reference.</w:t>
      </w:r>
    </w:p>
    <w:p>
      <w:pPr>
        <w:ind w:left="600" w:hanging="538"/>
        <w:spacing w:after="0"/>
        <w:tabs>
          <w:tab w:leader="none" w:pos="6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be filed as a 305B2 filing in connection with an offering of debt securities.</w:t>
      </w:r>
    </w:p>
    <w:p>
      <w:pPr>
        <w:spacing w:after="0" w:line="9" w:lineRule="exact"/>
        <w:rPr>
          <w:rFonts w:ascii="Times New Roman" w:cs="Times New Roman" w:eastAsia="Times New Roman" w:hAnsi="Times New Roman"/>
          <w:sz w:val="18"/>
          <w:szCs w:val="18"/>
          <w:color w:val="auto"/>
        </w:rPr>
      </w:pPr>
    </w:p>
    <w:p>
      <w:pPr>
        <w:ind w:left="600" w:hanging="538"/>
        <w:spacing w:after="0"/>
        <w:tabs>
          <w:tab w:leader="none" w:pos="6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Undertakings.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undersigned registrant hereby undertakes:</w:t>
      </w:r>
    </w:p>
    <w:p>
      <w:pPr>
        <w:spacing w:after="0" w:line="225" w:lineRule="exact"/>
        <w:rPr>
          <w:sz w:val="20"/>
          <w:szCs w:val="20"/>
          <w:color w:val="auto"/>
        </w:rPr>
      </w:pPr>
    </w:p>
    <w:p>
      <w:pPr>
        <w:ind w:left="900" w:hanging="244"/>
        <w:spacing w:after="0"/>
        <w:tabs>
          <w:tab w:leader="none" w:pos="9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To file, during any period in which offers or sales are being made, a post-effective amendment to this registration statement:</w:t>
      </w:r>
    </w:p>
    <w:p>
      <w:pPr>
        <w:spacing w:after="0" w:line="225" w:lineRule="exact"/>
        <w:rPr>
          <w:rFonts w:ascii="Times New Roman" w:cs="Times New Roman" w:eastAsia="Times New Roman" w:hAnsi="Times New Roman"/>
          <w:sz w:val="18"/>
          <w:szCs w:val="18"/>
          <w:color w:val="auto"/>
        </w:rPr>
      </w:pPr>
    </w:p>
    <w:p>
      <w:pPr>
        <w:ind w:left="880" w:hanging="224"/>
        <w:spacing w:after="0"/>
        <w:tabs>
          <w:tab w:leader="none" w:pos="8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prospectus required by Section 10(a)(3) of the Securities Act;</w:t>
      </w:r>
    </w:p>
    <w:p>
      <w:pPr>
        <w:spacing w:after="0" w:line="225" w:lineRule="exact"/>
        <w:rPr>
          <w:sz w:val="20"/>
          <w:szCs w:val="20"/>
          <w:color w:val="auto"/>
        </w:rPr>
      </w:pPr>
    </w:p>
    <w:p>
      <w:pPr>
        <w:jc w:val="both"/>
        <w:ind w:firstLine="656"/>
        <w:spacing w:after="0" w:line="256" w:lineRule="auto"/>
        <w:tabs>
          <w:tab w:leader="none" w:pos="92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20 percent change in the maximum aggregate offering price set forth in the “Calculation of Registration Fee” table in the effective registration statement;</w:t>
      </w:r>
    </w:p>
    <w:p>
      <w:pPr>
        <w:spacing w:after="0" w:line="187" w:lineRule="exact"/>
        <w:rPr>
          <w:rFonts w:ascii="Times New Roman" w:cs="Times New Roman" w:eastAsia="Times New Roman" w:hAnsi="Times New Roman"/>
          <w:sz w:val="18"/>
          <w:szCs w:val="18"/>
          <w:color w:val="auto"/>
        </w:rPr>
      </w:pPr>
    </w:p>
    <w:p>
      <w:pPr>
        <w:jc w:val="both"/>
        <w:ind w:firstLine="656"/>
        <w:spacing w:after="0" w:line="261" w:lineRule="auto"/>
        <w:tabs>
          <w:tab w:leader="none" w:pos="988"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include any material information with respect to the plan of distribution not previously disclosed in the registration statement or any material change to such information in the registration statement;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the undertakings set forth in paragraphs (a)(1)(i), (a)(1)(ii) and (a)</w:t>
      </w:r>
    </w:p>
    <w:p>
      <w:pPr>
        <w:jc w:val="both"/>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(1)(iii) above do not apply if the information required to be included in a post-effective amendment by those paragraphs is contained in reports filed with or furnished to the SEC by the registrant pursuant to Section 13 or Section 15(d) of the Securities Exchange Act of 1934, or the Exchange Act, that are incorporated by reference into the registration statement, or is contained in a form of prospectus filed pursuant to Rule 424(b) that is part of the registration statement.</w:t>
      </w:r>
    </w:p>
    <w:p>
      <w:pPr>
        <w:spacing w:after="0" w:line="189" w:lineRule="exact"/>
        <w:rPr>
          <w:sz w:val="20"/>
          <w:szCs w:val="20"/>
          <w:color w:val="auto"/>
        </w:rPr>
      </w:pPr>
    </w:p>
    <w:p>
      <w:pPr>
        <w:ind w:right="20" w:firstLine="656"/>
        <w:spacing w:after="0" w:line="282" w:lineRule="auto"/>
        <w:tabs>
          <w:tab w:leader="none" w:pos="929"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an application for the purpose of determining the eligibility of the trustee to act under subsection (a) of section 310 of the Trust Indenture Act (“Act”) in accordance with the rules and regulations prescribed by the Commission under section 305(b)(2) of the Act.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082" w:gutter="0" w:footer="0" w:header="0"/>
        </w:sectPr>
      </w:pPr>
    </w:p>
    <w:bookmarkStart w:id="38" w:name="page39"/>
    <w:bookmarkEnd w:id="38"/>
    <w:p>
      <w:pPr>
        <w:jc w:val="both"/>
        <w:ind w:firstLine="656"/>
        <w:spacing w:after="0" w:line="266" w:lineRule="auto"/>
        <w:tabs>
          <w:tab w:leader="none" w:pos="913"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175" w:lineRule="exact"/>
        <w:rPr>
          <w:rFonts w:ascii="Times New Roman" w:cs="Times New Roman" w:eastAsia="Times New Roman" w:hAnsi="Times New Roman"/>
          <w:sz w:val="18"/>
          <w:szCs w:val="18"/>
          <w:color w:val="auto"/>
        </w:rPr>
      </w:pPr>
    </w:p>
    <w:p>
      <w:pPr>
        <w:ind w:firstLine="656"/>
        <w:spacing w:after="0" w:line="282" w:lineRule="auto"/>
        <w:tabs>
          <w:tab w:leader="none" w:pos="934"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offering.</w:t>
      </w:r>
    </w:p>
    <w:p>
      <w:pPr>
        <w:spacing w:after="0" w:line="161" w:lineRule="exact"/>
        <w:rPr>
          <w:rFonts w:ascii="Times New Roman" w:cs="Times New Roman" w:eastAsia="Times New Roman" w:hAnsi="Times New Roman"/>
          <w:sz w:val="18"/>
          <w:szCs w:val="18"/>
          <w:color w:val="auto"/>
        </w:rPr>
      </w:pPr>
    </w:p>
    <w:p>
      <w:pPr>
        <w:jc w:val="both"/>
        <w:ind w:firstLine="656"/>
        <w:spacing w:after="0" w:line="254" w:lineRule="auto"/>
        <w:tabs>
          <w:tab w:leader="none" w:pos="912"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file a post-effective amendment to the registration statement to include any financial statements required by Item 8.A of Form 20-F at the start of any delayed offering or throughout a continuous offering. Financial statements and information otherwise required by Section 10(a)(3) of the Securities Ac need not be furnished,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registrant includes in the prospectus, by means of post-effective amendment, financial statements required pursuant to this paragraph (4) and other information necessary to ensure that all other information in the prospectus is at least as current as the date of those financial statements. Notwithstanding the foregoing, with respect to registration statements on Form F-3, a post-effective amendment need not be filed to include financial statements and information required by Section 10(a)(3) of the Securities Act or Rule 3-19 of Regulation S-K if such financial statements and information are contained in periodic reports filed with or furnished to the SEC by the registrant pursuant to Section 13 or Section 15(d) of the Exchange Act that are incorporated by reference into the registration statement.</w:t>
      </w:r>
    </w:p>
    <w:p>
      <w:pPr>
        <w:spacing w:after="0" w:line="191"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under the Securities Act to any purchaser:</w:t>
      </w:r>
    </w:p>
    <w:p>
      <w:pPr>
        <w:spacing w:after="0" w:line="225" w:lineRule="exact"/>
        <w:rPr>
          <w:sz w:val="20"/>
          <w:szCs w:val="20"/>
          <w:color w:val="auto"/>
        </w:rPr>
      </w:pPr>
    </w:p>
    <w:p>
      <w:pPr>
        <w:jc w:val="both"/>
        <w:ind w:firstLine="656"/>
        <w:spacing w:after="0" w:line="261" w:lineRule="auto"/>
        <w:tabs>
          <w:tab w:leader="none" w:pos="95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prospectus filed by the registrant pursuant to Rule 424(b)(3) shall be deemed to be part of the registration statement as of the date the filed prospectus was deemed part of and included in the registration statement; and (B) Each prospectus required to be filed pursuant to Rule 424(b)(2), (b)</w:t>
      </w:r>
    </w:p>
    <w:p>
      <w:pPr>
        <w:jc w:val="both"/>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 or (b)(7) as part of a registration statement in reliance on Rule 430B relating to an offering made pursuant to Rule 415(a)(1)(i), (vii), or (x) for the purpose of providing the information required by Section 10(a) of the Securities Act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193" w:lineRule="exact"/>
        <w:rPr>
          <w:sz w:val="20"/>
          <w:szCs w:val="20"/>
          <w:color w:val="auto"/>
        </w:rPr>
      </w:pPr>
    </w:p>
    <w:p>
      <w:pPr>
        <w:jc w:val="both"/>
        <w:ind w:firstLine="656"/>
        <w:spacing w:after="0" w:line="258" w:lineRule="auto"/>
        <w:tabs>
          <w:tab w:leader="none" w:pos="931"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of the registrant under the Securities Act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183" w:lineRule="exact"/>
        <w:rPr>
          <w:sz w:val="20"/>
          <w:szCs w:val="20"/>
          <w:color w:val="auto"/>
        </w:rPr>
      </w:pPr>
    </w:p>
    <w:p>
      <w:pPr>
        <w:ind w:left="880" w:hanging="224"/>
        <w:spacing w:after="0"/>
        <w:tabs>
          <w:tab w:leader="none" w:pos="8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preliminary prospectus or prospectus of the undersigned registrant relating to the offering required to be filed pursuant to Rule 424;</w:t>
      </w:r>
    </w:p>
    <w:p>
      <w:pPr>
        <w:spacing w:after="0" w:line="225" w:lineRule="exact"/>
        <w:rPr>
          <w:rFonts w:ascii="Times New Roman" w:cs="Times New Roman" w:eastAsia="Times New Roman" w:hAnsi="Times New Roman"/>
          <w:sz w:val="18"/>
          <w:szCs w:val="18"/>
          <w:color w:val="auto"/>
        </w:rPr>
      </w:pPr>
    </w:p>
    <w:p>
      <w:pPr>
        <w:ind w:right="20" w:firstLine="656"/>
        <w:spacing w:after="0" w:line="282" w:lineRule="auto"/>
        <w:tabs>
          <w:tab w:leader="none" w:pos="942"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free writing prospectus relating to the offering prepared by or on behalf of the undersigned registrant or used or referred to by the undersigned registrant;</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967"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161" w:lineRule="exact"/>
        <w:rPr>
          <w:rFonts w:ascii="Times New Roman" w:cs="Times New Roman" w:eastAsia="Times New Roman" w:hAnsi="Times New Roman"/>
          <w:sz w:val="18"/>
          <w:szCs w:val="18"/>
          <w:color w:val="auto"/>
        </w:rPr>
      </w:pPr>
    </w:p>
    <w:p>
      <w:pPr>
        <w:ind w:left="960" w:hanging="304"/>
        <w:spacing w:after="0"/>
        <w:tabs>
          <w:tab w:leader="none" w:pos="9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communication that is an offer in the offering made by the undersigned registrant to the purchaser.</w:t>
      </w:r>
    </w:p>
    <w:p>
      <w:pPr>
        <w:spacing w:after="0" w:line="225" w:lineRule="exact"/>
        <w:rPr>
          <w:sz w:val="20"/>
          <w:szCs w:val="20"/>
          <w:color w:val="auto"/>
        </w:rPr>
      </w:pPr>
    </w:p>
    <w:p>
      <w:pPr>
        <w:jc w:val="both"/>
        <w:ind w:firstLine="656"/>
        <w:spacing w:after="0" w:line="261" w:lineRule="auto"/>
        <w:tabs>
          <w:tab w:leader="none" w:pos="9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determining any liability under the Securities Act, each filing of the registrant’s annual report pursuant to Section 13(a) or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79" w:lineRule="exact"/>
        <w:rPr>
          <w:rFonts w:ascii="Times New Roman" w:cs="Times New Roman" w:eastAsia="Times New Roman" w:hAnsi="Times New Roman"/>
          <w:sz w:val="18"/>
          <w:szCs w:val="18"/>
          <w:color w:val="auto"/>
        </w:rPr>
      </w:pPr>
    </w:p>
    <w:p>
      <w:pPr>
        <w:jc w:val="both"/>
        <w:ind w:firstLine="656"/>
        <w:spacing w:after="0" w:line="255" w:lineRule="auto"/>
        <w:tabs>
          <w:tab w:leader="none" w:pos="9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9" w:name="page40"/>
    <w:bookmarkEnd w:id="39"/>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the registrant certifies that it has reasonable grounds to believe that it meets all of the requirements for filing on Form F-3 and has duly caused this registration statement to be signed on its behalf by the undersigned, thereunto duly authorized, in Hong Kong SAR, on October 12, 2022.</w:t>
      </w:r>
    </w:p>
    <w:p>
      <w:pPr>
        <w:spacing w:after="0" w:line="172"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CLPS Incorporation</w:t>
      </w:r>
    </w:p>
    <w:p>
      <w:pPr>
        <w:spacing w:after="0" w:line="229" w:lineRule="exact"/>
        <w:rPr>
          <w:sz w:val="20"/>
          <w:szCs w:val="20"/>
          <w:color w:val="auto"/>
        </w:rPr>
      </w:pPr>
    </w:p>
    <w:tbl>
      <w:tblPr>
        <w:tblLayout w:type="fixed"/>
        <w:tblInd w:w="6760" w:type="dxa"/>
        <w:tblCellMar>
          <w:top w:w="0" w:type="dxa"/>
          <w:left w:w="0" w:type="dxa"/>
          <w:bottom w:w="0" w:type="dxa"/>
          <w:right w:w="0" w:type="dxa"/>
        </w:tblCellMar>
      </w:tblPr>
      <w:tr>
        <w:trPr>
          <w:trHeight w:val="241"/>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Raymond Ming Hui Lin</w:t>
            </w:r>
          </w:p>
        </w:tc>
      </w:tr>
      <w:tr>
        <w:trPr>
          <w:trHeight w:val="198"/>
        </w:trPr>
        <w:tc>
          <w:tcPr>
            <w:tcW w:w="5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Raymond Ming Hui Lin</w:t>
            </w:r>
          </w:p>
        </w:tc>
      </w:tr>
      <w:tr>
        <w:trPr>
          <w:trHeight w:val="216"/>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34"/>
        </w:trPr>
        <w:tc>
          <w:tcPr>
            <w:tcW w:w="56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bl>
    <w:p>
      <w:pPr>
        <w:spacing w:after="0" w:line="19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this registration statement has been signed by the following persons in the capacities and on the dates indicated:</w:t>
      </w:r>
    </w:p>
    <w:p>
      <w:pPr>
        <w:sectPr>
          <w:pgSz w:w="11900" w:h="16838" w:orient="portrait"/>
          <w:cols w:equalWidth="0" w:num="1">
            <w:col w:w="11240"/>
          </w:cols>
          <w:pgMar w:left="320" w:top="900" w:right="339" w:bottom="1440" w:gutter="0" w:footer="0" w:header="0"/>
        </w:sectPr>
      </w:pP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264033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8">
                      <a:extLst>
                        <a:ext uri="{28A0092B-C50C-407E-A947-70E740481C1C}"/>
                      </a:extLst>
                    </a:blip>
                    <a:srcRect/>
                    <a:stretch>
                      <a:fillRect/>
                    </a:stretch>
                  </pic:blipFill>
                  <pic:spPr bwMode="auto">
                    <a:xfrm>
                      <a:off x="0" y="0"/>
                      <a:ext cx="2640330" cy="17145"/>
                    </a:xfrm>
                    <a:prstGeom prst="rect">
                      <a:avLst/>
                    </a:prstGeom>
                    <a:noFill/>
                  </pic:spPr>
                </pic:pic>
              </a:graphicData>
            </a:graphic>
          </wp:anchor>
        </w:drawing>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64033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9">
                      <a:extLst>
                        <a:ext uri="{28A0092B-C50C-407E-A947-70E740481C1C}"/>
                      </a:extLst>
                    </a:blip>
                    <a:srcRect/>
                    <a:stretch>
                      <a:fillRect/>
                    </a:stretch>
                  </pic:blipFill>
                  <pic:spPr bwMode="auto">
                    <a:xfrm>
                      <a:off x="0" y="0"/>
                      <a:ext cx="264033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Xiao Feng Yang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Raymond Ming Hui 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264033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0">
                      <a:extLst>
                        <a:ext uri="{28A0092B-C50C-407E-A947-70E740481C1C}"/>
                      </a:extLst>
                    </a:blip>
                    <a:srcRect/>
                    <a:stretch>
                      <a:fillRect/>
                    </a:stretch>
                  </pic:blipFill>
                  <pic:spPr bwMode="auto">
                    <a:xfrm>
                      <a:off x="0" y="0"/>
                      <a:ext cx="2640330" cy="17145"/>
                    </a:xfrm>
                    <a:prstGeom prst="rect">
                      <a:avLst/>
                    </a:prstGeom>
                    <a:noFill/>
                  </pic:spPr>
                </pic:pic>
              </a:graphicData>
            </a:graphic>
          </wp:anchor>
        </w:drawing>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Raymond Ming Hui Lin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Rui Yang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64033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1">
                      <a:extLst>
                        <a:ext uri="{28A0092B-C50C-407E-A947-70E740481C1C}"/>
                      </a:extLst>
                    </a:blip>
                    <a:srcRect/>
                    <a:stretch>
                      <a:fillRect/>
                    </a:stretch>
                  </pic:blipFill>
                  <pic:spPr bwMode="auto">
                    <a:xfrm>
                      <a:off x="0" y="0"/>
                      <a:ext cx="264033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Rui Yang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64033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2">
                      <a:extLst>
                        <a:ext uri="{28A0092B-C50C-407E-A947-70E740481C1C}"/>
                      </a:extLst>
                    </a:blip>
                    <a:srcRect/>
                    <a:stretch>
                      <a:fillRect/>
                    </a:stretch>
                  </pic:blipFill>
                  <pic:spPr bwMode="auto">
                    <a:xfrm>
                      <a:off x="0" y="0"/>
                      <a:ext cx="264033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Zhaohui Feng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64033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3">
                      <a:extLst>
                        <a:ext uri="{28A0092B-C50C-407E-A947-70E740481C1C}"/>
                      </a:extLst>
                    </a:blip>
                    <a:srcRect/>
                    <a:stretch>
                      <a:fillRect/>
                    </a:stretch>
                  </pic:blipFill>
                  <pic:spPr bwMode="auto">
                    <a:xfrm>
                      <a:off x="0" y="0"/>
                      <a:ext cx="264033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Chong Seng Kee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64033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4">
                      <a:extLst>
                        <a:ext uri="{28A0092B-C50C-407E-A947-70E740481C1C}"/>
                      </a:extLst>
                    </a:blip>
                    <a:srcRect/>
                    <a:stretch>
                      <a:fillRect/>
                    </a:stretch>
                  </pic:blipFill>
                  <pic:spPr bwMode="auto">
                    <a:xfrm>
                      <a:off x="0" y="0"/>
                      <a:ext cx="264033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Jin He Shao</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5"/>
        </w:trPr>
        <w:tc>
          <w:tcPr>
            <w:tcW w:w="4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Title</w:t>
            </w:r>
          </w:p>
        </w:tc>
        <w:tc>
          <w:tcPr>
            <w:tcW w:w="200" w:type="dxa"/>
            <w:vAlign w:val="bottom"/>
          </w:tcPr>
          <w:p>
            <w:pPr>
              <w:spacing w:after="0"/>
              <w:rPr>
                <w:sz w:val="21"/>
                <w:szCs w:val="21"/>
                <w:color w:val="auto"/>
              </w:rPr>
            </w:pPr>
          </w:p>
        </w:tc>
        <w:tc>
          <w:tcPr>
            <w:tcW w:w="2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r>
      <w:tr>
        <w:trPr>
          <w:trHeight w:val="432"/>
        </w:trPr>
        <w:tc>
          <w:tcPr>
            <w:tcW w:w="43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Chairman, President and Director</w:t>
            </w:r>
          </w:p>
        </w:tc>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October 12, 2022</w:t>
            </w:r>
          </w:p>
        </w:tc>
      </w:tr>
      <w:tr>
        <w:trPr>
          <w:trHeight w:val="670"/>
        </w:trPr>
        <w:tc>
          <w:tcPr>
            <w:tcW w:w="43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Chief Executive Officer and Director</w:t>
            </w:r>
          </w:p>
        </w:tc>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October 12, 2022</w:t>
            </w:r>
          </w:p>
        </w:tc>
      </w:tr>
      <w:tr>
        <w:trPr>
          <w:trHeight w:val="234"/>
        </w:trPr>
        <w:tc>
          <w:tcPr>
            <w:tcW w:w="43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2480" w:type="dxa"/>
            <w:vAlign w:val="bottom"/>
          </w:tcPr>
          <w:p>
            <w:pPr>
              <w:spacing w:after="0"/>
              <w:rPr>
                <w:sz w:val="20"/>
                <w:szCs w:val="20"/>
                <w:color w:val="auto"/>
              </w:rPr>
            </w:pPr>
          </w:p>
        </w:tc>
      </w:tr>
      <w:tr>
        <w:trPr>
          <w:trHeight w:val="441"/>
        </w:trPr>
        <w:tc>
          <w:tcPr>
            <w:tcW w:w="43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Chief Financial Officer</w:t>
            </w:r>
          </w:p>
        </w:tc>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October 12, 2022</w:t>
            </w:r>
          </w:p>
        </w:tc>
      </w:tr>
      <w:tr>
        <w:trPr>
          <w:trHeight w:val="234"/>
        </w:trPr>
        <w:tc>
          <w:tcPr>
            <w:tcW w:w="43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(Principal Accounting and Financial Officer)</w:t>
            </w:r>
          </w:p>
        </w:tc>
        <w:tc>
          <w:tcPr>
            <w:tcW w:w="2480" w:type="dxa"/>
            <w:vAlign w:val="bottom"/>
          </w:tcPr>
          <w:p>
            <w:pPr>
              <w:spacing w:after="0"/>
              <w:rPr>
                <w:sz w:val="20"/>
                <w:szCs w:val="20"/>
                <w:color w:val="auto"/>
              </w:rPr>
            </w:pPr>
          </w:p>
        </w:tc>
      </w:tr>
      <w:tr>
        <w:trPr>
          <w:trHeight w:val="445"/>
        </w:trPr>
        <w:tc>
          <w:tcPr>
            <w:tcW w:w="43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Independent Director</w:t>
            </w:r>
          </w:p>
        </w:tc>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October 12, 2022</w:t>
            </w:r>
          </w:p>
        </w:tc>
      </w:tr>
      <w:tr>
        <w:trPr>
          <w:trHeight w:val="675"/>
        </w:trPr>
        <w:tc>
          <w:tcPr>
            <w:tcW w:w="43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Independent Director</w:t>
            </w:r>
          </w:p>
        </w:tc>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October 12, 2022</w:t>
            </w:r>
          </w:p>
        </w:tc>
      </w:tr>
      <w:tr>
        <w:trPr>
          <w:trHeight w:val="675"/>
        </w:trPr>
        <w:tc>
          <w:tcPr>
            <w:tcW w:w="43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Independent Director</w:t>
            </w:r>
          </w:p>
        </w:tc>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October 12, 2022</w:t>
            </w:r>
          </w:p>
        </w:tc>
      </w:tr>
    </w:tbl>
    <w:p>
      <w:pPr>
        <w:spacing w:after="0" w:line="200" w:lineRule="exact"/>
        <w:rPr>
          <w:sz w:val="20"/>
          <w:szCs w:val="20"/>
          <w:color w:val="auto"/>
        </w:rPr>
      </w:pPr>
    </w:p>
    <w:p>
      <w:pPr>
        <w:spacing w:after="0" w:line="241" w:lineRule="exact"/>
        <w:rPr>
          <w:sz w:val="20"/>
          <w:szCs w:val="20"/>
          <w:color w:val="auto"/>
        </w:rPr>
      </w:pPr>
    </w:p>
    <w:p>
      <w:pPr>
        <w:ind w:left="2360"/>
        <w:spacing w:after="0"/>
        <w:tabs>
          <w:tab w:leader="none" w:pos="2900" w:val="left"/>
        </w:tabs>
        <w:rPr>
          <w:sz w:val="20"/>
          <w:szCs w:val="20"/>
          <w:color w:val="auto"/>
        </w:rPr>
      </w:pPr>
      <w:r>
        <w:rPr>
          <w:rFonts w:ascii="Times New Roman" w:cs="Times New Roman" w:eastAsia="Times New Roman" w:hAnsi="Times New Roman"/>
          <w:sz w:val="18"/>
          <w:szCs w:val="18"/>
          <w:color w:val="auto"/>
        </w:rPr>
        <w:t>*By:</w:t>
        <w:tab/>
        <w:t>/s/ Raymond Ming Hui 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1848485</wp:posOffset>
            </wp:positionH>
            <wp:positionV relativeFrom="paragraph">
              <wp:posOffset>17145</wp:posOffset>
            </wp:positionV>
            <wp:extent cx="249428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5">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16"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color w:val="auto"/>
        </w:rPr>
        <w:t>Raymond Ming Hui Lin</w:t>
      </w:r>
    </w:p>
    <w:p>
      <w:pPr>
        <w:spacing w:after="0" w:line="27"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color w:val="auto"/>
        </w:rPr>
        <w:t>Attorney-in-Fact</w:t>
      </w:r>
    </w:p>
    <w:p>
      <w:pPr>
        <w:spacing w:after="0" w:line="200" w:lineRule="exact"/>
        <w:rPr>
          <w:sz w:val="20"/>
          <w:szCs w:val="20"/>
          <w:color w:val="auto"/>
        </w:rPr>
      </w:pPr>
    </w:p>
    <w:p>
      <w:pPr>
        <w:sectPr>
          <w:pgSz w:w="11900" w:h="16838" w:orient="portrait"/>
          <w:cols w:equalWidth="0" w:num="2">
            <w:col w:w="3680" w:space="720"/>
            <w:col w:w="6840"/>
          </w:cols>
          <w:pgMar w:left="320" w:top="900" w:right="339" w:bottom="1440" w:gutter="0" w:footer="0" w:header="0"/>
          <w:type w:val="continuous"/>
        </w:sect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type w:val="continuous"/>
        </w:sectPr>
      </w:pPr>
    </w:p>
    <w:bookmarkStart w:id="40" w:name="page41"/>
    <w:bookmarkEnd w:id="4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AUTHORIZED UNITED STATES REPRESENTATIVE</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 of the Securities Act of 1933, the undersigned, the duly authorized representative in the United States of the aforementioned Registrant, has signed this registration statement in the City of Newark, State of Delaware, on October 12, 2022.</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PUGLISI &amp; ASSOCIATES</w:t>
      </w:r>
    </w:p>
    <w:p>
      <w:pPr>
        <w:spacing w:after="0" w:line="229"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By:</w:t>
        <w:tab/>
        <w:t>/s/ Donald J. Puglisi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17145</wp:posOffset>
            </wp:positionV>
            <wp:extent cx="256286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7">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Name: Donald J. Puglisi</w:t>
      </w:r>
    </w:p>
    <w:p>
      <w:pPr>
        <w:spacing w:after="0" w:line="27" w:lineRule="exact"/>
        <w:rPr>
          <w:sz w:val="20"/>
          <w:szCs w:val="20"/>
          <w:color w:val="auto"/>
        </w:rPr>
      </w:pPr>
    </w:p>
    <w:p>
      <w:pPr>
        <w:ind w:left="460"/>
        <w:spacing w:after="0"/>
        <w:tabs>
          <w:tab w:leader="none" w:pos="10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Managing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1" w:name="page42"/>
    <w:bookmarkEnd w:id="41"/>
    <w:p>
      <w:pPr>
        <w:jc w:val="right"/>
        <w:spacing w:after="0"/>
        <w:rPr>
          <w:sz w:val="20"/>
          <w:szCs w:val="20"/>
          <w:color w:val="auto"/>
        </w:rPr>
      </w:pPr>
      <w:r>
        <w:rPr>
          <w:rFonts w:ascii="Times New Roman" w:cs="Times New Roman" w:eastAsia="Times New Roman" w:hAnsi="Times New Roman"/>
          <w:sz w:val="18"/>
          <w:szCs w:val="18"/>
          <w:b w:val="1"/>
          <w:bCs w:val="1"/>
          <w:color w:val="auto"/>
        </w:rPr>
        <w:t>Exhibit 4.3</w:t>
      </w:r>
    </w:p>
    <w:p>
      <w:pPr>
        <w:spacing w:after="0" w:line="225"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8"/>
          <w:szCs w:val="18"/>
          <w:b w:val="1"/>
          <w:bCs w:val="1"/>
          <w:color w:val="auto"/>
        </w:rPr>
        <w:t>CLPS Incorporation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156845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INDENTURE</w:t>
      </w:r>
    </w:p>
    <w:p>
      <w:pPr>
        <w:spacing w:after="0" w:line="225" w:lineRule="exact"/>
        <w:rPr>
          <w:sz w:val="20"/>
          <w:szCs w:val="20"/>
          <w:color w:val="auto"/>
        </w:rPr>
      </w:pPr>
    </w:p>
    <w:p>
      <w:pPr>
        <w:ind w:left="3920"/>
        <w:spacing w:after="0"/>
        <w:tabs>
          <w:tab w:leader="none" w:pos="5000" w:val="left"/>
        </w:tabs>
        <w:rPr>
          <w:sz w:val="20"/>
          <w:szCs w:val="20"/>
          <w:color w:val="auto"/>
        </w:rPr>
      </w:pPr>
      <w:r>
        <w:rPr>
          <w:rFonts w:ascii="Times New Roman" w:cs="Times New Roman" w:eastAsia="Times New Roman" w:hAnsi="Times New Roman"/>
          <w:sz w:val="18"/>
          <w:szCs w:val="18"/>
          <w:color w:val="auto"/>
        </w:rPr>
        <w:t>Dated as of [</w:t>
        <w:tab/>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154305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4360"/>
        <w:spacing w:after="0"/>
        <w:tabs>
          <w:tab w:leader="none" w:pos="4580" w:val="left"/>
        </w:tabs>
        <w:rPr>
          <w:sz w:val="20"/>
          <w:szCs w:val="20"/>
          <w:color w:val="auto"/>
        </w:rPr>
      </w:pPr>
      <w:r>
        <w:rPr>
          <w:rFonts w:ascii="Times New Roman" w:cs="Times New Roman" w:eastAsia="Times New Roman" w:hAnsi="Times New Roman"/>
          <w:sz w:val="18"/>
          <w:szCs w:val="18"/>
          <w:color w:val="auto"/>
        </w:rPr>
        <w:t>[</w:t>
        <w:tab/>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154305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454660</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891540</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17" w:right="339" w:bottom="1440" w:gutter="0" w:footer="0" w:header="0"/>
        </w:sectPr>
      </w:pPr>
    </w:p>
    <w:bookmarkStart w:id="42" w:name="page43"/>
    <w:bookmarkEnd w:id="42"/>
    <w:tbl>
      <w:tblPr>
        <w:tblLayout w:type="fixed"/>
        <w:tblInd w:w="0" w:type="dxa"/>
        <w:tblCellMar>
          <w:top w:w="0" w:type="dxa"/>
          <w:left w:w="0" w:type="dxa"/>
          <w:bottom w:w="0" w:type="dxa"/>
          <w:right w:w="0" w:type="dxa"/>
        </w:tblCellMar>
      </w:tblPr>
      <w:tr>
        <w:trPr>
          <w:trHeight w:val="238"/>
        </w:trPr>
        <w:tc>
          <w:tcPr>
            <w:tcW w:w="1020" w:type="dxa"/>
            <w:vAlign w:val="bottom"/>
          </w:tcPr>
          <w:p>
            <w:pPr>
              <w:spacing w:after="0"/>
              <w:rPr>
                <w:sz w:val="20"/>
                <w:szCs w:val="20"/>
                <w:color w:val="auto"/>
              </w:rPr>
            </w:pPr>
          </w:p>
        </w:tc>
        <w:tc>
          <w:tcPr>
            <w:tcW w:w="9100" w:type="dxa"/>
            <w:vAlign w:val="bottom"/>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1120" w:type="dxa"/>
            <w:vAlign w:val="bottom"/>
          </w:tcPr>
          <w:p>
            <w:pPr>
              <w:spacing w:after="0"/>
              <w:rPr>
                <w:sz w:val="20"/>
                <w:szCs w:val="20"/>
                <w:color w:val="auto"/>
              </w:rPr>
            </w:pPr>
          </w:p>
        </w:tc>
      </w:tr>
      <w:tr>
        <w:trPr>
          <w:trHeight w:val="439"/>
        </w:trPr>
        <w:tc>
          <w:tcPr>
            <w:tcW w:w="1020" w:type="dxa"/>
            <w:vAlign w:val="bottom"/>
          </w:tcPr>
          <w:p>
            <w:pPr>
              <w:spacing w:after="0"/>
              <w:rPr>
                <w:sz w:val="24"/>
                <w:szCs w:val="24"/>
                <w:color w:val="auto"/>
              </w:rPr>
            </w:pPr>
          </w:p>
        </w:tc>
        <w:tc>
          <w:tcPr>
            <w:tcW w:w="9100" w:type="dxa"/>
            <w:vAlign w:val="bottom"/>
          </w:tcPr>
          <w:p>
            <w:pPr>
              <w:spacing w:after="0"/>
              <w:rPr>
                <w:sz w:val="24"/>
                <w:szCs w:val="24"/>
                <w:color w:val="auto"/>
              </w:rPr>
            </w:pPr>
          </w:p>
        </w:tc>
        <w:tc>
          <w:tcPr>
            <w:tcW w:w="112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198"/>
        </w:trPr>
        <w:tc>
          <w:tcPr>
            <w:tcW w:w="1020" w:type="dxa"/>
            <w:vAlign w:val="bottom"/>
          </w:tcPr>
          <w:p>
            <w:pPr>
              <w:spacing w:after="0"/>
              <w:rPr>
                <w:sz w:val="17"/>
                <w:szCs w:val="17"/>
                <w:color w:val="auto"/>
              </w:rPr>
            </w:pPr>
          </w:p>
        </w:tc>
        <w:tc>
          <w:tcPr>
            <w:tcW w:w="9100" w:type="dxa"/>
            <w:vAlign w:val="bottom"/>
          </w:tcPr>
          <w:p>
            <w:pPr>
              <w:jc w:val="center"/>
              <w:ind w:left="30"/>
              <w:spacing w:after="0" w:line="198" w:lineRule="exact"/>
              <w:rPr>
                <w:sz w:val="20"/>
                <w:szCs w:val="20"/>
                <w:color w:val="auto"/>
              </w:rPr>
            </w:pPr>
            <w:r>
              <w:rPr>
                <w:rFonts w:ascii="Times New Roman" w:cs="Times New Roman" w:eastAsia="Times New Roman" w:hAnsi="Times New Roman"/>
                <w:sz w:val="18"/>
                <w:szCs w:val="18"/>
                <w:color w:val="auto"/>
                <w:w w:val="99"/>
              </w:rPr>
              <w:t>ARTICLE I</w:t>
            </w:r>
          </w:p>
        </w:tc>
        <w:tc>
          <w:tcPr>
            <w:tcW w:w="1120" w:type="dxa"/>
            <w:vAlign w:val="bottom"/>
          </w:tcPr>
          <w:p>
            <w:pPr>
              <w:spacing w:after="0"/>
              <w:rPr>
                <w:sz w:val="17"/>
                <w:szCs w:val="17"/>
                <w:color w:val="auto"/>
              </w:rPr>
            </w:pPr>
          </w:p>
        </w:tc>
      </w:tr>
      <w:tr>
        <w:trPr>
          <w:trHeight w:val="234"/>
        </w:trPr>
        <w:tc>
          <w:tcPr>
            <w:tcW w:w="1020" w:type="dxa"/>
            <w:vAlign w:val="bottom"/>
          </w:tcPr>
          <w:p>
            <w:pPr>
              <w:spacing w:after="0"/>
              <w:rPr>
                <w:sz w:val="20"/>
                <w:szCs w:val="20"/>
                <w:color w:val="auto"/>
              </w:rPr>
            </w:pPr>
          </w:p>
        </w:tc>
        <w:tc>
          <w:tcPr>
            <w:tcW w:w="910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DEFINITIONS AND INCORPORATION BY REFERENCE</w:t>
            </w:r>
          </w:p>
        </w:tc>
        <w:tc>
          <w:tcPr>
            <w:tcW w:w="1120" w:type="dxa"/>
            <w:vAlign w:val="bottom"/>
          </w:tcPr>
          <w:p>
            <w:pPr>
              <w:spacing w:after="0"/>
              <w:rPr>
                <w:sz w:val="20"/>
                <w:szCs w:val="20"/>
                <w:color w:val="auto"/>
              </w:rPr>
            </w:pPr>
          </w:p>
        </w:tc>
      </w:tr>
      <w:tr>
        <w:trPr>
          <w:trHeight w:val="216"/>
        </w:trPr>
        <w:tc>
          <w:tcPr>
            <w:tcW w:w="1020" w:type="dxa"/>
            <w:vAlign w:val="bottom"/>
          </w:tcPr>
          <w:p>
            <w:pPr>
              <w:spacing w:after="0"/>
              <w:rPr>
                <w:sz w:val="18"/>
                <w:szCs w:val="18"/>
                <w:color w:val="auto"/>
              </w:rPr>
            </w:pPr>
          </w:p>
        </w:tc>
        <w:tc>
          <w:tcPr>
            <w:tcW w:w="91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1.1</w:t>
            </w:r>
          </w:p>
        </w:tc>
        <w:tc>
          <w:tcPr>
            <w:tcW w:w="9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Definitions</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1</w:t>
            </w: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Section 1.2</w:t>
            </w:r>
          </w:p>
        </w:tc>
        <w:tc>
          <w:tcPr>
            <w:tcW w:w="9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Definitions</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3</w:t>
            </w:r>
          </w:p>
        </w:tc>
      </w:tr>
      <w:tr>
        <w:trPr>
          <w:trHeight w:val="216"/>
        </w:trPr>
        <w:tc>
          <w:tcPr>
            <w:tcW w:w="1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1.3</w:t>
            </w:r>
          </w:p>
        </w:tc>
        <w:tc>
          <w:tcPr>
            <w:tcW w:w="9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Incorporation by Reference of Trust Indenture Act</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4</w:t>
            </w: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Section 1.4</w:t>
            </w:r>
          </w:p>
        </w:tc>
        <w:tc>
          <w:tcPr>
            <w:tcW w:w="9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Rules of Construction</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4</w:t>
            </w:r>
          </w:p>
        </w:tc>
      </w:tr>
      <w:tr>
        <w:trPr>
          <w:trHeight w:val="216"/>
        </w:trPr>
        <w:tc>
          <w:tcPr>
            <w:tcW w:w="1020" w:type="dxa"/>
            <w:vAlign w:val="bottom"/>
            <w:shd w:val="clear" w:color="auto" w:fill="CCEEFF"/>
          </w:tcPr>
          <w:p>
            <w:pPr>
              <w:spacing w:after="0"/>
              <w:rPr>
                <w:sz w:val="18"/>
                <w:szCs w:val="18"/>
                <w:color w:val="auto"/>
              </w:rPr>
            </w:pPr>
          </w:p>
        </w:tc>
        <w:tc>
          <w:tcPr>
            <w:tcW w:w="9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6"/>
        </w:trPr>
        <w:tc>
          <w:tcPr>
            <w:tcW w:w="1020" w:type="dxa"/>
            <w:vAlign w:val="bottom"/>
          </w:tcPr>
          <w:p>
            <w:pPr>
              <w:spacing w:after="0"/>
              <w:rPr>
                <w:sz w:val="18"/>
                <w:szCs w:val="18"/>
                <w:color w:val="auto"/>
              </w:rPr>
            </w:pPr>
          </w:p>
        </w:tc>
        <w:tc>
          <w:tcPr>
            <w:tcW w:w="910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7"/>
              </w:rPr>
              <w:t>ARTICLE II</w:t>
            </w:r>
          </w:p>
        </w:tc>
        <w:tc>
          <w:tcPr>
            <w:tcW w:w="1120" w:type="dxa"/>
            <w:vAlign w:val="bottom"/>
          </w:tcPr>
          <w:p>
            <w:pPr>
              <w:spacing w:after="0"/>
              <w:rPr>
                <w:sz w:val="18"/>
                <w:szCs w:val="18"/>
                <w:color w:val="auto"/>
              </w:rPr>
            </w:pPr>
          </w:p>
        </w:tc>
      </w:tr>
      <w:tr>
        <w:trPr>
          <w:trHeight w:val="216"/>
        </w:trPr>
        <w:tc>
          <w:tcPr>
            <w:tcW w:w="1020" w:type="dxa"/>
            <w:vAlign w:val="bottom"/>
            <w:shd w:val="clear" w:color="auto" w:fill="CCEEFF"/>
          </w:tcPr>
          <w:p>
            <w:pPr>
              <w:spacing w:after="0"/>
              <w:rPr>
                <w:sz w:val="18"/>
                <w:szCs w:val="18"/>
                <w:color w:val="auto"/>
              </w:rPr>
            </w:pPr>
          </w:p>
        </w:tc>
        <w:tc>
          <w:tcPr>
            <w:tcW w:w="910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THE SECURITIES</w:t>
            </w:r>
          </w:p>
        </w:tc>
        <w:tc>
          <w:tcPr>
            <w:tcW w:w="1120" w:type="dxa"/>
            <w:vAlign w:val="bottom"/>
            <w:shd w:val="clear" w:color="auto" w:fill="CCEEFF"/>
          </w:tcPr>
          <w:p>
            <w:pPr>
              <w:spacing w:after="0"/>
              <w:rPr>
                <w:sz w:val="18"/>
                <w:szCs w:val="18"/>
                <w:color w:val="auto"/>
              </w:rPr>
            </w:pPr>
          </w:p>
        </w:tc>
      </w:tr>
      <w:tr>
        <w:trPr>
          <w:trHeight w:val="216"/>
        </w:trPr>
        <w:tc>
          <w:tcPr>
            <w:tcW w:w="1020" w:type="dxa"/>
            <w:vAlign w:val="bottom"/>
          </w:tcPr>
          <w:p>
            <w:pPr>
              <w:spacing w:after="0"/>
              <w:rPr>
                <w:sz w:val="18"/>
                <w:szCs w:val="18"/>
                <w:color w:val="auto"/>
              </w:rPr>
            </w:pPr>
          </w:p>
        </w:tc>
        <w:tc>
          <w:tcPr>
            <w:tcW w:w="91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2.1</w:t>
            </w:r>
          </w:p>
        </w:tc>
        <w:tc>
          <w:tcPr>
            <w:tcW w:w="9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Issuable in Series</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4</w:t>
            </w: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Section 2.2</w:t>
            </w:r>
          </w:p>
        </w:tc>
        <w:tc>
          <w:tcPr>
            <w:tcW w:w="9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Establishment of Terms of Series of Securities</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4</w:t>
            </w:r>
          </w:p>
        </w:tc>
      </w:tr>
      <w:tr>
        <w:trPr>
          <w:trHeight w:val="216"/>
        </w:trPr>
        <w:tc>
          <w:tcPr>
            <w:tcW w:w="1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2.3</w:t>
            </w:r>
          </w:p>
        </w:tc>
        <w:tc>
          <w:tcPr>
            <w:tcW w:w="9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Execution and Authentication</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6</w:t>
            </w: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Section 2.4</w:t>
            </w:r>
          </w:p>
        </w:tc>
        <w:tc>
          <w:tcPr>
            <w:tcW w:w="9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Registrar and Paying Agent</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7</w:t>
            </w:r>
          </w:p>
        </w:tc>
      </w:tr>
      <w:tr>
        <w:trPr>
          <w:trHeight w:val="216"/>
        </w:trPr>
        <w:tc>
          <w:tcPr>
            <w:tcW w:w="1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2.5</w:t>
            </w:r>
          </w:p>
        </w:tc>
        <w:tc>
          <w:tcPr>
            <w:tcW w:w="9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Paying Agent to Hold Money in Trust</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7</w:t>
            </w: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Section 2.6</w:t>
            </w:r>
          </w:p>
        </w:tc>
        <w:tc>
          <w:tcPr>
            <w:tcW w:w="9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Security Holder Lists</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7</w:t>
            </w:r>
          </w:p>
        </w:tc>
      </w:tr>
      <w:tr>
        <w:trPr>
          <w:trHeight w:val="216"/>
        </w:trPr>
        <w:tc>
          <w:tcPr>
            <w:tcW w:w="1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2.7</w:t>
            </w:r>
          </w:p>
        </w:tc>
        <w:tc>
          <w:tcPr>
            <w:tcW w:w="9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Transfer and Exchange</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8</w:t>
            </w: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Section 2.8</w:t>
            </w:r>
          </w:p>
        </w:tc>
        <w:tc>
          <w:tcPr>
            <w:tcW w:w="9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Mutilated, Destroyed, Lost and Stolen Securities</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8</w:t>
            </w:r>
          </w:p>
        </w:tc>
      </w:tr>
      <w:tr>
        <w:trPr>
          <w:trHeight w:val="216"/>
        </w:trPr>
        <w:tc>
          <w:tcPr>
            <w:tcW w:w="1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2.9</w:t>
            </w:r>
          </w:p>
        </w:tc>
        <w:tc>
          <w:tcPr>
            <w:tcW w:w="9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Outstanding Securities</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8</w:t>
            </w: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Section 2.10</w:t>
            </w:r>
          </w:p>
        </w:tc>
        <w:tc>
          <w:tcPr>
            <w:tcW w:w="9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Treasury Securities</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9</w:t>
            </w:r>
          </w:p>
        </w:tc>
      </w:tr>
      <w:tr>
        <w:trPr>
          <w:trHeight w:val="216"/>
        </w:trPr>
        <w:tc>
          <w:tcPr>
            <w:tcW w:w="1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2.11</w:t>
            </w:r>
          </w:p>
        </w:tc>
        <w:tc>
          <w:tcPr>
            <w:tcW w:w="9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Temporary Securities</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9</w:t>
            </w: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Section 2.12</w:t>
            </w:r>
          </w:p>
        </w:tc>
        <w:tc>
          <w:tcPr>
            <w:tcW w:w="9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Cancellation</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9</w:t>
            </w:r>
          </w:p>
        </w:tc>
      </w:tr>
      <w:tr>
        <w:trPr>
          <w:trHeight w:val="216"/>
        </w:trPr>
        <w:tc>
          <w:tcPr>
            <w:tcW w:w="1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2.13</w:t>
            </w:r>
          </w:p>
        </w:tc>
        <w:tc>
          <w:tcPr>
            <w:tcW w:w="9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Defaulted Interest</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9</w:t>
            </w: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Section 2.14</w:t>
            </w:r>
          </w:p>
        </w:tc>
        <w:tc>
          <w:tcPr>
            <w:tcW w:w="9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Global Securities</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9</w:t>
            </w:r>
          </w:p>
        </w:tc>
      </w:tr>
      <w:tr>
        <w:trPr>
          <w:trHeight w:val="216"/>
        </w:trPr>
        <w:tc>
          <w:tcPr>
            <w:tcW w:w="1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2.15</w:t>
            </w:r>
          </w:p>
        </w:tc>
        <w:tc>
          <w:tcPr>
            <w:tcW w:w="9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CUSIP Numbers</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r>
      <w:tr>
        <w:trPr>
          <w:trHeight w:val="216"/>
        </w:trPr>
        <w:tc>
          <w:tcPr>
            <w:tcW w:w="1020" w:type="dxa"/>
            <w:vAlign w:val="bottom"/>
          </w:tcPr>
          <w:p>
            <w:pPr>
              <w:spacing w:after="0"/>
              <w:rPr>
                <w:sz w:val="18"/>
                <w:szCs w:val="18"/>
                <w:color w:val="auto"/>
              </w:rPr>
            </w:pPr>
          </w:p>
        </w:tc>
        <w:tc>
          <w:tcPr>
            <w:tcW w:w="91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020" w:type="dxa"/>
            <w:vAlign w:val="bottom"/>
            <w:shd w:val="clear" w:color="auto" w:fill="CCEEFF"/>
          </w:tcPr>
          <w:p>
            <w:pPr>
              <w:spacing w:after="0"/>
              <w:rPr>
                <w:sz w:val="18"/>
                <w:szCs w:val="18"/>
                <w:color w:val="auto"/>
              </w:rPr>
            </w:pPr>
          </w:p>
        </w:tc>
        <w:tc>
          <w:tcPr>
            <w:tcW w:w="910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ARTICLE III</w:t>
            </w:r>
          </w:p>
        </w:tc>
        <w:tc>
          <w:tcPr>
            <w:tcW w:w="1120" w:type="dxa"/>
            <w:vAlign w:val="bottom"/>
            <w:shd w:val="clear" w:color="auto" w:fill="CCEEFF"/>
          </w:tcPr>
          <w:p>
            <w:pPr>
              <w:spacing w:after="0"/>
              <w:rPr>
                <w:sz w:val="18"/>
                <w:szCs w:val="18"/>
                <w:color w:val="auto"/>
              </w:rPr>
            </w:pPr>
          </w:p>
        </w:tc>
      </w:tr>
      <w:tr>
        <w:trPr>
          <w:trHeight w:val="216"/>
        </w:trPr>
        <w:tc>
          <w:tcPr>
            <w:tcW w:w="1020" w:type="dxa"/>
            <w:vAlign w:val="bottom"/>
          </w:tcPr>
          <w:p>
            <w:pPr>
              <w:spacing w:after="0"/>
              <w:rPr>
                <w:sz w:val="18"/>
                <w:szCs w:val="18"/>
                <w:color w:val="auto"/>
              </w:rPr>
            </w:pPr>
          </w:p>
        </w:tc>
        <w:tc>
          <w:tcPr>
            <w:tcW w:w="910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9"/>
              </w:rPr>
              <w:t>REDEMPTION</w:t>
            </w:r>
          </w:p>
        </w:tc>
        <w:tc>
          <w:tcPr>
            <w:tcW w:w="1120" w:type="dxa"/>
            <w:vAlign w:val="bottom"/>
          </w:tcPr>
          <w:p>
            <w:pPr>
              <w:spacing w:after="0"/>
              <w:rPr>
                <w:sz w:val="18"/>
                <w:szCs w:val="18"/>
                <w:color w:val="auto"/>
              </w:rPr>
            </w:pPr>
          </w:p>
        </w:tc>
      </w:tr>
      <w:tr>
        <w:trPr>
          <w:trHeight w:val="216"/>
        </w:trPr>
        <w:tc>
          <w:tcPr>
            <w:tcW w:w="1020" w:type="dxa"/>
            <w:vAlign w:val="bottom"/>
            <w:shd w:val="clear" w:color="auto" w:fill="CCEEFF"/>
          </w:tcPr>
          <w:p>
            <w:pPr>
              <w:spacing w:after="0"/>
              <w:rPr>
                <w:sz w:val="18"/>
                <w:szCs w:val="18"/>
                <w:color w:val="auto"/>
              </w:rPr>
            </w:pPr>
          </w:p>
        </w:tc>
        <w:tc>
          <w:tcPr>
            <w:tcW w:w="9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Section 3.1</w:t>
            </w:r>
          </w:p>
        </w:tc>
        <w:tc>
          <w:tcPr>
            <w:tcW w:w="9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Notice to Trustee</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11</w:t>
            </w:r>
          </w:p>
        </w:tc>
      </w:tr>
      <w:tr>
        <w:trPr>
          <w:trHeight w:val="216"/>
        </w:trPr>
        <w:tc>
          <w:tcPr>
            <w:tcW w:w="1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3.2</w:t>
            </w:r>
          </w:p>
        </w:tc>
        <w:tc>
          <w:tcPr>
            <w:tcW w:w="9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Selection of Securities to be Redeemed</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11</w:t>
            </w: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Section 3.3</w:t>
            </w:r>
          </w:p>
        </w:tc>
        <w:tc>
          <w:tcPr>
            <w:tcW w:w="9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Notice of Redemptionkon</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11</w:t>
            </w:r>
          </w:p>
        </w:tc>
      </w:tr>
      <w:tr>
        <w:trPr>
          <w:trHeight w:val="216"/>
        </w:trPr>
        <w:tc>
          <w:tcPr>
            <w:tcW w:w="1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3.4</w:t>
            </w:r>
          </w:p>
        </w:tc>
        <w:tc>
          <w:tcPr>
            <w:tcW w:w="9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Effect of Notice of Redemption</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Section 3.5</w:t>
            </w:r>
          </w:p>
        </w:tc>
        <w:tc>
          <w:tcPr>
            <w:tcW w:w="9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Deposit of Redemption Price</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r>
      <w:tr>
        <w:trPr>
          <w:trHeight w:val="216"/>
        </w:trPr>
        <w:tc>
          <w:tcPr>
            <w:tcW w:w="1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3.6</w:t>
            </w:r>
          </w:p>
        </w:tc>
        <w:tc>
          <w:tcPr>
            <w:tcW w:w="9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Securities Redeemed in Part</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3" w:name="page44"/>
    <w:bookmarkEnd w:id="43"/>
    <w:tbl>
      <w:tblPr>
        <w:tblLayout w:type="fixed"/>
        <w:tblInd w:w="0" w:type="dxa"/>
        <w:tblCellMar>
          <w:top w:w="0" w:type="dxa"/>
          <w:left w:w="0" w:type="dxa"/>
          <w:bottom w:w="0" w:type="dxa"/>
          <w:right w:w="0" w:type="dxa"/>
        </w:tblCellMar>
      </w:tblPr>
      <w:tr>
        <w:trPr>
          <w:trHeight w:val="216"/>
        </w:trPr>
        <w:tc>
          <w:tcPr>
            <w:tcW w:w="1020" w:type="dxa"/>
            <w:vAlign w:val="bottom"/>
          </w:tcPr>
          <w:p>
            <w:pPr>
              <w:spacing w:after="0"/>
              <w:rPr>
                <w:sz w:val="18"/>
                <w:szCs w:val="18"/>
                <w:color w:val="auto"/>
              </w:rPr>
            </w:pPr>
          </w:p>
        </w:tc>
        <w:tc>
          <w:tcPr>
            <w:tcW w:w="7660" w:type="dxa"/>
            <w:vAlign w:val="bottom"/>
          </w:tcPr>
          <w:p>
            <w:pPr>
              <w:jc w:val="center"/>
              <w:ind w:left="1470"/>
              <w:spacing w:after="0"/>
              <w:rPr>
                <w:sz w:val="20"/>
                <w:szCs w:val="20"/>
                <w:color w:val="auto"/>
              </w:rPr>
            </w:pPr>
            <w:r>
              <w:rPr>
                <w:rFonts w:ascii="Times New Roman" w:cs="Times New Roman" w:eastAsia="Times New Roman" w:hAnsi="Times New Roman"/>
                <w:sz w:val="18"/>
                <w:szCs w:val="18"/>
                <w:color w:val="auto"/>
                <w:w w:val="98"/>
              </w:rPr>
              <w:t>ARTICLE IV</w:t>
            </w:r>
          </w:p>
        </w:tc>
        <w:tc>
          <w:tcPr>
            <w:tcW w:w="2560" w:type="dxa"/>
            <w:vAlign w:val="bottom"/>
          </w:tcPr>
          <w:p>
            <w:pPr>
              <w:spacing w:after="0"/>
              <w:rPr>
                <w:sz w:val="18"/>
                <w:szCs w:val="18"/>
                <w:color w:val="auto"/>
              </w:rPr>
            </w:pPr>
          </w:p>
        </w:tc>
      </w:tr>
      <w:tr>
        <w:trPr>
          <w:trHeight w:val="234"/>
        </w:trPr>
        <w:tc>
          <w:tcPr>
            <w:tcW w:w="1020" w:type="dxa"/>
            <w:vAlign w:val="bottom"/>
          </w:tcPr>
          <w:p>
            <w:pPr>
              <w:spacing w:after="0"/>
              <w:rPr>
                <w:sz w:val="20"/>
                <w:szCs w:val="20"/>
                <w:color w:val="auto"/>
              </w:rPr>
            </w:pPr>
          </w:p>
        </w:tc>
        <w:tc>
          <w:tcPr>
            <w:tcW w:w="7660" w:type="dxa"/>
            <w:vAlign w:val="bottom"/>
          </w:tcPr>
          <w:p>
            <w:pPr>
              <w:jc w:val="center"/>
              <w:ind w:left="1470"/>
              <w:spacing w:after="0"/>
              <w:rPr>
                <w:sz w:val="20"/>
                <w:szCs w:val="20"/>
                <w:color w:val="auto"/>
              </w:rPr>
            </w:pPr>
            <w:r>
              <w:rPr>
                <w:rFonts w:ascii="Times New Roman" w:cs="Times New Roman" w:eastAsia="Times New Roman" w:hAnsi="Times New Roman"/>
                <w:sz w:val="18"/>
                <w:szCs w:val="18"/>
                <w:color w:val="auto"/>
              </w:rPr>
              <w:t>COVENANTS</w:t>
            </w:r>
          </w:p>
        </w:tc>
        <w:tc>
          <w:tcPr>
            <w:tcW w:w="2560" w:type="dxa"/>
            <w:vAlign w:val="bottom"/>
          </w:tcPr>
          <w:p>
            <w:pPr>
              <w:spacing w:after="0"/>
              <w:rPr>
                <w:sz w:val="20"/>
                <w:szCs w:val="20"/>
                <w:color w:val="auto"/>
              </w:rPr>
            </w:pPr>
          </w:p>
        </w:tc>
      </w:tr>
      <w:tr>
        <w:trPr>
          <w:trHeight w:val="216"/>
        </w:trPr>
        <w:tc>
          <w:tcPr>
            <w:tcW w:w="1020" w:type="dxa"/>
            <w:vAlign w:val="bottom"/>
          </w:tcPr>
          <w:p>
            <w:pPr>
              <w:spacing w:after="0"/>
              <w:rPr>
                <w:sz w:val="18"/>
                <w:szCs w:val="18"/>
                <w:color w:val="auto"/>
              </w:rPr>
            </w:pPr>
          </w:p>
        </w:tc>
        <w:tc>
          <w:tcPr>
            <w:tcW w:w="7660" w:type="dxa"/>
            <w:vAlign w:val="bottom"/>
          </w:tcPr>
          <w:p>
            <w:pPr>
              <w:spacing w:after="0"/>
              <w:rPr>
                <w:sz w:val="18"/>
                <w:szCs w:val="18"/>
                <w:color w:val="auto"/>
              </w:rPr>
            </w:pPr>
          </w:p>
        </w:tc>
        <w:tc>
          <w:tcPr>
            <w:tcW w:w="2560" w:type="dxa"/>
            <w:vAlign w:val="bottom"/>
          </w:tcPr>
          <w:p>
            <w:pPr>
              <w:spacing w:after="0"/>
              <w:rPr>
                <w:sz w:val="18"/>
                <w:szCs w:val="18"/>
                <w:color w:val="auto"/>
              </w:rPr>
            </w:pPr>
          </w:p>
        </w:tc>
      </w:tr>
      <w:tr>
        <w:trPr>
          <w:trHeight w:val="216"/>
        </w:trPr>
        <w:tc>
          <w:tcPr>
            <w:tcW w:w="1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4.1</w:t>
            </w:r>
          </w:p>
        </w:tc>
        <w:tc>
          <w:tcPr>
            <w:tcW w:w="7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Payment of Principal and Interest</w:t>
            </w:r>
          </w:p>
        </w:tc>
        <w:tc>
          <w:tcPr>
            <w:tcW w:w="256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Section 4.2</w:t>
            </w:r>
          </w:p>
        </w:tc>
        <w:tc>
          <w:tcPr>
            <w:tcW w:w="7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SEC Reports</w:t>
            </w:r>
          </w:p>
        </w:tc>
        <w:tc>
          <w:tcPr>
            <w:tcW w:w="256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1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4.3</w:t>
            </w:r>
          </w:p>
        </w:tc>
        <w:tc>
          <w:tcPr>
            <w:tcW w:w="7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Compliance Certificate</w:t>
            </w:r>
          </w:p>
        </w:tc>
        <w:tc>
          <w:tcPr>
            <w:tcW w:w="256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Section 4.4</w:t>
            </w:r>
          </w:p>
        </w:tc>
        <w:tc>
          <w:tcPr>
            <w:tcW w:w="7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Stay, Extension and Usury Laws</w:t>
            </w:r>
          </w:p>
        </w:tc>
        <w:tc>
          <w:tcPr>
            <w:tcW w:w="256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1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4.5</w:t>
            </w:r>
          </w:p>
        </w:tc>
        <w:tc>
          <w:tcPr>
            <w:tcW w:w="7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Corporate Existence</w:t>
            </w:r>
          </w:p>
        </w:tc>
        <w:tc>
          <w:tcPr>
            <w:tcW w:w="256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1020" w:type="dxa"/>
            <w:vAlign w:val="bottom"/>
          </w:tcPr>
          <w:p>
            <w:pPr>
              <w:spacing w:after="0"/>
              <w:rPr>
                <w:sz w:val="18"/>
                <w:szCs w:val="18"/>
                <w:color w:val="auto"/>
              </w:rPr>
            </w:pPr>
          </w:p>
        </w:tc>
        <w:tc>
          <w:tcPr>
            <w:tcW w:w="7660" w:type="dxa"/>
            <w:vAlign w:val="bottom"/>
          </w:tcPr>
          <w:p>
            <w:pPr>
              <w:spacing w:after="0"/>
              <w:rPr>
                <w:sz w:val="18"/>
                <w:szCs w:val="18"/>
                <w:color w:val="auto"/>
              </w:rPr>
            </w:pPr>
          </w:p>
        </w:tc>
        <w:tc>
          <w:tcPr>
            <w:tcW w:w="2560" w:type="dxa"/>
            <w:vAlign w:val="bottom"/>
          </w:tcPr>
          <w:p>
            <w:pPr>
              <w:spacing w:after="0"/>
              <w:rPr>
                <w:sz w:val="18"/>
                <w:szCs w:val="18"/>
                <w:color w:val="auto"/>
              </w:rPr>
            </w:pPr>
          </w:p>
        </w:tc>
      </w:tr>
      <w:tr>
        <w:trPr>
          <w:trHeight w:val="216"/>
        </w:trPr>
        <w:tc>
          <w:tcPr>
            <w:tcW w:w="1020" w:type="dxa"/>
            <w:vAlign w:val="bottom"/>
            <w:shd w:val="clear" w:color="auto" w:fill="CCEEFF"/>
          </w:tcPr>
          <w:p>
            <w:pPr>
              <w:spacing w:after="0"/>
              <w:rPr>
                <w:sz w:val="18"/>
                <w:szCs w:val="18"/>
                <w:color w:val="auto"/>
              </w:rPr>
            </w:pPr>
          </w:p>
        </w:tc>
        <w:tc>
          <w:tcPr>
            <w:tcW w:w="7660" w:type="dxa"/>
            <w:vAlign w:val="bottom"/>
            <w:shd w:val="clear" w:color="auto" w:fill="CCEEFF"/>
          </w:tcPr>
          <w:p>
            <w:pPr>
              <w:jc w:val="center"/>
              <w:ind w:left="1470"/>
              <w:spacing w:after="0"/>
              <w:rPr>
                <w:sz w:val="20"/>
                <w:szCs w:val="20"/>
                <w:color w:val="auto"/>
              </w:rPr>
            </w:pPr>
            <w:r>
              <w:rPr>
                <w:rFonts w:ascii="Times New Roman" w:cs="Times New Roman" w:eastAsia="Times New Roman" w:hAnsi="Times New Roman"/>
                <w:sz w:val="18"/>
                <w:szCs w:val="18"/>
                <w:color w:val="auto"/>
              </w:rPr>
              <w:t>ARTICLE V</w:t>
            </w:r>
          </w:p>
        </w:tc>
        <w:tc>
          <w:tcPr>
            <w:tcW w:w="2560" w:type="dxa"/>
            <w:vAlign w:val="bottom"/>
            <w:shd w:val="clear" w:color="auto" w:fill="CCEEFF"/>
          </w:tcPr>
          <w:p>
            <w:pPr>
              <w:spacing w:after="0"/>
              <w:rPr>
                <w:sz w:val="18"/>
                <w:szCs w:val="18"/>
                <w:color w:val="auto"/>
              </w:rPr>
            </w:pPr>
          </w:p>
        </w:tc>
      </w:tr>
      <w:tr>
        <w:trPr>
          <w:trHeight w:val="216"/>
        </w:trPr>
        <w:tc>
          <w:tcPr>
            <w:tcW w:w="1020" w:type="dxa"/>
            <w:vAlign w:val="bottom"/>
          </w:tcPr>
          <w:p>
            <w:pPr>
              <w:spacing w:after="0"/>
              <w:rPr>
                <w:sz w:val="18"/>
                <w:szCs w:val="18"/>
                <w:color w:val="auto"/>
              </w:rPr>
            </w:pPr>
          </w:p>
        </w:tc>
        <w:tc>
          <w:tcPr>
            <w:tcW w:w="7660" w:type="dxa"/>
            <w:vAlign w:val="bottom"/>
          </w:tcPr>
          <w:p>
            <w:pPr>
              <w:jc w:val="center"/>
              <w:ind w:left="1470"/>
              <w:spacing w:after="0"/>
              <w:rPr>
                <w:sz w:val="20"/>
                <w:szCs w:val="20"/>
                <w:color w:val="auto"/>
              </w:rPr>
            </w:pPr>
            <w:r>
              <w:rPr>
                <w:rFonts w:ascii="Times New Roman" w:cs="Times New Roman" w:eastAsia="Times New Roman" w:hAnsi="Times New Roman"/>
                <w:sz w:val="18"/>
                <w:szCs w:val="18"/>
                <w:color w:val="auto"/>
              </w:rPr>
              <w:t>SUCCESSORS</w:t>
            </w:r>
          </w:p>
        </w:tc>
        <w:tc>
          <w:tcPr>
            <w:tcW w:w="2560" w:type="dxa"/>
            <w:vAlign w:val="bottom"/>
          </w:tcPr>
          <w:p>
            <w:pPr>
              <w:spacing w:after="0"/>
              <w:rPr>
                <w:sz w:val="18"/>
                <w:szCs w:val="18"/>
                <w:color w:val="auto"/>
              </w:rPr>
            </w:pPr>
          </w:p>
        </w:tc>
      </w:tr>
      <w:tr>
        <w:trPr>
          <w:trHeight w:val="216"/>
        </w:trPr>
        <w:tc>
          <w:tcPr>
            <w:tcW w:w="1020" w:type="dxa"/>
            <w:vAlign w:val="bottom"/>
            <w:shd w:val="clear" w:color="auto" w:fill="CCEEFF"/>
          </w:tcPr>
          <w:p>
            <w:pPr>
              <w:spacing w:after="0"/>
              <w:rPr>
                <w:sz w:val="18"/>
                <w:szCs w:val="18"/>
                <w:color w:val="auto"/>
              </w:rPr>
            </w:pPr>
          </w:p>
        </w:tc>
        <w:tc>
          <w:tcPr>
            <w:tcW w:w="7660" w:type="dxa"/>
            <w:vAlign w:val="bottom"/>
            <w:shd w:val="clear" w:color="auto" w:fill="CCEEFF"/>
          </w:tcPr>
          <w:p>
            <w:pPr>
              <w:spacing w:after="0"/>
              <w:rPr>
                <w:sz w:val="18"/>
                <w:szCs w:val="18"/>
                <w:color w:val="auto"/>
              </w:rPr>
            </w:pPr>
          </w:p>
        </w:tc>
        <w:tc>
          <w:tcPr>
            <w:tcW w:w="2560" w:type="dxa"/>
            <w:vAlign w:val="bottom"/>
            <w:shd w:val="clear" w:color="auto" w:fill="CCEEFF"/>
          </w:tcPr>
          <w:p>
            <w:pPr>
              <w:spacing w:after="0"/>
              <w:rPr>
                <w:sz w:val="18"/>
                <w:szCs w:val="18"/>
                <w:color w:val="auto"/>
              </w:rPr>
            </w:pP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Section 5.1</w:t>
            </w:r>
          </w:p>
        </w:tc>
        <w:tc>
          <w:tcPr>
            <w:tcW w:w="7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When Company May Merge, Etc.</w:t>
            </w:r>
          </w:p>
        </w:tc>
        <w:tc>
          <w:tcPr>
            <w:tcW w:w="256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1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5.2</w:t>
            </w:r>
          </w:p>
        </w:tc>
        <w:tc>
          <w:tcPr>
            <w:tcW w:w="7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Successor Corporation Substituted</w:t>
            </w:r>
          </w:p>
        </w:tc>
        <w:tc>
          <w:tcPr>
            <w:tcW w:w="256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1020" w:type="dxa"/>
            <w:vAlign w:val="bottom"/>
          </w:tcPr>
          <w:p>
            <w:pPr>
              <w:spacing w:after="0"/>
              <w:rPr>
                <w:sz w:val="18"/>
                <w:szCs w:val="18"/>
                <w:color w:val="auto"/>
              </w:rPr>
            </w:pPr>
          </w:p>
        </w:tc>
        <w:tc>
          <w:tcPr>
            <w:tcW w:w="7660" w:type="dxa"/>
            <w:vAlign w:val="bottom"/>
          </w:tcPr>
          <w:p>
            <w:pPr>
              <w:spacing w:after="0"/>
              <w:rPr>
                <w:sz w:val="18"/>
                <w:szCs w:val="18"/>
                <w:color w:val="auto"/>
              </w:rPr>
            </w:pPr>
          </w:p>
        </w:tc>
        <w:tc>
          <w:tcPr>
            <w:tcW w:w="2560" w:type="dxa"/>
            <w:vAlign w:val="bottom"/>
          </w:tcPr>
          <w:p>
            <w:pPr>
              <w:spacing w:after="0"/>
              <w:rPr>
                <w:sz w:val="18"/>
                <w:szCs w:val="18"/>
                <w:color w:val="auto"/>
              </w:rPr>
            </w:pPr>
          </w:p>
        </w:tc>
      </w:tr>
      <w:tr>
        <w:trPr>
          <w:trHeight w:val="216"/>
        </w:trPr>
        <w:tc>
          <w:tcPr>
            <w:tcW w:w="1020" w:type="dxa"/>
            <w:vAlign w:val="bottom"/>
            <w:shd w:val="clear" w:color="auto" w:fill="CCEEFF"/>
          </w:tcPr>
          <w:p>
            <w:pPr>
              <w:spacing w:after="0"/>
              <w:rPr>
                <w:sz w:val="18"/>
                <w:szCs w:val="18"/>
                <w:color w:val="auto"/>
              </w:rPr>
            </w:pPr>
          </w:p>
        </w:tc>
        <w:tc>
          <w:tcPr>
            <w:tcW w:w="7660" w:type="dxa"/>
            <w:vAlign w:val="bottom"/>
            <w:shd w:val="clear" w:color="auto" w:fill="CCEEFF"/>
          </w:tcPr>
          <w:p>
            <w:pPr>
              <w:jc w:val="center"/>
              <w:ind w:left="1470"/>
              <w:spacing w:after="0"/>
              <w:rPr>
                <w:sz w:val="20"/>
                <w:szCs w:val="20"/>
                <w:color w:val="auto"/>
              </w:rPr>
            </w:pPr>
            <w:r>
              <w:rPr>
                <w:rFonts w:ascii="Times New Roman" w:cs="Times New Roman" w:eastAsia="Times New Roman" w:hAnsi="Times New Roman"/>
                <w:sz w:val="18"/>
                <w:szCs w:val="18"/>
                <w:color w:val="auto"/>
                <w:w w:val="98"/>
              </w:rPr>
              <w:t>ARTICLE VI</w:t>
            </w:r>
          </w:p>
        </w:tc>
        <w:tc>
          <w:tcPr>
            <w:tcW w:w="2560" w:type="dxa"/>
            <w:vAlign w:val="bottom"/>
            <w:shd w:val="clear" w:color="auto" w:fill="CCEEFF"/>
          </w:tcPr>
          <w:p>
            <w:pPr>
              <w:spacing w:after="0"/>
              <w:rPr>
                <w:sz w:val="18"/>
                <w:szCs w:val="18"/>
                <w:color w:val="auto"/>
              </w:rPr>
            </w:pPr>
          </w:p>
        </w:tc>
      </w:tr>
      <w:tr>
        <w:trPr>
          <w:trHeight w:val="216"/>
        </w:trPr>
        <w:tc>
          <w:tcPr>
            <w:tcW w:w="1020" w:type="dxa"/>
            <w:vAlign w:val="bottom"/>
          </w:tcPr>
          <w:p>
            <w:pPr>
              <w:spacing w:after="0"/>
              <w:rPr>
                <w:sz w:val="18"/>
                <w:szCs w:val="18"/>
                <w:color w:val="auto"/>
              </w:rPr>
            </w:pPr>
          </w:p>
        </w:tc>
        <w:tc>
          <w:tcPr>
            <w:tcW w:w="7660" w:type="dxa"/>
            <w:vAlign w:val="bottom"/>
          </w:tcPr>
          <w:p>
            <w:pPr>
              <w:jc w:val="center"/>
              <w:ind w:left="1470"/>
              <w:spacing w:after="0"/>
              <w:rPr>
                <w:sz w:val="20"/>
                <w:szCs w:val="20"/>
                <w:color w:val="auto"/>
              </w:rPr>
            </w:pPr>
            <w:r>
              <w:rPr>
                <w:rFonts w:ascii="Times New Roman" w:cs="Times New Roman" w:eastAsia="Times New Roman" w:hAnsi="Times New Roman"/>
                <w:sz w:val="18"/>
                <w:szCs w:val="18"/>
                <w:color w:val="auto"/>
                <w:w w:val="98"/>
              </w:rPr>
              <w:t>DEFAULTS AND REMEDIES</w:t>
            </w:r>
          </w:p>
        </w:tc>
        <w:tc>
          <w:tcPr>
            <w:tcW w:w="2560" w:type="dxa"/>
            <w:vAlign w:val="bottom"/>
          </w:tcPr>
          <w:p>
            <w:pPr>
              <w:spacing w:after="0"/>
              <w:rPr>
                <w:sz w:val="18"/>
                <w:szCs w:val="18"/>
                <w:color w:val="auto"/>
              </w:rPr>
            </w:pPr>
          </w:p>
        </w:tc>
      </w:tr>
      <w:tr>
        <w:trPr>
          <w:trHeight w:val="216"/>
        </w:trPr>
        <w:tc>
          <w:tcPr>
            <w:tcW w:w="1020" w:type="dxa"/>
            <w:vAlign w:val="bottom"/>
            <w:shd w:val="clear" w:color="auto" w:fill="CCEEFF"/>
          </w:tcPr>
          <w:p>
            <w:pPr>
              <w:spacing w:after="0"/>
              <w:rPr>
                <w:sz w:val="18"/>
                <w:szCs w:val="18"/>
                <w:color w:val="auto"/>
              </w:rPr>
            </w:pPr>
          </w:p>
        </w:tc>
        <w:tc>
          <w:tcPr>
            <w:tcW w:w="7660" w:type="dxa"/>
            <w:vAlign w:val="bottom"/>
            <w:shd w:val="clear" w:color="auto" w:fill="CCEEFF"/>
          </w:tcPr>
          <w:p>
            <w:pPr>
              <w:spacing w:after="0"/>
              <w:rPr>
                <w:sz w:val="18"/>
                <w:szCs w:val="18"/>
                <w:color w:val="auto"/>
              </w:rPr>
            </w:pPr>
          </w:p>
        </w:tc>
        <w:tc>
          <w:tcPr>
            <w:tcW w:w="2560" w:type="dxa"/>
            <w:vAlign w:val="bottom"/>
            <w:shd w:val="clear" w:color="auto" w:fill="CCEEFF"/>
          </w:tcPr>
          <w:p>
            <w:pPr>
              <w:spacing w:after="0"/>
              <w:rPr>
                <w:sz w:val="18"/>
                <w:szCs w:val="18"/>
                <w:color w:val="auto"/>
              </w:rPr>
            </w:pP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Section 6.1</w:t>
            </w:r>
          </w:p>
        </w:tc>
        <w:tc>
          <w:tcPr>
            <w:tcW w:w="7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Events of Default</w:t>
            </w:r>
          </w:p>
        </w:tc>
        <w:tc>
          <w:tcPr>
            <w:tcW w:w="256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1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6.2</w:t>
            </w:r>
          </w:p>
        </w:tc>
        <w:tc>
          <w:tcPr>
            <w:tcW w:w="7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Acceleration of Maturity; Rescission and Annulment</w:t>
            </w:r>
          </w:p>
        </w:tc>
        <w:tc>
          <w:tcPr>
            <w:tcW w:w="256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Section 6.3</w:t>
            </w:r>
          </w:p>
        </w:tc>
        <w:tc>
          <w:tcPr>
            <w:tcW w:w="7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Collection of Indebtedness and Suits for Enforcement by Trustee</w:t>
            </w:r>
          </w:p>
        </w:tc>
        <w:tc>
          <w:tcPr>
            <w:tcW w:w="256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1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6.4</w:t>
            </w:r>
          </w:p>
        </w:tc>
        <w:tc>
          <w:tcPr>
            <w:tcW w:w="7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Trustee May File Proofs of Claim</w:t>
            </w:r>
          </w:p>
        </w:tc>
        <w:tc>
          <w:tcPr>
            <w:tcW w:w="256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Section 6.5</w:t>
            </w:r>
          </w:p>
        </w:tc>
        <w:tc>
          <w:tcPr>
            <w:tcW w:w="7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Trustee May Enforce Claims Without Possession of Securities</w:t>
            </w:r>
          </w:p>
        </w:tc>
        <w:tc>
          <w:tcPr>
            <w:tcW w:w="256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1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6.6</w:t>
            </w:r>
          </w:p>
        </w:tc>
        <w:tc>
          <w:tcPr>
            <w:tcW w:w="7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Application of Money Collected</w:t>
            </w:r>
          </w:p>
        </w:tc>
        <w:tc>
          <w:tcPr>
            <w:tcW w:w="256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Section 6.7</w:t>
            </w:r>
          </w:p>
        </w:tc>
        <w:tc>
          <w:tcPr>
            <w:tcW w:w="7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Limitation on Suits</w:t>
            </w:r>
          </w:p>
        </w:tc>
        <w:tc>
          <w:tcPr>
            <w:tcW w:w="256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1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6.8</w:t>
            </w:r>
          </w:p>
        </w:tc>
        <w:tc>
          <w:tcPr>
            <w:tcW w:w="7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Unconditional Right of Holders to Receive Principal and Interest</w:t>
            </w:r>
          </w:p>
        </w:tc>
        <w:tc>
          <w:tcPr>
            <w:tcW w:w="256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Section 6.9</w:t>
            </w:r>
          </w:p>
        </w:tc>
        <w:tc>
          <w:tcPr>
            <w:tcW w:w="7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Restoration of Rights and Remedies</w:t>
            </w:r>
          </w:p>
        </w:tc>
        <w:tc>
          <w:tcPr>
            <w:tcW w:w="256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1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6.10</w:t>
            </w:r>
          </w:p>
        </w:tc>
        <w:tc>
          <w:tcPr>
            <w:tcW w:w="7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Rights and Remedies Cumulative</w:t>
            </w:r>
          </w:p>
        </w:tc>
        <w:tc>
          <w:tcPr>
            <w:tcW w:w="256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Section 6.11</w:t>
            </w:r>
          </w:p>
        </w:tc>
        <w:tc>
          <w:tcPr>
            <w:tcW w:w="7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Delay or Omission Not Waiver</w:t>
            </w:r>
          </w:p>
        </w:tc>
        <w:tc>
          <w:tcPr>
            <w:tcW w:w="256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1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6.12</w:t>
            </w:r>
          </w:p>
        </w:tc>
        <w:tc>
          <w:tcPr>
            <w:tcW w:w="7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Control by Holders</w:t>
            </w:r>
          </w:p>
        </w:tc>
        <w:tc>
          <w:tcPr>
            <w:tcW w:w="256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Section 6.13</w:t>
            </w:r>
          </w:p>
        </w:tc>
        <w:tc>
          <w:tcPr>
            <w:tcW w:w="7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Waiver of Past Defaults</w:t>
            </w:r>
          </w:p>
        </w:tc>
        <w:tc>
          <w:tcPr>
            <w:tcW w:w="256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1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6.14</w:t>
            </w:r>
          </w:p>
        </w:tc>
        <w:tc>
          <w:tcPr>
            <w:tcW w:w="7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Undertaking for Costs</w:t>
            </w:r>
          </w:p>
        </w:tc>
        <w:tc>
          <w:tcPr>
            <w:tcW w:w="256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1020" w:type="dxa"/>
            <w:vAlign w:val="bottom"/>
          </w:tcPr>
          <w:p>
            <w:pPr>
              <w:spacing w:after="0"/>
              <w:rPr>
                <w:sz w:val="18"/>
                <w:szCs w:val="18"/>
                <w:color w:val="auto"/>
              </w:rPr>
            </w:pPr>
          </w:p>
        </w:tc>
        <w:tc>
          <w:tcPr>
            <w:tcW w:w="7660" w:type="dxa"/>
            <w:vAlign w:val="bottom"/>
          </w:tcPr>
          <w:p>
            <w:pPr>
              <w:spacing w:after="0"/>
              <w:rPr>
                <w:sz w:val="18"/>
                <w:szCs w:val="18"/>
                <w:color w:val="auto"/>
              </w:rPr>
            </w:pPr>
          </w:p>
        </w:tc>
        <w:tc>
          <w:tcPr>
            <w:tcW w:w="2560" w:type="dxa"/>
            <w:vAlign w:val="bottom"/>
          </w:tcPr>
          <w:p>
            <w:pPr>
              <w:spacing w:after="0"/>
              <w:rPr>
                <w:sz w:val="18"/>
                <w:szCs w:val="18"/>
                <w:color w:val="auto"/>
              </w:rPr>
            </w:pPr>
          </w:p>
        </w:tc>
      </w:tr>
      <w:tr>
        <w:trPr>
          <w:trHeight w:val="216"/>
        </w:trPr>
        <w:tc>
          <w:tcPr>
            <w:tcW w:w="1020" w:type="dxa"/>
            <w:vAlign w:val="bottom"/>
            <w:shd w:val="clear" w:color="auto" w:fill="CCEEFF"/>
          </w:tcPr>
          <w:p>
            <w:pPr>
              <w:spacing w:after="0"/>
              <w:rPr>
                <w:sz w:val="18"/>
                <w:szCs w:val="18"/>
                <w:color w:val="auto"/>
              </w:rPr>
            </w:pPr>
          </w:p>
        </w:tc>
        <w:tc>
          <w:tcPr>
            <w:tcW w:w="7660" w:type="dxa"/>
            <w:vAlign w:val="bottom"/>
            <w:shd w:val="clear" w:color="auto" w:fill="CCEEFF"/>
          </w:tcPr>
          <w:p>
            <w:pPr>
              <w:jc w:val="center"/>
              <w:ind w:left="1470"/>
              <w:spacing w:after="0"/>
              <w:rPr>
                <w:sz w:val="20"/>
                <w:szCs w:val="20"/>
                <w:color w:val="auto"/>
              </w:rPr>
            </w:pPr>
            <w:r>
              <w:rPr>
                <w:rFonts w:ascii="Times New Roman" w:cs="Times New Roman" w:eastAsia="Times New Roman" w:hAnsi="Times New Roman"/>
                <w:sz w:val="18"/>
                <w:szCs w:val="18"/>
                <w:color w:val="auto"/>
              </w:rPr>
              <w:t>ARTICLE VII</w:t>
            </w:r>
          </w:p>
        </w:tc>
        <w:tc>
          <w:tcPr>
            <w:tcW w:w="2560" w:type="dxa"/>
            <w:vAlign w:val="bottom"/>
            <w:shd w:val="clear" w:color="auto" w:fill="CCEEFF"/>
          </w:tcPr>
          <w:p>
            <w:pPr>
              <w:spacing w:after="0"/>
              <w:rPr>
                <w:sz w:val="18"/>
                <w:szCs w:val="18"/>
                <w:color w:val="auto"/>
              </w:rPr>
            </w:pPr>
          </w:p>
        </w:tc>
      </w:tr>
      <w:tr>
        <w:trPr>
          <w:trHeight w:val="216"/>
        </w:trPr>
        <w:tc>
          <w:tcPr>
            <w:tcW w:w="1020" w:type="dxa"/>
            <w:vAlign w:val="bottom"/>
          </w:tcPr>
          <w:p>
            <w:pPr>
              <w:spacing w:after="0"/>
              <w:rPr>
                <w:sz w:val="18"/>
                <w:szCs w:val="18"/>
                <w:color w:val="auto"/>
              </w:rPr>
            </w:pPr>
          </w:p>
        </w:tc>
        <w:tc>
          <w:tcPr>
            <w:tcW w:w="7660" w:type="dxa"/>
            <w:vAlign w:val="bottom"/>
          </w:tcPr>
          <w:p>
            <w:pPr>
              <w:jc w:val="center"/>
              <w:ind w:left="1470"/>
              <w:spacing w:after="0"/>
              <w:rPr>
                <w:sz w:val="20"/>
                <w:szCs w:val="20"/>
                <w:color w:val="auto"/>
              </w:rPr>
            </w:pPr>
            <w:r>
              <w:rPr>
                <w:rFonts w:ascii="Times New Roman" w:cs="Times New Roman" w:eastAsia="Times New Roman" w:hAnsi="Times New Roman"/>
                <w:sz w:val="18"/>
                <w:szCs w:val="18"/>
                <w:color w:val="auto"/>
                <w:w w:val="98"/>
              </w:rPr>
              <w:t>TRUSTEE</w:t>
            </w:r>
          </w:p>
        </w:tc>
        <w:tc>
          <w:tcPr>
            <w:tcW w:w="2560" w:type="dxa"/>
            <w:vAlign w:val="bottom"/>
          </w:tcPr>
          <w:p>
            <w:pPr>
              <w:spacing w:after="0"/>
              <w:rPr>
                <w:sz w:val="18"/>
                <w:szCs w:val="18"/>
                <w:color w:val="auto"/>
              </w:rPr>
            </w:pPr>
          </w:p>
        </w:tc>
      </w:tr>
      <w:tr>
        <w:trPr>
          <w:trHeight w:val="216"/>
        </w:trPr>
        <w:tc>
          <w:tcPr>
            <w:tcW w:w="1020" w:type="dxa"/>
            <w:vAlign w:val="bottom"/>
            <w:shd w:val="clear" w:color="auto" w:fill="CCEEFF"/>
          </w:tcPr>
          <w:p>
            <w:pPr>
              <w:spacing w:after="0"/>
              <w:rPr>
                <w:sz w:val="18"/>
                <w:szCs w:val="18"/>
                <w:color w:val="auto"/>
              </w:rPr>
            </w:pPr>
          </w:p>
        </w:tc>
        <w:tc>
          <w:tcPr>
            <w:tcW w:w="7660" w:type="dxa"/>
            <w:vAlign w:val="bottom"/>
            <w:shd w:val="clear" w:color="auto" w:fill="CCEEFF"/>
          </w:tcPr>
          <w:p>
            <w:pPr>
              <w:spacing w:after="0"/>
              <w:rPr>
                <w:sz w:val="18"/>
                <w:szCs w:val="18"/>
                <w:color w:val="auto"/>
              </w:rPr>
            </w:pPr>
          </w:p>
        </w:tc>
        <w:tc>
          <w:tcPr>
            <w:tcW w:w="2560" w:type="dxa"/>
            <w:vAlign w:val="bottom"/>
            <w:shd w:val="clear" w:color="auto" w:fill="CCEEFF"/>
          </w:tcPr>
          <w:p>
            <w:pPr>
              <w:spacing w:after="0"/>
              <w:rPr>
                <w:sz w:val="18"/>
                <w:szCs w:val="18"/>
                <w:color w:val="auto"/>
              </w:rPr>
            </w:pP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Section 7.1</w:t>
            </w:r>
          </w:p>
        </w:tc>
        <w:tc>
          <w:tcPr>
            <w:tcW w:w="7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Duties of Trustee</w:t>
            </w:r>
          </w:p>
        </w:tc>
        <w:tc>
          <w:tcPr>
            <w:tcW w:w="256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1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7.2</w:t>
            </w:r>
          </w:p>
        </w:tc>
        <w:tc>
          <w:tcPr>
            <w:tcW w:w="7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Rights of Trustee</w:t>
            </w:r>
          </w:p>
        </w:tc>
        <w:tc>
          <w:tcPr>
            <w:tcW w:w="256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Section 7.3</w:t>
            </w:r>
          </w:p>
        </w:tc>
        <w:tc>
          <w:tcPr>
            <w:tcW w:w="7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Force Majeure</w:t>
            </w:r>
          </w:p>
        </w:tc>
        <w:tc>
          <w:tcPr>
            <w:tcW w:w="256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1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7.4</w:t>
            </w:r>
          </w:p>
        </w:tc>
        <w:tc>
          <w:tcPr>
            <w:tcW w:w="7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Individual Rights of Trustee</w:t>
            </w:r>
          </w:p>
        </w:tc>
        <w:tc>
          <w:tcPr>
            <w:tcW w:w="256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Section 7.5</w:t>
            </w:r>
          </w:p>
        </w:tc>
        <w:tc>
          <w:tcPr>
            <w:tcW w:w="7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Trustee’s Disclaimer</w:t>
            </w:r>
          </w:p>
        </w:tc>
        <w:tc>
          <w:tcPr>
            <w:tcW w:w="256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1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7.6</w:t>
            </w:r>
          </w:p>
        </w:tc>
        <w:tc>
          <w:tcPr>
            <w:tcW w:w="7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Notice of Defaults</w:t>
            </w:r>
          </w:p>
        </w:tc>
        <w:tc>
          <w:tcPr>
            <w:tcW w:w="256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Section 7.7</w:t>
            </w:r>
          </w:p>
        </w:tc>
        <w:tc>
          <w:tcPr>
            <w:tcW w:w="7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Reports by Trustee to Holders</w:t>
            </w:r>
          </w:p>
        </w:tc>
        <w:tc>
          <w:tcPr>
            <w:tcW w:w="256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1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7.8</w:t>
            </w:r>
          </w:p>
        </w:tc>
        <w:tc>
          <w:tcPr>
            <w:tcW w:w="7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Compensation and Indemnity</w:t>
            </w:r>
          </w:p>
        </w:tc>
        <w:tc>
          <w:tcPr>
            <w:tcW w:w="256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Section 7.9</w:t>
            </w:r>
          </w:p>
        </w:tc>
        <w:tc>
          <w:tcPr>
            <w:tcW w:w="7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Replacement of Trustee</w:t>
            </w:r>
          </w:p>
        </w:tc>
        <w:tc>
          <w:tcPr>
            <w:tcW w:w="256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1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7.10</w:t>
            </w:r>
          </w:p>
        </w:tc>
        <w:tc>
          <w:tcPr>
            <w:tcW w:w="7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Successor Trustee by Merger, etc.</w:t>
            </w:r>
          </w:p>
        </w:tc>
        <w:tc>
          <w:tcPr>
            <w:tcW w:w="256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Section 7.11</w:t>
            </w:r>
          </w:p>
        </w:tc>
        <w:tc>
          <w:tcPr>
            <w:tcW w:w="7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Eligibility; Disqualification</w:t>
            </w:r>
          </w:p>
        </w:tc>
        <w:tc>
          <w:tcPr>
            <w:tcW w:w="256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1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7.12</w:t>
            </w:r>
          </w:p>
        </w:tc>
        <w:tc>
          <w:tcPr>
            <w:tcW w:w="7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Preferential Collection of Claims Against Company</w:t>
            </w:r>
          </w:p>
        </w:tc>
        <w:tc>
          <w:tcPr>
            <w:tcW w:w="256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22</w:t>
            </w: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4" w:name="page45"/>
    <w:bookmarkEnd w:id="44"/>
    <w:p>
      <w:pPr>
        <w:jc w:val="center"/>
        <w:ind w:right="-19"/>
        <w:spacing w:after="0"/>
        <w:rPr>
          <w:sz w:val="20"/>
          <w:szCs w:val="20"/>
          <w:color w:val="auto"/>
        </w:rPr>
      </w:pPr>
      <w:r>
        <w:rPr>
          <w:rFonts w:ascii="Times New Roman" w:cs="Times New Roman" w:eastAsia="Times New Roman" w:hAnsi="Times New Roman"/>
          <w:sz w:val="18"/>
          <w:szCs w:val="18"/>
          <w:color w:val="auto"/>
        </w:rPr>
        <w:t>ARTICLE VIII</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SATISFACTION AND DISCHARGE; DEFEASANCE</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8.1</w:t>
            </w:r>
          </w:p>
        </w:tc>
        <w:tc>
          <w:tcPr>
            <w:tcW w:w="70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Satisfaction and Discharge of Indenture</w:t>
            </w:r>
          </w:p>
        </w:tc>
        <w:tc>
          <w:tcPr>
            <w:tcW w:w="31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8.2</w:t>
            </w:r>
          </w:p>
        </w:tc>
        <w:tc>
          <w:tcPr>
            <w:tcW w:w="70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Application of Trust Funds; Indemnification</w:t>
            </w:r>
          </w:p>
        </w:tc>
        <w:tc>
          <w:tcPr>
            <w:tcW w:w="31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1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8.3</w:t>
            </w:r>
          </w:p>
        </w:tc>
        <w:tc>
          <w:tcPr>
            <w:tcW w:w="70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Legal Defeasance of Securities of any Series</w:t>
            </w:r>
          </w:p>
        </w:tc>
        <w:tc>
          <w:tcPr>
            <w:tcW w:w="31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8.4</w:t>
            </w:r>
          </w:p>
        </w:tc>
        <w:tc>
          <w:tcPr>
            <w:tcW w:w="70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Covenant Defeasance</w:t>
            </w:r>
          </w:p>
        </w:tc>
        <w:tc>
          <w:tcPr>
            <w:tcW w:w="31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1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8.5</w:t>
            </w:r>
          </w:p>
        </w:tc>
        <w:tc>
          <w:tcPr>
            <w:tcW w:w="70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Repayment to Company</w:t>
            </w:r>
          </w:p>
        </w:tc>
        <w:tc>
          <w:tcPr>
            <w:tcW w:w="31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1060" w:type="dxa"/>
            <w:vAlign w:val="bottom"/>
          </w:tcPr>
          <w:p>
            <w:pPr>
              <w:spacing w:after="0"/>
              <w:rPr>
                <w:sz w:val="18"/>
                <w:szCs w:val="18"/>
                <w:color w:val="auto"/>
              </w:rPr>
            </w:pPr>
          </w:p>
        </w:tc>
        <w:tc>
          <w:tcPr>
            <w:tcW w:w="7000" w:type="dxa"/>
            <w:vAlign w:val="bottom"/>
          </w:tcPr>
          <w:p>
            <w:pPr>
              <w:spacing w:after="0"/>
              <w:rPr>
                <w:sz w:val="18"/>
                <w:szCs w:val="18"/>
                <w:color w:val="auto"/>
              </w:rPr>
            </w:pPr>
          </w:p>
        </w:tc>
        <w:tc>
          <w:tcPr>
            <w:tcW w:w="3180" w:type="dxa"/>
            <w:vAlign w:val="bottom"/>
          </w:tcPr>
          <w:p>
            <w:pPr>
              <w:spacing w:after="0"/>
              <w:rPr>
                <w:sz w:val="18"/>
                <w:szCs w:val="18"/>
                <w:color w:val="auto"/>
              </w:rPr>
            </w:pPr>
          </w:p>
        </w:tc>
      </w:tr>
      <w:tr>
        <w:trPr>
          <w:trHeight w:val="216"/>
        </w:trPr>
        <w:tc>
          <w:tcPr>
            <w:tcW w:w="1060" w:type="dxa"/>
            <w:vAlign w:val="bottom"/>
            <w:shd w:val="clear" w:color="auto" w:fill="CCEEFF"/>
          </w:tcPr>
          <w:p>
            <w:pPr>
              <w:spacing w:after="0"/>
              <w:rPr>
                <w:sz w:val="18"/>
                <w:szCs w:val="18"/>
                <w:color w:val="auto"/>
              </w:rPr>
            </w:pPr>
          </w:p>
        </w:tc>
        <w:tc>
          <w:tcPr>
            <w:tcW w:w="7000" w:type="dxa"/>
            <w:vAlign w:val="bottom"/>
            <w:shd w:val="clear" w:color="auto" w:fill="CCEEFF"/>
          </w:tcPr>
          <w:p>
            <w:pPr>
              <w:jc w:val="center"/>
              <w:ind w:left="2050"/>
              <w:spacing w:after="0"/>
              <w:rPr>
                <w:sz w:val="20"/>
                <w:szCs w:val="20"/>
                <w:color w:val="auto"/>
              </w:rPr>
            </w:pPr>
            <w:r>
              <w:rPr>
                <w:rFonts w:ascii="Times New Roman" w:cs="Times New Roman" w:eastAsia="Times New Roman" w:hAnsi="Times New Roman"/>
                <w:sz w:val="18"/>
                <w:szCs w:val="18"/>
                <w:color w:val="auto"/>
                <w:w w:val="98"/>
              </w:rPr>
              <w:t>ARTICLE IX</w:t>
            </w:r>
          </w:p>
        </w:tc>
        <w:tc>
          <w:tcPr>
            <w:tcW w:w="3180" w:type="dxa"/>
            <w:vAlign w:val="bottom"/>
            <w:shd w:val="clear" w:color="auto" w:fill="CCEEFF"/>
          </w:tcPr>
          <w:p>
            <w:pPr>
              <w:spacing w:after="0"/>
              <w:rPr>
                <w:sz w:val="18"/>
                <w:szCs w:val="18"/>
                <w:color w:val="auto"/>
              </w:rPr>
            </w:pPr>
          </w:p>
        </w:tc>
      </w:tr>
      <w:tr>
        <w:trPr>
          <w:trHeight w:val="216"/>
        </w:trPr>
        <w:tc>
          <w:tcPr>
            <w:tcW w:w="1060" w:type="dxa"/>
            <w:vAlign w:val="bottom"/>
          </w:tcPr>
          <w:p>
            <w:pPr>
              <w:spacing w:after="0"/>
              <w:rPr>
                <w:sz w:val="18"/>
                <w:szCs w:val="18"/>
                <w:color w:val="auto"/>
              </w:rPr>
            </w:pPr>
          </w:p>
        </w:tc>
        <w:tc>
          <w:tcPr>
            <w:tcW w:w="10180" w:type="dxa"/>
            <w:vAlign w:val="bottom"/>
            <w:gridSpan w:val="2"/>
          </w:tcPr>
          <w:p>
            <w:pPr>
              <w:jc w:val="center"/>
              <w:ind w:right="930"/>
              <w:spacing w:after="0"/>
              <w:rPr>
                <w:sz w:val="20"/>
                <w:szCs w:val="20"/>
                <w:color w:val="auto"/>
              </w:rPr>
            </w:pPr>
            <w:r>
              <w:rPr>
                <w:rFonts w:ascii="Times New Roman" w:cs="Times New Roman" w:eastAsia="Times New Roman" w:hAnsi="Times New Roman"/>
                <w:sz w:val="18"/>
                <w:szCs w:val="18"/>
                <w:color w:val="auto"/>
                <w:w w:val="99"/>
              </w:rPr>
              <w:t>SUPPLEMENTAL INDENTURES, AMENDMENTS AND WAIVERS</w:t>
            </w:r>
          </w:p>
        </w:tc>
      </w:tr>
      <w:tr>
        <w:trPr>
          <w:trHeight w:val="216"/>
        </w:trPr>
        <w:tc>
          <w:tcPr>
            <w:tcW w:w="1060" w:type="dxa"/>
            <w:vAlign w:val="bottom"/>
            <w:shd w:val="clear" w:color="auto" w:fill="CCEEFF"/>
          </w:tcPr>
          <w:p>
            <w:pPr>
              <w:spacing w:after="0"/>
              <w:rPr>
                <w:sz w:val="18"/>
                <w:szCs w:val="18"/>
                <w:color w:val="auto"/>
              </w:rPr>
            </w:pPr>
          </w:p>
        </w:tc>
        <w:tc>
          <w:tcPr>
            <w:tcW w:w="7000" w:type="dxa"/>
            <w:vAlign w:val="bottom"/>
            <w:shd w:val="clear" w:color="auto" w:fill="CCEEFF"/>
          </w:tcPr>
          <w:p>
            <w:pPr>
              <w:spacing w:after="0"/>
              <w:rPr>
                <w:sz w:val="18"/>
                <w:szCs w:val="18"/>
                <w:color w:val="auto"/>
              </w:rPr>
            </w:pPr>
          </w:p>
        </w:tc>
        <w:tc>
          <w:tcPr>
            <w:tcW w:w="3180" w:type="dxa"/>
            <w:vAlign w:val="bottom"/>
            <w:shd w:val="clear" w:color="auto" w:fill="CCEEFF"/>
          </w:tcPr>
          <w:p>
            <w:pPr>
              <w:spacing w:after="0"/>
              <w:rPr>
                <w:sz w:val="18"/>
                <w:szCs w:val="18"/>
                <w:color w:val="auto"/>
              </w:rPr>
            </w:pP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9.1</w:t>
            </w:r>
          </w:p>
        </w:tc>
        <w:tc>
          <w:tcPr>
            <w:tcW w:w="70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Without Consent of Holders</w:t>
            </w:r>
          </w:p>
        </w:tc>
        <w:tc>
          <w:tcPr>
            <w:tcW w:w="31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1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9.2</w:t>
            </w:r>
          </w:p>
        </w:tc>
        <w:tc>
          <w:tcPr>
            <w:tcW w:w="70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With Consent of Holders</w:t>
            </w:r>
          </w:p>
        </w:tc>
        <w:tc>
          <w:tcPr>
            <w:tcW w:w="31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9.3</w:t>
            </w:r>
          </w:p>
        </w:tc>
        <w:tc>
          <w:tcPr>
            <w:tcW w:w="70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Limitations</w:t>
            </w:r>
          </w:p>
        </w:tc>
        <w:tc>
          <w:tcPr>
            <w:tcW w:w="31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1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9.4</w:t>
            </w:r>
          </w:p>
        </w:tc>
        <w:tc>
          <w:tcPr>
            <w:tcW w:w="70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Compliance with Trust Indenture Act</w:t>
            </w:r>
          </w:p>
        </w:tc>
        <w:tc>
          <w:tcPr>
            <w:tcW w:w="31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9.5</w:t>
            </w:r>
          </w:p>
        </w:tc>
        <w:tc>
          <w:tcPr>
            <w:tcW w:w="70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Revocation and Effect of Consents</w:t>
            </w:r>
          </w:p>
        </w:tc>
        <w:tc>
          <w:tcPr>
            <w:tcW w:w="31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1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9.6</w:t>
            </w:r>
          </w:p>
        </w:tc>
        <w:tc>
          <w:tcPr>
            <w:tcW w:w="70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Notation on or Exchange of Securities</w:t>
            </w:r>
          </w:p>
        </w:tc>
        <w:tc>
          <w:tcPr>
            <w:tcW w:w="31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9.7</w:t>
            </w:r>
          </w:p>
        </w:tc>
        <w:tc>
          <w:tcPr>
            <w:tcW w:w="70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Trustee Protected</w:t>
            </w:r>
          </w:p>
        </w:tc>
        <w:tc>
          <w:tcPr>
            <w:tcW w:w="31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1060" w:type="dxa"/>
            <w:vAlign w:val="bottom"/>
            <w:shd w:val="clear" w:color="auto" w:fill="CCEEFF"/>
          </w:tcPr>
          <w:p>
            <w:pPr>
              <w:spacing w:after="0"/>
              <w:rPr>
                <w:sz w:val="18"/>
                <w:szCs w:val="18"/>
                <w:color w:val="auto"/>
              </w:rPr>
            </w:pPr>
          </w:p>
        </w:tc>
        <w:tc>
          <w:tcPr>
            <w:tcW w:w="7000" w:type="dxa"/>
            <w:vAlign w:val="bottom"/>
            <w:shd w:val="clear" w:color="auto" w:fill="CCEEFF"/>
          </w:tcPr>
          <w:p>
            <w:pPr>
              <w:spacing w:after="0"/>
              <w:rPr>
                <w:sz w:val="18"/>
                <w:szCs w:val="18"/>
                <w:color w:val="auto"/>
              </w:rPr>
            </w:pPr>
          </w:p>
        </w:tc>
        <w:tc>
          <w:tcPr>
            <w:tcW w:w="3180" w:type="dxa"/>
            <w:vAlign w:val="bottom"/>
            <w:shd w:val="clear" w:color="auto" w:fill="CCEEFF"/>
          </w:tcPr>
          <w:p>
            <w:pPr>
              <w:spacing w:after="0"/>
              <w:rPr>
                <w:sz w:val="18"/>
                <w:szCs w:val="18"/>
                <w:color w:val="auto"/>
              </w:rPr>
            </w:pPr>
          </w:p>
        </w:tc>
      </w:tr>
      <w:tr>
        <w:trPr>
          <w:trHeight w:val="216"/>
        </w:trPr>
        <w:tc>
          <w:tcPr>
            <w:tcW w:w="1060" w:type="dxa"/>
            <w:vAlign w:val="bottom"/>
          </w:tcPr>
          <w:p>
            <w:pPr>
              <w:spacing w:after="0"/>
              <w:rPr>
                <w:sz w:val="18"/>
                <w:szCs w:val="18"/>
                <w:color w:val="auto"/>
              </w:rPr>
            </w:pPr>
          </w:p>
        </w:tc>
        <w:tc>
          <w:tcPr>
            <w:tcW w:w="7000" w:type="dxa"/>
            <w:vAlign w:val="bottom"/>
          </w:tcPr>
          <w:p>
            <w:pPr>
              <w:jc w:val="center"/>
              <w:ind w:left="2050"/>
              <w:spacing w:after="0"/>
              <w:rPr>
                <w:sz w:val="20"/>
                <w:szCs w:val="20"/>
                <w:color w:val="auto"/>
              </w:rPr>
            </w:pPr>
            <w:r>
              <w:rPr>
                <w:rFonts w:ascii="Times New Roman" w:cs="Times New Roman" w:eastAsia="Times New Roman" w:hAnsi="Times New Roman"/>
                <w:sz w:val="18"/>
                <w:szCs w:val="18"/>
                <w:color w:val="auto"/>
              </w:rPr>
              <w:t>ARTICLE X</w:t>
            </w:r>
          </w:p>
        </w:tc>
        <w:tc>
          <w:tcPr>
            <w:tcW w:w="3180" w:type="dxa"/>
            <w:vAlign w:val="bottom"/>
          </w:tcPr>
          <w:p>
            <w:pPr>
              <w:spacing w:after="0"/>
              <w:rPr>
                <w:sz w:val="18"/>
                <w:szCs w:val="18"/>
                <w:color w:val="auto"/>
              </w:rPr>
            </w:pPr>
          </w:p>
        </w:tc>
      </w:tr>
      <w:tr>
        <w:trPr>
          <w:trHeight w:val="216"/>
        </w:trPr>
        <w:tc>
          <w:tcPr>
            <w:tcW w:w="1060" w:type="dxa"/>
            <w:vAlign w:val="bottom"/>
            <w:shd w:val="clear" w:color="auto" w:fill="CCEEFF"/>
          </w:tcPr>
          <w:p>
            <w:pPr>
              <w:spacing w:after="0"/>
              <w:rPr>
                <w:sz w:val="18"/>
                <w:szCs w:val="18"/>
                <w:color w:val="auto"/>
              </w:rPr>
            </w:pPr>
          </w:p>
        </w:tc>
        <w:tc>
          <w:tcPr>
            <w:tcW w:w="7000" w:type="dxa"/>
            <w:vAlign w:val="bottom"/>
            <w:shd w:val="clear" w:color="auto" w:fill="CCEEFF"/>
          </w:tcPr>
          <w:p>
            <w:pPr>
              <w:jc w:val="center"/>
              <w:ind w:left="2050"/>
              <w:spacing w:after="0"/>
              <w:rPr>
                <w:sz w:val="20"/>
                <w:szCs w:val="20"/>
                <w:color w:val="auto"/>
              </w:rPr>
            </w:pPr>
            <w:r>
              <w:rPr>
                <w:rFonts w:ascii="Times New Roman" w:cs="Times New Roman" w:eastAsia="Times New Roman" w:hAnsi="Times New Roman"/>
                <w:sz w:val="18"/>
                <w:szCs w:val="18"/>
                <w:color w:val="auto"/>
                <w:w w:val="99"/>
              </w:rPr>
              <w:t>MISCELLANEOUS</w:t>
            </w:r>
          </w:p>
        </w:tc>
        <w:tc>
          <w:tcPr>
            <w:tcW w:w="3180" w:type="dxa"/>
            <w:vAlign w:val="bottom"/>
            <w:shd w:val="clear" w:color="auto" w:fill="CCEEFF"/>
          </w:tcPr>
          <w:p>
            <w:pPr>
              <w:spacing w:after="0"/>
              <w:rPr>
                <w:sz w:val="18"/>
                <w:szCs w:val="18"/>
                <w:color w:val="auto"/>
              </w:rPr>
            </w:pPr>
          </w:p>
        </w:tc>
      </w:tr>
      <w:tr>
        <w:trPr>
          <w:trHeight w:val="216"/>
        </w:trPr>
        <w:tc>
          <w:tcPr>
            <w:tcW w:w="1060" w:type="dxa"/>
            <w:vAlign w:val="bottom"/>
          </w:tcPr>
          <w:p>
            <w:pPr>
              <w:spacing w:after="0"/>
              <w:rPr>
                <w:sz w:val="18"/>
                <w:szCs w:val="18"/>
                <w:color w:val="auto"/>
              </w:rPr>
            </w:pPr>
          </w:p>
        </w:tc>
        <w:tc>
          <w:tcPr>
            <w:tcW w:w="7000" w:type="dxa"/>
            <w:vAlign w:val="bottom"/>
          </w:tcPr>
          <w:p>
            <w:pPr>
              <w:spacing w:after="0"/>
              <w:rPr>
                <w:sz w:val="18"/>
                <w:szCs w:val="18"/>
                <w:color w:val="auto"/>
              </w:rPr>
            </w:pPr>
          </w:p>
        </w:tc>
        <w:tc>
          <w:tcPr>
            <w:tcW w:w="3180" w:type="dxa"/>
            <w:vAlign w:val="bottom"/>
          </w:tcPr>
          <w:p>
            <w:pPr>
              <w:spacing w:after="0"/>
              <w:rPr>
                <w:sz w:val="18"/>
                <w:szCs w:val="18"/>
                <w:color w:val="auto"/>
              </w:rPr>
            </w:pPr>
          </w:p>
        </w:tc>
      </w:tr>
      <w:tr>
        <w:trPr>
          <w:trHeight w:val="216"/>
        </w:trPr>
        <w:tc>
          <w:tcPr>
            <w:tcW w:w="1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10.1</w:t>
            </w:r>
          </w:p>
        </w:tc>
        <w:tc>
          <w:tcPr>
            <w:tcW w:w="70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Trust Indenture Act Controls</w:t>
            </w:r>
          </w:p>
        </w:tc>
        <w:tc>
          <w:tcPr>
            <w:tcW w:w="31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10.2</w:t>
            </w:r>
          </w:p>
        </w:tc>
        <w:tc>
          <w:tcPr>
            <w:tcW w:w="70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Notices</w:t>
            </w:r>
          </w:p>
        </w:tc>
        <w:tc>
          <w:tcPr>
            <w:tcW w:w="31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1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10.3</w:t>
            </w:r>
          </w:p>
        </w:tc>
        <w:tc>
          <w:tcPr>
            <w:tcW w:w="70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Communication by Holders with Other Holders</w:t>
            </w:r>
          </w:p>
        </w:tc>
        <w:tc>
          <w:tcPr>
            <w:tcW w:w="31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10.4</w:t>
            </w:r>
          </w:p>
        </w:tc>
        <w:tc>
          <w:tcPr>
            <w:tcW w:w="70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Certificate and Opinion as to Conditions Precedent</w:t>
            </w:r>
          </w:p>
        </w:tc>
        <w:tc>
          <w:tcPr>
            <w:tcW w:w="31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1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10.5</w:t>
            </w:r>
          </w:p>
        </w:tc>
        <w:tc>
          <w:tcPr>
            <w:tcW w:w="70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Statements Required in Certificate or Opinion</w:t>
            </w:r>
          </w:p>
        </w:tc>
        <w:tc>
          <w:tcPr>
            <w:tcW w:w="31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10.6</w:t>
            </w:r>
          </w:p>
        </w:tc>
        <w:tc>
          <w:tcPr>
            <w:tcW w:w="70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Rules by Trustee and Agents</w:t>
            </w:r>
          </w:p>
        </w:tc>
        <w:tc>
          <w:tcPr>
            <w:tcW w:w="31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1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10.7</w:t>
            </w:r>
          </w:p>
        </w:tc>
        <w:tc>
          <w:tcPr>
            <w:tcW w:w="70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Legal Holidays</w:t>
            </w:r>
          </w:p>
        </w:tc>
        <w:tc>
          <w:tcPr>
            <w:tcW w:w="31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10.8</w:t>
            </w:r>
          </w:p>
        </w:tc>
        <w:tc>
          <w:tcPr>
            <w:tcW w:w="70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No Recourse Against Others</w:t>
            </w:r>
          </w:p>
        </w:tc>
        <w:tc>
          <w:tcPr>
            <w:tcW w:w="31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1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10.9</w:t>
            </w:r>
          </w:p>
        </w:tc>
        <w:tc>
          <w:tcPr>
            <w:tcW w:w="70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Counterparts</w:t>
            </w:r>
          </w:p>
        </w:tc>
        <w:tc>
          <w:tcPr>
            <w:tcW w:w="31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10.10</w:t>
            </w:r>
          </w:p>
        </w:tc>
        <w:tc>
          <w:tcPr>
            <w:tcW w:w="70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Governing Laws</w:t>
            </w:r>
          </w:p>
        </w:tc>
        <w:tc>
          <w:tcPr>
            <w:tcW w:w="31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1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10.11</w:t>
            </w:r>
          </w:p>
        </w:tc>
        <w:tc>
          <w:tcPr>
            <w:tcW w:w="70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No Adverse Interpretation of Other Agreements</w:t>
            </w:r>
          </w:p>
        </w:tc>
        <w:tc>
          <w:tcPr>
            <w:tcW w:w="31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10.12</w:t>
            </w:r>
          </w:p>
        </w:tc>
        <w:tc>
          <w:tcPr>
            <w:tcW w:w="70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Successors</w:t>
            </w:r>
          </w:p>
        </w:tc>
        <w:tc>
          <w:tcPr>
            <w:tcW w:w="31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1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10.13</w:t>
            </w:r>
          </w:p>
        </w:tc>
        <w:tc>
          <w:tcPr>
            <w:tcW w:w="70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Severability</w:t>
            </w:r>
          </w:p>
        </w:tc>
        <w:tc>
          <w:tcPr>
            <w:tcW w:w="31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10.14</w:t>
            </w:r>
          </w:p>
        </w:tc>
        <w:tc>
          <w:tcPr>
            <w:tcW w:w="70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Table of Contents, Headings, Etc.</w:t>
            </w:r>
          </w:p>
        </w:tc>
        <w:tc>
          <w:tcPr>
            <w:tcW w:w="31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1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10.15</w:t>
            </w:r>
          </w:p>
        </w:tc>
        <w:tc>
          <w:tcPr>
            <w:tcW w:w="70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Securities in a Foreign Currency or in ECU</w:t>
            </w:r>
          </w:p>
        </w:tc>
        <w:tc>
          <w:tcPr>
            <w:tcW w:w="31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10.16</w:t>
            </w:r>
          </w:p>
        </w:tc>
        <w:tc>
          <w:tcPr>
            <w:tcW w:w="70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Judgment Currency</w:t>
            </w:r>
          </w:p>
        </w:tc>
        <w:tc>
          <w:tcPr>
            <w:tcW w:w="31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1060" w:type="dxa"/>
            <w:vAlign w:val="bottom"/>
            <w:shd w:val="clear" w:color="auto" w:fill="CCEEFF"/>
          </w:tcPr>
          <w:p>
            <w:pPr>
              <w:spacing w:after="0"/>
              <w:rPr>
                <w:sz w:val="18"/>
                <w:szCs w:val="18"/>
                <w:color w:val="auto"/>
              </w:rPr>
            </w:pPr>
          </w:p>
        </w:tc>
        <w:tc>
          <w:tcPr>
            <w:tcW w:w="7000" w:type="dxa"/>
            <w:vAlign w:val="bottom"/>
            <w:shd w:val="clear" w:color="auto" w:fill="CCEEFF"/>
          </w:tcPr>
          <w:p>
            <w:pPr>
              <w:spacing w:after="0"/>
              <w:rPr>
                <w:sz w:val="18"/>
                <w:szCs w:val="18"/>
                <w:color w:val="auto"/>
              </w:rPr>
            </w:pPr>
          </w:p>
        </w:tc>
        <w:tc>
          <w:tcPr>
            <w:tcW w:w="3180" w:type="dxa"/>
            <w:vAlign w:val="bottom"/>
            <w:shd w:val="clear" w:color="auto" w:fill="CCEEFF"/>
          </w:tcPr>
          <w:p>
            <w:pPr>
              <w:spacing w:after="0"/>
              <w:rPr>
                <w:sz w:val="18"/>
                <w:szCs w:val="18"/>
                <w:color w:val="auto"/>
              </w:rPr>
            </w:pPr>
          </w:p>
        </w:tc>
      </w:tr>
      <w:tr>
        <w:trPr>
          <w:trHeight w:val="216"/>
        </w:trPr>
        <w:tc>
          <w:tcPr>
            <w:tcW w:w="1060" w:type="dxa"/>
            <w:vAlign w:val="bottom"/>
          </w:tcPr>
          <w:p>
            <w:pPr>
              <w:spacing w:after="0"/>
              <w:rPr>
                <w:sz w:val="18"/>
                <w:szCs w:val="18"/>
                <w:color w:val="auto"/>
              </w:rPr>
            </w:pPr>
          </w:p>
        </w:tc>
        <w:tc>
          <w:tcPr>
            <w:tcW w:w="7000" w:type="dxa"/>
            <w:vAlign w:val="bottom"/>
          </w:tcPr>
          <w:p>
            <w:pPr>
              <w:jc w:val="center"/>
              <w:ind w:left="2050"/>
              <w:spacing w:after="0"/>
              <w:rPr>
                <w:sz w:val="20"/>
                <w:szCs w:val="20"/>
                <w:color w:val="auto"/>
              </w:rPr>
            </w:pPr>
            <w:r>
              <w:rPr>
                <w:rFonts w:ascii="Times New Roman" w:cs="Times New Roman" w:eastAsia="Times New Roman" w:hAnsi="Times New Roman"/>
                <w:sz w:val="18"/>
                <w:szCs w:val="18"/>
                <w:color w:val="auto"/>
                <w:w w:val="98"/>
              </w:rPr>
              <w:t>ARTICLE XI</w:t>
            </w:r>
          </w:p>
        </w:tc>
        <w:tc>
          <w:tcPr>
            <w:tcW w:w="3180" w:type="dxa"/>
            <w:vAlign w:val="bottom"/>
          </w:tcPr>
          <w:p>
            <w:pPr>
              <w:spacing w:after="0"/>
              <w:rPr>
                <w:sz w:val="18"/>
                <w:szCs w:val="18"/>
                <w:color w:val="auto"/>
              </w:rPr>
            </w:pPr>
          </w:p>
        </w:tc>
      </w:tr>
      <w:tr>
        <w:trPr>
          <w:trHeight w:val="216"/>
        </w:trPr>
        <w:tc>
          <w:tcPr>
            <w:tcW w:w="1060" w:type="dxa"/>
            <w:vAlign w:val="bottom"/>
            <w:shd w:val="clear" w:color="auto" w:fill="CCEEFF"/>
          </w:tcPr>
          <w:p>
            <w:pPr>
              <w:spacing w:after="0"/>
              <w:rPr>
                <w:sz w:val="18"/>
                <w:szCs w:val="18"/>
                <w:color w:val="auto"/>
              </w:rPr>
            </w:pPr>
          </w:p>
        </w:tc>
        <w:tc>
          <w:tcPr>
            <w:tcW w:w="7000" w:type="dxa"/>
            <w:vAlign w:val="bottom"/>
            <w:shd w:val="clear" w:color="auto" w:fill="CCEEFF"/>
          </w:tcPr>
          <w:p>
            <w:pPr>
              <w:jc w:val="center"/>
              <w:ind w:left="2050"/>
              <w:spacing w:after="0"/>
              <w:rPr>
                <w:sz w:val="20"/>
                <w:szCs w:val="20"/>
                <w:color w:val="auto"/>
              </w:rPr>
            </w:pPr>
            <w:r>
              <w:rPr>
                <w:rFonts w:ascii="Times New Roman" w:cs="Times New Roman" w:eastAsia="Times New Roman" w:hAnsi="Times New Roman"/>
                <w:sz w:val="18"/>
                <w:szCs w:val="18"/>
                <w:color w:val="auto"/>
              </w:rPr>
              <w:t>SINKING FUNDS</w:t>
            </w:r>
          </w:p>
        </w:tc>
        <w:tc>
          <w:tcPr>
            <w:tcW w:w="3180" w:type="dxa"/>
            <w:vAlign w:val="bottom"/>
            <w:shd w:val="clear" w:color="auto" w:fill="CCEEFF"/>
          </w:tcPr>
          <w:p>
            <w:pPr>
              <w:spacing w:after="0"/>
              <w:rPr>
                <w:sz w:val="18"/>
                <w:szCs w:val="18"/>
                <w:color w:val="auto"/>
              </w:rPr>
            </w:pPr>
          </w:p>
        </w:tc>
      </w:tr>
      <w:tr>
        <w:trPr>
          <w:trHeight w:val="216"/>
        </w:trPr>
        <w:tc>
          <w:tcPr>
            <w:tcW w:w="1060" w:type="dxa"/>
            <w:vAlign w:val="bottom"/>
          </w:tcPr>
          <w:p>
            <w:pPr>
              <w:spacing w:after="0"/>
              <w:rPr>
                <w:sz w:val="18"/>
                <w:szCs w:val="18"/>
                <w:color w:val="auto"/>
              </w:rPr>
            </w:pPr>
          </w:p>
        </w:tc>
        <w:tc>
          <w:tcPr>
            <w:tcW w:w="7000" w:type="dxa"/>
            <w:vAlign w:val="bottom"/>
          </w:tcPr>
          <w:p>
            <w:pPr>
              <w:spacing w:after="0"/>
              <w:rPr>
                <w:sz w:val="18"/>
                <w:szCs w:val="18"/>
                <w:color w:val="auto"/>
              </w:rPr>
            </w:pPr>
          </w:p>
        </w:tc>
        <w:tc>
          <w:tcPr>
            <w:tcW w:w="3180" w:type="dxa"/>
            <w:vAlign w:val="bottom"/>
          </w:tcPr>
          <w:p>
            <w:pPr>
              <w:spacing w:after="0"/>
              <w:rPr>
                <w:sz w:val="18"/>
                <w:szCs w:val="18"/>
                <w:color w:val="auto"/>
              </w:rPr>
            </w:pPr>
          </w:p>
        </w:tc>
      </w:tr>
      <w:tr>
        <w:trPr>
          <w:trHeight w:val="216"/>
        </w:trPr>
        <w:tc>
          <w:tcPr>
            <w:tcW w:w="1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11.1</w:t>
            </w:r>
          </w:p>
        </w:tc>
        <w:tc>
          <w:tcPr>
            <w:tcW w:w="70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Applicability of Article</w:t>
            </w:r>
          </w:p>
        </w:tc>
        <w:tc>
          <w:tcPr>
            <w:tcW w:w="31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11.2</w:t>
            </w:r>
          </w:p>
        </w:tc>
        <w:tc>
          <w:tcPr>
            <w:tcW w:w="70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Satisfaction of Sinking Fund Payments with Securities</w:t>
            </w:r>
          </w:p>
        </w:tc>
        <w:tc>
          <w:tcPr>
            <w:tcW w:w="31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1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11.3</w:t>
            </w:r>
          </w:p>
        </w:tc>
        <w:tc>
          <w:tcPr>
            <w:tcW w:w="70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Redemption of Securities for Sinking Fund</w:t>
            </w:r>
          </w:p>
        </w:tc>
        <w:tc>
          <w:tcPr>
            <w:tcW w:w="31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31</w:t>
            </w:r>
          </w:p>
        </w:tc>
      </w:tr>
      <w:tr>
        <w:trPr>
          <w:trHeight w:val="432"/>
        </w:trPr>
        <w:tc>
          <w:tcPr>
            <w:tcW w:w="1060" w:type="dxa"/>
            <w:vAlign w:val="bottom"/>
          </w:tcPr>
          <w:p>
            <w:pPr>
              <w:spacing w:after="0"/>
              <w:rPr>
                <w:sz w:val="24"/>
                <w:szCs w:val="24"/>
                <w:color w:val="auto"/>
              </w:rPr>
            </w:pPr>
          </w:p>
        </w:tc>
        <w:tc>
          <w:tcPr>
            <w:tcW w:w="7000" w:type="dxa"/>
            <w:vAlign w:val="bottom"/>
          </w:tcPr>
          <w:p>
            <w:pPr>
              <w:jc w:val="center"/>
              <w:ind w:left="2030"/>
              <w:spacing w:after="0"/>
              <w:rPr>
                <w:sz w:val="20"/>
                <w:szCs w:val="20"/>
                <w:color w:val="auto"/>
              </w:rPr>
            </w:pPr>
            <w:r>
              <w:rPr>
                <w:rFonts w:ascii="Times New Roman" w:cs="Times New Roman" w:eastAsia="Times New Roman" w:hAnsi="Times New Roman"/>
                <w:sz w:val="18"/>
                <w:szCs w:val="18"/>
                <w:b w:val="1"/>
                <w:bCs w:val="1"/>
                <w:color w:val="auto"/>
                <w:w w:val="99"/>
              </w:rPr>
              <w:t>Form of Indenture</w:t>
            </w:r>
          </w:p>
        </w:tc>
        <w:tc>
          <w:tcPr>
            <w:tcW w:w="3180" w:type="dxa"/>
            <w:vAlign w:val="bottom"/>
          </w:tcPr>
          <w:p>
            <w:pPr>
              <w:spacing w:after="0"/>
              <w:rPr>
                <w:sz w:val="24"/>
                <w:szCs w:val="24"/>
                <w:color w:val="auto"/>
              </w:rPr>
            </w:pPr>
          </w:p>
        </w:tc>
      </w:tr>
      <w:tr>
        <w:trPr>
          <w:trHeight w:val="432"/>
        </w:trPr>
        <w:tc>
          <w:tcPr>
            <w:tcW w:w="8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Indenture dated as of [  ] between CLPS Incorporation, Inc., a Cayman Islands company (“Company”), and [</w:t>
            </w:r>
          </w:p>
        </w:tc>
        <w:tc>
          <w:tcPr>
            <w:tcW w:w="3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(“Trustee”). Each party agrees as follows</w:t>
            </w:r>
          </w:p>
        </w:tc>
      </w:tr>
    </w:tbl>
    <w:p>
      <w:pPr>
        <w:spacing w:after="0"/>
        <w:rPr>
          <w:sz w:val="20"/>
          <w:szCs w:val="20"/>
          <w:color w:val="auto"/>
        </w:rPr>
      </w:pPr>
      <w:r>
        <w:rPr>
          <w:rFonts w:ascii="Times New Roman" w:cs="Times New Roman" w:eastAsia="Times New Roman" w:hAnsi="Times New Roman"/>
          <w:sz w:val="18"/>
          <w:szCs w:val="18"/>
          <w:color w:val="auto"/>
        </w:rPr>
        <w:t>for the benefit of the other party and for the equal and ratable benefit of the Holders of the Securities issued under this Indenture.</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5" w:name="page46"/>
    <w:bookmarkEnd w:id="45"/>
    <w:p>
      <w:pPr>
        <w:jc w:val="center"/>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DEFINITIONS AND INCORPORATION BY REFERENCE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1.1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Additional Amounts</w:t>
      </w:r>
      <w:r>
        <w:rPr>
          <w:rFonts w:ascii="Times New Roman" w:cs="Times New Roman" w:eastAsia="Times New Roman" w:hAnsi="Times New Roman"/>
          <w:sz w:val="18"/>
          <w:szCs w:val="18"/>
          <w:color w:val="auto"/>
        </w:rPr>
        <w:t>” means any additional amounts which are required hereby or by any Security, under circumstances specified herein or therein, to be paid by the Company in respect of certain taxes imposed on Holders specified herein or therein and which are owing to such Holders.</w:t>
      </w:r>
    </w:p>
    <w:p>
      <w:pPr>
        <w:spacing w:after="0" w:line="15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Affiliate</w:t>
      </w:r>
      <w:r>
        <w:rPr>
          <w:rFonts w:ascii="Times New Roman" w:cs="Times New Roman" w:eastAsia="Times New Roman" w:hAnsi="Times New Roman"/>
          <w:sz w:val="18"/>
          <w:szCs w:val="18"/>
          <w:color w:val="auto"/>
        </w:rPr>
        <w:t>” of any specified person means any other person directly or indirectly controlling or controlled by or under common control with such specified person. For the purposes of this definition, “control” (including, with correlative meanings, the terms “controlled by” and “under common control with”), as used with respect to any person, shall mean the possession, directly or indirectly, of the power to direct or cause the direction of the management or policies of such person, whether through the ownership of voting securities or by agreement or otherwise.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Agent</w:t>
      </w:r>
      <w:r>
        <w:rPr>
          <w:rFonts w:ascii="Times New Roman" w:cs="Times New Roman" w:eastAsia="Times New Roman" w:hAnsi="Times New Roman"/>
          <w:sz w:val="18"/>
          <w:szCs w:val="18"/>
          <w:color w:val="auto"/>
        </w:rPr>
        <w:t>” means any Registrar, Paying Agent or Notice Agent.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Board of Directors</w:t>
      </w:r>
      <w:r>
        <w:rPr>
          <w:rFonts w:ascii="Times New Roman" w:cs="Times New Roman" w:eastAsia="Times New Roman" w:hAnsi="Times New Roman"/>
          <w:sz w:val="18"/>
          <w:szCs w:val="18"/>
          <w:color w:val="auto"/>
        </w:rPr>
        <w:t>” means the Board of Directors of the Company or any duly authorized committee thereof.</w:t>
      </w:r>
    </w:p>
    <w:p>
      <w:pPr>
        <w:spacing w:after="0" w:line="225"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Board Resolution</w:t>
      </w:r>
      <w:r>
        <w:rPr>
          <w:rFonts w:ascii="Times New Roman" w:cs="Times New Roman" w:eastAsia="Times New Roman" w:hAnsi="Times New Roman"/>
          <w:sz w:val="18"/>
          <w:szCs w:val="18"/>
          <w:color w:val="auto"/>
        </w:rPr>
        <w:t>” means a copy of a resolution certified by the Secretary or an Assistant Secretary of the Company to have been adopted by the Board of Directors or pursuant to authorization by the Board of Directors and to be in full force and effect on the date of the certificate and delivered to the Trustee.</w:t>
      </w:r>
    </w:p>
    <w:p>
      <w:pPr>
        <w:spacing w:after="0" w:line="15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Business Day</w:t>
      </w:r>
      <w:r>
        <w:rPr>
          <w:rFonts w:ascii="Times New Roman" w:cs="Times New Roman" w:eastAsia="Times New Roman" w:hAnsi="Times New Roman"/>
          <w:sz w:val="18"/>
          <w:szCs w:val="18"/>
          <w:color w:val="auto"/>
        </w:rPr>
        <w:t>” means, unless otherwise provided by Board Resolution, Officers’ Certificate or supplemental indenture hereto for a particular Series, any day except a Saturday, Sunday or a legal holiday in The City of New York on which banking institutions are authorized or required by law, regulation or executive order to close or a day the Corporate Trust Office is closed.</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Capital Stock</w:t>
      </w:r>
      <w:r>
        <w:rPr>
          <w:rFonts w:ascii="Times New Roman" w:cs="Times New Roman" w:eastAsia="Times New Roman" w:hAnsi="Times New Roman"/>
          <w:sz w:val="18"/>
          <w:szCs w:val="18"/>
          <w:color w:val="auto"/>
        </w:rPr>
        <w:t>” means any and all shares, interests, participations, rights or other equivalents (however designated) of corporate stock.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Company</w:t>
      </w:r>
      <w:r>
        <w:rPr>
          <w:rFonts w:ascii="Times New Roman" w:cs="Times New Roman" w:eastAsia="Times New Roman" w:hAnsi="Times New Roman"/>
          <w:sz w:val="18"/>
          <w:szCs w:val="18"/>
          <w:color w:val="auto"/>
        </w:rPr>
        <w:t>” means the party named as such above until a successor replaces it and thereafter means the successor.</w:t>
      </w:r>
    </w:p>
    <w:p>
      <w:pPr>
        <w:spacing w:after="0" w:line="225"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Company Order</w:t>
      </w:r>
      <w:r>
        <w:rPr>
          <w:rFonts w:ascii="Times New Roman" w:cs="Times New Roman" w:eastAsia="Times New Roman" w:hAnsi="Times New Roman"/>
          <w:sz w:val="18"/>
          <w:szCs w:val="18"/>
          <w:color w:val="auto"/>
        </w:rPr>
        <w:t>” means a written order signed in the name of the Company by two Officers, one of whom must be the Company’s principal executive officer, principal financial officer or principal accounting officer.</w:t>
      </w:r>
    </w:p>
    <w:p>
      <w:pPr>
        <w:spacing w:after="0" w:line="158"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Company Request</w:t>
      </w:r>
      <w:r>
        <w:rPr>
          <w:rFonts w:ascii="Times New Roman" w:cs="Times New Roman" w:eastAsia="Times New Roman" w:hAnsi="Times New Roman"/>
          <w:sz w:val="18"/>
          <w:szCs w:val="18"/>
          <w:color w:val="auto"/>
        </w:rPr>
        <w:t>” means a written request signed in the name of the Company by its Chairman, its Chief Executive Officer, or any Vice President and by its Chief Financial Officer and delivered to the Trustee.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Corporate Trust Office</w:t>
      </w:r>
      <w:r>
        <w:rPr>
          <w:rFonts w:ascii="Times New Roman" w:cs="Times New Roman" w:eastAsia="Times New Roman" w:hAnsi="Times New Roman"/>
          <w:sz w:val="18"/>
          <w:szCs w:val="18"/>
          <w:color w:val="auto"/>
        </w:rPr>
        <w:t>” means the office of the Trustee at which at any particular time its corporate trust business shall be principally administered.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Default</w:t>
      </w:r>
      <w:r>
        <w:rPr>
          <w:rFonts w:ascii="Times New Roman" w:cs="Times New Roman" w:eastAsia="Times New Roman" w:hAnsi="Times New Roman"/>
          <w:sz w:val="18"/>
          <w:szCs w:val="18"/>
          <w:color w:val="auto"/>
        </w:rPr>
        <w:t>” means any event which is, or after notice or passage of time or both would be, an Event of Default.</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Depositary</w:t>
      </w:r>
      <w:r>
        <w:rPr>
          <w:rFonts w:ascii="Times New Roman" w:cs="Times New Roman" w:eastAsia="Times New Roman" w:hAnsi="Times New Roman"/>
          <w:sz w:val="18"/>
          <w:szCs w:val="18"/>
          <w:color w:val="auto"/>
        </w:rPr>
        <w:t>” means, with respect to the Securities of any Series issuable or issued in whole or in part in the form of one or more Global Securities, the person designated as Depositary for such Series by the Company, which Depositary shall be a clearing agency registered under the Exchange Act; and if at any time there is more than one such person, “Depositary” as used with respect to the Securities of any Series shall mean the Depositary with respect to the Securities of such Series.</w:t>
      </w:r>
    </w:p>
    <w:p>
      <w:pPr>
        <w:spacing w:after="0" w:line="180"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Discount Security</w:t>
      </w:r>
      <w:r>
        <w:rPr>
          <w:rFonts w:ascii="Times New Roman" w:cs="Times New Roman" w:eastAsia="Times New Roman" w:hAnsi="Times New Roman"/>
          <w:sz w:val="18"/>
          <w:szCs w:val="18"/>
          <w:color w:val="auto"/>
        </w:rPr>
        <w:t>” means any Security that provides for an amount less than the stated principal amount thereof to be due and payable upon declaration of acceleration of the maturity thereof pursuant to Section 6.2.</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Dollars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means the currency of The United States of America.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Exchange Act</w:t>
      </w:r>
      <w:r>
        <w:rPr>
          <w:rFonts w:ascii="Times New Roman" w:cs="Times New Roman" w:eastAsia="Times New Roman" w:hAnsi="Times New Roman"/>
          <w:sz w:val="18"/>
          <w:szCs w:val="18"/>
          <w:color w:val="auto"/>
        </w:rPr>
        <w:t>” means the Securities Exchange Act of 1934, as amended.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Foreign Currency</w:t>
      </w:r>
      <w:r>
        <w:rPr>
          <w:rFonts w:ascii="Times New Roman" w:cs="Times New Roman" w:eastAsia="Times New Roman" w:hAnsi="Times New Roman"/>
          <w:sz w:val="18"/>
          <w:szCs w:val="18"/>
          <w:color w:val="auto"/>
        </w:rPr>
        <w:t>” means any currency or currency unit issued by a government other than the government of The United States of America.</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Foreign Government Obligations</w:t>
      </w:r>
      <w:r>
        <w:rPr>
          <w:rFonts w:ascii="Times New Roman" w:cs="Times New Roman" w:eastAsia="Times New Roman" w:hAnsi="Times New Roman"/>
          <w:sz w:val="18"/>
          <w:szCs w:val="18"/>
          <w:color w:val="auto"/>
        </w:rPr>
        <w:t>” means, with respect to Securities of any Series that are denominated in a Foreign Currency, (i) direct obligations of the government that issued or caused to be issued such currency for the payment of which obligations its full faith and credit is pledged or (ii) obligations of a person controlled or supervised by or acting as an agency or instrumentality of such government the timely payment of which is unconditionally guaranteed as a full faith and credit obligation by such government, which, in either case under clauses (i) or (ii), are not callable or redeemable at the option of the issuer thereof.</w:t>
      </w:r>
    </w:p>
    <w:p>
      <w:pPr>
        <w:spacing w:after="0" w:line="18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GAAP</w:t>
      </w:r>
      <w:r>
        <w:rPr>
          <w:rFonts w:ascii="Times New Roman" w:cs="Times New Roman" w:eastAsia="Times New Roman" w:hAnsi="Times New Roman"/>
          <w:sz w:val="18"/>
          <w:szCs w:val="18"/>
          <w:color w:val="auto"/>
        </w:rPr>
        <w:t>” means generally accepted accounting principles set forth in the opinions and pronouncements of the Accounting Principles Board of the American Institute of Certified Public Accountants and statements and pronouncements of the Financial Accounting Standards Board or in such other statements by such other entity as have been approved by a significant segment of the accounting profession, which are in effect as of the date of determination.</w:t>
      </w:r>
    </w:p>
    <w:p>
      <w:pPr>
        <w:spacing w:after="0" w:line="17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Global Security</w:t>
      </w:r>
      <w:r>
        <w:rPr>
          <w:rFonts w:ascii="Times New Roman" w:cs="Times New Roman" w:eastAsia="Times New Roman" w:hAnsi="Times New Roman"/>
          <w:sz w:val="18"/>
          <w:szCs w:val="18"/>
          <w:color w:val="auto"/>
        </w:rPr>
        <w:t>” or “Global Securities” means a Security or Securities, as the case may be, in the form established pursuant to Section 2.2 evidencing all or part of a Series of Securities, issued to the Depositary for such Series or its nominee, and registered in the name of such Depositary or nominee.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Holder</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i w:val="1"/>
          <w:iCs w:val="1"/>
          <w:color w:val="auto"/>
        </w:rPr>
        <w:t>Security Holder</w:t>
      </w:r>
      <w:r>
        <w:rPr>
          <w:rFonts w:ascii="Times New Roman" w:cs="Times New Roman" w:eastAsia="Times New Roman" w:hAnsi="Times New Roman"/>
          <w:sz w:val="18"/>
          <w:szCs w:val="18"/>
          <w:color w:val="auto"/>
        </w:rPr>
        <w:t>” means a person in whose name a Security is registered.</w:t>
      </w:r>
    </w:p>
    <w:p>
      <w:pPr>
        <w:spacing w:after="0" w:line="225"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Indenture</w:t>
      </w:r>
      <w:r>
        <w:rPr>
          <w:rFonts w:ascii="Times New Roman" w:cs="Times New Roman" w:eastAsia="Times New Roman" w:hAnsi="Times New Roman"/>
          <w:sz w:val="18"/>
          <w:szCs w:val="18"/>
          <w:color w:val="auto"/>
        </w:rPr>
        <w:t>” means this Indenture as amended or supplemented from time to time and shall include the form and terms of particular Series of Securities established as contemplated hereunder.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interest</w:t>
      </w:r>
      <w:r>
        <w:rPr>
          <w:rFonts w:ascii="Times New Roman" w:cs="Times New Roman" w:eastAsia="Times New Roman" w:hAnsi="Times New Roman"/>
          <w:sz w:val="18"/>
          <w:szCs w:val="18"/>
          <w:color w:val="auto"/>
        </w:rPr>
        <w:t>” with respect to any Discount Security which by its terms bears interest only after Maturity, means interest payable after Maturity.</w:t>
      </w:r>
    </w:p>
    <w:p>
      <w:pPr>
        <w:spacing w:after="0" w:line="225"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Maturity</w:t>
      </w:r>
      <w:r>
        <w:rPr>
          <w:rFonts w:ascii="Times New Roman" w:cs="Times New Roman" w:eastAsia="Times New Roman" w:hAnsi="Times New Roman"/>
          <w:sz w:val="18"/>
          <w:szCs w:val="18"/>
          <w:color w:val="auto"/>
        </w:rPr>
        <w:t>,” when used with respect to any Security, means the date on which the principal of such Security becomes due and payable as therein or herein provided, whether at the Stated Maturity or by declaration of acceleration, call for redemption or otherwise.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Officer</w:t>
      </w:r>
      <w:r>
        <w:rPr>
          <w:rFonts w:ascii="Times New Roman" w:cs="Times New Roman" w:eastAsia="Times New Roman" w:hAnsi="Times New Roman"/>
          <w:sz w:val="18"/>
          <w:szCs w:val="18"/>
          <w:color w:val="auto"/>
        </w:rPr>
        <w:t>” means the Chairman, the Chief Executive Officer, any Vice President, or the Chief Financial Officer of the Company.</w:t>
      </w:r>
    </w:p>
    <w:p>
      <w:pPr>
        <w:spacing w:after="0" w:line="225"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Officers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Certificate</w:t>
      </w:r>
      <w:r>
        <w:rPr>
          <w:rFonts w:ascii="Times New Roman" w:cs="Times New Roman" w:eastAsia="Times New Roman" w:hAnsi="Times New Roman"/>
          <w:sz w:val="18"/>
          <w:szCs w:val="18"/>
          <w:color w:val="auto"/>
        </w:rPr>
        <w:t>” means a certificate signed by two Officers, one of whom must be the Company’s principal executive officer, principal financial officer or principal accounting officer.</w:t>
      </w:r>
    </w:p>
    <w:p>
      <w:pPr>
        <w:spacing w:after="0" w:line="158"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Opinion of Counsel</w:t>
      </w:r>
      <w:r>
        <w:rPr>
          <w:rFonts w:ascii="Times New Roman" w:cs="Times New Roman" w:eastAsia="Times New Roman" w:hAnsi="Times New Roman"/>
          <w:sz w:val="18"/>
          <w:szCs w:val="18"/>
          <w:color w:val="auto"/>
        </w:rPr>
        <w:t>” means a written opinion of legal counsel, which opinion, is acceptable to the Trustee. The counsel may be an employee of or counsel to the Company.</w:t>
      </w:r>
    </w:p>
    <w:p>
      <w:pPr>
        <w:spacing w:after="0" w:line="158"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person</w:t>
      </w:r>
      <w:r>
        <w:rPr>
          <w:rFonts w:ascii="Times New Roman" w:cs="Times New Roman" w:eastAsia="Times New Roman" w:hAnsi="Times New Roman"/>
          <w:sz w:val="18"/>
          <w:szCs w:val="18"/>
          <w:color w:val="auto"/>
        </w:rPr>
        <w:t>” means any individual, corporation, partnership, joint venture, association, limited liability company, joint-stock company, trust, unincorporated organization or government or any agency or political subdivision thereof.</w:t>
      </w:r>
    </w:p>
    <w:p>
      <w:pPr>
        <w:spacing w:after="0" w:line="158"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w:t>
      </w:r>
      <w:r>
        <w:rPr>
          <w:rFonts w:ascii="Times New Roman" w:cs="Times New Roman" w:eastAsia="Times New Roman" w:hAnsi="Times New Roman"/>
          <w:sz w:val="18"/>
          <w:szCs w:val="18"/>
          <w:color w:val="auto"/>
        </w:rPr>
        <w:t>” of a Security means the principal of the Security plus, when appropriate, the premium, if any, on, and any Additional Amounts in respect of, the Security.</w:t>
      </w:r>
    </w:p>
    <w:p>
      <w:pPr>
        <w:spacing w:after="0" w:line="15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Responsible Officer</w:t>
      </w:r>
      <w:r>
        <w:rPr>
          <w:rFonts w:ascii="Times New Roman" w:cs="Times New Roman" w:eastAsia="Times New Roman" w:hAnsi="Times New Roman"/>
          <w:sz w:val="18"/>
          <w:szCs w:val="18"/>
          <w:color w:val="auto"/>
        </w:rPr>
        <w:t>” means any officer of the Trustee in its Corporate Trust Office and also means, with respect to a particular corporate trust matter, any other officer to whom any corporate trust matter is referred because of his or her knowledge of and familiarity with a particular subject and who shall in each case have direct responsibility for the administration of this Indenture.</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SEC</w:t>
      </w:r>
      <w:r>
        <w:rPr>
          <w:rFonts w:ascii="Times New Roman" w:cs="Times New Roman" w:eastAsia="Times New Roman" w:hAnsi="Times New Roman"/>
          <w:sz w:val="18"/>
          <w:szCs w:val="18"/>
          <w:color w:val="auto"/>
        </w:rPr>
        <w:t>” means the Securities and Exchange Commission.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Securities</w:t>
      </w:r>
      <w:r>
        <w:rPr>
          <w:rFonts w:ascii="Times New Roman" w:cs="Times New Roman" w:eastAsia="Times New Roman" w:hAnsi="Times New Roman"/>
          <w:sz w:val="18"/>
          <w:szCs w:val="18"/>
          <w:color w:val="auto"/>
        </w:rPr>
        <w:t>” means the debentures, notes or other debt instruments of the Company of any Series authenticated and delivered under this Indenture.</w:t>
      </w:r>
    </w:p>
    <w:p>
      <w:pPr>
        <w:spacing w:after="0" w:line="225"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Series</w:t>
      </w:r>
      <w:r>
        <w:rPr>
          <w:rFonts w:ascii="Times New Roman" w:cs="Times New Roman" w:eastAsia="Times New Roman" w:hAnsi="Times New Roman"/>
          <w:sz w:val="18"/>
          <w:szCs w:val="18"/>
          <w:color w:val="auto"/>
        </w:rPr>
        <w:t>” or “Series of Securities” means each series of debentures, notes or other debt instruments of the Company created pursuant to Sections 2.1 and 2.2 hereof.</w:t>
      </w:r>
    </w:p>
    <w:p>
      <w:pPr>
        <w:spacing w:after="0" w:line="158"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Stated Maturity</w:t>
      </w:r>
      <w:r>
        <w:rPr>
          <w:rFonts w:ascii="Times New Roman" w:cs="Times New Roman" w:eastAsia="Times New Roman" w:hAnsi="Times New Roman"/>
          <w:sz w:val="18"/>
          <w:szCs w:val="18"/>
          <w:color w:val="auto"/>
        </w:rPr>
        <w:t>” when used with respect to any Security, means the date specified in such Security as the fixed date on which the principal of such Security or interest is due and payable.</w:t>
      </w:r>
    </w:p>
    <w:p>
      <w:pPr>
        <w:spacing w:after="0" w:line="15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Subsidiary</w:t>
      </w:r>
      <w:r>
        <w:rPr>
          <w:rFonts w:ascii="Times New Roman" w:cs="Times New Roman" w:eastAsia="Times New Roman" w:hAnsi="Times New Roman"/>
          <w:sz w:val="18"/>
          <w:szCs w:val="18"/>
          <w:color w:val="auto"/>
        </w:rPr>
        <w:t>” of any specified person means any corporation, association or other business entity of which more than 50% of the total voting power of shares of Capital Stock entitled (without regard to the occurrence of any contingency) to vote in the election of directors, managers or trustees thereof is at the time owned or controlled, directly or indirectly, by such person or one or more of the other Subsidiaries of that person or a combination thereof.</w:t>
      </w:r>
    </w:p>
    <w:p>
      <w:pPr>
        <w:spacing w:after="0" w:line="17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TIA</w:t>
      </w:r>
      <w:r>
        <w:rPr>
          <w:rFonts w:ascii="Times New Roman" w:cs="Times New Roman" w:eastAsia="Times New Roman" w:hAnsi="Times New Roman"/>
          <w:sz w:val="18"/>
          <w:szCs w:val="18"/>
          <w:color w:val="auto"/>
        </w:rPr>
        <w:t>” means the Trust Indenture Act of 1939 (15 U.S. Code §§ 77aaa-77bbbb) as in effect on the date of this Indenture; provided, however, that in the event the Trust Indenture Act of 1939 is amended after such date, “TIA” means, to the extent required by any such amendment, the Trust Indenture Act as so amended.</w:t>
      </w:r>
    </w:p>
    <w:p>
      <w:pPr>
        <w:spacing w:after="0" w:line="1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Trustee</w:t>
      </w:r>
      <w:r>
        <w:rPr>
          <w:rFonts w:ascii="Times New Roman" w:cs="Times New Roman" w:eastAsia="Times New Roman" w:hAnsi="Times New Roman"/>
          <w:sz w:val="18"/>
          <w:szCs w:val="18"/>
          <w:color w:val="auto"/>
        </w:rPr>
        <w:t>” means the person named as the “Trustee” in the first paragraph of this instrument until a successor Trustee shall have become such pursuant to the applicable provisions of this Indenture, and thereafter “Trustee” shall mean or include each person who is then a Trustee hereunder, and if at any time there is more than one such person, “Trustee” as used with respect to the Securities of any Series shall mean the Trustee with respect to Securities of that Series.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U.S. Government Obligations</w:t>
      </w:r>
      <w:r>
        <w:rPr>
          <w:rFonts w:ascii="Times New Roman" w:cs="Times New Roman" w:eastAsia="Times New Roman" w:hAnsi="Times New Roman"/>
          <w:sz w:val="18"/>
          <w:szCs w:val="18"/>
          <w:color w:val="auto"/>
        </w:rPr>
        <w:t>” means securities which are (i) direct obligations of The United States of America for the payment of which its full faith and credit is pledged or (ii) obligations of a person controlled or supervised by and acting as an agency or instrumentality of The United States of America the payment of which is unconditionally guaranteed as a full faith and credit obligation by The United States of America, and which in the case of (i) and</w:t>
      </w:r>
    </w:p>
    <w:p>
      <w:pPr>
        <w:spacing w:after="0" w:line="1" w:lineRule="exact"/>
        <w:rPr>
          <w:sz w:val="20"/>
          <w:szCs w:val="20"/>
          <w:color w:val="auto"/>
        </w:rPr>
      </w:pPr>
    </w:p>
    <w:p>
      <w:pPr>
        <w:jc w:val="both"/>
        <w:ind w:firstLine="8"/>
        <w:spacing w:after="0" w:line="253" w:lineRule="auto"/>
        <w:tabs>
          <w:tab w:leader="none" w:pos="286"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not callable or redeemable at the option of the issuer thereof, and shall also include a depository receipt issued by a bank or trust company as custodian with respect to any such U.S. Government Obligation or a specific payment of interest on or principal of any such U.S. Government Obligation held by such custodian for the account of the holder of a depository receipt, provided that (except as required by law) such custodian is not authorized to make any deduction from the amount payable to the holder of such depository receipt from any amount received by the custodian in respect of the U.S. Government Obligation evidenced by such depository receipt.</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Section 1.2 Other Definitions.</w:t>
            </w:r>
          </w:p>
        </w:tc>
        <w:tc>
          <w:tcPr>
            <w:tcW w:w="220" w:type="dxa"/>
            <w:vAlign w:val="bottom"/>
          </w:tcPr>
          <w:p>
            <w:pPr>
              <w:spacing w:after="0"/>
              <w:rPr>
                <w:sz w:val="18"/>
                <w:szCs w:val="18"/>
                <w:color w:val="auto"/>
              </w:rPr>
            </w:pPr>
          </w:p>
        </w:tc>
        <w:tc>
          <w:tcPr>
            <w:tcW w:w="5500" w:type="dxa"/>
            <w:vAlign w:val="bottom"/>
          </w:tcPr>
          <w:p>
            <w:pPr>
              <w:spacing w:after="0"/>
              <w:rPr>
                <w:sz w:val="18"/>
                <w:szCs w:val="18"/>
                <w:color w:val="auto"/>
              </w:rPr>
            </w:pPr>
          </w:p>
        </w:tc>
      </w:tr>
      <w:tr>
        <w:trPr>
          <w:trHeight w:val="473"/>
        </w:trPr>
        <w:tc>
          <w:tcPr>
            <w:tcW w:w="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TERM</w:t>
            </w:r>
          </w:p>
        </w:tc>
        <w:tc>
          <w:tcPr>
            <w:tcW w:w="1260" w:type="dxa"/>
            <w:vAlign w:val="bottom"/>
            <w:tcBorders>
              <w:top w:val="single" w:sz="8" w:color="auto"/>
              <w:bottom w:val="single" w:sz="8" w:color="auto"/>
            </w:tcBorders>
          </w:tcPr>
          <w:p>
            <w:pPr>
              <w:spacing w:after="0"/>
              <w:rPr>
                <w:sz w:val="24"/>
                <w:szCs w:val="24"/>
                <w:color w:val="auto"/>
              </w:rPr>
            </w:pPr>
          </w:p>
        </w:tc>
        <w:tc>
          <w:tcPr>
            <w:tcW w:w="340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5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DEFINED IN SECTION</w:t>
            </w:r>
          </w:p>
        </w:tc>
      </w:tr>
      <w:tr>
        <w:trPr>
          <w:trHeight w:val="196"/>
        </w:trPr>
        <w:tc>
          <w:tcPr>
            <w:tcW w:w="5520" w:type="dxa"/>
            <w:vAlign w:val="bottom"/>
            <w:gridSpan w:val="3"/>
          </w:tcPr>
          <w:p>
            <w:pPr>
              <w:spacing w:after="0" w:line="195" w:lineRule="exact"/>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Bankruptcy Law</w:t>
            </w:r>
            <w:r>
              <w:rPr>
                <w:rFonts w:ascii="Times New Roman" w:cs="Times New Roman" w:eastAsia="Times New Roman" w:hAnsi="Times New Roman"/>
                <w:sz w:val="18"/>
                <w:szCs w:val="18"/>
                <w:color w:val="auto"/>
              </w:rPr>
              <w:t>”</w:t>
            </w:r>
          </w:p>
        </w:tc>
        <w:tc>
          <w:tcPr>
            <w:tcW w:w="220" w:type="dxa"/>
            <w:vAlign w:val="bottom"/>
          </w:tcPr>
          <w:p>
            <w:pPr>
              <w:spacing w:after="0"/>
              <w:rPr>
                <w:sz w:val="17"/>
                <w:szCs w:val="17"/>
                <w:color w:val="auto"/>
              </w:rPr>
            </w:pPr>
          </w:p>
        </w:tc>
        <w:tc>
          <w:tcPr>
            <w:tcW w:w="550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6.1</w:t>
            </w:r>
          </w:p>
        </w:tc>
      </w:tr>
      <w:tr>
        <w:trPr>
          <w:trHeight w:val="216"/>
        </w:trPr>
        <w:tc>
          <w:tcPr>
            <w:tcW w:w="5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Custodian</w:t>
            </w:r>
            <w:r>
              <w:rPr>
                <w:rFonts w:ascii="Times New Roman" w:cs="Times New Roman" w:eastAsia="Times New Roman" w:hAnsi="Times New Roman"/>
                <w:sz w:val="18"/>
                <w:szCs w:val="18"/>
                <w:color w:val="auto"/>
              </w:rPr>
              <w:t>”</w:t>
            </w:r>
          </w:p>
        </w:tc>
        <w:tc>
          <w:tcPr>
            <w:tcW w:w="57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6.1</w:t>
            </w:r>
          </w:p>
        </w:tc>
      </w:tr>
      <w:tr>
        <w:trPr>
          <w:trHeight w:val="216"/>
        </w:trPr>
        <w:tc>
          <w:tcPr>
            <w:tcW w:w="5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Event of Default</w:t>
            </w:r>
            <w:r>
              <w:rPr>
                <w:rFonts w:ascii="Times New Roman" w:cs="Times New Roman" w:eastAsia="Times New Roman" w:hAnsi="Times New Roman"/>
                <w:sz w:val="18"/>
                <w:szCs w:val="18"/>
                <w:color w:val="auto"/>
              </w:rPr>
              <w:t>”</w:t>
            </w:r>
          </w:p>
        </w:tc>
        <w:tc>
          <w:tcPr>
            <w:tcW w:w="57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6.1</w:t>
            </w:r>
          </w:p>
        </w:tc>
      </w:tr>
      <w:tr>
        <w:trPr>
          <w:trHeight w:val="216"/>
        </w:trPr>
        <w:tc>
          <w:tcPr>
            <w:tcW w:w="5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Journal</w:t>
            </w:r>
            <w:r>
              <w:rPr>
                <w:rFonts w:ascii="Times New Roman" w:cs="Times New Roman" w:eastAsia="Times New Roman" w:hAnsi="Times New Roman"/>
                <w:sz w:val="18"/>
                <w:szCs w:val="18"/>
                <w:color w:val="auto"/>
              </w:rPr>
              <w:t>”</w:t>
            </w:r>
          </w:p>
        </w:tc>
        <w:tc>
          <w:tcPr>
            <w:tcW w:w="57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10.15</w:t>
            </w:r>
          </w:p>
        </w:tc>
      </w:tr>
      <w:tr>
        <w:trPr>
          <w:trHeight w:val="218"/>
        </w:trPr>
        <w:tc>
          <w:tcPr>
            <w:tcW w:w="5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Judgment Currency</w:t>
            </w:r>
            <w:r>
              <w:rPr>
                <w:rFonts w:ascii="Times New Roman" w:cs="Times New Roman" w:eastAsia="Times New Roman" w:hAnsi="Times New Roman"/>
                <w:sz w:val="18"/>
                <w:szCs w:val="18"/>
                <w:color w:val="auto"/>
              </w:rPr>
              <w:t>”</w:t>
            </w:r>
          </w:p>
        </w:tc>
        <w:tc>
          <w:tcPr>
            <w:tcW w:w="57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10.16</w:t>
            </w:r>
          </w:p>
        </w:tc>
      </w:tr>
      <w:tr>
        <w:trPr>
          <w:trHeight w:val="214"/>
        </w:trPr>
        <w:tc>
          <w:tcPr>
            <w:tcW w:w="5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“Legal Holiday”</w:t>
            </w:r>
          </w:p>
        </w:tc>
        <w:tc>
          <w:tcPr>
            <w:tcW w:w="57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10.7</w:t>
            </w:r>
          </w:p>
        </w:tc>
      </w:tr>
      <w:tr>
        <w:trPr>
          <w:trHeight w:val="216"/>
        </w:trPr>
        <w:tc>
          <w:tcPr>
            <w:tcW w:w="5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mandatory sinking fund payment</w:t>
            </w:r>
            <w:r>
              <w:rPr>
                <w:rFonts w:ascii="Times New Roman" w:cs="Times New Roman" w:eastAsia="Times New Roman" w:hAnsi="Times New Roman"/>
                <w:sz w:val="18"/>
                <w:szCs w:val="18"/>
                <w:color w:val="auto"/>
              </w:rPr>
              <w:t>”</w:t>
            </w:r>
          </w:p>
        </w:tc>
        <w:tc>
          <w:tcPr>
            <w:tcW w:w="57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11.1</w:t>
            </w:r>
          </w:p>
        </w:tc>
      </w:tr>
      <w:tr>
        <w:trPr>
          <w:trHeight w:val="216"/>
        </w:trPr>
        <w:tc>
          <w:tcPr>
            <w:tcW w:w="5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Market Exchange Rate</w:t>
            </w:r>
            <w:r>
              <w:rPr>
                <w:rFonts w:ascii="Times New Roman" w:cs="Times New Roman" w:eastAsia="Times New Roman" w:hAnsi="Times New Roman"/>
                <w:sz w:val="18"/>
                <w:szCs w:val="18"/>
                <w:color w:val="auto"/>
              </w:rPr>
              <w:t>”</w:t>
            </w:r>
          </w:p>
        </w:tc>
        <w:tc>
          <w:tcPr>
            <w:tcW w:w="57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10.15</w:t>
            </w:r>
          </w:p>
        </w:tc>
      </w:tr>
      <w:tr>
        <w:trPr>
          <w:trHeight w:val="216"/>
        </w:trPr>
        <w:tc>
          <w:tcPr>
            <w:tcW w:w="5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New York Banking Day</w:t>
            </w:r>
            <w:r>
              <w:rPr>
                <w:rFonts w:ascii="Times New Roman" w:cs="Times New Roman" w:eastAsia="Times New Roman" w:hAnsi="Times New Roman"/>
                <w:sz w:val="18"/>
                <w:szCs w:val="18"/>
                <w:color w:val="auto"/>
              </w:rPr>
              <w:t>”</w:t>
            </w:r>
          </w:p>
        </w:tc>
        <w:tc>
          <w:tcPr>
            <w:tcW w:w="57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10.16</w:t>
            </w:r>
          </w:p>
        </w:tc>
      </w:tr>
      <w:tr>
        <w:trPr>
          <w:trHeight w:val="216"/>
        </w:trPr>
        <w:tc>
          <w:tcPr>
            <w:tcW w:w="5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Notice Agent</w:t>
            </w:r>
            <w:r>
              <w:rPr>
                <w:rFonts w:ascii="Times New Roman" w:cs="Times New Roman" w:eastAsia="Times New Roman" w:hAnsi="Times New Roman"/>
                <w:sz w:val="18"/>
                <w:szCs w:val="18"/>
                <w:color w:val="auto"/>
              </w:rPr>
              <w:t>”</w:t>
            </w:r>
          </w:p>
        </w:tc>
        <w:tc>
          <w:tcPr>
            <w:tcW w:w="57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5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optional sinking fund payment</w:t>
            </w:r>
            <w:r>
              <w:rPr>
                <w:rFonts w:ascii="Times New Roman" w:cs="Times New Roman" w:eastAsia="Times New Roman" w:hAnsi="Times New Roman"/>
                <w:sz w:val="18"/>
                <w:szCs w:val="18"/>
                <w:color w:val="auto"/>
              </w:rPr>
              <w:t>”</w:t>
            </w:r>
          </w:p>
        </w:tc>
        <w:tc>
          <w:tcPr>
            <w:tcW w:w="57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11.1</w:t>
            </w:r>
          </w:p>
        </w:tc>
      </w:tr>
      <w:tr>
        <w:trPr>
          <w:trHeight w:val="216"/>
        </w:trPr>
        <w:tc>
          <w:tcPr>
            <w:tcW w:w="5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Paying Agent</w:t>
            </w:r>
            <w:r>
              <w:rPr>
                <w:rFonts w:ascii="Times New Roman" w:cs="Times New Roman" w:eastAsia="Times New Roman" w:hAnsi="Times New Roman"/>
                <w:sz w:val="18"/>
                <w:szCs w:val="18"/>
                <w:color w:val="auto"/>
              </w:rPr>
              <w:t>”</w:t>
            </w:r>
          </w:p>
        </w:tc>
        <w:tc>
          <w:tcPr>
            <w:tcW w:w="57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5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Registrar</w:t>
            </w:r>
            <w:r>
              <w:rPr>
                <w:rFonts w:ascii="Times New Roman" w:cs="Times New Roman" w:eastAsia="Times New Roman" w:hAnsi="Times New Roman"/>
                <w:sz w:val="18"/>
                <w:szCs w:val="18"/>
                <w:color w:val="auto"/>
              </w:rPr>
              <w:t>”</w:t>
            </w:r>
          </w:p>
        </w:tc>
        <w:tc>
          <w:tcPr>
            <w:tcW w:w="57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5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Required Currency</w:t>
            </w:r>
            <w:r>
              <w:rPr>
                <w:rFonts w:ascii="Times New Roman" w:cs="Times New Roman" w:eastAsia="Times New Roman" w:hAnsi="Times New Roman"/>
                <w:sz w:val="18"/>
                <w:szCs w:val="18"/>
                <w:color w:val="auto"/>
              </w:rPr>
              <w:t>”</w:t>
            </w:r>
          </w:p>
        </w:tc>
        <w:tc>
          <w:tcPr>
            <w:tcW w:w="57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10.16</w:t>
            </w:r>
          </w:p>
        </w:tc>
      </w:tr>
      <w:tr>
        <w:trPr>
          <w:trHeight w:val="236"/>
        </w:trPr>
        <w:tc>
          <w:tcPr>
            <w:tcW w:w="5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successor person</w:t>
            </w:r>
            <w:r>
              <w:rPr>
                <w:rFonts w:ascii="Times New Roman" w:cs="Times New Roman" w:eastAsia="Times New Roman" w:hAnsi="Times New Roman"/>
                <w:sz w:val="18"/>
                <w:szCs w:val="18"/>
                <w:color w:val="auto"/>
              </w:rPr>
              <w:t>”</w:t>
            </w:r>
          </w:p>
        </w:tc>
        <w:tc>
          <w:tcPr>
            <w:tcW w:w="57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5.1</w:t>
            </w:r>
          </w:p>
        </w:tc>
      </w:tr>
      <w:tr>
        <w:trPr>
          <w:trHeight w:val="655"/>
        </w:trPr>
        <w:tc>
          <w:tcPr>
            <w:tcW w:w="86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34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55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2"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color w:val="auto"/>
        </w:rPr>
        <w:t xml:space="preserve">Section 1.3 </w:t>
      </w:r>
      <w:r>
        <w:rPr>
          <w:rFonts w:ascii="Times New Roman" w:cs="Times New Roman" w:eastAsia="Times New Roman" w:hAnsi="Times New Roman"/>
          <w:sz w:val="18"/>
          <w:szCs w:val="18"/>
          <w:u w:val="single" w:color="auto"/>
          <w:color w:val="auto"/>
        </w:rPr>
        <w:t>Incorporation by Reference of Trust Indenture Act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Whenever this Indenture refers to a provision of the TIA, the provision is incorporated by reference in and made a part of this Indenture. The following TIA terms used in this Indenture have the following meanings: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Commission</w:t>
      </w:r>
      <w:r>
        <w:rPr>
          <w:rFonts w:ascii="Times New Roman" w:cs="Times New Roman" w:eastAsia="Times New Roman" w:hAnsi="Times New Roman"/>
          <w:sz w:val="18"/>
          <w:szCs w:val="18"/>
          <w:color w:val="auto"/>
        </w:rPr>
        <w:t>” means the SEC.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indenture securities</w:t>
      </w:r>
      <w:r>
        <w:rPr>
          <w:rFonts w:ascii="Times New Roman" w:cs="Times New Roman" w:eastAsia="Times New Roman" w:hAnsi="Times New Roman"/>
          <w:sz w:val="18"/>
          <w:szCs w:val="18"/>
          <w:color w:val="auto"/>
        </w:rPr>
        <w:t>” means the Securities.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indenture security holder</w:t>
      </w:r>
      <w:r>
        <w:rPr>
          <w:rFonts w:ascii="Times New Roman" w:cs="Times New Roman" w:eastAsia="Times New Roman" w:hAnsi="Times New Roman"/>
          <w:sz w:val="18"/>
          <w:szCs w:val="18"/>
          <w:color w:val="auto"/>
        </w:rPr>
        <w:t>” means a Security Holder.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indenture to be qualified</w:t>
      </w:r>
      <w:r>
        <w:rPr>
          <w:rFonts w:ascii="Times New Roman" w:cs="Times New Roman" w:eastAsia="Times New Roman" w:hAnsi="Times New Roman"/>
          <w:sz w:val="18"/>
          <w:szCs w:val="18"/>
          <w:color w:val="auto"/>
        </w:rPr>
        <w:t>” means this Indenture.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indenture trustee</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i w:val="1"/>
          <w:iCs w:val="1"/>
          <w:color w:val="auto"/>
        </w:rPr>
        <w:t>institutional trustee</w:t>
      </w:r>
      <w:r>
        <w:rPr>
          <w:rFonts w:ascii="Times New Roman" w:cs="Times New Roman" w:eastAsia="Times New Roman" w:hAnsi="Times New Roman"/>
          <w:sz w:val="18"/>
          <w:szCs w:val="18"/>
          <w:color w:val="auto"/>
        </w:rPr>
        <w:t>” means the Trustee.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obligor</w:t>
      </w:r>
      <w:r>
        <w:rPr>
          <w:rFonts w:ascii="Times New Roman" w:cs="Times New Roman" w:eastAsia="Times New Roman" w:hAnsi="Times New Roman"/>
          <w:sz w:val="18"/>
          <w:szCs w:val="18"/>
          <w:color w:val="auto"/>
        </w:rPr>
        <w:t>” on the indenture securities means the Company and any successor obligor upon the Securities.</w:t>
      </w:r>
    </w:p>
    <w:p>
      <w:pPr>
        <w:spacing w:after="0" w:line="22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All other terms used in this Indenture that are defined by the TIA, defined by TIA reference to another statute or defined by SEC rule under the TIA and not otherwise defined herein are used herein as so defined.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1.4 </w:t>
      </w:r>
      <w:r>
        <w:rPr>
          <w:rFonts w:ascii="Times New Roman" w:cs="Times New Roman" w:eastAsia="Times New Roman" w:hAnsi="Times New Roman"/>
          <w:sz w:val="18"/>
          <w:szCs w:val="18"/>
          <w:u w:val="single" w:color="auto"/>
          <w:color w:val="auto"/>
        </w:rPr>
        <w:t>Rules of Construction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Unless the context otherwise requires:</w:t>
      </w:r>
    </w:p>
    <w:p>
      <w:pPr>
        <w:spacing w:after="0" w:line="225" w:lineRule="exact"/>
        <w:rPr>
          <w:sz w:val="20"/>
          <w:szCs w:val="20"/>
          <w:color w:val="auto"/>
        </w:rPr>
      </w:pPr>
    </w:p>
    <w:p>
      <w:pPr>
        <w:ind w:left="260" w:hanging="252"/>
        <w:spacing w:after="0"/>
        <w:tabs>
          <w:tab w:leader="none" w:pos="2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term has the meaning assigned to it;</w:t>
      </w:r>
    </w:p>
    <w:p>
      <w:pPr>
        <w:spacing w:after="0" w:line="225"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accounting term not otherwise defined has the meaning assigned to it in accordance with GAAP;</w:t>
      </w:r>
    </w:p>
    <w:p>
      <w:pPr>
        <w:spacing w:after="0" w:line="225"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 is not exclusive;</w:t>
      </w:r>
    </w:p>
    <w:p>
      <w:pPr>
        <w:spacing w:after="0" w:line="225"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words in the singular include the plural, and in the plural include the singular; and</w:t>
      </w:r>
    </w:p>
    <w:p>
      <w:pPr>
        <w:spacing w:after="0" w:line="225"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apply to successive events and transactions.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2.1 </w:t>
      </w:r>
      <w:r>
        <w:rPr>
          <w:rFonts w:ascii="Times New Roman" w:cs="Times New Roman" w:eastAsia="Times New Roman" w:hAnsi="Times New Roman"/>
          <w:sz w:val="18"/>
          <w:szCs w:val="18"/>
          <w:u w:val="single" w:color="auto"/>
          <w:color w:val="auto"/>
        </w:rPr>
        <w:t>Issuable in Series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aggregate principal amount of Securities that may be authenticated and delivered under this Indenture is unlimited. The Securities may be issued in one or more Series. All Securities of a Series shall be identical except as may be set forth or determined in the manner provided in a Board Resolution, supplemental indenture or Officers’ Certificate detailing the adoption of the terms thereof pursuant to authority granted under a Board Resolution. In the case of Securities of a Series to be issued from time to time, the Board Resolution, Officers’ Certificate or supplemental indenture detailing the adoption of the terms thereof pursuant to authority granted under a Board Resolution may provide for the method by which specified terms (such as interest rate, maturity date, record date or date from which interest shall accrue) are to be determined. Securities may differ between Series in respect of any matters, provided that all Series of Securities shall be equally and ratably entitled to the benefits of the Indenture.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2.2 </w:t>
      </w:r>
      <w:r>
        <w:rPr>
          <w:rFonts w:ascii="Times New Roman" w:cs="Times New Roman" w:eastAsia="Times New Roman" w:hAnsi="Times New Roman"/>
          <w:sz w:val="18"/>
          <w:szCs w:val="18"/>
          <w:u w:val="single" w:color="auto"/>
          <w:color w:val="auto"/>
        </w:rPr>
        <w:t>Establishment of Terms of Series of Securities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or prior to the issuance of any Securities within a Series, the following shall be established (as to the Series generally, in the case of Subsection 2.2(a) and either as to such Securities within the Series or as to the Series generally in the case of Subsections 2.2(b) through 2.2(u)) by or pursuant to a Board Resolution, and set forth or determined in the manner provided in a Board Resolution or Officers’ Certificate, and associated supplemental indenture:</w:t>
      </w:r>
    </w:p>
    <w:p>
      <w:pPr>
        <w:spacing w:after="0" w:line="176" w:lineRule="exact"/>
        <w:rPr>
          <w:sz w:val="20"/>
          <w:szCs w:val="20"/>
          <w:color w:val="auto"/>
        </w:rPr>
      </w:pPr>
    </w:p>
    <w:p>
      <w:pPr>
        <w:ind w:left="5580" w:right="2060" w:hanging="5572"/>
        <w:spacing w:after="0" w:line="783" w:lineRule="auto"/>
        <w:tabs>
          <w:tab w:leader="none" w:pos="254"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the Series (which shall distinguish the Securities of that particular Series from the Securities of any other Series);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-296545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9" w:name="page50"/>
    <w:bookmarkEnd w:id="49"/>
    <w:p>
      <w:pPr>
        <w:ind w:left="260" w:hanging="252"/>
        <w:spacing w:after="0"/>
        <w:tabs>
          <w:tab w:leader="none" w:pos="2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or prices (expressed as a percentage of the principal amount thereof) at which the Securities of the Series will be issued;</w:t>
      </w:r>
    </w:p>
    <w:p>
      <w:pPr>
        <w:spacing w:after="0" w:line="225" w:lineRule="exact"/>
        <w:rPr>
          <w:rFonts w:ascii="Times New Roman" w:cs="Times New Roman" w:eastAsia="Times New Roman" w:hAnsi="Times New Roman"/>
          <w:sz w:val="18"/>
          <w:szCs w:val="18"/>
          <w:color w:val="auto"/>
        </w:rPr>
      </w:pPr>
    </w:p>
    <w:p>
      <w:pPr>
        <w:jc w:val="both"/>
        <w:ind w:firstLine="8"/>
        <w:spacing w:after="0" w:line="266" w:lineRule="auto"/>
        <w:tabs>
          <w:tab w:leader="none" w:pos="249"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limit upon the aggregate principal amount of the Securities of the Series which may be authenticated and delivered under this Indenture (except for Securities authenticated and delivered upon registration of transfer of, or in exchange for, or in lieu of, other Securities of the Series pursuant to Section 2.7, 2.8, 2.11, 3.6 or 9.6);</w:t>
      </w:r>
    </w:p>
    <w:p>
      <w:pPr>
        <w:spacing w:after="0" w:line="175"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on which the principal of the Securities of the Series is payable;</w:t>
      </w:r>
    </w:p>
    <w:p>
      <w:pPr>
        <w:spacing w:after="0" w:line="225" w:lineRule="exact"/>
        <w:rPr>
          <w:rFonts w:ascii="Times New Roman" w:cs="Times New Roman" w:eastAsia="Times New Roman" w:hAnsi="Times New Roman"/>
          <w:sz w:val="18"/>
          <w:szCs w:val="18"/>
          <w:color w:val="auto"/>
        </w:rPr>
      </w:pPr>
    </w:p>
    <w:p>
      <w:pPr>
        <w:jc w:val="both"/>
        <w:ind w:firstLine="8"/>
        <w:spacing w:after="0" w:line="261" w:lineRule="auto"/>
        <w:tabs>
          <w:tab w:leader="none" w:pos="247"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or rates (which may be fixed or variable) per annum or, if applicable, the method used to determine such rate or rates (including, but not limited to, any commodity, commodity index, stock exchange index or financial index) at which the Securities of the Series shall bear interest, if any, the date or dates from which such interest, if any, shall accrue, the date or dates on which such interest, if any, shall commence and be payable and any regular record date for the interest payable on any interest payment date;</w:t>
      </w:r>
    </w:p>
    <w:p>
      <w:pPr>
        <w:spacing w:after="0" w:line="179" w:lineRule="exact"/>
        <w:rPr>
          <w:rFonts w:ascii="Times New Roman" w:cs="Times New Roman" w:eastAsia="Times New Roman" w:hAnsi="Times New Roman"/>
          <w:sz w:val="18"/>
          <w:szCs w:val="18"/>
          <w:color w:val="auto"/>
        </w:rPr>
      </w:pPr>
    </w:p>
    <w:p>
      <w:pPr>
        <w:jc w:val="both"/>
        <w:ind w:firstLine="8"/>
        <w:spacing w:after="0" w:line="266" w:lineRule="auto"/>
        <w:tabs>
          <w:tab w:leader="none" w:pos="227"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place or places where the principal of and interest, if any, on the Securities of the Series shall be payable, where the Securities of such Series may be surrendered for registration of transfer or exchange and where notices and demands to or upon the Company in respect of the Securities of such Series and this Indenture may be served, and the method of such payment, if by wire transfer, mail or other means;</w:t>
      </w:r>
    </w:p>
    <w:p>
      <w:pPr>
        <w:spacing w:after="0" w:line="175" w:lineRule="exact"/>
        <w:rPr>
          <w:rFonts w:ascii="Times New Roman" w:cs="Times New Roman" w:eastAsia="Times New Roman" w:hAnsi="Times New Roman"/>
          <w:sz w:val="18"/>
          <w:szCs w:val="18"/>
          <w:color w:val="auto"/>
        </w:rPr>
      </w:pPr>
    </w:p>
    <w:p>
      <w:pPr>
        <w:ind w:firstLine="8"/>
        <w:spacing w:after="0" w:line="282" w:lineRule="auto"/>
        <w:tabs>
          <w:tab w:leader="none" w:pos="2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period or periods within which, the price or prices at which and the terms and conditions upon which the Securities of the Series may be redeemed, in whole or in part, at the option of the Company;</w:t>
      </w:r>
    </w:p>
    <w:p>
      <w:pPr>
        <w:spacing w:after="0" w:line="161" w:lineRule="exact"/>
        <w:rPr>
          <w:rFonts w:ascii="Times New Roman" w:cs="Times New Roman" w:eastAsia="Times New Roman" w:hAnsi="Times New Roman"/>
          <w:sz w:val="18"/>
          <w:szCs w:val="18"/>
          <w:color w:val="auto"/>
        </w:rPr>
      </w:pPr>
    </w:p>
    <w:p>
      <w:pPr>
        <w:jc w:val="both"/>
        <w:ind w:firstLine="8"/>
        <w:spacing w:after="0" w:line="266" w:lineRule="auto"/>
        <w:tabs>
          <w:tab w:leader="none" w:pos="2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 if any, of the Company to redeem or purchase the Securities of the Series pursuant to any sinking fund or analogous provisions or at the option of a Holder thereof and the period or periods within which, the price or prices at which and the terms and conditions upon which Securities of the Series shall be redeemed or purchased, in whole or in part, pursuant to such obligation;</w:t>
      </w:r>
    </w:p>
    <w:p>
      <w:pPr>
        <w:spacing w:after="0" w:line="175" w:lineRule="exact"/>
        <w:rPr>
          <w:rFonts w:ascii="Times New Roman" w:cs="Times New Roman" w:eastAsia="Times New Roman" w:hAnsi="Times New Roman"/>
          <w:sz w:val="18"/>
          <w:szCs w:val="18"/>
          <w:color w:val="auto"/>
        </w:rPr>
      </w:pPr>
    </w:p>
    <w:p>
      <w:pPr>
        <w:ind w:right="20" w:firstLine="8"/>
        <w:spacing w:after="0" w:line="282" w:lineRule="auto"/>
        <w:tabs>
          <w:tab w:leader="none" w:pos="2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dates, if any, on which and the price or prices at which the Securities of the Series will be repurchased by the Company at the option of the Holders thereof and other detailed terms and provisions of such repurchase obligations;</w:t>
      </w:r>
    </w:p>
    <w:p>
      <w:pPr>
        <w:spacing w:after="0" w:line="161" w:lineRule="exact"/>
        <w:rPr>
          <w:rFonts w:ascii="Times New Roman" w:cs="Times New Roman" w:eastAsia="Times New Roman" w:hAnsi="Times New Roman"/>
          <w:sz w:val="18"/>
          <w:szCs w:val="18"/>
          <w:color w:val="auto"/>
        </w:rPr>
      </w:pPr>
    </w:p>
    <w:p>
      <w:pPr>
        <w:ind w:left="220" w:hanging="212"/>
        <w:spacing w:after="0"/>
        <w:tabs>
          <w:tab w:leader="none" w:pos="2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other than denominations of $1,000 and any integral multiple thereof, the denominations in which the Securities of the Series shall be issuable;</w:t>
      </w:r>
    </w:p>
    <w:p>
      <w:pPr>
        <w:spacing w:after="0" w:line="225"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forms of the Securities of the Series and whether the Securities will be issuable as Global Securities;</w:t>
      </w:r>
    </w:p>
    <w:p>
      <w:pPr>
        <w:spacing w:after="0" w:line="225" w:lineRule="exact"/>
        <w:rPr>
          <w:rFonts w:ascii="Times New Roman" w:cs="Times New Roman" w:eastAsia="Times New Roman" w:hAnsi="Times New Roman"/>
          <w:sz w:val="18"/>
          <w:szCs w:val="18"/>
          <w:color w:val="auto"/>
        </w:rPr>
      </w:pPr>
    </w:p>
    <w:p>
      <w:pPr>
        <w:ind w:firstLine="8"/>
        <w:spacing w:after="0" w:line="282" w:lineRule="auto"/>
        <w:tabs>
          <w:tab w:leader="none" w:pos="227"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other than the principal amount thereof, the portion of the principal amount of the Securities of the Series that shall be payable upon declaration of acceleration of the maturity thereof pursuant to Section 6.2;</w:t>
      </w:r>
    </w:p>
    <w:p>
      <w:pPr>
        <w:spacing w:after="0" w:line="161" w:lineRule="exact"/>
        <w:rPr>
          <w:rFonts w:ascii="Times New Roman" w:cs="Times New Roman" w:eastAsia="Times New Roman" w:hAnsi="Times New Roman"/>
          <w:sz w:val="18"/>
          <w:szCs w:val="18"/>
          <w:color w:val="auto"/>
        </w:rPr>
      </w:pPr>
    </w:p>
    <w:p>
      <w:pPr>
        <w:jc w:val="both"/>
        <w:ind w:firstLine="8"/>
        <w:spacing w:after="0" w:line="266" w:lineRule="auto"/>
        <w:tabs>
          <w:tab w:leader="none" w:pos="317"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of denomination of the Securities of the Series, which may be Dollars or any Foreign Currency, including, but not limited to, the ECU, and if such currency of denomination is a composite currency other than the ECU, the agency or organization, if any, responsible for overseeing such composite currency;</w:t>
      </w:r>
    </w:p>
    <w:p>
      <w:pPr>
        <w:spacing w:after="0" w:line="175" w:lineRule="exact"/>
        <w:rPr>
          <w:rFonts w:ascii="Times New Roman" w:cs="Times New Roman" w:eastAsia="Times New Roman" w:hAnsi="Times New Roman"/>
          <w:sz w:val="18"/>
          <w:szCs w:val="18"/>
          <w:color w:val="auto"/>
        </w:rPr>
      </w:pPr>
    </w:p>
    <w:p>
      <w:pPr>
        <w:ind w:firstLine="8"/>
        <w:spacing w:after="0" w:line="282" w:lineRule="auto"/>
        <w:tabs>
          <w:tab w:leader="none" w:pos="257"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of the currency, currencies or currency units in which payment of the principal of and interest, if any, on the Securities of the Series will be made;</w:t>
      </w:r>
    </w:p>
    <w:p>
      <w:pPr>
        <w:spacing w:after="0" w:line="161" w:lineRule="exact"/>
        <w:rPr>
          <w:rFonts w:ascii="Times New Roman" w:cs="Times New Roman" w:eastAsia="Times New Roman" w:hAnsi="Times New Roman"/>
          <w:sz w:val="18"/>
          <w:szCs w:val="18"/>
          <w:color w:val="auto"/>
        </w:rPr>
      </w:pPr>
    </w:p>
    <w:p>
      <w:pPr>
        <w:ind w:firstLine="8"/>
        <w:spacing w:after="0" w:line="282" w:lineRule="auto"/>
        <w:tabs>
          <w:tab w:leader="none" w:pos="256"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payments of principal of or interest, if any, on the Securities of the Series are to be made in one or more currencies or currency units other than that or those in which such Securities are denominated, the manner in which the exchange rate with respect to such payments will be determined;</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0" w:name="page51"/>
    <w:bookmarkEnd w:id="50"/>
    <w:p>
      <w:pPr>
        <w:jc w:val="both"/>
        <w:ind w:firstLine="8"/>
        <w:spacing w:after="0" w:line="266" w:lineRule="auto"/>
        <w:tabs>
          <w:tab w:leader="none" w:pos="261"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manner in which the amounts of payment of principal of or interest, if any, on the Securities of the Series will be determined, if such amounts may be determined by reference to an index based on a currency or currencies or by reference to a commodity, commodity index, stock exchange index or financial index;</w:t>
      </w:r>
    </w:p>
    <w:p>
      <w:pPr>
        <w:spacing w:after="0" w:line="175"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if any, relating to any security provided for the Securities of the Series;</w:t>
      </w:r>
    </w:p>
    <w:p>
      <w:pPr>
        <w:spacing w:after="0" w:line="225" w:lineRule="exact"/>
        <w:rPr>
          <w:rFonts w:ascii="Times New Roman" w:cs="Times New Roman" w:eastAsia="Times New Roman" w:hAnsi="Times New Roman"/>
          <w:sz w:val="18"/>
          <w:szCs w:val="18"/>
          <w:color w:val="auto"/>
        </w:rPr>
      </w:pPr>
    </w:p>
    <w:p>
      <w:pPr>
        <w:ind w:right="20" w:firstLine="8"/>
        <w:spacing w:after="0" w:line="282" w:lineRule="auto"/>
        <w:tabs>
          <w:tab w:leader="none" w:pos="22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 to or change in the Events of Default which applies to any Securities of the Series and any change in the right of the Trustee or the requisite Holders of such Securities to declare the principal amount thereof due and payable pursuant to Section 6.2;</w:t>
      </w:r>
    </w:p>
    <w:p>
      <w:pPr>
        <w:spacing w:after="0" w:line="161"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 to or change in the covenants set forth in Articles IV or V which applies to Securities of the Series;</w:t>
      </w:r>
    </w:p>
    <w:p>
      <w:pPr>
        <w:spacing w:after="0" w:line="225" w:lineRule="exact"/>
        <w:rPr>
          <w:rFonts w:ascii="Times New Roman" w:cs="Times New Roman" w:eastAsia="Times New Roman" w:hAnsi="Times New Roman"/>
          <w:sz w:val="18"/>
          <w:szCs w:val="18"/>
          <w:color w:val="auto"/>
        </w:rPr>
      </w:pPr>
    </w:p>
    <w:p>
      <w:pPr>
        <w:ind w:firstLine="8"/>
        <w:spacing w:after="0" w:line="282" w:lineRule="auto"/>
        <w:tabs>
          <w:tab w:leader="none" w:pos="231"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the Securities of the Series (which may supplement, modify or delete any provision of this Indenture insofar as it applies to such Series); and</w:t>
      </w:r>
    </w:p>
    <w:p>
      <w:pPr>
        <w:spacing w:after="0" w:line="161" w:lineRule="exact"/>
        <w:rPr>
          <w:rFonts w:ascii="Times New Roman" w:cs="Times New Roman" w:eastAsia="Times New Roman" w:hAnsi="Times New Roman"/>
          <w:sz w:val="18"/>
          <w:szCs w:val="18"/>
          <w:color w:val="auto"/>
        </w:rPr>
      </w:pPr>
    </w:p>
    <w:p>
      <w:pPr>
        <w:ind w:firstLine="8"/>
        <w:spacing w:after="0" w:line="282" w:lineRule="auto"/>
        <w:tabs>
          <w:tab w:leader="none" w:pos="262"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depositaries, interest rate calculation agents, exchange rate calculation agents or other agents with respect to Securities of such Series if other than those appointed herein.</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All Securities of any one Series need not be issued at the same time and may be issued from time to time, consistent with the terms of this Indenture, if so provided by or pursuant to the Board Resolution, supplemental indenture hereto or Officers’ Certificate referred to above.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2.3 </w:t>
      </w:r>
      <w:r>
        <w:rPr>
          <w:rFonts w:ascii="Times New Roman" w:cs="Times New Roman" w:eastAsia="Times New Roman" w:hAnsi="Times New Roman"/>
          <w:sz w:val="18"/>
          <w:szCs w:val="18"/>
          <w:u w:val="single" w:color="auto"/>
          <w:color w:val="auto"/>
        </w:rPr>
        <w:t>Execution and Authentication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Two Officers shall sign the Securities for the Company by manual or facsimile signature.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an Officer whose signature is on a Security no longer holds that office at the time the Security is authenticated, the Security shall nevertheless be valid.</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 Security shall not be valid until authenticated by the manual or facsimile signature of the Trustee or an authenticating agent. The signature shall be conclusive evidence that the Security has been authenticated under this Indenture.</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Trustee shall at any time, and from time to time, authenticate Securities for original issue in the principal amount provided in the Board Resolution, supplemental indenture hereto or Officers’ Certificate, upon receipt by the Trustee of a Company Order. Each Security shall be dated the date of its authentication unless otherwise provided by a Board Resolution, a supplemental indenture hereto or an Officers’ Certificate.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aggregate principal amount of Securities of any Series outstanding at any time may not exceed any limit upon the maximum principal amount for such Series set forth in the Board Resolution, supplemental indenture hereto or Officers’ Certificate delivered pursuant to Section 2.2, except as provided in Section 2.8.</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Prior to the issuance of Securities of any Series, the Trustee shall have received and (subject to Section 7.2) shall be fully protected in relying on: (a) the Board Resolution, supplemental indenture hereto or Officers’ Certificate establishing the form of the Securities of that Series or of Securities within that Series and the terms of the Securities of that Series or of Securities within that Series, (b) an Officers’ Certificate complying with Section 10.4, and (c) an Opinion of Counsel complying with Section 10.4.</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Trustee shall have the right to decline to authenticate and deliver any Securities of such Series: (a) if the Trustee, being advised by counsel, determines that such action may not be taken lawfully; or (b) if the Trustee in good faith by its board of directors or trustees, executive committee or a trust committee of directors and/or vice-presidents shall determine that such action would expose the Trustee to personal liability to Holders of any then outstanding Series of Securities.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Trustee may appoint an authenticating agent acceptable to the Company to authenticate Securities. An authenticating agent may authenticate Securities whenever the Trustee may do so. Each reference in this Indenture to authentication by the Trustee includes authentication by such agent. An authenticating agent has the same rights as an Agent to deal with the Company or an Affiliate of the Company.</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color w:val="auto"/>
        </w:rPr>
        <w:t xml:space="preserve">Section 2.4 </w:t>
      </w:r>
      <w:r>
        <w:rPr>
          <w:rFonts w:ascii="Times New Roman" w:cs="Times New Roman" w:eastAsia="Times New Roman" w:hAnsi="Times New Roman"/>
          <w:sz w:val="18"/>
          <w:szCs w:val="18"/>
          <w:u w:val="single" w:color="auto"/>
          <w:color w:val="auto"/>
        </w:rPr>
        <w:t>Registrar and Paying Agent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shall maintain, with respect to each Series of Securities, at the place or places specified with respect to such Series pursuant to Section 2.2, an office or agency where Securities of such Series may be presented or surrendered for payment (“Paying Agent”), where Securities of such Series may be surrendered for registration of transfer or exchange (“Registrar”) and where notices and demands to or upon the Company in respect of the Securities of such Series and this Indenture may be delivered (“Notice Agent”). The Trustee or Notice Agent, as applicable, shall deliver such notices and demands to the Company in accordance with Section 10.2 hereof. The Registrar shall keep a register with respect to each Series of Securities and to their transfer and exchange. The Company will give prompt written notice to the Trustee of the name and address, and any change in the name or address, of each Registrar, Paying Agent or Notice Agent. If at any time the Company shall fail to maintain any such required Registrar, Paying Agent or Notice Agent or shall fail to furnish the Trustee with the name and address thereof, such presentations, surrenders, notices and demands may be made or delivered at the Corporate Trust Office of the Trustee, and the Company hereby appoints the Trustee as its agent to receive all such presentations, surrenders, notices and demands.</w:t>
      </w:r>
    </w:p>
    <w:p>
      <w:pPr>
        <w:spacing w:after="0" w:line="18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may also from time to time designate one or more co-registrars, additional paying agents or notice agents and may from time to time rescind such designations; provided, however, that no such designation or rescission shall in any manner relieve the Company of its obligations to maintain a Registrar, Paying Agent and Notice Agent in each place so specified pursuant to Section 2.2 for Securities of any Series for such purposes. The Company will give prompt written notice to the Trustee of any such designation or rescission and of any change in the name or address of any such co-registrar, additional paying agent or notice agent. The term “Registrar” includes any co-registrar; the term “Paying Agent” includes any additional paying agent; and the term “Notice Agent” includes any additional notice agent.</w:t>
      </w:r>
    </w:p>
    <w:p>
      <w:pPr>
        <w:spacing w:after="0" w:line="18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hereby appoints the Trustee the initial Registrar, Paying Agent and Notice Agent for each Series unless another Registrar, Paying Agent or Notice Agent, as the case may be, is appointed prior to the time Securities of that Series are first issued.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hereby appoints The Depository Trust Company to act as Depositary with respect to the Securities.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2.5 </w:t>
      </w:r>
      <w:r>
        <w:rPr>
          <w:rFonts w:ascii="Times New Roman" w:cs="Times New Roman" w:eastAsia="Times New Roman" w:hAnsi="Times New Roman"/>
          <w:sz w:val="18"/>
          <w:szCs w:val="18"/>
          <w:u w:val="single" w:color="auto"/>
          <w:color w:val="auto"/>
        </w:rPr>
        <w:t>Paying Agent to Hold Money in Trust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shall require each Paying Agent other than the Trustee to agree in writing that the Paying Agent will hold in trust, for the benefit of Security Holders of any Series of Securities, or the Trustee, all money held by the Paying Agent for the payment of principal of or interest on the Series of Securities, and will notify the Trustee of any default by the Company in making any such payment. While any such default continues, the Trustee may require a Paying Agent to pay all money held by it to the Trustee. The Company at any time may require a Paying Agent to pay all money held by it to the Trustee. Upon payment over to the Trustee, the Paying Agent (if other than the Company or a Subsidiary of the Company) shall have no further liability for the money. If the Company or a Subsidiary of the Company acts as Paying Agent, it shall segregate and hold in a separate trust fund for the benefit of Security Holders of any Series of Securities all money held by it as Paying Agent.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2.6 </w:t>
      </w:r>
      <w:r>
        <w:rPr>
          <w:rFonts w:ascii="Times New Roman" w:cs="Times New Roman" w:eastAsia="Times New Roman" w:hAnsi="Times New Roman"/>
          <w:sz w:val="18"/>
          <w:szCs w:val="18"/>
          <w:u w:val="single" w:color="auto"/>
          <w:color w:val="auto"/>
        </w:rPr>
        <w:t>Security Holder Lists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Trustee shall preserve in as current a form as is reasonably practicable the most recent list available to it of the names and addresses of Security Holders of each Series of Securities and shall otherwise comply with TIA § 312(a). If the Trustee is not the Registrar, the Company shall furnish to the Trustee at least ten days before each interest payment date and at such other times as the Trustee may request in writing a list, in such form and as of such date as the Trustee may reasonably require, of the names and addresses of Security Holders of each Series of Securities.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color w:val="auto"/>
        </w:rPr>
        <w:t xml:space="preserve">Section 2.7 </w:t>
      </w:r>
      <w:r>
        <w:rPr>
          <w:rFonts w:ascii="Times New Roman" w:cs="Times New Roman" w:eastAsia="Times New Roman" w:hAnsi="Times New Roman"/>
          <w:sz w:val="18"/>
          <w:szCs w:val="18"/>
          <w:u w:val="single" w:color="auto"/>
          <w:color w:val="auto"/>
        </w:rPr>
        <w:t>Transfer and Exchange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Where Securities of a Series are presented to the Registrar or a co-registrar with a request to register a transfer or to exchange them for an equal principal amount of Securities of the same Series, the Registrar shall register the transfer or make the exchange if its requirements for such transactions are met. To permit registrations of transfers and exchanges, the Trustee shall authenticate Securities upon receipt of a Company Order. No service charge shall be made for any registration of transfer or exchange (except as otherwise expressly permitted herein), but the Company may require payment of a sum sufficient to cover any transfer tax or similar governmental charge payable in connection therewith (other than any such transfer tax or similar governmental charge payable upon exchanges pursuant to Sections 2.11, 3.6 or 9.6).</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Neither the Company nor the Registrar shall be required (a) to issue, register the transfer of, or exchange Securities of any Series for the period beginning at the opening of business fifteen days immediately preceding the mailing of a notice of redemption of Securities of that Series selected for redemption and ending at the close of business on the day of such mailing, or (b) to register the transfer of or exchange Securities of any Series selected, called or being called for redemption as a whole or the portion being redeemed of any such Securities selected, called or being called for redemption in part.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2.8 </w:t>
      </w:r>
      <w:r>
        <w:rPr>
          <w:rFonts w:ascii="Times New Roman" w:cs="Times New Roman" w:eastAsia="Times New Roman" w:hAnsi="Times New Roman"/>
          <w:sz w:val="18"/>
          <w:szCs w:val="18"/>
          <w:u w:val="single" w:color="auto"/>
          <w:color w:val="auto"/>
        </w:rPr>
        <w:t>Mutilated, Destroyed, Lost and Stolen Securities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any mutilated Security is surrendered to the Trustee, the Company shall execute and the Trustee, upon receipt of a Company Order, shall authenticate and deliver in exchange therefor a new Security of the same Series and of like tenor and principal amount and bearing a number not contemporaneously outstanding.</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there shall be delivered to the Company and the Trustee (i) evidence to their satisfaction of the destruction, loss or theft of any Security and (ii) such security or indemnity as may be required by them to save each of them and any agent of either of them harmless, then, in the absence of notice to the Company or the Trustee that such Security has been acquired by a bona fide purchaser, the Company shall execute and the Trustee, upon receipt of a Company Order, shall authenticate and make available for delivery, in lieu of any such destroyed, lost or stolen Security, a new Security of the same Series and of like tenor and principal amount and bearing a number not contemporaneously outstanding.</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case any such mutilated, destroyed, lost or stolen Security has become or is about to become due and payable, the Company in its discretion may, instead of issuing a new Security, pay such Security.</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Upon the issuance of any new Security under this Section, the Company may require the payment of a sum sufficient to cover any tax or other governmental charge that may be imposed in relation thereto and any other expenses (including the fees and expenses of the Trustee) connected therewith.</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Every new Security of any Series issued pursuant to this Section in lieu of any destroyed, lost or stolen Security shall constitute an original additional contractual obligation of the Company, whether or not the destroyed, lost or stolen Security shall be at any time enforceable by anyone, and shall be entitled to all the benefits of this Indenture equally and proportionately with any and all other Securities of that Series duly issued hereunder.</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provisions of this Section are exclusive and shall preclude (to the extent lawful) all other rights and remedies with respect to the replacement or payment of mutilated, destroyed, lost or stolen Securities.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2.9 </w:t>
      </w:r>
      <w:r>
        <w:rPr>
          <w:rFonts w:ascii="Times New Roman" w:cs="Times New Roman" w:eastAsia="Times New Roman" w:hAnsi="Times New Roman"/>
          <w:sz w:val="18"/>
          <w:szCs w:val="18"/>
          <w:u w:val="single" w:color="auto"/>
          <w:color w:val="auto"/>
        </w:rPr>
        <w:t>Outstanding Securities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Securities outstanding at any time are all the Securities authenticated by the Trustee except for those canceled by it, those delivered to it for cancellation, those reductions in the interest on a Global Security effected by the Trustee in accordance with the provisions hereof and those described in this Section as not outstanding.</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a Security is replaced pursuant to Section 2.8, it ceases to be outstanding until the Trustee receives proof satisfactory to it that the replaced Security is held by a bona fide purchaser.</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3" w:name="page54"/>
    <w:bookmarkEnd w:id="53"/>
    <w:p>
      <w:pPr>
        <w:jc w:val="both"/>
        <w:spacing w:after="0" w:line="266" w:lineRule="auto"/>
        <w:rPr>
          <w:sz w:val="20"/>
          <w:szCs w:val="20"/>
          <w:color w:val="auto"/>
        </w:rPr>
      </w:pPr>
      <w:r>
        <w:rPr>
          <w:rFonts w:ascii="Times New Roman" w:cs="Times New Roman" w:eastAsia="Times New Roman" w:hAnsi="Times New Roman"/>
          <w:sz w:val="18"/>
          <w:szCs w:val="18"/>
          <w:color w:val="auto"/>
        </w:rPr>
        <w:t>If the Paying Agent (other than the Company, a Subsidiary of the Company or an Affiliate of the Company) holds on the Maturity of Securities of a Series money sufficient to pay such Securities payable on that date, then on and after that date such Securities of the Series cease to be outstanding and interest on them ceases to accrue.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Security does not cease to be outstanding because the Company or an Affiliate of the Company holds the Security.</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determining whether the Holders of the requisite principal amount of outstanding Securities have given any request, demand, authorization, direction, notice, consent or waiver hereunder, the principal amount of a Discount Security that shall be deemed to be outstanding for such purposes shall be the amount of the principal thereof that would be due and payable as of the date of such determination upon a declaration of acceleration of the Maturity thereof pursuant to Section 6.2.</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2.10 </w:t>
      </w:r>
      <w:r>
        <w:rPr>
          <w:rFonts w:ascii="Times New Roman" w:cs="Times New Roman" w:eastAsia="Times New Roman" w:hAnsi="Times New Roman"/>
          <w:sz w:val="18"/>
          <w:szCs w:val="18"/>
          <w:u w:val="single" w:color="auto"/>
          <w:color w:val="auto"/>
        </w:rPr>
        <w:t>Treasury Securities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determining whether the Holders of the required principal amount of Securities of a Series have concurred in any request, demand, authorization, direction, notice, consent or waiver, Securities of a Series owned by the Company or any Affiliate of the Company shall be disregarded, except that for the purposes of determining whether the Trustee shall be protected in relying on any such request, demand, authorization, direction, notice, consent or waiver only Securities of a Series that the Trustee knows are so owned shall be so disregarded.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2.11 </w:t>
      </w:r>
      <w:r>
        <w:rPr>
          <w:rFonts w:ascii="Times New Roman" w:cs="Times New Roman" w:eastAsia="Times New Roman" w:hAnsi="Times New Roman"/>
          <w:sz w:val="18"/>
          <w:szCs w:val="18"/>
          <w:u w:val="single" w:color="auto"/>
          <w:color w:val="auto"/>
        </w:rPr>
        <w:t>Temporary Securities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Until definitive Securities are ready for delivery, the Company may prepare and the Trustee, upon receipt of a Company Order, shall authenticate temporary Securities upon a Company Order. Temporary Securities shall be substantially in the form of definitive Securities but may have variations that the Company considers appropriate for temporary Securities. Without unreasonable delay, the Company shall prepare and the Trustee, upon receipt of a Company Order, shall authenticate definitive Securities of the same Series and date of maturity in exchange for temporary Securities. Until so exchanged, temporary securities shall have the same rights under this Indenture as the definitive Securities.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2.12 </w:t>
      </w:r>
      <w:r>
        <w:rPr>
          <w:rFonts w:ascii="Times New Roman" w:cs="Times New Roman" w:eastAsia="Times New Roman" w:hAnsi="Times New Roman"/>
          <w:sz w:val="18"/>
          <w:szCs w:val="18"/>
          <w:u w:val="single" w:color="auto"/>
          <w:color w:val="auto"/>
        </w:rPr>
        <w:t>Cancellation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at any time may deliver Securities to the Trustee for cancellation. The Registrar and the Paying Agent shall forward to the Trustee any Securities surrendered to them for registration of transfer, exchange or payment. Upon receipt of written instruction from the Company, the Trustee shall cancel all Securities surrendered for transfer, exchange, payment, replacement or cancellation and shall destroy such canceled Securities and deliver a certificate of such destruction to the Company, unless the Company otherwise directs. The Company may not issue new Securities to replace Securities that it has paid or delivered to the Trustee for cancellation.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2.13 </w:t>
      </w:r>
      <w:r>
        <w:rPr>
          <w:rFonts w:ascii="Times New Roman" w:cs="Times New Roman" w:eastAsia="Times New Roman" w:hAnsi="Times New Roman"/>
          <w:sz w:val="18"/>
          <w:szCs w:val="18"/>
          <w:u w:val="single" w:color="auto"/>
          <w:color w:val="auto"/>
        </w:rPr>
        <w:t>Defaulted Interest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the Company defaults in a payment of interest on a Series of Securities, it shall pay the defaulted interest, plus, to the extent permitted by law, any interest payable on the defaulted interest, to the persons who are Security Holders of the Series on a subsequent special record date. The Company shall fix the record date and payment date. At least 10 days before the record date, the Company shall mail to the Trustee and to each Security Holder of the Series a notice that states the record date, the payment date and the amount of interest to be paid. The Company may pay defaulted interest in any other lawful manner.</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2.14 </w:t>
      </w:r>
      <w:r>
        <w:rPr>
          <w:rFonts w:ascii="Times New Roman" w:cs="Times New Roman" w:eastAsia="Times New Roman" w:hAnsi="Times New Roman"/>
          <w:sz w:val="18"/>
          <w:szCs w:val="18"/>
          <w:u w:val="single" w:color="auto"/>
          <w:color w:val="auto"/>
        </w:rPr>
        <w:t>Global Securities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8"/>
        <w:spacing w:after="0" w:line="282" w:lineRule="auto"/>
        <w:tabs>
          <w:tab w:leader="none" w:pos="244"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Terms of Securities</w:t>
      </w:r>
      <w:r>
        <w:rPr>
          <w:rFonts w:ascii="Times New Roman" w:cs="Times New Roman" w:eastAsia="Times New Roman" w:hAnsi="Times New Roman"/>
          <w:sz w:val="18"/>
          <w:szCs w:val="18"/>
          <w:color w:val="auto"/>
        </w:rPr>
        <w:t>. A Board Resolution, a supplemental indenture hereto or an Officers’ Certificate shall establish whether the Securities of a Series shall be issued in whole or in part in the form of one or more Global Securities and the Depositary for such Global Security or Securities.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4" w:name="page55"/>
    <w:bookmarkEnd w:id="54"/>
    <w:p>
      <w:pPr>
        <w:jc w:val="both"/>
        <w:ind w:firstLine="8"/>
        <w:spacing w:after="0" w:line="254" w:lineRule="auto"/>
        <w:tabs>
          <w:tab w:leader="none" w:pos="268"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 and Exchange</w:t>
      </w:r>
      <w:r>
        <w:rPr>
          <w:rFonts w:ascii="Times New Roman" w:cs="Times New Roman" w:eastAsia="Times New Roman" w:hAnsi="Times New Roman"/>
          <w:sz w:val="18"/>
          <w:szCs w:val="18"/>
          <w:color w:val="auto"/>
        </w:rPr>
        <w:t>. Notwithstanding any provisions to the contrary contained in Section 2.7 of the Indenture and in addition thereto, any Global Security shall be exchangeable pursuant to Section 2.7 of the Indenture for Securities registered in the names of Holders other than the Depositary for such Security or its nominee only if (i) such Depositary notifies the Company that it is unwilling or unable to continue as Depositary for such Global Security or if at any time such Depositary ceases to be a clearing agency registered under the Exchange Act, and, in either case, the Company fails to appoint a successor Depositary registered as a clearing agency under the Exchange Act within 90 days of such event or (ii) the Company executes and delivers to the Trustee an Officers’ Certificate to the effect that such Global Security shall be so exchangeable. Any Global Security that is exchangeable pursuant to the preceding sentence shall be exchangeable for Securities registered in such names as the Depositary shall direct in writing in an aggregate principal amount equal to the principal amount of the Global Security with like tenor and terms.</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Except as provided in this Section 2.14(b), a Global Security may not be transferred except as a whole by the Depositary with respect to such Global Security to a nominee of such Depositary, by a nominee of such Depositary to such Depositary or another nominee of such Depositary or by the Depositary or any such nominee to a successor Depositary or a nominee of such a successor Depositary.</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Trustee shall have no obligation or duty to monitor, determine or inquire as to compliance with any restrictions on transfer imposed under this Indenture or under applicable law with respect to any transfer of any interest in any Security other than to require delivery of such certificates and other documentation or evidence as are expressly required by, and to do so if and when expressly required by the terms of, this Indenture, and to examine the same to determine substantial compliance as to form with the express requirements hereof.</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(c) </w:t>
      </w:r>
      <w:r>
        <w:rPr>
          <w:rFonts w:ascii="Times New Roman" w:cs="Times New Roman" w:eastAsia="Times New Roman" w:hAnsi="Times New Roman"/>
          <w:sz w:val="18"/>
          <w:szCs w:val="18"/>
          <w:u w:val="single" w:color="auto"/>
          <w:color w:val="auto"/>
        </w:rPr>
        <w:t>Legend</w:t>
      </w:r>
      <w:r>
        <w:rPr>
          <w:rFonts w:ascii="Times New Roman" w:cs="Times New Roman" w:eastAsia="Times New Roman" w:hAnsi="Times New Roman"/>
          <w:sz w:val="18"/>
          <w:szCs w:val="18"/>
          <w:color w:val="auto"/>
        </w:rPr>
        <w:t>. Any Global Security issued hereunder shall bear a legend in substantially the following form:</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“This Security is a Global Security within the meaning of the Indenture hereinafter referred to and is registered in the name of the Depositary or a nominee of the Depositary. This Security is exchangeable for Securities registered in the name of a person other than the Depositary or its nominee only in the limited circumstances described in the Indenture, and may not be transferred except as a whole by the Depositary to a nominee of the Depositary, by a nominee of the Depositary to the Depositary or another nominee of the Depositary or by the Depositary or any such nominee to a successor Depositary or a nominee of such a successor Depositary.”</w:t>
      </w:r>
    </w:p>
    <w:p>
      <w:pPr>
        <w:spacing w:after="0" w:line="183" w:lineRule="exact"/>
        <w:rPr>
          <w:sz w:val="20"/>
          <w:szCs w:val="20"/>
          <w:color w:val="auto"/>
        </w:rPr>
      </w:pPr>
    </w:p>
    <w:p>
      <w:pPr>
        <w:ind w:firstLine="8"/>
        <w:spacing w:after="0" w:line="282" w:lineRule="auto"/>
        <w:tabs>
          <w:tab w:leader="none" w:pos="295"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Acts of Holders</w:t>
      </w:r>
      <w:r>
        <w:rPr>
          <w:rFonts w:ascii="Times New Roman" w:cs="Times New Roman" w:eastAsia="Times New Roman" w:hAnsi="Times New Roman"/>
          <w:sz w:val="18"/>
          <w:szCs w:val="18"/>
          <w:color w:val="auto"/>
        </w:rPr>
        <w:t>. The Depositary, as a Holder, may appoint agents and otherwise authorize participants to give or take any request, demand, authorization, direction, notice, consent, waiver or other action which a Holder is entitled to give or take under the Indenture.</w:t>
      </w:r>
    </w:p>
    <w:p>
      <w:pPr>
        <w:spacing w:after="0" w:line="161" w:lineRule="exact"/>
        <w:rPr>
          <w:rFonts w:ascii="Times New Roman" w:cs="Times New Roman" w:eastAsia="Times New Roman" w:hAnsi="Times New Roman"/>
          <w:sz w:val="18"/>
          <w:szCs w:val="18"/>
          <w:color w:val="auto"/>
        </w:rPr>
      </w:pPr>
    </w:p>
    <w:p>
      <w:pPr>
        <w:ind w:firstLine="8"/>
        <w:spacing w:after="0" w:line="282" w:lineRule="auto"/>
        <w:tabs>
          <w:tab w:leader="none" w:pos="244"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Payments</w:t>
      </w:r>
      <w:r>
        <w:rPr>
          <w:rFonts w:ascii="Times New Roman" w:cs="Times New Roman" w:eastAsia="Times New Roman" w:hAnsi="Times New Roman"/>
          <w:sz w:val="18"/>
          <w:szCs w:val="18"/>
          <w:color w:val="auto"/>
        </w:rPr>
        <w:t>. Notwithstanding the other provisions of this Indenture, unless otherwise specified as contemplated by Section 2.2, payment of the principal of and interest, if any, on any Global Security shall be made to the Holder thereof.</w:t>
      </w:r>
    </w:p>
    <w:p>
      <w:pPr>
        <w:spacing w:after="0" w:line="161" w:lineRule="exact"/>
        <w:rPr>
          <w:rFonts w:ascii="Times New Roman" w:cs="Times New Roman" w:eastAsia="Times New Roman" w:hAnsi="Times New Roman"/>
          <w:sz w:val="18"/>
          <w:szCs w:val="18"/>
          <w:color w:val="auto"/>
        </w:rPr>
      </w:pPr>
    </w:p>
    <w:p>
      <w:pPr>
        <w:jc w:val="both"/>
        <w:ind w:firstLine="8"/>
        <w:spacing w:after="0" w:line="261" w:lineRule="auto"/>
        <w:tabs>
          <w:tab w:leader="none" w:pos="225"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Consents, Declaration and Directions</w:t>
      </w:r>
      <w:r>
        <w:rPr>
          <w:rFonts w:ascii="Times New Roman" w:cs="Times New Roman" w:eastAsia="Times New Roman" w:hAnsi="Times New Roman"/>
          <w:sz w:val="18"/>
          <w:szCs w:val="18"/>
          <w:color w:val="auto"/>
        </w:rPr>
        <w:t>. Except as provided in Section 2.14(e), the Company, the Trustee and any Agent shall treat a person as the Holder of such principal amount of outstanding Securities of such Series represented by a Global Security as shall be specified in a written statement of the Depositary with respect to such Global Security, for purposes of obtaining any consents, declarations, waivers or directions required to be given by the Holders pursuant to this Indenture.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2.15 </w:t>
      </w:r>
      <w:r>
        <w:rPr>
          <w:rFonts w:ascii="Times New Roman" w:cs="Times New Roman" w:eastAsia="Times New Roman" w:hAnsi="Times New Roman"/>
          <w:sz w:val="18"/>
          <w:szCs w:val="18"/>
          <w:u w:val="single" w:color="auto"/>
          <w:color w:val="auto"/>
        </w:rPr>
        <w:t>CUSIP Numbers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in issuing the Securities may use “CUSIP” numbers (if then generally in use), and, if so, the Trustee shall use “CUSIP” numbers in notices of redemption as a convenience to Holders; provided that any such notice may state that no representation is made as to the correctness of such numbers either as printed on the Securities or as contained in any notice of a redemption and that reliance may be placed only on the other elements of identification printed on the Securities, and any such redemption shall not be affected by any defect in or omission of such numbers.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5" w:name="page56"/>
    <w:bookmarkEnd w:id="55"/>
    <w:p>
      <w:pPr>
        <w:jc w:val="center"/>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REDEMPTION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3.1 </w:t>
      </w:r>
      <w:r>
        <w:rPr>
          <w:rFonts w:ascii="Times New Roman" w:cs="Times New Roman" w:eastAsia="Times New Roman" w:hAnsi="Times New Roman"/>
          <w:sz w:val="18"/>
          <w:szCs w:val="18"/>
          <w:u w:val="single" w:color="auto"/>
          <w:color w:val="auto"/>
        </w:rPr>
        <w:t>Notice to Trustee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may, with respect to any Series of Securities, reserve the right to redeem and pay the Series of Securities or may covenant to redeem and pay the Series of Securities or any part thereof prior to the Stated Maturity thereof at such time and on such terms as provided for in such Securities. If a Series of Securities is redeemable and the Company wants or is obligated to redeem prior to the Stated Maturity thereof all or part of the Series of Securities pursuant to the terms of such Securities, it shall notify the Trustee of the redemption date and the principal amount of Series of Securities to be redeemed. The Company shall give the Trustee notice at least 45 days before the redemption date (or such shorter notice as may be acceptable to the Trustee).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3.2 </w:t>
      </w:r>
      <w:r>
        <w:rPr>
          <w:rFonts w:ascii="Times New Roman" w:cs="Times New Roman" w:eastAsia="Times New Roman" w:hAnsi="Times New Roman"/>
          <w:sz w:val="18"/>
          <w:szCs w:val="18"/>
          <w:u w:val="single" w:color="auto"/>
          <w:color w:val="auto"/>
        </w:rPr>
        <w:t>Selection of Securities to be Redeemed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Unless otherwise indicated for a particular Series by a Board Resolution, a supplemental indenture hereto or an Officers’ Certificate, if less than all the Securities of a Series are to be redeemed, the Trustee shall select the Securities of the Series to be redeemed in any manner that the Trustee deems fair and appropriate and in accordance with its customary practices or the selection shall be in accordance with DTC procedures, as applicable. The Trustee shall make the selection from Securities of the Series outstanding not previously called for redemption. The Trustee may select for redemption portions of the principal of Securities of the Series that have denominations larger than $1,000. Securities of the Series and portions of them it selects shall be in amounts of $1,000 or whole multiples of $1,000 or, with respect to Securities of any Series issuable in other denominations pursuant to Section 2.2(j), the minimum principal denomination for each Series and integral multiples thereof. Provisions of this Indenture that apply to Securities of a Series called for redemption also apply to portions of Securities of that Series called for redemption.</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3.3 </w:t>
      </w:r>
      <w:r>
        <w:rPr>
          <w:rFonts w:ascii="Times New Roman" w:cs="Times New Roman" w:eastAsia="Times New Roman" w:hAnsi="Times New Roman"/>
          <w:sz w:val="18"/>
          <w:szCs w:val="18"/>
          <w:u w:val="single" w:color="auto"/>
          <w:color w:val="auto"/>
        </w:rPr>
        <w:t>Notice of Redemption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Unless otherwise indicated for a particular Series by Board Resolution, a supplemental indenture hereto or an Officers’ Certificate, at least 30 days but not more than 60 days before a redemption date, the Company shall mail a notice of redemption by first-class mail to each Holder whose Securities are to be redeemed.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notice shall identify the Securities of the Series to be redeemed and shall state:</w:t>
      </w:r>
    </w:p>
    <w:p>
      <w:pPr>
        <w:spacing w:after="0" w:line="225" w:lineRule="exact"/>
        <w:rPr>
          <w:sz w:val="20"/>
          <w:szCs w:val="20"/>
          <w:color w:val="auto"/>
        </w:rPr>
      </w:pPr>
    </w:p>
    <w:p>
      <w:pPr>
        <w:ind w:left="260" w:hanging="252"/>
        <w:spacing w:after="0"/>
        <w:tabs>
          <w:tab w:leader="none" w:pos="2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redemption date;</w:t>
      </w:r>
    </w:p>
    <w:p>
      <w:pPr>
        <w:spacing w:after="0" w:line="225"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redemption price;</w:t>
      </w:r>
    </w:p>
    <w:p>
      <w:pPr>
        <w:spacing w:after="0" w:line="225"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and address of the Paying Agent;</w:t>
      </w:r>
    </w:p>
    <w:p>
      <w:pPr>
        <w:spacing w:after="0" w:line="225"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Securities of the Series called for redemption must be surrendered to the Paying Agent to collect the redemption price;</w:t>
      </w:r>
    </w:p>
    <w:p>
      <w:pPr>
        <w:spacing w:after="0" w:line="225"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interest on Securities of the Series called for redemption ceases to accrue on and after the redemption date;</w:t>
      </w:r>
    </w:p>
    <w:p>
      <w:pPr>
        <w:spacing w:after="0" w:line="225"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CUSIP number, if any; and</w:t>
      </w:r>
    </w:p>
    <w:p>
      <w:pPr>
        <w:spacing w:after="0" w:line="225"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information as may be required by the terms of the particular Series or the Securities of a Series being redeemed.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the Company’s request, the Trustee shall give the notice of redemption prepared by the Company, in the Company’s name and at its expense.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color w:val="auto"/>
        </w:rPr>
        <w:t xml:space="preserve">Section 3.4 </w:t>
      </w:r>
      <w:r>
        <w:rPr>
          <w:rFonts w:ascii="Times New Roman" w:cs="Times New Roman" w:eastAsia="Times New Roman" w:hAnsi="Times New Roman"/>
          <w:sz w:val="18"/>
          <w:szCs w:val="18"/>
          <w:u w:val="single" w:color="auto"/>
          <w:color w:val="auto"/>
        </w:rPr>
        <w:t>Effect of Notice of Redemption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Once notice of redemption is mailed or published as provided in Section 3.3, Securities of a Series called for redemption become due and payable on the redemption date and at the redemption price. A notice of redemption may not be conditional. Upon surrender to the Paying Agent, such Securities shall be paid at the redemption price plus accrued interest to the redemption date.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3.5 </w:t>
      </w:r>
      <w:r>
        <w:rPr>
          <w:rFonts w:ascii="Times New Roman" w:cs="Times New Roman" w:eastAsia="Times New Roman" w:hAnsi="Times New Roman"/>
          <w:sz w:val="18"/>
          <w:szCs w:val="18"/>
          <w:u w:val="single" w:color="auto"/>
          <w:color w:val="auto"/>
        </w:rPr>
        <w:t>Deposit of Redemption Price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or before the redemption date, the Company shall deposit with the Paying Agent money sufficient to pay the redemption price of and accrued interest, if any, on all Securities to be redeemed on that date.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3.6 </w:t>
      </w:r>
      <w:r>
        <w:rPr>
          <w:rFonts w:ascii="Times New Roman" w:cs="Times New Roman" w:eastAsia="Times New Roman" w:hAnsi="Times New Roman"/>
          <w:sz w:val="18"/>
          <w:szCs w:val="18"/>
          <w:u w:val="single" w:color="auto"/>
          <w:color w:val="auto"/>
        </w:rPr>
        <w:t>Securities Redeemed in Part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Upon surrender of a Security that is redeemed in part, the Trustee, upon receipt of a Company Order, shall authenticate for the Holder a new Security of the same Series and the same maturity equal in principal amount to the unredeemed portion of the Security surrendered.</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COVENANTS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4.1 </w:t>
      </w:r>
      <w:r>
        <w:rPr>
          <w:rFonts w:ascii="Times New Roman" w:cs="Times New Roman" w:eastAsia="Times New Roman" w:hAnsi="Times New Roman"/>
          <w:sz w:val="18"/>
          <w:szCs w:val="18"/>
          <w:u w:val="single" w:color="auto"/>
          <w:color w:val="auto"/>
        </w:rPr>
        <w:t>Payment of Principal and Interest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covenants and agrees for the benefit of the Holders of each Series of Securities that it will duly and punctually pay the principal of and interest, if any, on the Securities of that Series in accordance with the terms of such Securities and this Indenture.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4.2 </w:t>
      </w:r>
      <w:r>
        <w:rPr>
          <w:rFonts w:ascii="Times New Roman" w:cs="Times New Roman" w:eastAsia="Times New Roman" w:hAnsi="Times New Roman"/>
          <w:sz w:val="18"/>
          <w:szCs w:val="18"/>
          <w:u w:val="single" w:color="auto"/>
          <w:color w:val="auto"/>
        </w:rPr>
        <w:t>SEC Reports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Company shall deliver to the Trustee within 15 days after it files them with the SEC copies of the annual reports and of the information, documents, and other reports (or copies of such portions of any of the foregoing as the SEC may by rules and regulations prescribe) which the Company is required to file with the SEC pursuant to Section 13 or 15(d) of the Exchange Act. The Company also shall comply with the other provisions of TIA § 314(a).</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4.3 </w:t>
      </w:r>
      <w:r>
        <w:rPr>
          <w:rFonts w:ascii="Times New Roman" w:cs="Times New Roman" w:eastAsia="Times New Roman" w:hAnsi="Times New Roman"/>
          <w:sz w:val="18"/>
          <w:szCs w:val="18"/>
          <w:u w:val="single" w:color="auto"/>
          <w:color w:val="auto"/>
        </w:rPr>
        <w:t>Compliance Certificate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shall deliver to the Trustee, within 120 days after the end of each fiscal year (which on the date hereof ends on December 31) of the Company, an Officers’ Certificate stating that a review of the activities of the Company and its Subsidiaries during the preceding fiscal year has been made under the supervision of the signing Officers with a view to determining whether the Company has kept, observed, performed and fulfilled its obligations under this Indenture, and further stating, as to each such Officer signing such certificate, that to the best of his/her knowledge the Company has kept, observed, performed and fulfilled each and every covenant contained in this Indenture and is not in default in the performance or observance of any of the terms, provisions and conditions hereof (or, if a Default or Event of Default shall have occurred, describing all such Defaults or Events of Default of which he may have knowledge).</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will, so long as any of the Securities are outstanding, deliver to the Trustee, forthwith upon becoming aware of any Default or Event of Default, an Officers’ Certificate specifying such Default or Event of Default and what action the Company is taking or proposes to take with respect thereto.</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4.4 </w:t>
      </w:r>
      <w:r>
        <w:rPr>
          <w:rFonts w:ascii="Times New Roman" w:cs="Times New Roman" w:eastAsia="Times New Roman" w:hAnsi="Times New Roman"/>
          <w:sz w:val="18"/>
          <w:szCs w:val="18"/>
          <w:u w:val="single" w:color="auto"/>
          <w:color w:val="auto"/>
        </w:rPr>
        <w:t>Stay, Extension and Usury Laws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covenants (to the extent that it may lawfully do so) that it will not at any time insist upon, plead, or in any manner whatsoever claim or take the benefit or advantage of, any stay, extension or usury law wherever enacted, now or at any time hereafter in force, which may affect the covenants or the performance of this Indenture or the Securities; and the Company (to the extent it may lawfully do so) hereby expressly waives all benefit or advantage of any such law and covenants that it will not, by resort to any such law, hinder, delay or impede the execution of any power herein granted to the Trustee, but will suffer and permit the execution of every such power as though no such law has been enacted.</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color w:val="auto"/>
        </w:rPr>
        <w:t xml:space="preserve">Section 4.5 </w:t>
      </w:r>
      <w:r>
        <w:rPr>
          <w:rFonts w:ascii="Times New Roman" w:cs="Times New Roman" w:eastAsia="Times New Roman" w:hAnsi="Times New Roman"/>
          <w:sz w:val="18"/>
          <w:szCs w:val="18"/>
          <w:u w:val="single" w:color="auto"/>
          <w:color w:val="auto"/>
        </w:rPr>
        <w:t>Corporate Existence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Subject to Article V, the Company will do or cause to be done all things necessary to preserve and keep in full force and effect its corporate existence and the rights (charter and statutory), licenses and franchises of the Company; provided, however, that the Company shall not be required to preserve any such right, license or franchise if the Board of Directors shall determine that the preservation thereof is no longer desirable in the conduct of the business of the Company and its Subsidiaries taken as a whole and that the loss thereof is not adverse in any material respect to the Holders.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SUCCESSORS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5.1 </w:t>
      </w:r>
      <w:r>
        <w:rPr>
          <w:rFonts w:ascii="Times New Roman" w:cs="Times New Roman" w:eastAsia="Times New Roman" w:hAnsi="Times New Roman"/>
          <w:sz w:val="18"/>
          <w:szCs w:val="18"/>
          <w:u w:val="single" w:color="auto"/>
          <w:color w:val="auto"/>
        </w:rPr>
        <w:t>When Company May Merge, Etc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shall not consolidate with or merge with or into, or convey, transfer or lease all or substantially all of its properties and assets to, any person (a “successor person”) unless:</w:t>
      </w:r>
    </w:p>
    <w:p>
      <w:pPr>
        <w:spacing w:after="0" w:line="162" w:lineRule="exact"/>
        <w:rPr>
          <w:sz w:val="20"/>
          <w:szCs w:val="20"/>
          <w:color w:val="auto"/>
        </w:rPr>
      </w:pPr>
    </w:p>
    <w:p>
      <w:pPr>
        <w:ind w:firstLine="8"/>
        <w:spacing w:after="0" w:line="282" w:lineRule="auto"/>
        <w:tabs>
          <w:tab w:leader="none" w:pos="25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the surviving corporation or the successor person (if other than the Company) is a corporation organized and validly existing under the laws of any U.S. domestic jurisdiction and expressly assumes the Company’s obligations on the Securities and under this Indenture and</w:t>
      </w:r>
    </w:p>
    <w:p>
      <w:pPr>
        <w:spacing w:after="0" w:line="161"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after giving effect to the transaction, no Default or Event of Default, shall have occurred and be continuing.</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shall deliver to the Trustee prior to the consummation of the proposed transaction an Officers’ Certificate to the foregoing effect and an Opinion of Counsel stating that the proposed transaction and any supplemental indenture comply with this Indenture.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Notwithstanding the above, any Subsidiary of the Company may consolidate with, merge into or transfer all or part of its properties to the Company.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Neither an Officers’ Certificate nor an Opinion of Counsel shall be required to be delivered in connection therewith.</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5.2 </w:t>
      </w:r>
      <w:r>
        <w:rPr>
          <w:rFonts w:ascii="Times New Roman" w:cs="Times New Roman" w:eastAsia="Times New Roman" w:hAnsi="Times New Roman"/>
          <w:sz w:val="18"/>
          <w:szCs w:val="18"/>
          <w:u w:val="single" w:color="auto"/>
          <w:color w:val="auto"/>
        </w:rPr>
        <w:t>Successor Corporation Substituted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Upon any consolidation or merger, or any sale, lease, conveyance or other disposition of all or substantially all of the assets of the Company in accordance with Section 5.1, the successor corporation formed by such consolidation or into or with which the Company is merged or to which such sale, lease, conveyance or other disposition is made shall succeed to, and be substituted for, and may exercise every right and power of, the Company under this Indenture with the same effect as if such successor person has been named as the Company herein; provided, however, that the predecessor Company in the case of a sale, conveyance or other disposition (other than a lease) shall be released from all obligations and covenants under this Indenture and the Securities.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8" w:name="page59"/>
    <w:bookmarkEnd w:id="58"/>
    <w:p>
      <w:pPr>
        <w:jc w:val="center"/>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DEFAULTS AND REMEDIES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6.1 </w:t>
      </w:r>
      <w:r>
        <w:rPr>
          <w:rFonts w:ascii="Times New Roman" w:cs="Times New Roman" w:eastAsia="Times New Roman" w:hAnsi="Times New Roman"/>
          <w:sz w:val="18"/>
          <w:szCs w:val="18"/>
          <w:u w:val="single" w:color="auto"/>
          <w:color w:val="auto"/>
        </w:rPr>
        <w:t>Events of Default</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Event of Default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wherever used herein with respect to Securities of any Series, means any one of the following events, unless in the establishing Board Resolution, supplemental indenture or Officers’ Certificate, it is provided that such Series shall not have the benefit of said Event of Default:</w:t>
      </w:r>
    </w:p>
    <w:p>
      <w:pPr>
        <w:spacing w:after="0" w:line="160" w:lineRule="exact"/>
        <w:rPr>
          <w:sz w:val="20"/>
          <w:szCs w:val="20"/>
          <w:color w:val="auto"/>
        </w:rPr>
      </w:pPr>
    </w:p>
    <w:p>
      <w:pPr>
        <w:ind w:left="260" w:hanging="252"/>
        <w:spacing w:after="0"/>
        <w:tabs>
          <w:tab w:leader="none" w:pos="2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payment of any interest on any Security of that Series when it becomes due and payable, and continuance of such default for a period of</w:t>
      </w:r>
    </w:p>
    <w:p>
      <w:pPr>
        <w:spacing w:after="0" w:line="27" w:lineRule="exact"/>
        <w:rPr>
          <w:rFonts w:ascii="Times New Roman" w:cs="Times New Roman" w:eastAsia="Times New Roman" w:hAnsi="Times New Roman"/>
          <w:sz w:val="18"/>
          <w:szCs w:val="18"/>
          <w:color w:val="auto"/>
        </w:rPr>
      </w:pPr>
    </w:p>
    <w:p>
      <w:pPr>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 days (unless the entire amount of such payment is deposited by the Company with the Trustee or with a Paying Agent prior to the expiration of such period of 30 days); or</w:t>
      </w:r>
    </w:p>
    <w:p>
      <w:pPr>
        <w:spacing w:after="0" w:line="181"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payment of principal of any Security of that Series at its Maturity; or</w:t>
      </w:r>
    </w:p>
    <w:p>
      <w:pPr>
        <w:spacing w:after="0" w:line="225" w:lineRule="exact"/>
        <w:rPr>
          <w:rFonts w:ascii="Times New Roman" w:cs="Times New Roman" w:eastAsia="Times New Roman" w:hAnsi="Times New Roman"/>
          <w:sz w:val="18"/>
          <w:szCs w:val="18"/>
          <w:color w:val="auto"/>
        </w:rPr>
      </w:pPr>
    </w:p>
    <w:p>
      <w:pPr>
        <w:jc w:val="both"/>
        <w:ind w:firstLine="8"/>
        <w:spacing w:after="0" w:line="258" w:lineRule="auto"/>
        <w:tabs>
          <w:tab w:leader="none" w:pos="258"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performance or breach of any covenant or warranty of the Company in this Indenture (other than a covenant or warranty that has been included in this Indenture solely for the benefit of Series of Securities other than that Series), which default continues uncured for a period of 60 days after there has been given, by registered or certified mail, to the Company by the Trustee or to the Company and the Trustee by the Holders of at least 25% in principal amount of the outstanding Securities of that Series a written notice specifying such default or breach and requiring it to be remedied and stating that such notice is a “Notice of Default” hereunder; or</w:t>
      </w:r>
    </w:p>
    <w:p>
      <w:pPr>
        <w:spacing w:after="0" w:line="183"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pursuant to or within the meaning of any Bankruptcy Law:</w:t>
      </w:r>
    </w:p>
    <w:p>
      <w:pPr>
        <w:spacing w:after="0" w:line="225" w:lineRule="exact"/>
        <w:rPr>
          <w:sz w:val="20"/>
          <w:szCs w:val="20"/>
          <w:color w:val="auto"/>
        </w:rPr>
      </w:pPr>
    </w:p>
    <w:p>
      <w:pPr>
        <w:ind w:left="220" w:hanging="212"/>
        <w:spacing w:after="0"/>
        <w:tabs>
          <w:tab w:leader="none" w:pos="2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commences a voluntary case,</w:t>
      </w:r>
    </w:p>
    <w:p>
      <w:pPr>
        <w:spacing w:after="0" w:line="225" w:lineRule="exact"/>
        <w:rPr>
          <w:rFonts w:ascii="Times New Roman" w:cs="Times New Roman" w:eastAsia="Times New Roman" w:hAnsi="Times New Roman"/>
          <w:sz w:val="18"/>
          <w:szCs w:val="18"/>
          <w:color w:val="auto"/>
        </w:rPr>
      </w:pPr>
    </w:p>
    <w:p>
      <w:pPr>
        <w:ind w:left="280" w:hanging="272"/>
        <w:spacing w:after="0"/>
        <w:tabs>
          <w:tab w:leader="none" w:pos="2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consents to the entry of an order for relief against it in an involuntary case,</w:t>
      </w:r>
    </w:p>
    <w:p>
      <w:pPr>
        <w:spacing w:after="0" w:line="225"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consents to the appointment of a Custodian of it or for all or substantially all of its property,</w:t>
      </w:r>
    </w:p>
    <w:p>
      <w:pPr>
        <w:spacing w:after="0" w:line="225"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makes a general assignment for the benefit of its creditors, or</w:t>
      </w:r>
    </w:p>
    <w:p>
      <w:pPr>
        <w:spacing w:after="0" w:line="225"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generally is unable to pay its debts as the same become due; or</w:t>
      </w:r>
    </w:p>
    <w:p>
      <w:pPr>
        <w:spacing w:after="0" w:line="225" w:lineRule="exact"/>
        <w:rPr>
          <w:sz w:val="20"/>
          <w:szCs w:val="20"/>
          <w:color w:val="auto"/>
        </w:rPr>
      </w:pPr>
    </w:p>
    <w:p>
      <w:pPr>
        <w:ind w:left="260" w:hanging="252"/>
        <w:spacing w:after="0"/>
        <w:tabs>
          <w:tab w:leader="none" w:pos="2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court of competent jurisdiction enters an order or decree under any Bankruptcy Law that:</w:t>
      </w:r>
    </w:p>
    <w:p>
      <w:pPr>
        <w:spacing w:after="0" w:line="225" w:lineRule="exact"/>
        <w:rPr>
          <w:rFonts w:ascii="Times New Roman" w:cs="Times New Roman" w:eastAsia="Times New Roman" w:hAnsi="Times New Roman"/>
          <w:sz w:val="18"/>
          <w:szCs w:val="18"/>
          <w:color w:val="auto"/>
        </w:rPr>
      </w:pPr>
    </w:p>
    <w:p>
      <w:pPr>
        <w:ind w:left="220" w:hanging="212"/>
        <w:spacing w:after="0"/>
        <w:tabs>
          <w:tab w:leader="none" w:pos="2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for relief against the Company in an involuntary case,</w:t>
      </w:r>
    </w:p>
    <w:p>
      <w:pPr>
        <w:spacing w:after="0" w:line="225" w:lineRule="exact"/>
        <w:rPr>
          <w:rFonts w:ascii="Times New Roman" w:cs="Times New Roman" w:eastAsia="Times New Roman" w:hAnsi="Times New Roman"/>
          <w:sz w:val="18"/>
          <w:szCs w:val="18"/>
          <w:color w:val="auto"/>
        </w:rPr>
      </w:pPr>
    </w:p>
    <w:p>
      <w:pPr>
        <w:ind w:left="280" w:hanging="272"/>
        <w:spacing w:after="0"/>
        <w:tabs>
          <w:tab w:leader="none" w:pos="2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appoints a Custodian of the Company or for all or substantially all of its property, or</w:t>
      </w:r>
    </w:p>
    <w:p>
      <w:pPr>
        <w:spacing w:after="0" w:line="225"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orders the liquidation of the Company,</w:t>
      </w:r>
    </w:p>
    <w:p>
      <w:pPr>
        <w:spacing w:after="0" w:line="225"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the order or decree remains unstayed and in effect for 60 days; or</w:t>
      </w:r>
    </w:p>
    <w:p>
      <w:pPr>
        <w:spacing w:after="0" w:line="225" w:lineRule="exact"/>
        <w:rPr>
          <w:rFonts w:ascii="Times New Roman" w:cs="Times New Roman" w:eastAsia="Times New Roman" w:hAnsi="Times New Roman"/>
          <w:sz w:val="18"/>
          <w:szCs w:val="18"/>
          <w:color w:val="auto"/>
        </w:rPr>
      </w:pPr>
    </w:p>
    <w:p>
      <w:pPr>
        <w:ind w:firstLine="8"/>
        <w:spacing w:after="0" w:line="282" w:lineRule="auto"/>
        <w:tabs>
          <w:tab w:leader="none" w:pos="231"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Event of Default provided with respect to Securities of that Series, which is specified in a Board Resolution, a supplemental indenture hereto or an Officers’ Certificate, in accordance with Section 2.2(r).</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term “Bankruptcy Law” means title 11, U.S. Code or any similar Federal or State law for the relief of debtors. The term “Custodian” means any receiver, trustee, assignee, liquidator or similar official under any Bankruptcy Law.</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6.2 </w:t>
      </w:r>
      <w:r>
        <w:rPr>
          <w:rFonts w:ascii="Times New Roman" w:cs="Times New Roman" w:eastAsia="Times New Roman" w:hAnsi="Times New Roman"/>
          <w:sz w:val="18"/>
          <w:szCs w:val="18"/>
          <w:u w:val="single" w:color="auto"/>
          <w:color w:val="auto"/>
        </w:rPr>
        <w:t>Acceleration of Maturity; Rescission and Annulment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If an Event of Default with respect to Securities of any Series at the time outstanding occurs and is continuing (other than an Event of Default referred to in Section 6.1(d) or (e)) then in every such case the Trustee or the Holders of not less than 25% in principal amount of the outstanding Securities of that Series may declare the principal amount (or, if any Securities of that Series are Discount Securities, such portion of the principal amount as may be specified in the terms of such Securities) of and accrued and unpaid interest, if any, on all of the Securities of that Series to be due and payable immediately, by a notice in writing to the Company (and to the Trustee if given by Holders), and upon any such declaration such principal amount (or specified amount) and accrued and unpaid interest, if any, shall become immediately due and payable. If an Event of Default specified in Section 6.1(d) or (e) shall occur, the principal amount (or specified amount) of and accrued and unpaid interest, if any, on all outstanding Securities shall ipso facto become and be immediately due and payable without any declaration or other act on the part of the Trustee or any Holder.</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9" w:name="page60"/>
    <w:bookmarkEnd w:id="59"/>
    <w:p>
      <w:pPr>
        <w:jc w:val="both"/>
        <w:spacing w:after="0" w:line="258" w:lineRule="auto"/>
        <w:rPr>
          <w:sz w:val="20"/>
          <w:szCs w:val="20"/>
          <w:color w:val="auto"/>
        </w:rPr>
      </w:pPr>
      <w:r>
        <w:rPr>
          <w:rFonts w:ascii="Times New Roman" w:cs="Times New Roman" w:eastAsia="Times New Roman" w:hAnsi="Times New Roman"/>
          <w:sz w:val="18"/>
          <w:szCs w:val="18"/>
          <w:color w:val="auto"/>
        </w:rPr>
        <w:t>At any time after such a declaration of acceleration with respect to any Series has been made and before a judgment or decree for payment of the money due has been obtained by the Trustee as hereinafter in this Article provided, the Holders of a majority in principal amount of the outstanding Securities of that Series, by written notice to the Company and the Trustee, may rescind and annul such declaration and its consequences if all Events of Default with respect to Securities of that Series, other than the non-payment of the principal and interest, if any, of Securities of that Series which have become due solely by such declaration of acceleration, have been cured or waived as provided in Section 6.13.</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such rescission shall affect any subsequent Default or impair any right consequent thereon.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6.3 </w:t>
      </w:r>
      <w:r>
        <w:rPr>
          <w:rFonts w:ascii="Times New Roman" w:cs="Times New Roman" w:eastAsia="Times New Roman" w:hAnsi="Times New Roman"/>
          <w:sz w:val="18"/>
          <w:szCs w:val="18"/>
          <w:u w:val="single" w:color="auto"/>
          <w:color w:val="auto"/>
        </w:rPr>
        <w:t>Collection of Indebtedness and Suits for Enforcement by Trustee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covenants that if</w:t>
      </w:r>
    </w:p>
    <w:p>
      <w:pPr>
        <w:spacing w:after="0" w:line="225" w:lineRule="exact"/>
        <w:rPr>
          <w:sz w:val="20"/>
          <w:szCs w:val="20"/>
          <w:color w:val="auto"/>
        </w:rPr>
      </w:pPr>
    </w:p>
    <w:p>
      <w:pPr>
        <w:ind w:left="260" w:hanging="252"/>
        <w:spacing w:after="0"/>
        <w:tabs>
          <w:tab w:leader="none" w:pos="2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is made in the payment of any interest on any Security when such interest becomes due and payable and such default continues for a period of</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 days, or</w:t>
      </w:r>
    </w:p>
    <w:p>
      <w:pPr>
        <w:spacing w:after="0" w:line="206"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is made in the payment of principal of any Security at the Maturity thereof, or</w:t>
      </w:r>
    </w:p>
    <w:p>
      <w:pPr>
        <w:spacing w:after="0" w:line="225"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is made in the deposit of any sinking fund payment when and as due by the terms of a Security,</w:t>
      </w:r>
    </w:p>
    <w:p>
      <w:pPr>
        <w:spacing w:after="0" w:line="22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then</w:t>
      </w:r>
      <w:r>
        <w:rPr>
          <w:rFonts w:ascii="Times New Roman" w:cs="Times New Roman" w:eastAsia="Times New Roman" w:hAnsi="Times New Roman"/>
          <w:sz w:val="18"/>
          <w:szCs w:val="18"/>
          <w:color w:val="auto"/>
        </w:rPr>
        <w:t>, the Company will, upon demand of the Trustee, pay to it, for the benefit of the Holders of such Securities, the whole amount then due and payable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such Securities for principal and interest and, to the extent that payment of such interest shall be legally enforceable, interest on any overdue principal and any overdue interest at the rate or rates prescribed therefor in such Securities, and, in addition thereto, such further amount as shall be sufficient to cover the costs and expenses of collection, including the reasonable compensation, expenses, disbursements and advances of the Trustee, its agents and counsel.</w:t>
      </w:r>
    </w:p>
    <w:p>
      <w:pPr>
        <w:spacing w:after="0" w:line="18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the Company fails to pay such amounts forthwith upon such demand, the Trustee, in its own name and as trustee of an express trust, may institute a judicial proceeding for the collection of the sums so due and unpaid, may prosecute such proceeding to judgment or final decree and may enforce the same against the Company or any other obligor upon such Securities and collect the moneys adjudged or deemed to be payable in the manner provided by law out of the property of the Company or any other obligor upon such Securities, wherever situated.</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Notwithstanding any other provision of this Indenture, if an Event of Default with respect to any Securities of any Series occurs and is continuing, the Trustee may in its discretion proceed to protect and enforce its rights and the rights of the Holders of Securities of such Series by pursuing any available remedy by proceeding at law or in equity as the Trustee shall deem most effectual to protect and enforce any such rights, whether for the specific enforcement of any covenant or agreement in this Indenture or in aid of the exercise of any power granted herein, or to enforce any other proper remedy.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6.4 </w:t>
      </w:r>
      <w:r>
        <w:rPr>
          <w:rFonts w:ascii="Times New Roman" w:cs="Times New Roman" w:eastAsia="Times New Roman" w:hAnsi="Times New Roman"/>
          <w:sz w:val="18"/>
          <w:szCs w:val="18"/>
          <w:u w:val="single" w:color="auto"/>
          <w:color w:val="auto"/>
        </w:rPr>
        <w:t>Trustee May File Proofs of Claim</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case of the pendency of any receivership, insolvency, liquidation, bankruptcy, reorganization, arrangement, adjustment, composition or other judicial proceeding relative to the Company or any other obligor upon the Securities or the property of the Company or of such other obligor or their creditors, the Trustee (irrespective of whether the principal of the Securities shall then be due and payable as therein expressed or by declaration or otherwise and irrespective of whether the Trustee shall have made any demand on the Company for the payment of overdue principal or interest) shall be entitled and empowered, by intervention in such proceeding or otherwise,</w:t>
      </w:r>
    </w:p>
    <w:p>
      <w:pPr>
        <w:spacing w:after="0" w:line="183" w:lineRule="exact"/>
        <w:rPr>
          <w:sz w:val="20"/>
          <w:szCs w:val="20"/>
          <w:color w:val="auto"/>
        </w:rPr>
      </w:pPr>
    </w:p>
    <w:p>
      <w:pPr>
        <w:jc w:val="both"/>
        <w:ind w:firstLine="8"/>
        <w:spacing w:after="0" w:line="266" w:lineRule="auto"/>
        <w:tabs>
          <w:tab w:leader="none" w:pos="256"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and prove a claim for the whole amount of principal and interest owing and unpaid in respect of the Securities and to file such other papers or documents as may be necessary or advisable in order to have the claims of the Trustee (including any claim for the reasonable compensation, expenses, disbursements and advances of the Trustee, its agents and counsel) and of the Holders allowed in such judicial proceeding, and</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color w:val="auto"/>
        </w:rPr>
        <w:t>(b) to collect and receive any moneys or other property payable or deliverable on any such claims and to distribute the same,</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and any custodian, receiver, assignee, trustee, liquidator, sequestrator or other similar official in any such judicial proceeding is hereby authorized by each Holder to make such payments to the Trustee and, in the event that the Trustee shall consent to the making of such payments directly to the Holders, to pay to the Trustee any amount due it for the reasonable compensation, expenses, disbursements and advances of the Trustee, its agents and counsel, and any other amounts due the Trustee under Section 7.8.</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Nothing herein contained shall be deemed to authorize the Trustee to authorize or consent to or accept or adopt on behalf of any Holder any plan of reorganization, arrangement, adjustment or composition affecting the Securities or the rights of any Holder thereof or to authorize the Trustee to vote in respect of the claim of any Holder in any such proceeding.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6.5 </w:t>
      </w:r>
      <w:r>
        <w:rPr>
          <w:rFonts w:ascii="Times New Roman" w:cs="Times New Roman" w:eastAsia="Times New Roman" w:hAnsi="Times New Roman"/>
          <w:sz w:val="18"/>
          <w:szCs w:val="18"/>
          <w:u w:val="single" w:color="auto"/>
          <w:color w:val="auto"/>
        </w:rPr>
        <w:t>Trustee May Enforce Claims Without Possession of Securities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All rights of action and claims under this Indenture or the Securities may be prosecuted and enforced by the Trustee without the possession of any of the Securities or the production thereof in any proceeding relating thereto, and any such proceeding instituted by the Trustee shall be brought in its own name as trustee of an express trust, and any recovery of judgment shall, after provision for the payment of the reasonable compensation, expenses, disbursements and advances of the Trustee, its agents and counsel, be for the ratable benefit of the Holders of the Securities in respect of which such judgment has been recovered.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6.6 </w:t>
      </w:r>
      <w:r>
        <w:rPr>
          <w:rFonts w:ascii="Times New Roman" w:cs="Times New Roman" w:eastAsia="Times New Roman" w:hAnsi="Times New Roman"/>
          <w:sz w:val="18"/>
          <w:szCs w:val="18"/>
          <w:u w:val="single" w:color="auto"/>
          <w:color w:val="auto"/>
        </w:rPr>
        <w:t>Application of Money Collected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Any money collected by the Trustee pursuant to this Article shall be applied in the following order, at the date or dates fixed by the Trustee and, in case of the distribution of such money on account of principal or interest, upon presentation of the Securities and the notation thereon of the payment if only partially paid and upon surrender thereof if fully paid: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First: To the payment of all amounts due the Trustee under Section 7.8; and</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Second: To the payment of the amounts then due and unpaid for principal of and interest on the Securities in respect of which or for the benefit of which such money has been collected, ratably, without preference or priority of any kind, according to the amounts due and payable on such Securities for principal and interest, respectively; and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Third: To the Company or to such party as a court of competent jurisdiction shall direct.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6.7 </w:t>
      </w:r>
      <w:r>
        <w:rPr>
          <w:rFonts w:ascii="Times New Roman" w:cs="Times New Roman" w:eastAsia="Times New Roman" w:hAnsi="Times New Roman"/>
          <w:sz w:val="18"/>
          <w:szCs w:val="18"/>
          <w:u w:val="single" w:color="auto"/>
          <w:color w:val="auto"/>
        </w:rPr>
        <w:t>Limitation on Suits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No Holder of any Security of any Series shall have any right to institute any proceeding, judicial or otherwise, with respect to this Indenture, or for the appointment of a receiver or trustee, or for any other remedy hereunder, unless</w:t>
      </w:r>
    </w:p>
    <w:p>
      <w:pPr>
        <w:spacing w:after="0" w:line="162" w:lineRule="exact"/>
        <w:rPr>
          <w:sz w:val="20"/>
          <w:szCs w:val="20"/>
          <w:color w:val="auto"/>
        </w:rPr>
      </w:pPr>
    </w:p>
    <w:p>
      <w:pPr>
        <w:ind w:left="260" w:hanging="252"/>
        <w:spacing w:after="0"/>
        <w:tabs>
          <w:tab w:leader="none" w:pos="2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Holder has previously given written notice to the Trustee of a continuing Event of Default with respect to the Securities of that Series;</w:t>
      </w:r>
    </w:p>
    <w:p>
      <w:pPr>
        <w:spacing w:after="0" w:line="225" w:lineRule="exact"/>
        <w:rPr>
          <w:rFonts w:ascii="Times New Roman" w:cs="Times New Roman" w:eastAsia="Times New Roman" w:hAnsi="Times New Roman"/>
          <w:sz w:val="18"/>
          <w:szCs w:val="18"/>
          <w:color w:val="auto"/>
        </w:rPr>
      </w:pPr>
    </w:p>
    <w:p>
      <w:pPr>
        <w:ind w:firstLine="8"/>
        <w:spacing w:after="0" w:line="282" w:lineRule="auto"/>
        <w:tabs>
          <w:tab w:leader="none" w:pos="276"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not less than 25% in principal amount of the outstanding Securities of that Series shall have made written request to the Trustee to institute proceedings in respect of such Event of Default in its own name as Trustee hereunder;</w:t>
      </w:r>
    </w:p>
    <w:p>
      <w:pPr>
        <w:spacing w:after="0" w:line="161" w:lineRule="exact"/>
        <w:rPr>
          <w:rFonts w:ascii="Times New Roman" w:cs="Times New Roman" w:eastAsia="Times New Roman" w:hAnsi="Times New Roman"/>
          <w:sz w:val="18"/>
          <w:szCs w:val="18"/>
          <w:color w:val="auto"/>
        </w:rPr>
      </w:pPr>
    </w:p>
    <w:p>
      <w:pPr>
        <w:ind w:right="20" w:firstLine="8"/>
        <w:spacing w:after="0" w:line="282" w:lineRule="auto"/>
        <w:tabs>
          <w:tab w:leader="none" w:pos="263"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Holder or Holders have offered to the Trustee indemnity satisfactory to the Trustee against the costs, expenses and liabilities to be incurred in compliance with such request;</w:t>
      </w:r>
    </w:p>
    <w:p>
      <w:pPr>
        <w:spacing w:after="0" w:line="161"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for 60 days after its receipt of such notice, request and offer of indemnity has failed to institute any such proceeding; and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1" w:name="page62"/>
    <w:bookmarkEnd w:id="61"/>
    <w:p>
      <w:pPr>
        <w:ind w:firstLine="8"/>
        <w:spacing w:after="0" w:line="282" w:lineRule="auto"/>
        <w:tabs>
          <w:tab w:leader="none" w:pos="258"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direction inconsistent with such written request has been given to the Trustee during such 60-day period by the Holders of a majority in principal amount of the outstanding Securities of that Series;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it being understood and intended that no one or more of such Holders shall have any right in any manner whatever by virtue of, or by availing of, any provision of this Indenture to affect, disturb or prejudice the rights of any other of such Holders, or to obtain or to seek to obtain priority or preference over any other of such Holders or to enforce any right under this Indenture, except in the manner herein provided and for the equal and ratable benefit of all such Holders.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6.8 </w:t>
      </w:r>
      <w:r>
        <w:rPr>
          <w:rFonts w:ascii="Times New Roman" w:cs="Times New Roman" w:eastAsia="Times New Roman" w:hAnsi="Times New Roman"/>
          <w:sz w:val="18"/>
          <w:szCs w:val="18"/>
          <w:u w:val="single" w:color="auto"/>
          <w:color w:val="auto"/>
        </w:rPr>
        <w:t>Unconditional Right of Holders to Receive Principal and Interest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Notwithstanding any other provision in this Indenture, the Holder of any Security shall have the right, which is absolute and unconditional, to receive payment of the principal of and interest, if any, on such Security on the Stated Maturity or Stated Maturities expressed in such Security (or, in the case of redemption, on the redemption date) and to institute suit for the enforcement of any such payment, and such rights shall not be impaired without the consent of such Holder.</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6.9 </w:t>
      </w:r>
      <w:r>
        <w:rPr>
          <w:rFonts w:ascii="Times New Roman" w:cs="Times New Roman" w:eastAsia="Times New Roman" w:hAnsi="Times New Roman"/>
          <w:sz w:val="18"/>
          <w:szCs w:val="18"/>
          <w:u w:val="single" w:color="auto"/>
          <w:color w:val="auto"/>
        </w:rPr>
        <w:t>Restoration of Rights and Remedies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the Trustee or any Holder has instituted any proceeding to enforce any right or remedy under this Indenture and such proceeding has been discontinued or abandoned for any reason, or has been determined adversely to the Trustee or to such Holder, then and in every such case, subject to any determination in such proceeding, the Company, the Trustee and the Holders shall be restored severally and respectively to their former positions hereunder and thereafter all rights and remedies of the Trustee and the Holders shall continue as though no such proceeding had been instituted.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6.10 </w:t>
      </w:r>
      <w:r>
        <w:rPr>
          <w:rFonts w:ascii="Times New Roman" w:cs="Times New Roman" w:eastAsia="Times New Roman" w:hAnsi="Times New Roman"/>
          <w:sz w:val="18"/>
          <w:szCs w:val="18"/>
          <w:u w:val="single" w:color="auto"/>
          <w:color w:val="auto"/>
        </w:rPr>
        <w:t>Rights and Remedies Cumulative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Except as otherwise provided with respect to the replacement or payment of mutilated, destroyed, lost or stolen Securities in Section 2.8, no right or remedy herein conferred upon or reserved to the Trustee or to the Holders is intended to be exclusive of any other right or remedy, and every right and remedy shall, to the extent permitted by law, be cumulative and in addition to every other right and remedy given hereunder or now or hereafter existing at law or in equity or otherwise. The assertion or employment of any right or remedy hereunder, or otherwise, shall not, to the extent permitted by law, prevent the concurrent assertion or employment of any other appropriate right or remedy.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6.11 </w:t>
      </w:r>
      <w:r>
        <w:rPr>
          <w:rFonts w:ascii="Times New Roman" w:cs="Times New Roman" w:eastAsia="Times New Roman" w:hAnsi="Times New Roman"/>
          <w:sz w:val="18"/>
          <w:szCs w:val="18"/>
          <w:u w:val="single" w:color="auto"/>
          <w:color w:val="auto"/>
        </w:rPr>
        <w:t>Delay or Omission Not Waiver</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No delay or omission of the Trustee or of any Holder of any Securities to exercise any right or remedy accruing upon any Event of Default shall impair any such right or remedy or constitute a waiver of any such Event of Default or an acquiescence therein. Every right and remedy given by this Article or by law to the Trustee or to the Holders may be exercised from time to time, and as often as may be deemed expedient, by the Trustee or by the Holders, as the case may be.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6.12 </w:t>
      </w:r>
      <w:r>
        <w:rPr>
          <w:rFonts w:ascii="Times New Roman" w:cs="Times New Roman" w:eastAsia="Times New Roman" w:hAnsi="Times New Roman"/>
          <w:sz w:val="18"/>
          <w:szCs w:val="18"/>
          <w:u w:val="single" w:color="auto"/>
          <w:color w:val="auto"/>
        </w:rPr>
        <w:t>Control by Holders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Holders of not less than a majority in principal amount of the outstanding Securities of any Series shall have the right to direct the time, method and place of conducting any proceeding for any remedy available to the Trustee, or exercising any trust or power conferred on the Trustee, with respect to the Securities of such Series, provided that</w:t>
      </w:r>
    </w:p>
    <w:p>
      <w:pPr>
        <w:spacing w:after="0" w:line="176" w:lineRule="exact"/>
        <w:rPr>
          <w:sz w:val="20"/>
          <w:szCs w:val="20"/>
          <w:color w:val="auto"/>
        </w:rPr>
      </w:pPr>
    </w:p>
    <w:p>
      <w:pPr>
        <w:ind w:left="260" w:hanging="252"/>
        <w:spacing w:after="0"/>
        <w:tabs>
          <w:tab w:leader="none" w:pos="2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direction shall not be in conflict with any rule of law or with this Indenture,</w:t>
      </w:r>
    </w:p>
    <w:p>
      <w:pPr>
        <w:spacing w:after="0" w:line="225"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may take any other action deemed proper by the Trustee which is not inconsistent with such direction, and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2" w:name="page63"/>
    <w:bookmarkEnd w:id="62"/>
    <w:p>
      <w:pPr>
        <w:ind w:right="20" w:firstLine="8"/>
        <w:spacing w:after="0" w:line="282" w:lineRule="auto"/>
        <w:tabs>
          <w:tab w:leader="none" w:pos="255"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provisions of Section 7.1, the Trustee shall have the right to decline to follow any such direction if the Trustee in good faith shall, by a Responsible Officer of the Trustee, determine that the proceeding so directed would involve the Trustee in personal liability.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6.13 </w:t>
      </w:r>
      <w:r>
        <w:rPr>
          <w:rFonts w:ascii="Times New Roman" w:cs="Times New Roman" w:eastAsia="Times New Roman" w:hAnsi="Times New Roman"/>
          <w:sz w:val="18"/>
          <w:szCs w:val="18"/>
          <w:u w:val="single" w:color="auto"/>
          <w:color w:val="auto"/>
        </w:rPr>
        <w:t>Waiver of Past Defaults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Holders of not less than a majority in principal amount of the outstanding Securities of any Series may on behalf of the Holders of all the Securities of such Series waive any past Default hereunder with respect to such Series and its consequences, except a Default in the payment of the principal of or interest on any Security of such Series (provided, however, that the Holders of a majority in principal amount of the outstanding Securities of any Series may rescind an acceleration and its consequences, including any related payment default that resulted from such acceleration). Upon any such waiver, such Default shall cease to exist, and any Event of Default arising therefrom shall be deemed to have been cured, for every purpose of this Indenture; but no such waiver shall extend to any subsequent or other Default or impair any right consequent thereon.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6.14 </w:t>
      </w:r>
      <w:r>
        <w:rPr>
          <w:rFonts w:ascii="Times New Roman" w:cs="Times New Roman" w:eastAsia="Times New Roman" w:hAnsi="Times New Roman"/>
          <w:sz w:val="18"/>
          <w:szCs w:val="18"/>
          <w:u w:val="single" w:color="auto"/>
          <w:color w:val="auto"/>
        </w:rPr>
        <w:t>Undertaking for Costs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All parties to this Indenture agree, and each Holder of any Security by his acceptance thereof shall be deemed to have agreed, that any court may in its discretion require, in any suit for the enforcement of any right or remedy under this Indenture, or in any suit against the Trustee for any action taken, suffered or omitted by it as Trustee, the filing by any party litigant in such suit of an undertaking to pay the costs of such suit, and that such court may in its discretion assess reasonable costs, including reasonable attorneys’ fees, against any party litigant in such suit, having due regard to the merits and good faith of the claims or defenses made by such party litigant; but the provisions of this Section shall not apply to any suit instituted by the Trustee, to any suit instituted by any Holder, or group of Holders, holding in the aggregate more than 10% in principal amount of the outstanding Securities of any Series, or to any suit instituted by any Holder for the enforcement of the payment of the principal of or interest on any Security on or after the Stated Maturity or Stated Maturities expressed in such Security (or, in the case of redemption, on the redemption date).</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TRUSTEE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7.1 </w:t>
      </w:r>
      <w:r>
        <w:rPr>
          <w:rFonts w:ascii="Times New Roman" w:cs="Times New Roman" w:eastAsia="Times New Roman" w:hAnsi="Times New Roman"/>
          <w:sz w:val="18"/>
          <w:szCs w:val="18"/>
          <w:u w:val="single" w:color="auto"/>
          <w:color w:val="auto"/>
        </w:rPr>
        <w:t>Duties of Trustee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8"/>
        <w:spacing w:after="0" w:line="282" w:lineRule="auto"/>
        <w:tabs>
          <w:tab w:leader="none" w:pos="255"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 Event of Default has occurred and is continuing, the Trustee shall exercise the rights and powers vested in it by this Indenture and use the same degree of care and skill in their exercise as a prudent man would exercise or use under the circumstances in the conduct of his own affairs.</w:t>
      </w:r>
    </w:p>
    <w:p>
      <w:pPr>
        <w:spacing w:after="0" w:line="161"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during the continuance of an Event of Default:</w:t>
      </w:r>
    </w:p>
    <w:p>
      <w:pPr>
        <w:spacing w:after="0" w:line="225" w:lineRule="exact"/>
        <w:rPr>
          <w:sz w:val="20"/>
          <w:szCs w:val="20"/>
          <w:color w:val="auto"/>
        </w:rPr>
      </w:pPr>
    </w:p>
    <w:p>
      <w:pPr>
        <w:ind w:left="220" w:hanging="212"/>
        <w:spacing w:after="0"/>
        <w:tabs>
          <w:tab w:leader="none" w:pos="22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need perform only those duties that are specifically set forth in this Indenture and no others.</w:t>
      </w:r>
    </w:p>
    <w:p>
      <w:pPr>
        <w:spacing w:after="0" w:line="225" w:lineRule="exact"/>
        <w:rPr>
          <w:rFonts w:ascii="Times New Roman" w:cs="Times New Roman" w:eastAsia="Times New Roman" w:hAnsi="Times New Roman"/>
          <w:sz w:val="18"/>
          <w:szCs w:val="18"/>
          <w:color w:val="auto"/>
        </w:rPr>
      </w:pPr>
    </w:p>
    <w:p>
      <w:pPr>
        <w:jc w:val="both"/>
        <w:ind w:firstLine="8"/>
        <w:spacing w:after="0" w:line="258" w:lineRule="auto"/>
        <w:tabs>
          <w:tab w:leader="none" w:pos="27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absence of bad faith on its part, the Trustee may conclusively rely, as to the truth of the statements and the correctness of the opinions expressed therein, upon Officers’ Certificates or Opinions of Counsel furnished to the Trustee and conforming to the requirements of this Indenture; however, in the case of any such Officers’ Certificates or Opinions of Counsel which by any provisions hereof are specifically required to be furnished to the Trustee, the Trustee shall examine such Officers’ Certificates and Opinions of Counsel to determine whether or not they conform to the requirements of this Indenture (but need not confirm or investigate the accuracy of mathematical calculations or other facts stated therein).</w:t>
      </w:r>
    </w:p>
    <w:p>
      <w:pPr>
        <w:spacing w:after="0" w:line="183" w:lineRule="exact"/>
        <w:rPr>
          <w:sz w:val="20"/>
          <w:szCs w:val="20"/>
          <w:color w:val="auto"/>
        </w:rPr>
      </w:pPr>
    </w:p>
    <w:p>
      <w:pPr>
        <w:ind w:left="260" w:hanging="252"/>
        <w:spacing w:after="0"/>
        <w:tabs>
          <w:tab w:leader="none" w:pos="2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may not be relieved from liability for its own negligent action, its own negligent failure to act or its own willful misconduct, except that:</w:t>
      </w:r>
    </w:p>
    <w:p>
      <w:pPr>
        <w:spacing w:after="0" w:line="225" w:lineRule="exact"/>
        <w:rPr>
          <w:rFonts w:ascii="Times New Roman" w:cs="Times New Roman" w:eastAsia="Times New Roman" w:hAnsi="Times New Roman"/>
          <w:sz w:val="18"/>
          <w:szCs w:val="18"/>
          <w:color w:val="auto"/>
        </w:rPr>
      </w:pPr>
    </w:p>
    <w:p>
      <w:pPr>
        <w:ind w:left="220" w:hanging="212"/>
        <w:spacing w:after="0"/>
        <w:tabs>
          <w:tab w:leader="none" w:pos="22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paragraph does not limit the effect of paragraph (b) of this Section.</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3" w:name="page64"/>
    <w:bookmarkEnd w:id="63"/>
    <w:p>
      <w:pPr>
        <w:ind w:firstLine="8"/>
        <w:spacing w:after="0" w:line="282" w:lineRule="auto"/>
        <w:tabs>
          <w:tab w:leader="none" w:pos="268"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not be liable for any error of judgment made in good faith by a Responsible Officer, unless it is proved that the Trustee was negligent in ascertaining the pertinent facts.</w:t>
      </w:r>
    </w:p>
    <w:p>
      <w:pPr>
        <w:spacing w:after="0" w:line="161" w:lineRule="exact"/>
        <w:rPr>
          <w:rFonts w:ascii="Times New Roman" w:cs="Times New Roman" w:eastAsia="Times New Roman" w:hAnsi="Times New Roman"/>
          <w:sz w:val="18"/>
          <w:szCs w:val="18"/>
          <w:color w:val="auto"/>
        </w:rPr>
      </w:pPr>
    </w:p>
    <w:p>
      <w:pPr>
        <w:jc w:val="both"/>
        <w:ind w:firstLine="8"/>
        <w:spacing w:after="0" w:line="261" w:lineRule="auto"/>
        <w:tabs>
          <w:tab w:leader="none" w:pos="325"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not be liable with respect to any action taken, suffered or omitted to be taken by it with respect to Securities of any Series in good faith in accordance with the direction of the Holders of a majority in principal amount of the outstanding Securities of such Series relating to the time, method and place of conducting any proceeding for any remedy available to the Trustee, or exercising any trust or power conferred upon the Trustee, under this Indenture with respect to the Securities of such Series.</w:t>
      </w:r>
    </w:p>
    <w:p>
      <w:pPr>
        <w:spacing w:after="0" w:line="180" w:lineRule="exact"/>
        <w:rPr>
          <w:sz w:val="20"/>
          <w:szCs w:val="20"/>
          <w:color w:val="auto"/>
        </w:rPr>
      </w:pPr>
    </w:p>
    <w:p>
      <w:pPr>
        <w:ind w:left="260" w:hanging="252"/>
        <w:spacing w:after="0"/>
        <w:tabs>
          <w:tab w:leader="none" w:pos="26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Every provision of this Indenture that in any way relates to the Trustee is subject to paragraph (a), (b) and (c) of this Section.</w:t>
      </w:r>
    </w:p>
    <w:p>
      <w:pPr>
        <w:spacing w:after="0" w:line="225" w:lineRule="exact"/>
        <w:rPr>
          <w:rFonts w:ascii="Times New Roman" w:cs="Times New Roman" w:eastAsia="Times New Roman" w:hAnsi="Times New Roman"/>
          <w:sz w:val="18"/>
          <w:szCs w:val="18"/>
          <w:color w:val="auto"/>
        </w:rPr>
      </w:pPr>
    </w:p>
    <w:p>
      <w:pPr>
        <w:ind w:firstLine="8"/>
        <w:spacing w:after="0" w:line="282" w:lineRule="auto"/>
        <w:tabs>
          <w:tab w:leader="none" w:pos="257"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may refuse to perform any duty or exercise any right or power unless it receives security or indemnity satisfactory to it against any loss, liability or expense.</w:t>
      </w:r>
    </w:p>
    <w:p>
      <w:pPr>
        <w:spacing w:after="0" w:line="161" w:lineRule="exact"/>
        <w:rPr>
          <w:rFonts w:ascii="Times New Roman" w:cs="Times New Roman" w:eastAsia="Times New Roman" w:hAnsi="Times New Roman"/>
          <w:sz w:val="18"/>
          <w:szCs w:val="18"/>
          <w:color w:val="auto"/>
        </w:rPr>
      </w:pPr>
    </w:p>
    <w:p>
      <w:pPr>
        <w:ind w:firstLine="8"/>
        <w:spacing w:after="0" w:line="282" w:lineRule="auto"/>
        <w:tabs>
          <w:tab w:leader="none" w:pos="236"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not be liable for interest on any money received by it except as the Trustee may agree in writing with the Company. Money held in trust by the Trustee need not be segregated from other funds except to the extent required by law.</w:t>
      </w:r>
    </w:p>
    <w:p>
      <w:pPr>
        <w:spacing w:after="0" w:line="161" w:lineRule="exact"/>
        <w:rPr>
          <w:rFonts w:ascii="Times New Roman" w:cs="Times New Roman" w:eastAsia="Times New Roman" w:hAnsi="Times New Roman"/>
          <w:sz w:val="18"/>
          <w:szCs w:val="18"/>
          <w:color w:val="auto"/>
        </w:rPr>
      </w:pPr>
    </w:p>
    <w:p>
      <w:pPr>
        <w:jc w:val="both"/>
        <w:ind w:firstLine="8"/>
        <w:spacing w:after="0" w:line="266" w:lineRule="auto"/>
        <w:tabs>
          <w:tab w:leader="none" w:pos="264"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provision of this Indenture shall require the Trustee to risk its own funds or otherwise incur any financial liability in the performance of any of its duties, or in the exercise of any of its rights or powers, if it shall have reasonable grounds for believing that repayment of such funds or adequate indemnity against such risk is not reasonably assured to it.</w:t>
      </w:r>
    </w:p>
    <w:p>
      <w:pPr>
        <w:spacing w:after="0" w:line="175" w:lineRule="exact"/>
        <w:rPr>
          <w:rFonts w:ascii="Times New Roman" w:cs="Times New Roman" w:eastAsia="Times New Roman" w:hAnsi="Times New Roman"/>
          <w:sz w:val="18"/>
          <w:szCs w:val="18"/>
          <w:color w:val="auto"/>
        </w:rPr>
      </w:pPr>
    </w:p>
    <w:p>
      <w:pPr>
        <w:ind w:firstLine="8"/>
        <w:spacing w:after="0" w:line="282" w:lineRule="auto"/>
        <w:tabs>
          <w:tab w:leader="none" w:pos="26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Paying Agent, the Registrar, the Notice Agent, any agent and any authenticating agent shall be entitled to the protections, immunities and standard of care as are set forth in paragraphs (a), (b) and (c) of this Section with respect to the Trustee.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7.2 </w:t>
      </w:r>
      <w:r>
        <w:rPr>
          <w:rFonts w:ascii="Times New Roman" w:cs="Times New Roman" w:eastAsia="Times New Roman" w:hAnsi="Times New Roman"/>
          <w:sz w:val="18"/>
          <w:szCs w:val="18"/>
          <w:u w:val="single" w:color="auto"/>
          <w:color w:val="auto"/>
        </w:rPr>
        <w:t>Rights of Trustee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8"/>
        <w:spacing w:after="0" w:line="282" w:lineRule="auto"/>
        <w:tabs>
          <w:tab w:leader="none" w:pos="257"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may rely on and shall be protected in acting or refraining from acting upon any document believed by it to be genuine and to have been signed or presented by the proper person. The Trustee need not investigate any fact or matter stated in the document.</w:t>
      </w:r>
    </w:p>
    <w:p>
      <w:pPr>
        <w:spacing w:after="0" w:line="161" w:lineRule="exact"/>
        <w:rPr>
          <w:rFonts w:ascii="Times New Roman" w:cs="Times New Roman" w:eastAsia="Times New Roman" w:hAnsi="Times New Roman"/>
          <w:sz w:val="18"/>
          <w:szCs w:val="18"/>
          <w:color w:val="auto"/>
        </w:rPr>
      </w:pPr>
    </w:p>
    <w:p>
      <w:pPr>
        <w:jc w:val="both"/>
        <w:ind w:firstLine="8"/>
        <w:spacing w:after="0" w:line="261" w:lineRule="auto"/>
        <w:tabs>
          <w:tab w:leader="none" w:pos="258"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Before the Trustee acts or refrains from acting, it may require an Officers’ Certificate or an Opinion of Counsel, or both. The Trustee shall not be liable for any action it takes or omits to take in good faith in reliance on such Officers’ Certificate or Opinion of Counsel. No such Officers’ Certificate or Opinion of Counsel shall be at the expense of the Trustee. Any request or direction of the Company mentioned herein shall be sufficiently evidenced by an Officers’ Certificate.</w:t>
      </w:r>
    </w:p>
    <w:p>
      <w:pPr>
        <w:spacing w:after="0" w:line="179" w:lineRule="exact"/>
        <w:rPr>
          <w:rFonts w:ascii="Times New Roman" w:cs="Times New Roman" w:eastAsia="Times New Roman" w:hAnsi="Times New Roman"/>
          <w:sz w:val="18"/>
          <w:szCs w:val="18"/>
          <w:color w:val="auto"/>
        </w:rPr>
      </w:pPr>
    </w:p>
    <w:p>
      <w:pPr>
        <w:ind w:right="20" w:firstLine="8"/>
        <w:spacing w:after="0" w:line="282" w:lineRule="auto"/>
        <w:tabs>
          <w:tab w:leader="none" w:pos="248"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may act through agents and shall not be responsible for the misconduct or negligence of any agent appointed with due care. No Depositary shall be deemed an agent of the Trustee and the Trustee shall not be responsible for any act or omission by any Depositary.</w:t>
      </w:r>
    </w:p>
    <w:p>
      <w:pPr>
        <w:spacing w:after="0" w:line="161" w:lineRule="exact"/>
        <w:rPr>
          <w:rFonts w:ascii="Times New Roman" w:cs="Times New Roman" w:eastAsia="Times New Roman" w:hAnsi="Times New Roman"/>
          <w:sz w:val="18"/>
          <w:szCs w:val="18"/>
          <w:color w:val="auto"/>
        </w:rPr>
      </w:pPr>
    </w:p>
    <w:p>
      <w:pPr>
        <w:jc w:val="both"/>
        <w:ind w:firstLine="8"/>
        <w:spacing w:after="0" w:line="266" w:lineRule="auto"/>
        <w:tabs>
          <w:tab w:leader="none" w:pos="269"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not be liable for any action it takes or omits to take in good faith which it believes to be authorized or within its rights or powers, provided that the Trustee’s conduct does not constitute negligence or bad faith. The Trustee shall not be liable for any special, punitive or consequential damages, even if they were reasonably foreseeable.</w:t>
      </w:r>
    </w:p>
    <w:p>
      <w:pPr>
        <w:spacing w:after="0" w:line="175" w:lineRule="exact"/>
        <w:rPr>
          <w:rFonts w:ascii="Times New Roman" w:cs="Times New Roman" w:eastAsia="Times New Roman" w:hAnsi="Times New Roman"/>
          <w:sz w:val="18"/>
          <w:szCs w:val="18"/>
          <w:color w:val="auto"/>
        </w:rPr>
      </w:pPr>
    </w:p>
    <w:p>
      <w:pPr>
        <w:jc w:val="both"/>
        <w:ind w:firstLine="8"/>
        <w:spacing w:after="0" w:line="266" w:lineRule="auto"/>
        <w:tabs>
          <w:tab w:leader="none" w:pos="246"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may consult with counsel of its selection and the advice of such counsel or any Opinion of Counsel shall be full and complete authorization and protection in respect of any action taken, suffered or omitted by it hereunder, and the Trustee may conclusively rely on any such advice or Opinion of Counsel.</w:t>
      </w:r>
    </w:p>
    <w:p>
      <w:pPr>
        <w:spacing w:after="0" w:line="175" w:lineRule="exact"/>
        <w:rPr>
          <w:rFonts w:ascii="Times New Roman" w:cs="Times New Roman" w:eastAsia="Times New Roman" w:hAnsi="Times New Roman"/>
          <w:sz w:val="18"/>
          <w:szCs w:val="18"/>
          <w:color w:val="auto"/>
        </w:rPr>
      </w:pPr>
    </w:p>
    <w:p>
      <w:pPr>
        <w:jc w:val="both"/>
        <w:ind w:firstLine="8"/>
        <w:spacing w:after="0" w:line="266" w:lineRule="auto"/>
        <w:tabs>
          <w:tab w:leader="none" w:pos="236"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be under no obligation to exercise any of the rights or powers vested in it by this Indenture at the request or direction of any of the Holders of Securities unless such Holders shall have offered to the Trustee security or indemnity satisfactory to the Trustee against the costs, expenses and liabilities which might be incurred by it in compliance with such request or direction.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4" w:name="page65"/>
    <w:bookmarkEnd w:id="64"/>
    <w:p>
      <w:pPr>
        <w:jc w:val="both"/>
        <w:ind w:firstLine="8"/>
        <w:spacing w:after="0" w:line="266" w:lineRule="auto"/>
        <w:tabs>
          <w:tab w:leader="none" w:pos="265"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not be bound to make any investigation into the facts or matters stated in any resolution, certificate, statement, instrument, opinion, report, notice, request, direction, consent, order, bond, debenture, note, other evidence of indebtedness or other paper or document, but the Trustee, in its discretion, may make such further inquiry or investigation into such facts or matters as it may see fit.</w:t>
      </w:r>
    </w:p>
    <w:p>
      <w:pPr>
        <w:spacing w:after="0" w:line="175" w:lineRule="exact"/>
        <w:rPr>
          <w:rFonts w:ascii="Times New Roman" w:cs="Times New Roman" w:eastAsia="Times New Roman" w:hAnsi="Times New Roman"/>
          <w:sz w:val="18"/>
          <w:szCs w:val="18"/>
          <w:color w:val="auto"/>
        </w:rPr>
      </w:pPr>
    </w:p>
    <w:p>
      <w:pPr>
        <w:jc w:val="both"/>
        <w:ind w:firstLine="8"/>
        <w:spacing w:after="0" w:line="266" w:lineRule="auto"/>
        <w:tabs>
          <w:tab w:leader="none" w:pos="271"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not be deemed to have notice of any Default or Event of Default (other than a payment default under Section 6.1 or 6.2) unless a Responsible Officer of the Trustee has received written notice of any event which is in fact such a default at the Corporate Trust Office of the Trustee, and such notice references the Securities generally or the Securities of a particular Series and this Indenture.</w:t>
      </w:r>
    </w:p>
    <w:p>
      <w:pPr>
        <w:spacing w:after="0" w:line="175" w:lineRule="exact"/>
        <w:rPr>
          <w:rFonts w:ascii="Times New Roman" w:cs="Times New Roman" w:eastAsia="Times New Roman" w:hAnsi="Times New Roman"/>
          <w:sz w:val="18"/>
          <w:szCs w:val="18"/>
          <w:color w:val="auto"/>
        </w:rPr>
      </w:pPr>
    </w:p>
    <w:p>
      <w:pPr>
        <w:ind w:firstLine="8"/>
        <w:spacing w:after="0" w:line="282" w:lineRule="auto"/>
        <w:tabs>
          <w:tab w:leader="none" w:pos="217"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privileges, protections, immunities and benefits given to the Trustee, including without limitation its right to be indemnified, are extended to, and shall enforceable by, the Trustee in each of its capacities hereunder, and to each agent, custodian and other Person employed to act hereunder.</w:t>
      </w:r>
    </w:p>
    <w:p>
      <w:pPr>
        <w:spacing w:after="0" w:line="161" w:lineRule="exact"/>
        <w:rPr>
          <w:rFonts w:ascii="Times New Roman" w:cs="Times New Roman" w:eastAsia="Times New Roman" w:hAnsi="Times New Roman"/>
          <w:sz w:val="18"/>
          <w:szCs w:val="18"/>
          <w:color w:val="auto"/>
        </w:rPr>
      </w:pPr>
    </w:p>
    <w:p>
      <w:pPr>
        <w:jc w:val="both"/>
        <w:ind w:firstLine="8"/>
        <w:spacing w:after="0" w:line="266" w:lineRule="auto"/>
        <w:tabs>
          <w:tab w:leader="none" w:pos="229"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may request that the Issuer deliver an Officers’ Certificate setting forth the names of individuals and titles of officers authorized at such time to take specified actions pursuant to this Indenture, which Officers’ Certificate may be signed by any person authorized to sign an Officers’ Certificate, including any person specified as so authorized in any such certificate previously delivered and not superseded.</w:t>
      </w:r>
    </w:p>
    <w:p>
      <w:pPr>
        <w:spacing w:after="0" w:line="175"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have no duty to inquire as to or monitor the performance of the Issuer with respect to the covenants contained in Article IV.</w:t>
      </w:r>
    </w:p>
    <w:p>
      <w:pPr>
        <w:spacing w:after="0" w:line="225" w:lineRule="exact"/>
        <w:rPr>
          <w:rFonts w:ascii="Times New Roman" w:cs="Times New Roman" w:eastAsia="Times New Roman" w:hAnsi="Times New Roman"/>
          <w:sz w:val="18"/>
          <w:szCs w:val="18"/>
          <w:color w:val="auto"/>
        </w:rPr>
      </w:pPr>
    </w:p>
    <w:p>
      <w:pPr>
        <w:ind w:left="220" w:hanging="212"/>
        <w:spacing w:after="0"/>
        <w:tabs>
          <w:tab w:leader="none" w:pos="22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not be required to give any note, bond or surety in respect of the execution of the trusts and powers under this Indenture.</w:t>
      </w:r>
    </w:p>
    <w:p>
      <w:pPr>
        <w:spacing w:after="0" w:line="225"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herein shall be deemed to require the Trustee to submit to the jurisdiction or venue of a non-U.S. court.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7.3 </w:t>
      </w:r>
      <w:r>
        <w:rPr>
          <w:rFonts w:ascii="Times New Roman" w:cs="Times New Roman" w:eastAsia="Times New Roman" w:hAnsi="Times New Roman"/>
          <w:sz w:val="18"/>
          <w:szCs w:val="18"/>
          <w:u w:val="single" w:color="auto"/>
          <w:color w:val="auto"/>
        </w:rPr>
        <w:t>Force Majeure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8"/>
        <w:spacing w:after="0" w:line="261" w:lineRule="auto"/>
        <w:tabs>
          <w:tab w:leader="none" w:pos="253"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Trustee shall have no liability for delays or inability to perform its duties hereunder due to </w:t>
      </w:r>
      <w:r>
        <w:rPr>
          <w:rFonts w:ascii="Times New Roman" w:cs="Times New Roman" w:eastAsia="Times New Roman" w:hAnsi="Times New Roman"/>
          <w:sz w:val="18"/>
          <w:szCs w:val="18"/>
          <w:u w:val="single" w:color="auto"/>
          <w:color w:val="auto"/>
        </w:rPr>
        <w:t>forces majeure</w:t>
      </w:r>
      <w:r>
        <w:rPr>
          <w:rFonts w:ascii="Times New Roman" w:cs="Times New Roman" w:eastAsia="Times New Roman" w:hAnsi="Times New Roman"/>
          <w:sz w:val="18"/>
          <w:szCs w:val="18"/>
          <w:color w:val="auto"/>
        </w:rPr>
        <w:t>, events beyond its control, such as (but not exclusively) civil unrest, earthquakes, hurricanes or other natural disasters, floods, utility failures, transmission interruptions, power failures, wars, governmental declarations or Acts of God; it being understood that the Trustee shall use reasonable efforts which are consistent with accepted practices in the banking industry to resume performance as soon as practicable under the circumstances.</w:t>
      </w:r>
    </w:p>
    <w:p>
      <w:pPr>
        <w:spacing w:after="0" w:line="179" w:lineRule="exact"/>
        <w:rPr>
          <w:rFonts w:ascii="Times New Roman" w:cs="Times New Roman" w:eastAsia="Times New Roman" w:hAnsi="Times New Roman"/>
          <w:sz w:val="18"/>
          <w:szCs w:val="18"/>
          <w:color w:val="auto"/>
        </w:rPr>
      </w:pPr>
    </w:p>
    <w:p>
      <w:pPr>
        <w:ind w:firstLine="8"/>
        <w:spacing w:after="0" w:line="282" w:lineRule="auto"/>
        <w:tabs>
          <w:tab w:leader="none" w:pos="255"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Delivery of reports or information by the Company shall not be deemed to confer actual or constructive knowledge or notice on the Trustee with respect to a Default or Event of Default, or otherwise.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7.4 </w:t>
      </w:r>
      <w:r>
        <w:rPr>
          <w:rFonts w:ascii="Times New Roman" w:cs="Times New Roman" w:eastAsia="Times New Roman" w:hAnsi="Times New Roman"/>
          <w:sz w:val="18"/>
          <w:szCs w:val="18"/>
          <w:u w:val="single" w:color="auto"/>
          <w:color w:val="auto"/>
        </w:rPr>
        <w:t>Individual Rights of Trustee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Trustee in its individual or any other capacity may become the owner or pledgee of Securities and may otherwise deal with the Company or an Affiliate of the Company with the same rights it would have if it were not Trustee. Any Agent may do the same with like rights. The Trustee is also subject to Sections 7.11 and 7.12.</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7.5 </w:t>
      </w:r>
      <w:r>
        <w:rPr>
          <w:rFonts w:ascii="Times New Roman" w:cs="Times New Roman" w:eastAsia="Times New Roman" w:hAnsi="Times New Roman"/>
          <w:sz w:val="18"/>
          <w:szCs w:val="18"/>
          <w:u w:val="single" w:color="auto"/>
          <w:color w:val="auto"/>
        </w:rPr>
        <w:t>Trustee’s Disclaimer</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Trustee makes no representation as to the validity or adequacy of this Indenture or the Securities, it shall not be accountable for the Company’s use of the proceeds from the Securities, and it shall not be responsible for any statement in the Securities other than its authentication.</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36"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color w:val="auto"/>
        </w:rPr>
        <w:t xml:space="preserve">Section 7.6 </w:t>
      </w:r>
      <w:r>
        <w:rPr>
          <w:rFonts w:ascii="Times New Roman" w:cs="Times New Roman" w:eastAsia="Times New Roman" w:hAnsi="Times New Roman"/>
          <w:sz w:val="18"/>
          <w:szCs w:val="18"/>
          <w:u w:val="single" w:color="auto"/>
          <w:color w:val="auto"/>
        </w:rPr>
        <w:t>Notice of Defaults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If a Default or Event of Default occurs and is continuing with respect to the Securities of any Series and if it is known to a Responsible Officer of the Trustee, the Trustee shall mail (or deliver notice subject to the applicable procedures of the Depositary or relevant clearing system) to each Security Holder of the Securities of that Series notice of a Default or Event of Default within 90 days after it occurs or, if later, after a Responsible Officer of the Trustee has written notice of such Default or Event of Default. Except in the case of a Default or Event of Default in payment of principal of or interest on any Security of any Series, or in the payment of any sinking fund installment, the Trustee may withhold the notice if and so long as its corporate trust committee or a committee of its Responsible Officers in good faith determines that withholding the notice is in the interests of Security Holders of that Series.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7.7 </w:t>
      </w:r>
      <w:r>
        <w:rPr>
          <w:rFonts w:ascii="Times New Roman" w:cs="Times New Roman" w:eastAsia="Times New Roman" w:hAnsi="Times New Roman"/>
          <w:sz w:val="18"/>
          <w:szCs w:val="18"/>
          <w:u w:val="single" w:color="auto"/>
          <w:color w:val="auto"/>
        </w:rPr>
        <w:t>Reports by Trustee to Holders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Within 60 days after May 15 in each year, the Trustee shall transmit by mail to all Security Holders, as their names and addresses appear on the register kept by the Registrar, a brief report dated as of such May 15, in accordance with, and to the extent required under, TIA § 313.</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copy of each report at the time of its mailing to Security Holders of any Series shall be filed with the SEC and each stock exchange on which the Securities of that Series are listed. The Company shall promptly notify the Trustee when Securities of any Series are listed on any stock exchange.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7.8 </w:t>
      </w:r>
      <w:r>
        <w:rPr>
          <w:rFonts w:ascii="Times New Roman" w:cs="Times New Roman" w:eastAsia="Times New Roman" w:hAnsi="Times New Roman"/>
          <w:sz w:val="18"/>
          <w:szCs w:val="18"/>
          <w:u w:val="single" w:color="auto"/>
          <w:color w:val="auto"/>
        </w:rPr>
        <w:t>Compensation and Indemnity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shall pay to the Trustee from time to time compensation for its services as the Company and the Trustee shall from time to time agree upon in writing. The Trustee’s compensation shall not be limited by any law on compensation of a trustee of an express trust. The Company shall reimburse the Trustee upon request for all reasonable out of pocket expenses incurred by it. Such expenses shall include the reasonable compensation and expenses of the Trustee’s agents and counsel.</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shall indemnify each of the Trustee and any predecessor Trustee against any loss, liability or expense (including the cost of defending itself) incurred by it except as set forth in the next paragraph in the performance of the Trustee duties under this Indenture as Trustee or Agent. The Trustee shall notify the Company promptly of any claim for which it may seek indemnity; provided, however, that failure to so notify the Company shall not relieve it of its obligations hereunder. The Company shall defend the claim and the Trustee shall cooperate in the defense; provided, however, the Trustee may conduct its own defense if there is a conflict of interest between the interests of the Company and those of the Trustee. The Trustee may have one separate counsel (in addition to local counsel, if applicable) and the Company shall pay the reasonable fees and expenses of such counsel. The Company need not pay for any settlement made without its consent, which consent shall not be unreasonably withheld. This indemnification shall apply to officers, directors, employees, shareholders and Agents or agents of the Trustee.</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need not reimburse any expense or indemnify against any loss or liability incurred by the Trustee or by any officer, director, employee, shareholder, Agent or agent of the Trustee to the extent it is attributed to its own negligence or willful conduct as determined by a court of competent jurisdiction in a final, non-appealable order.</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To secure the Company’s payment obligations in this Section, the Trustee shall have a lien prior to the Securities of any Series on all money or property held or collected by the Trustee, except that held in trust to pay principal of and interest on particular Securities of that Series.</w:t>
      </w:r>
    </w:p>
    <w:p>
      <w:pPr>
        <w:spacing w:after="0" w:line="162" w:lineRule="exact"/>
        <w:rPr>
          <w:sz w:val="20"/>
          <w:szCs w:val="20"/>
          <w:color w:val="auto"/>
        </w:rPr>
      </w:pPr>
    </w:p>
    <w:p>
      <w:pPr>
        <w:jc w:val="both"/>
        <w:spacing w:after="0" w:line="312" w:lineRule="auto"/>
        <w:rPr>
          <w:sz w:val="20"/>
          <w:szCs w:val="20"/>
          <w:color w:val="auto"/>
        </w:rPr>
      </w:pPr>
      <w:r>
        <w:rPr>
          <w:rFonts w:ascii="Times New Roman" w:cs="Times New Roman" w:eastAsia="Times New Roman" w:hAnsi="Times New Roman"/>
          <w:sz w:val="17"/>
          <w:szCs w:val="17"/>
          <w:color w:val="auto"/>
        </w:rPr>
        <w:t>When the Trustee incurs expenses or renders services after an Event of Default specified in Section 6.1(d) or (e) occurs, the expenses and the compensation for the services (including the fees and expenses of its agents and counsel) are intended to constitute expenses of administration under any Bankruptcy Law.</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provisions of this Section shall survive the termination of this Indenture and the resignation and removal of the Trustee.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color w:val="auto"/>
        </w:rPr>
        <w:t xml:space="preserve">Section 7.9 </w:t>
      </w:r>
      <w:r>
        <w:rPr>
          <w:rFonts w:ascii="Times New Roman" w:cs="Times New Roman" w:eastAsia="Times New Roman" w:hAnsi="Times New Roman"/>
          <w:sz w:val="18"/>
          <w:szCs w:val="18"/>
          <w:u w:val="single" w:color="auto"/>
          <w:color w:val="auto"/>
        </w:rPr>
        <w:t>Replacement of Trustee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resignation or removal of the Trustee and appointment of a successor Trustee shall become effective only upon the successor Trustee’s acceptance of appointment as provided in this Section.</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Trustee may resign with respect to the Securities of one or more Series by so notifying the Company at least 30 days prior to the date of the proposed resignation. The Holders of a majority in principal amount of the Securities of any Series may remove the Trustee with respect to that Series by so notifying the Trustee and the Company. The Company may remove the Trustee with respect to Securities of one or more Series if:</w:t>
      </w:r>
    </w:p>
    <w:p>
      <w:pPr>
        <w:spacing w:after="0" w:line="176" w:lineRule="exact"/>
        <w:rPr>
          <w:sz w:val="20"/>
          <w:szCs w:val="20"/>
          <w:color w:val="auto"/>
        </w:rPr>
      </w:pPr>
    </w:p>
    <w:p>
      <w:pPr>
        <w:ind w:left="260" w:hanging="252"/>
        <w:spacing w:after="0"/>
        <w:tabs>
          <w:tab w:leader="none" w:pos="26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fails to comply with Section 7.11;</w:t>
      </w:r>
    </w:p>
    <w:p>
      <w:pPr>
        <w:spacing w:after="0" w:line="225"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is adjudged a bankrupt or an insolvent or an order for relief is entered with respect to the Trustee under any Bankruptcy Law;</w:t>
      </w:r>
    </w:p>
    <w:p>
      <w:pPr>
        <w:spacing w:after="0" w:line="225"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Custodian or public officer takes charge of the Trustee or its property; or</w:t>
      </w:r>
    </w:p>
    <w:p>
      <w:pPr>
        <w:spacing w:after="0" w:line="225"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becomes incapable of acting.</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the Trustee resigns or is removed or if a vacancy exists in the office of Trustee for any reason, the Company shall promptly appoint a successor Trustee. Within one year after the successor Trustee takes office, the Holders of a majority in principal amount of the then outstanding Securities may appoint a successor Trustee to replace the successor Trustee appointed by the Company.</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a successor Trustee with respect to the Securities of any one or more Series does not take office within 60 days after the retiring Trustee resigns or is removed, the retiring Trustee, the Company or the Holders of at least a majority in principal amount of the Securities of the applicable Series may petition any court of competent jurisdiction for the appointment of a successor Trustee.</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 successor Trustee shall deliver a written acceptance of its appointment to the retiring Trustee and to the Company. Immediately after that, the retiring Trustee upon payment of its fees and expenses then unpaid shall transfer all property held by it as Trustee to the successor Trustee subject to the lien provided for in Section 7.8, the resignation or removal of the retiring Trustee shall become effective, and the successor Trustee shall have all the rights, powers and duties of the Trustee with respect to each Series of Securities for which it is acting as Trustee under this Indenture. A successor Trustee shall mail a notice of its succession to each Security Holder of each such Series. Notwithstanding replacement of the Trustee pursuant to this Section 7.9, the Company’s obligations under Section 7.8 hereof shall continue for the benefit of the retiring Trustee with respect to expenses and liabilities incurred by it prior to such replacement.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7.10 </w:t>
      </w:r>
      <w:r>
        <w:rPr>
          <w:rFonts w:ascii="Times New Roman" w:cs="Times New Roman" w:eastAsia="Times New Roman" w:hAnsi="Times New Roman"/>
          <w:sz w:val="18"/>
          <w:szCs w:val="18"/>
          <w:u w:val="single" w:color="auto"/>
          <w:color w:val="auto"/>
        </w:rPr>
        <w:t>Successor Trustee by Merger, etc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the Trustee consolidates with, merges or converts into, or transfers all or substantially all of its corporate trust business to, another corporation, the successor corporation without any further act shall be the successor Trustee.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7.11 </w:t>
      </w:r>
      <w:r>
        <w:rPr>
          <w:rFonts w:ascii="Times New Roman" w:cs="Times New Roman" w:eastAsia="Times New Roman" w:hAnsi="Times New Roman"/>
          <w:sz w:val="18"/>
          <w:szCs w:val="18"/>
          <w:u w:val="single" w:color="auto"/>
          <w:color w:val="auto"/>
        </w:rPr>
        <w:t>Eligibility; Disqualification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This Indenture shall always have a Trustee who satisfies the requirements of TIA § 310(a)(1), (2) and (5). The Trustee shall always have a combined capital and surplus of at least $150,000 as set forth in its most recent published annual report of condition. The Trustee shall comply with TIA § 310(b).</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7.12 </w:t>
      </w:r>
      <w:r>
        <w:rPr>
          <w:rFonts w:ascii="Times New Roman" w:cs="Times New Roman" w:eastAsia="Times New Roman" w:hAnsi="Times New Roman"/>
          <w:sz w:val="18"/>
          <w:szCs w:val="18"/>
          <w:u w:val="single" w:color="auto"/>
          <w:color w:val="auto"/>
        </w:rPr>
        <w:t>Preferential Collection of Claims Against Company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Trustee is subject to TIA § 311(a), excluding any creditor relationship listed in TIA § 311(b). A Trustee who has resigned or been removed shall be subject to TIA § 311(a) to the extent indicated.</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7" w:name="page68"/>
    <w:bookmarkEnd w:id="67"/>
    <w:p>
      <w:pPr>
        <w:jc w:val="center"/>
        <w:spacing w:after="0"/>
        <w:rPr>
          <w:sz w:val="20"/>
          <w:szCs w:val="20"/>
          <w:color w:val="auto"/>
        </w:rPr>
      </w:pPr>
      <w:r>
        <w:rPr>
          <w:rFonts w:ascii="Times New Roman" w:cs="Times New Roman" w:eastAsia="Times New Roman" w:hAnsi="Times New Roman"/>
          <w:sz w:val="18"/>
          <w:szCs w:val="18"/>
          <w:b w:val="1"/>
          <w:bCs w:val="1"/>
          <w:color w:val="auto"/>
        </w:rPr>
        <w:t>ARTICLE VIII</w:t>
      </w:r>
    </w:p>
    <w:p>
      <w:pPr>
        <w:spacing w:after="0" w:line="225"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8"/>
          <w:szCs w:val="18"/>
          <w:b w:val="1"/>
          <w:bCs w:val="1"/>
          <w:color w:val="auto"/>
        </w:rPr>
        <w:t>SATISFACTION AND DISCHARGE; DEFEASANCE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8.1 </w:t>
      </w:r>
      <w:r>
        <w:rPr>
          <w:rFonts w:ascii="Times New Roman" w:cs="Times New Roman" w:eastAsia="Times New Roman" w:hAnsi="Times New Roman"/>
          <w:sz w:val="18"/>
          <w:szCs w:val="18"/>
          <w:u w:val="single" w:color="auto"/>
          <w:color w:val="auto"/>
        </w:rPr>
        <w:t>Satisfaction and Discharge of Indenture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This Indenture shall upon Company Order cease to be of further effect (except as hereinafter provided in this Section 8.1), and the Trustee, at the expense of the Company, shall execute proper instruments acknowledging satisfaction and discharge of this Indenture, when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either</w:t>
      </w:r>
    </w:p>
    <w:p>
      <w:pPr>
        <w:spacing w:after="0" w:line="225" w:lineRule="exact"/>
        <w:rPr>
          <w:sz w:val="20"/>
          <w:szCs w:val="20"/>
          <w:color w:val="auto"/>
        </w:rPr>
      </w:pPr>
    </w:p>
    <w:p>
      <w:pPr>
        <w:ind w:firstLine="8"/>
        <w:spacing w:after="0" w:line="282" w:lineRule="auto"/>
        <w:tabs>
          <w:tab w:leader="none" w:pos="221"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Securities theretofore authenticated and delivered (other than Securities that have been destroyed, lost or stolen and that have been replaced or paid) have been delivered to the Trustee for cancellation; or</w:t>
      </w:r>
    </w:p>
    <w:p>
      <w:pPr>
        <w:spacing w:after="0" w:line="161" w:lineRule="exact"/>
        <w:rPr>
          <w:rFonts w:ascii="Times New Roman" w:cs="Times New Roman" w:eastAsia="Times New Roman" w:hAnsi="Times New Roman"/>
          <w:sz w:val="18"/>
          <w:szCs w:val="18"/>
          <w:color w:val="auto"/>
        </w:rPr>
      </w:pPr>
    </w:p>
    <w:p>
      <w:pPr>
        <w:ind w:left="280" w:hanging="272"/>
        <w:spacing w:after="0"/>
        <w:tabs>
          <w:tab w:leader="none" w:pos="2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such Securities not theretofore delivered to the Trustee for cancellation</w:t>
      </w:r>
    </w:p>
    <w:p>
      <w:pPr>
        <w:spacing w:after="0" w:line="225" w:lineRule="exact"/>
        <w:rPr>
          <w:sz w:val="20"/>
          <w:szCs w:val="20"/>
          <w:color w:val="auto"/>
        </w:rPr>
      </w:pPr>
    </w:p>
    <w:p>
      <w:pPr>
        <w:ind w:left="300" w:hanging="292"/>
        <w:spacing w:after="0"/>
        <w:tabs>
          <w:tab w:leader="none" w:pos="30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become due and payable, or</w:t>
      </w:r>
    </w:p>
    <w:p>
      <w:pPr>
        <w:spacing w:after="0" w:line="225"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become due and payable at their Stated Maturity within one year, or</w:t>
      </w:r>
    </w:p>
    <w:p>
      <w:pPr>
        <w:spacing w:after="0" w:line="225" w:lineRule="exact"/>
        <w:rPr>
          <w:rFonts w:ascii="Times New Roman" w:cs="Times New Roman" w:eastAsia="Times New Roman" w:hAnsi="Times New Roman"/>
          <w:sz w:val="18"/>
          <w:szCs w:val="18"/>
          <w:color w:val="auto"/>
        </w:rPr>
      </w:pPr>
    </w:p>
    <w:p>
      <w:pPr>
        <w:ind w:firstLine="8"/>
        <w:spacing w:after="0" w:line="282" w:lineRule="auto"/>
        <w:tabs>
          <w:tab w:leader="none" w:pos="302"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been called for redemption or are to be called for redemption within one year under arrangements satisfactory to the Trustee for the giving of notice of redemption by the Trustee in the name, and at the expense, of the Company, or</w:t>
      </w:r>
    </w:p>
    <w:p>
      <w:pPr>
        <w:spacing w:after="0" w:line="161"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deemed paid and discharged pursuant to Section 8.3, as applicable;</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and the Company, in the case of (A), (B) or (C) above, has irrevocably deposited or caused to be deposited with the Trustee as trust funds in trust an amount sufficient for the purpose of paying and discharging the entire indebtedness on such Securities not theretofore delivered to the Trustee for cancellation, for principal and interest to the date of such deposit (in the case of Securities which have become due and payable on or prior to the date of such deposit) or to the Stated Maturity or redemption date, as the case may be;</w:t>
      </w:r>
    </w:p>
    <w:p>
      <w:pPr>
        <w:spacing w:after="0" w:line="180" w:lineRule="exact"/>
        <w:rPr>
          <w:sz w:val="20"/>
          <w:szCs w:val="20"/>
          <w:color w:val="auto"/>
        </w:rPr>
      </w:pPr>
    </w:p>
    <w:p>
      <w:pPr>
        <w:ind w:left="260" w:hanging="252"/>
        <w:spacing w:after="0"/>
        <w:tabs>
          <w:tab w:leader="none" w:pos="26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paid or caused to be paid all other sums payable hereunder by the Company; and</w:t>
      </w:r>
    </w:p>
    <w:p>
      <w:pPr>
        <w:spacing w:after="0" w:line="225" w:lineRule="exact"/>
        <w:rPr>
          <w:rFonts w:ascii="Times New Roman" w:cs="Times New Roman" w:eastAsia="Times New Roman" w:hAnsi="Times New Roman"/>
          <w:sz w:val="18"/>
          <w:szCs w:val="18"/>
          <w:color w:val="auto"/>
        </w:rPr>
      </w:pPr>
    </w:p>
    <w:p>
      <w:pPr>
        <w:ind w:firstLine="8"/>
        <w:spacing w:after="0" w:line="282" w:lineRule="auto"/>
        <w:tabs>
          <w:tab w:leader="none" w:pos="249"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delivered to the Trustee an Officers’ Certificate and an Opinion of Counsel, each stating that all conditions precedent herein provided for relating to the satisfaction and discharge of this Indenture have been complied with.</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Notwithstanding the satisfaction and discharge of this Indenture, the obligations of the Company to the Trustee under Section 7.8, and, if money shall have been deposited with the Trustee pursuant to clause (a) of this Section, the provisions of Sections 2.4, 2.7, 2.8, 8.2 and 8.5 shall survive.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8.2 </w:t>
      </w:r>
      <w:r>
        <w:rPr>
          <w:rFonts w:ascii="Times New Roman" w:cs="Times New Roman" w:eastAsia="Times New Roman" w:hAnsi="Times New Roman"/>
          <w:sz w:val="18"/>
          <w:szCs w:val="18"/>
          <w:u w:val="single" w:color="auto"/>
          <w:color w:val="auto"/>
        </w:rPr>
        <w:t>Application of Trust Funds; Indemnification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8"/>
        <w:spacing w:after="0" w:line="255" w:lineRule="auto"/>
        <w:tabs>
          <w:tab w:leader="none" w:pos="253"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provisions of Section 8.5, all money deposited with the Trustee pursuant to Section 8.1, all money and U.S. Government Obligations or Foreign Government Obligations deposited with the Trustee pursuant to Section 8.3 or 8.4 and all money received by the Trustee in respect of U.S. Government Obligations or Foreign Government Obligations deposited with the Trustee pursuant to Section 8.3 or 8.4, shall be held in trust and applied by it, in accordance with the provisions of the Securities and this Indenture, to the payment, either directly or through any Paying Agent (including the Company acting as its own Paying Agent) as the Trustee may determine, to the persons entitled thereto, of the principal and interest for whose payment such money has been deposited with or received by the Trustee or to make mandatory sinking fund payments or analogous payments as contemplated by Sections 8.3 or 8.4.</w:t>
      </w:r>
    </w:p>
    <w:p>
      <w:pPr>
        <w:spacing w:after="0" w:line="188" w:lineRule="exact"/>
        <w:rPr>
          <w:rFonts w:ascii="Times New Roman" w:cs="Times New Roman" w:eastAsia="Times New Roman" w:hAnsi="Times New Roman"/>
          <w:sz w:val="18"/>
          <w:szCs w:val="18"/>
          <w:color w:val="auto"/>
        </w:rPr>
      </w:pPr>
    </w:p>
    <w:p>
      <w:pPr>
        <w:jc w:val="both"/>
        <w:ind w:firstLine="8"/>
        <w:spacing w:after="0" w:line="266" w:lineRule="auto"/>
        <w:tabs>
          <w:tab w:leader="none" w:pos="289"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pay and shall indemnify the Trustee against any tax, fee or other charge imposed on or assessed against U.S. Government Obligations or Foreign Government Obligations deposited pursuant to Sections 8.3 or 8.4 or the interest and principal received in respect of such obligations other than any payable by or on behalf of Holders.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8" w:name="page69"/>
    <w:bookmarkEnd w:id="68"/>
    <w:p>
      <w:pPr>
        <w:jc w:val="both"/>
        <w:ind w:firstLine="8"/>
        <w:spacing w:after="0" w:line="256" w:lineRule="auto"/>
        <w:tabs>
          <w:tab w:leader="none" w:pos="252"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deliver or pay to the Company from time to time upon Company Request any U.S. Government Obligations or Foreign Government Obligations or money held by it as provided in Sections 8.3 or 8.4 which, in the opinion of a nationally recognized firm of independent certified public accountants expressed in a written certification thereof delivered to the Trustee, are then in excess of the amount thereof which then would have been required to be deposited for the purpose for which such U.S. Government Obligations or Foreign Government Obligations or money were deposited or received. This provision shall not authorize the sale by the Trustee of any U.S. Government Obligations or Foreign Government Obligations held under this Indenture.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8.3 </w:t>
      </w:r>
      <w:r>
        <w:rPr>
          <w:rFonts w:ascii="Times New Roman" w:cs="Times New Roman" w:eastAsia="Times New Roman" w:hAnsi="Times New Roman"/>
          <w:sz w:val="18"/>
          <w:szCs w:val="18"/>
          <w:u w:val="single" w:color="auto"/>
          <w:color w:val="auto"/>
        </w:rPr>
        <w:t>Legal Defeasance of Securities of any Series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Unless this Section 8.3 is otherwise specified, pursuant to Section 2.2(t), to be inapplicable to Securities of any Series, the Company shall be deemed to have paid and discharged the entire indebtedness on all the outstanding Securities of any Series on the 91st day after the date of the deposit referred to in subparagraph (d) hereof, and the provisions of this Indenture, as it relates to such outstanding Securities of such Series, shall no longer be in effect (and the Trustee, at the expense of the Company, shall, at Company Request, execute proper instruments acknowledging the same), except as to:</w:t>
      </w:r>
    </w:p>
    <w:p>
      <w:pPr>
        <w:spacing w:after="0" w:line="180" w:lineRule="exact"/>
        <w:rPr>
          <w:sz w:val="20"/>
          <w:szCs w:val="20"/>
          <w:color w:val="auto"/>
        </w:rPr>
      </w:pPr>
    </w:p>
    <w:p>
      <w:pPr>
        <w:jc w:val="both"/>
        <w:ind w:firstLine="8"/>
        <w:spacing w:after="0" w:line="261" w:lineRule="auto"/>
        <w:tabs>
          <w:tab w:leader="none" w:pos="255"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of Holders of Securities of such Series to receive, from the trust funds described in subparagraph (d) hereof, (i) payment of the principal of and each installment of principal of and interest on the outstanding Securities of such Series on the Stated Maturity of such principal or installment of principal or interest and (ii) the benefit of any mandatory sinking fund payments applicable to the Securities of such Series on the day on which such payments are due and payable in accordance with the terms of this Indenture and the Securities of such Series;</w:t>
      </w:r>
    </w:p>
    <w:p>
      <w:pPr>
        <w:spacing w:after="0" w:line="179"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of Sections 2.4, 2.7, 2.8, 8.2, 8.3 and 8.5; and</w:t>
      </w:r>
    </w:p>
    <w:p>
      <w:pPr>
        <w:spacing w:after="0" w:line="225"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powers, trust and immunities of the Trustee hereunder;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provided that, the following conditions shall have been satisfied:</w:t>
      </w:r>
    </w:p>
    <w:p>
      <w:pPr>
        <w:spacing w:after="0" w:line="225" w:lineRule="exact"/>
        <w:rPr>
          <w:sz w:val="20"/>
          <w:szCs w:val="20"/>
          <w:color w:val="auto"/>
        </w:rPr>
      </w:pPr>
    </w:p>
    <w:p>
      <w:pPr>
        <w:jc w:val="both"/>
        <w:ind w:firstLine="8"/>
        <w:spacing w:after="0" w:line="261" w:lineRule="auto"/>
        <w:tabs>
          <w:tab w:leader="none" w:pos="255"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deposited or caused to be irrevocably deposited (except as provided in Section 8.2(c)) with the Trustee as trust funds in trust for the purpose of making the following payments, specifically pledged as security for and dedicated solely to the benefit of the Holders of such Securities</w:t>
      </w:r>
    </w:p>
    <w:p>
      <w:pPr>
        <w:jc w:val="both"/>
        <w:ind w:firstLine="8"/>
        <w:spacing w:after="0" w:line="252" w:lineRule="auto"/>
        <w:tabs>
          <w:tab w:leader="none" w:pos="222"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Securities of such Series denominated in Dollars, cash in Dollars and/or U.S. Government Obligations, or (ii) in the case of Securities of such Series denominated in a Foreign Currency (other than a composite currency), money and/or Foreign Government Obligations, which through the payment of interest and principal in respect thereof in accordance with their terms, will provide (and without reinvestment and assuming no tax liability will be imposed on such Trustee), not later than one day before the due date of any payment of money, an amount in cash, sufficient, in the opinion of a nationally recognized firm of independent public accountants expressed in a written certification thereof delivered to the Trustee, to pay and discharge each installment of principal of and interest, if any, on and any mandatory sinking fund payments in respect of all the Securities of such Series on the dates such installments of interest or principal and such sinking fund payments are due;</w:t>
      </w:r>
    </w:p>
    <w:p>
      <w:pPr>
        <w:spacing w:after="0" w:line="188" w:lineRule="exact"/>
        <w:rPr>
          <w:rFonts w:ascii="Times New Roman" w:cs="Times New Roman" w:eastAsia="Times New Roman" w:hAnsi="Times New Roman"/>
          <w:sz w:val="18"/>
          <w:szCs w:val="18"/>
          <w:color w:val="auto"/>
        </w:rPr>
      </w:pPr>
    </w:p>
    <w:p>
      <w:pPr>
        <w:ind w:firstLine="8"/>
        <w:spacing w:after="0" w:line="282" w:lineRule="auto"/>
        <w:tabs>
          <w:tab w:leader="none" w:pos="256"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deposit will not result in a breach or violation of, or constitute a default under, this Indenture or any other agreement or instrument to which the Company is a party or by which it is bound;</w:t>
      </w:r>
    </w:p>
    <w:p>
      <w:pPr>
        <w:spacing w:after="0" w:line="161" w:lineRule="exact"/>
        <w:rPr>
          <w:rFonts w:ascii="Times New Roman" w:cs="Times New Roman" w:eastAsia="Times New Roman" w:hAnsi="Times New Roman"/>
          <w:sz w:val="18"/>
          <w:szCs w:val="18"/>
          <w:color w:val="auto"/>
        </w:rPr>
      </w:pPr>
    </w:p>
    <w:p>
      <w:pPr>
        <w:ind w:firstLine="8"/>
        <w:spacing w:after="0" w:line="282" w:lineRule="auto"/>
        <w:tabs>
          <w:tab w:leader="none" w:pos="231"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Default or Event of Default with respect to the Securities of such Series shall have occurred and be continuing on the date of such deposit or during the period ending on the 91st day after such date;</w:t>
      </w:r>
    </w:p>
    <w:p>
      <w:pPr>
        <w:spacing w:after="0" w:line="161" w:lineRule="exact"/>
        <w:rPr>
          <w:rFonts w:ascii="Times New Roman" w:cs="Times New Roman" w:eastAsia="Times New Roman" w:hAnsi="Times New Roman"/>
          <w:sz w:val="18"/>
          <w:szCs w:val="18"/>
          <w:color w:val="auto"/>
        </w:rPr>
      </w:pPr>
    </w:p>
    <w:p>
      <w:pPr>
        <w:jc w:val="both"/>
        <w:ind w:firstLine="8"/>
        <w:spacing w:after="0" w:line="256" w:lineRule="auto"/>
        <w:tabs>
          <w:tab w:leader="none" w:pos="272"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delivered to the Trustee an Officers’ Certificate and an Opinion of Counsel to the effect that (i) the Company has received from, or there has been published by, the Internal Revenue Service a ruling, or (ii) since the date of execution of this Indenture, there has been a change in the applicable Federal income tax law, in either case to the effect that, and based thereon such Opinion of Counsel shall confirm that, the Holders of the Securities of such Series will not recognize income, gain or loss for Federal income tax purposes as a result of such deposit, defeasance and discharge and will be subject to Federal income tax on the same amount and in the same manner and at the same times as would have been the case if such deposit, defeasance and discharge had not occurred;</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9" w:name="page70"/>
    <w:bookmarkEnd w:id="69"/>
    <w:p>
      <w:pPr>
        <w:jc w:val="both"/>
        <w:ind w:firstLine="8"/>
        <w:spacing w:after="0" w:line="266" w:lineRule="auto"/>
        <w:tabs>
          <w:tab w:leader="none" w:pos="277"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delivered to the Trustee an Officers’ Certificate stating that the deposit was not made by the Company with the intent of preferring the Holders of the Securities of such Series over any other creditors of the Company or with the intent of defeating, hindering, delaying or defrauding any other creditors of the Company; and</w:t>
      </w:r>
    </w:p>
    <w:p>
      <w:pPr>
        <w:spacing w:after="0" w:line="175" w:lineRule="exact"/>
        <w:rPr>
          <w:rFonts w:ascii="Times New Roman" w:cs="Times New Roman" w:eastAsia="Times New Roman" w:hAnsi="Times New Roman"/>
          <w:sz w:val="18"/>
          <w:szCs w:val="18"/>
          <w:color w:val="auto"/>
        </w:rPr>
      </w:pPr>
    </w:p>
    <w:p>
      <w:pPr>
        <w:ind w:firstLine="8"/>
        <w:spacing w:after="0" w:line="282" w:lineRule="auto"/>
        <w:tabs>
          <w:tab w:leader="none" w:pos="221"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delivered to the Trustee an Officers’ Certificate and an Opinion of Counsel, each stating that all conditions precedent provided for relating to the defeasance contemplated by this Section have been complied with.</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8.4 </w:t>
      </w:r>
      <w:r>
        <w:rPr>
          <w:rFonts w:ascii="Times New Roman" w:cs="Times New Roman" w:eastAsia="Times New Roman" w:hAnsi="Times New Roman"/>
          <w:sz w:val="18"/>
          <w:szCs w:val="18"/>
          <w:u w:val="single" w:color="auto"/>
          <w:color w:val="auto"/>
        </w:rPr>
        <w:t>Covenant Defeasance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Unless this Section 8.4 is otherwise specified pursuant to Section 2.2(t) to be inapplicable to Securities of any Series, the Company may omit to comply with respect to the Securities of any Series with any term, provision or condition set forth under Sections 4.2, 4.3, 4.4, 4.5, and 5.1 as well as any additional covenants specified in a supplemental indenture for such Series of Securities or a Board Resolution or an Officers’ Certificate delivered pursuant to Section 2.2(t) (and the failure to comply with any such covenants shall not constitute a Default or Event of Default with respect to such Series under Section 6.1) and the occurrence of any event specified in a supplemental indenture for such Series of Securities or a Board Resolution or an Officers’ Certificate delivered pursuant to Section 2.2(r) and designated as an Event of Default shall not constitute a Default or Event of Default hereunder, with respect to the Securities of such Series, provided that the following conditions shall have been satisfied:</w:t>
      </w:r>
    </w:p>
    <w:p>
      <w:pPr>
        <w:spacing w:after="0" w:line="189" w:lineRule="exact"/>
        <w:rPr>
          <w:sz w:val="20"/>
          <w:szCs w:val="20"/>
          <w:color w:val="auto"/>
        </w:rPr>
      </w:pPr>
    </w:p>
    <w:p>
      <w:pPr>
        <w:jc w:val="both"/>
        <w:ind w:firstLine="8"/>
        <w:spacing w:after="0" w:line="257" w:lineRule="auto"/>
        <w:tabs>
          <w:tab w:leader="none" w:pos="261"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reference to this Section 8.4, the Company has deposited or caused to be irrevocably deposited (except as provided in Section 8.2(c)) with the Trustee as trust funds in trust for the purpose of making the following payments specifically pledged as security for, and dedicated solely to, the benefit of the Holders of such Securities (i) in the case of Securities of such Series denominated in Dollars, cash in Dollars and/or U.S. Government Obligations, or</w:t>
      </w:r>
    </w:p>
    <w:p>
      <w:pPr>
        <w:spacing w:after="0" w:line="1" w:lineRule="exact"/>
        <w:rPr>
          <w:rFonts w:ascii="Times New Roman" w:cs="Times New Roman" w:eastAsia="Times New Roman" w:hAnsi="Times New Roman"/>
          <w:sz w:val="18"/>
          <w:szCs w:val="18"/>
          <w:color w:val="auto"/>
        </w:rPr>
      </w:pPr>
    </w:p>
    <w:p>
      <w:pPr>
        <w:jc w:val="both"/>
        <w:ind w:firstLine="8"/>
        <w:spacing w:after="0" w:line="252" w:lineRule="auto"/>
        <w:tabs>
          <w:tab w:leader="none" w:pos="287"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Securities of such Series denominated in a Foreign Currency (other than a composite currency), money and/or Foreign Government Obligations, which through the payment of interest and principal in respect thereof in accordance with their terms, will provide (and without reinvestment and assuming no tax liability will be imposed on such Trustee), not later than one day before the due date of any payment of money, an amount in cash, sufficient, in the opinion of a nationally recognized firm of independent certified public accountants expressed in a written certification thereof delivered to the Trustee, to pay and discharge each installment of principal of and interest, if any, on and any mandatory sinking fund payments in respect of the Securities of such Series on the dates such installments of interest or principal and such sinking fund payments are due;</w:t>
      </w:r>
    </w:p>
    <w:p>
      <w:pPr>
        <w:spacing w:after="0" w:line="189" w:lineRule="exact"/>
        <w:rPr>
          <w:rFonts w:ascii="Times New Roman" w:cs="Times New Roman" w:eastAsia="Times New Roman" w:hAnsi="Times New Roman"/>
          <w:sz w:val="18"/>
          <w:szCs w:val="18"/>
          <w:color w:val="auto"/>
        </w:rPr>
      </w:pPr>
    </w:p>
    <w:p>
      <w:pPr>
        <w:ind w:firstLine="8"/>
        <w:spacing w:after="0" w:line="282" w:lineRule="auto"/>
        <w:tabs>
          <w:tab w:leader="none" w:pos="264"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deposit will not result in a breach or violation of, or constitute a default under, this Indenture or any other agreement or instrument to which the Company is a party or by which it is bound;</w:t>
      </w:r>
    </w:p>
    <w:p>
      <w:pPr>
        <w:spacing w:after="0" w:line="161"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Default or Event of Default with respect to the Securities of such Series shall have occurred and be continuing on the date of such deposit;</w:t>
      </w:r>
    </w:p>
    <w:p>
      <w:pPr>
        <w:spacing w:after="0" w:line="225" w:lineRule="exact"/>
        <w:rPr>
          <w:rFonts w:ascii="Times New Roman" w:cs="Times New Roman" w:eastAsia="Times New Roman" w:hAnsi="Times New Roman"/>
          <w:sz w:val="18"/>
          <w:szCs w:val="18"/>
          <w:color w:val="auto"/>
        </w:rPr>
      </w:pPr>
    </w:p>
    <w:p>
      <w:pPr>
        <w:jc w:val="both"/>
        <w:ind w:firstLine="8"/>
        <w:spacing w:after="0" w:line="266" w:lineRule="auto"/>
        <w:tabs>
          <w:tab w:leader="none" w:pos="267"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delivered to the Trustee an Opinion of Counsel to the effect that Holders of the Securities of such Series will not recognize income, gain or loss for federal income tax purposes as a result of such deposit and covenant defeasance and will be subject to federal income tax on the same amounts, in the same manner and at the same times as would have been the case if such deposit and covenant defeasance had not occurred;</w:t>
      </w:r>
    </w:p>
    <w:p>
      <w:pPr>
        <w:spacing w:after="0" w:line="175" w:lineRule="exact"/>
        <w:rPr>
          <w:rFonts w:ascii="Times New Roman" w:cs="Times New Roman" w:eastAsia="Times New Roman" w:hAnsi="Times New Roman"/>
          <w:sz w:val="18"/>
          <w:szCs w:val="18"/>
          <w:color w:val="auto"/>
        </w:rPr>
      </w:pPr>
    </w:p>
    <w:p>
      <w:pPr>
        <w:jc w:val="both"/>
        <w:ind w:firstLine="8"/>
        <w:spacing w:after="0" w:line="266" w:lineRule="auto"/>
        <w:tabs>
          <w:tab w:leader="none" w:pos="247"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delivered to the Trustee an Officers’ Certificate stating the deposit was not made by the Company with the intent of preferring the Holders of the Securities of such Series over any other creditors of the Company or with the intent of defeating, hindering, delaying or defrauding any other creditors of the Company; and</w:t>
      </w:r>
    </w:p>
    <w:p>
      <w:pPr>
        <w:spacing w:after="0" w:line="175" w:lineRule="exact"/>
        <w:rPr>
          <w:rFonts w:ascii="Times New Roman" w:cs="Times New Roman" w:eastAsia="Times New Roman" w:hAnsi="Times New Roman"/>
          <w:sz w:val="18"/>
          <w:szCs w:val="18"/>
          <w:color w:val="auto"/>
        </w:rPr>
      </w:pPr>
    </w:p>
    <w:p>
      <w:pPr>
        <w:ind w:firstLine="8"/>
        <w:spacing w:after="0" w:line="282" w:lineRule="auto"/>
        <w:tabs>
          <w:tab w:leader="none" w:pos="236"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delivered to the Trustee an Officers’ Certificate and an Opinion of Counsel, each stating that all conditions precedent herein provided for relating to the covenant defeasance contemplated by this Section have been complied with.</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color w:val="auto"/>
        </w:rPr>
        <w:t xml:space="preserve">Section 8.5 </w:t>
      </w:r>
      <w:r>
        <w:rPr>
          <w:rFonts w:ascii="Times New Roman" w:cs="Times New Roman" w:eastAsia="Times New Roman" w:hAnsi="Times New Roman"/>
          <w:sz w:val="18"/>
          <w:szCs w:val="18"/>
          <w:u w:val="single" w:color="auto"/>
          <w:color w:val="auto"/>
        </w:rPr>
        <w:t>Repayment to Company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Trustee and the Paying Agent shall pay to the Company upon written request any money held by them for the payment of principal and interest that remains unclaimed for two years. After that, Security Holders entitled to the money must look to the Company for payment as general creditors unless an applicable abandoned property law designates another person.</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IX</w:t>
      </w:r>
    </w:p>
    <w:p>
      <w:pPr>
        <w:spacing w:after="0" w:line="225"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b w:val="1"/>
          <w:bCs w:val="1"/>
          <w:color w:val="auto"/>
        </w:rPr>
        <w:t>SUPPLEMENTAL INDENTURES, AMENDMENTS AND WAIVERS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9.1 </w:t>
      </w:r>
      <w:r>
        <w:rPr>
          <w:rFonts w:ascii="Times New Roman" w:cs="Times New Roman" w:eastAsia="Times New Roman" w:hAnsi="Times New Roman"/>
          <w:sz w:val="18"/>
          <w:szCs w:val="18"/>
          <w:u w:val="single" w:color="auto"/>
          <w:color w:val="auto"/>
        </w:rPr>
        <w:t>Without Consent of Holders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and the Trustee may amend or supplement this Indenture or the Securities of one or more Series without the consent of any Security Holder:</w:t>
      </w:r>
    </w:p>
    <w:p>
      <w:pPr>
        <w:spacing w:after="0" w:line="225" w:lineRule="exact"/>
        <w:rPr>
          <w:sz w:val="20"/>
          <w:szCs w:val="20"/>
          <w:color w:val="auto"/>
        </w:rPr>
      </w:pPr>
    </w:p>
    <w:p>
      <w:pPr>
        <w:ind w:left="260" w:hanging="252"/>
        <w:spacing w:after="0"/>
        <w:tabs>
          <w:tab w:leader="none" w:pos="26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cure any ambiguity, defect or inconsistency;</w:t>
      </w:r>
    </w:p>
    <w:p>
      <w:pPr>
        <w:spacing w:after="0" w:line="225"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Article V;</w:t>
      </w:r>
    </w:p>
    <w:p>
      <w:pPr>
        <w:spacing w:after="0" w:line="225"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uncertificated Securities in addition to or in place of certificated Securities;</w:t>
      </w:r>
    </w:p>
    <w:p>
      <w:pPr>
        <w:spacing w:after="0" w:line="225"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any change that does not adversely affect the rights of any Security Holder;</w:t>
      </w:r>
    </w:p>
    <w:p>
      <w:pPr>
        <w:spacing w:after="0" w:line="225"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the issuance of and establish the form and terms and conditions of Securities of any Series as permitted by this Indenture;</w:t>
      </w:r>
    </w:p>
    <w:p>
      <w:pPr>
        <w:spacing w:after="0" w:line="225" w:lineRule="exact"/>
        <w:rPr>
          <w:rFonts w:ascii="Times New Roman" w:cs="Times New Roman" w:eastAsia="Times New Roman" w:hAnsi="Times New Roman"/>
          <w:sz w:val="18"/>
          <w:szCs w:val="18"/>
          <w:color w:val="auto"/>
        </w:rPr>
      </w:pPr>
    </w:p>
    <w:p>
      <w:pPr>
        <w:jc w:val="both"/>
        <w:ind w:firstLine="8"/>
        <w:spacing w:after="0" w:line="266" w:lineRule="auto"/>
        <w:tabs>
          <w:tab w:leader="none" w:pos="23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evidence and provide for the acceptance of appointment hereunder by a successor Trustee with respect to the Securities of one or more Series and to add to or change any of the provisions of this Indenture as shall be necessary to provide for or facilitate the administration of the trusts hereunder by more than one Trustee; or</w:t>
      </w:r>
    </w:p>
    <w:p>
      <w:pPr>
        <w:spacing w:after="0" w:line="175"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requirements of the SEC in order to effect or maintain the qualification of this Indenture under the TIA.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9.2 </w:t>
      </w:r>
      <w:r>
        <w:rPr>
          <w:rFonts w:ascii="Times New Roman" w:cs="Times New Roman" w:eastAsia="Times New Roman" w:hAnsi="Times New Roman"/>
          <w:sz w:val="18"/>
          <w:szCs w:val="18"/>
          <w:u w:val="single" w:color="auto"/>
          <w:color w:val="auto"/>
        </w:rPr>
        <w:t>With Consent of Holders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and the Trustee may enter into a supplemental indenture with the written consent of the Holders of at least a majority in principal amount of the outstanding Securities of each Series affected by such supplemental indenture (including consents obtained in connection with a tender offer or exchange offer for the Securities of such Series), for the purpose of adding any provisions to or changing in any manner or eliminating any of the provisions of this Indenture or of any supplemental indenture or of modifying in any manner the rights of the Security Holders of each such Series. Except as provided in Section 6.13, the Holders of at least a majority in principal amount of the outstanding Securities of any Series by notice to the Trustee (including consents obtained in connection with a tender offer or exchange offer for the Securities of such Series) may waive compliance by the Company with any provision of this Indenture or the Securities with respect to such Series.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It shall not be necessary for the consent of the Holders of Securities under this Section 9.2 to approve the particular form of any proposed supplemental indenture or waiver, but it shall be sufficient if such consent approves the substance thereof. After a supplemental indenture or waiver under this section becomes effective, the Company shall mail to the Holders of Securities affected thereby, a notice briefly describing the supplemental indenture or waiver. Any failure by the Company to mail or publish such notice, or any defect therein, shall not, however, in any way impair or affect the validity of any such supplemental indenture or waiver.</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color w:val="auto"/>
        </w:rPr>
        <w:t xml:space="preserve">Section 9.3 </w:t>
      </w:r>
      <w:r>
        <w:rPr>
          <w:rFonts w:ascii="Times New Roman" w:cs="Times New Roman" w:eastAsia="Times New Roman" w:hAnsi="Times New Roman"/>
          <w:sz w:val="18"/>
          <w:szCs w:val="18"/>
          <w:u w:val="single" w:color="auto"/>
          <w:color w:val="auto"/>
        </w:rPr>
        <w:t>Limitations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Without the consent of each Security Holder affected, an amendment or waiver may not:</w:t>
      </w:r>
    </w:p>
    <w:p>
      <w:pPr>
        <w:spacing w:after="0" w:line="225" w:lineRule="exact"/>
        <w:rPr>
          <w:sz w:val="20"/>
          <w:szCs w:val="20"/>
          <w:color w:val="auto"/>
        </w:rPr>
      </w:pPr>
    </w:p>
    <w:p>
      <w:pPr>
        <w:ind w:left="260" w:hanging="252"/>
        <w:spacing w:after="0"/>
        <w:tabs>
          <w:tab w:leader="none" w:pos="26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principal amount of Securities whose Holders must consent to an amendment, supplement or waiver;</w:t>
      </w:r>
    </w:p>
    <w:p>
      <w:pPr>
        <w:spacing w:after="0" w:line="225"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rate of or extend the time for payment of interest (including default interest) on any Security;</w:t>
      </w:r>
    </w:p>
    <w:p>
      <w:pPr>
        <w:spacing w:after="0" w:line="225" w:lineRule="exact"/>
        <w:rPr>
          <w:rFonts w:ascii="Times New Roman" w:cs="Times New Roman" w:eastAsia="Times New Roman" w:hAnsi="Times New Roman"/>
          <w:sz w:val="18"/>
          <w:szCs w:val="18"/>
          <w:color w:val="auto"/>
        </w:rPr>
      </w:pPr>
    </w:p>
    <w:p>
      <w:pPr>
        <w:ind w:firstLine="8"/>
        <w:spacing w:after="0" w:line="282" w:lineRule="auto"/>
        <w:tabs>
          <w:tab w:leader="none" w:pos="252"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principal or change the Stated Maturity of any Security or reduce the amount of, or postpone the date fixed for, the payment of any sinking fund or analogous obligation;</w:t>
      </w:r>
    </w:p>
    <w:p>
      <w:pPr>
        <w:spacing w:after="0" w:line="161"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principal amount of Discount Securities payable upon acceleration of the maturity thereof;</w:t>
      </w:r>
    </w:p>
    <w:p>
      <w:pPr>
        <w:spacing w:after="0" w:line="225" w:lineRule="exact"/>
        <w:rPr>
          <w:rFonts w:ascii="Times New Roman" w:cs="Times New Roman" w:eastAsia="Times New Roman" w:hAnsi="Times New Roman"/>
          <w:sz w:val="18"/>
          <w:szCs w:val="18"/>
          <w:color w:val="auto"/>
        </w:rPr>
      </w:pPr>
    </w:p>
    <w:p>
      <w:pPr>
        <w:jc w:val="both"/>
        <w:ind w:firstLine="8"/>
        <w:spacing w:after="0" w:line="266" w:lineRule="auto"/>
        <w:tabs>
          <w:tab w:leader="none" w:pos="261"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a Default or Event of Default in the payment of the principal of or interest, if any, on any Security (except a rescission of acceleration of the Securities of any Series by the Holders of at least a majority in principal amount of the outstanding Securities of such Series and a waiver of the payment default that resulted from such acceleration);</w:t>
      </w:r>
    </w:p>
    <w:p>
      <w:pPr>
        <w:spacing w:after="0" w:line="175"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the principal of or interest, if any, on any Security payable in any currency other than that stated in the Security;</w:t>
      </w:r>
    </w:p>
    <w:p>
      <w:pPr>
        <w:spacing w:after="0" w:line="225"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change in Sections 6.8, 6.13 or 9.3 (this sentence); or</w:t>
      </w:r>
    </w:p>
    <w:p>
      <w:pPr>
        <w:spacing w:after="0" w:line="225"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a redemption payment with respect to any Security, provided that such redemption is made at the Company’s option.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9.4 </w:t>
      </w:r>
      <w:r>
        <w:rPr>
          <w:rFonts w:ascii="Times New Roman" w:cs="Times New Roman" w:eastAsia="Times New Roman" w:hAnsi="Times New Roman"/>
          <w:sz w:val="18"/>
          <w:szCs w:val="18"/>
          <w:u w:val="single" w:color="auto"/>
          <w:color w:val="auto"/>
        </w:rPr>
        <w:t>Compliance with Trust Indenture Act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Every amendment or waiver to this Indenture or the issuance of and establishment of the form and terms and conditions of Securities of one or more Series shall be set forth in a supplemental indenture hereto that complies with the TIA as then in effect.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9.5 </w:t>
      </w:r>
      <w:r>
        <w:rPr>
          <w:rFonts w:ascii="Times New Roman" w:cs="Times New Roman" w:eastAsia="Times New Roman" w:hAnsi="Times New Roman"/>
          <w:sz w:val="18"/>
          <w:szCs w:val="18"/>
          <w:u w:val="single" w:color="auto"/>
          <w:color w:val="auto"/>
        </w:rPr>
        <w:t>Revocation and Effect of Consents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Until an amendment is set forth in a supplemental indenture or a waiver becomes effective, a consent to it by a Holder of a Security is a continuing consent by the Holder and every subsequent Holder of a Security or portion of a Security that evidences the same debt as the consenting Holder’s Security, even if notation of the consent is not made on any Security. However, any such Holder or subsequent Holder may revoke the consent as to his Security or portion of a Security if the Trustee receives the notice of revocation before the date of the supplemental indenture or the date the waiver becomes effective.</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Any amendment or waiver once effective shall bind every Security Holder of each Series affected by such amendment or waiver unless it is of the type described in any of clauses (a) through (h) of Section 9.3. In that case, the amendment or waiver shall bind each Holder of a Security who has consented to it and every subsequent Holder of a Security or portion of a Security that evidences the same debt as the consenting Holder’s Security.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9.6 </w:t>
      </w:r>
      <w:r>
        <w:rPr>
          <w:rFonts w:ascii="Times New Roman" w:cs="Times New Roman" w:eastAsia="Times New Roman" w:hAnsi="Times New Roman"/>
          <w:sz w:val="18"/>
          <w:szCs w:val="18"/>
          <w:u w:val="single" w:color="auto"/>
          <w:color w:val="auto"/>
        </w:rPr>
        <w:t>Notation on or Exchange of Securities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Trustee may place an appropriate notation about an amendment or waiver on any Security of any Series thereafter authenticated. The Company in exchange for Securities of that Series may issue and the Trustee shall authenticate upon receipt of a Company Order new Securities of that Series that reflect the amendment or waiver.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9.7 </w:t>
      </w:r>
      <w:r>
        <w:rPr>
          <w:rFonts w:ascii="Times New Roman" w:cs="Times New Roman" w:eastAsia="Times New Roman" w:hAnsi="Times New Roman"/>
          <w:sz w:val="18"/>
          <w:szCs w:val="18"/>
          <w:u w:val="single" w:color="auto"/>
          <w:color w:val="auto"/>
        </w:rPr>
        <w:t>Trustee Protected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executing, or accepting the additional trusts created by, any supplemental indenture permitted by this Article or the modifications thereby of the trusts created by this Indenture, the Trustee shall be entitled to receive, and (subject to Section 7.1) shall be fully protected in relying upon, an Opinion of Counsel stating that the execution of such supplemental indenture is authorized or permitted by this Indenture. The Trustee shall sign all supplemental indentures, except that the Trustee need not sign any supplemental indenture that adversely affects its rights.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2" w:name="page73"/>
    <w:bookmarkEnd w:id="72"/>
    <w:p>
      <w:pPr>
        <w:jc w:val="center"/>
        <w:spacing w:after="0"/>
        <w:rPr>
          <w:sz w:val="20"/>
          <w:szCs w:val="20"/>
          <w:color w:val="auto"/>
        </w:rPr>
      </w:pPr>
      <w:r>
        <w:rPr>
          <w:rFonts w:ascii="Times New Roman" w:cs="Times New Roman" w:eastAsia="Times New Roman" w:hAnsi="Times New Roman"/>
          <w:sz w:val="18"/>
          <w:szCs w:val="18"/>
          <w:b w:val="1"/>
          <w:bCs w:val="1"/>
          <w:color w:val="auto"/>
        </w:rPr>
        <w:t>ARTICLE X</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MISCELLANEOUS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10.1 </w:t>
      </w:r>
      <w:r>
        <w:rPr>
          <w:rFonts w:ascii="Times New Roman" w:cs="Times New Roman" w:eastAsia="Times New Roman" w:hAnsi="Times New Roman"/>
          <w:sz w:val="18"/>
          <w:szCs w:val="18"/>
          <w:u w:val="single" w:color="auto"/>
          <w:color w:val="auto"/>
        </w:rPr>
        <w:t>Trust Indenture Act Controls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any provision of this Indenture limits, qualifies, or conflicts with another provision which is required or deemed to be included in this Indenture by the TIA, such required or deemed provision shall control.</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10.2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Any notice or communication by the Company or the Trustee to the other, or by a Holder to the Company or the Trustee, is duly given if in writing, in the English language, referencing this Indenture and the applicable securities or series of securities, and delivered in person or mailed by first-class mail, or by facsimile transmission: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to the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CLPS Incorporation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Unit 1102, 11th Floor, Millennium City III</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370 Kwun Tong Road, Kwun Tong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Kowloon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Hong Kong SAR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 (852) 3707 3600</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to the Trustee: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Fax No: [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  ]</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or the Trustee by notice to the other may designate additional or different addresses for subsequent notices or communications.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Any notice or communication to a Security Holder shall be mailed by first-class mail to his address shown on the register kept by the Registrar or delivered subject to the applicable procedures of Depositary or relevant clearing system. Failure to mail a notice or communication to a Security Holder of any Series or any defect in it shall not affect its sufficiency with respect to other Security Holders of that or any other Series.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a notice or communication is mailed or published in the manner provided above, within the time prescribed, it is duly given, whether or not the Security Holder receives it.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the Company mails a notice or communication to Security Holders, it shall mail a copy to the Trustee and each Agent at the same time.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10.3 </w:t>
      </w:r>
      <w:r>
        <w:rPr>
          <w:rFonts w:ascii="Times New Roman" w:cs="Times New Roman" w:eastAsia="Times New Roman" w:hAnsi="Times New Roman"/>
          <w:sz w:val="18"/>
          <w:szCs w:val="18"/>
          <w:u w:val="single" w:color="auto"/>
          <w:color w:val="auto"/>
        </w:rPr>
        <w:t>Communication by Holders with Other Holders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Security Holders of any Series may communicate pursuant to TIA § 312(b) with other Security Holders of that Series or any other Series with respect to their rights under this Indenture or the Securities of that Series or all Series. The Company, the Trustee, the Registrar and anyone else shall have the protection of TIA § 312(c).</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10.4 </w:t>
      </w:r>
      <w:r>
        <w:rPr>
          <w:rFonts w:ascii="Times New Roman" w:cs="Times New Roman" w:eastAsia="Times New Roman" w:hAnsi="Times New Roman"/>
          <w:sz w:val="18"/>
          <w:szCs w:val="18"/>
          <w:u w:val="single" w:color="auto"/>
          <w:color w:val="auto"/>
        </w:rPr>
        <w:t>Certificate and Opinion as to Conditions Precedent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Upon any request or application by the Company to the Trustee to take any action under this Indenture, the Company shall furnish to the Trustee:</w:t>
      </w:r>
    </w:p>
    <w:p>
      <w:pPr>
        <w:spacing w:after="0" w:line="225" w:lineRule="exact"/>
        <w:rPr>
          <w:sz w:val="20"/>
          <w:szCs w:val="20"/>
          <w:color w:val="auto"/>
        </w:rPr>
      </w:pPr>
    </w:p>
    <w:p>
      <w:pPr>
        <w:ind w:right="20" w:firstLine="8"/>
        <w:spacing w:after="0" w:line="282" w:lineRule="auto"/>
        <w:tabs>
          <w:tab w:leader="none" w:pos="249"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Officers’ Certificate stating that, in the opinion of the signers, all conditions precedent, if any, provided for in this Indenture relating to the proposed action have been complied with; and</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3" w:name="page74"/>
    <w:bookmarkEnd w:id="73"/>
    <w:p>
      <w:pPr>
        <w:ind w:right="2180" w:firstLine="8"/>
        <w:spacing w:after="0" w:line="500" w:lineRule="auto"/>
        <w:tabs>
          <w:tab w:leader="none" w:pos="255"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 Opinion of Counsel stating that, in the opinion of such counsel, all such conditions precedent have been complied with. Section 10.5 </w:t>
      </w:r>
      <w:r>
        <w:rPr>
          <w:rFonts w:ascii="Times New Roman" w:cs="Times New Roman" w:eastAsia="Times New Roman" w:hAnsi="Times New Roman"/>
          <w:sz w:val="18"/>
          <w:szCs w:val="18"/>
          <w:u w:val="single" w:color="auto"/>
          <w:color w:val="auto"/>
        </w:rPr>
        <w:t>Statements Required in Certificate or Opinion</w:t>
      </w:r>
      <w:r>
        <w:rPr>
          <w:rFonts w:ascii="Times New Roman" w:cs="Times New Roman" w:eastAsia="Times New Roman" w:hAnsi="Times New Roman"/>
          <w:sz w:val="18"/>
          <w:szCs w:val="18"/>
          <w:color w:val="auto"/>
        </w:rPr>
        <w:t>.</w:t>
      </w:r>
    </w:p>
    <w:p>
      <w:pPr>
        <w:spacing w:after="0" w:line="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Each certificate or opinion with respect to compliance with a condition or covenant provided for in this Indenture (other than a certificate provided pursuant to TIA § 314(a)(4)) shall comply with the provisions of TIA § 314(e) and shall include:</w:t>
      </w:r>
    </w:p>
    <w:p>
      <w:pPr>
        <w:spacing w:after="0" w:line="162" w:lineRule="exact"/>
        <w:rPr>
          <w:sz w:val="20"/>
          <w:szCs w:val="20"/>
          <w:color w:val="auto"/>
        </w:rPr>
      </w:pPr>
    </w:p>
    <w:p>
      <w:pPr>
        <w:ind w:left="260" w:hanging="252"/>
        <w:spacing w:after="0"/>
        <w:tabs>
          <w:tab w:leader="none" w:pos="26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statement that the person making such certificate or opinion has read such covenant or condition;</w:t>
      </w:r>
    </w:p>
    <w:p>
      <w:pPr>
        <w:spacing w:after="0" w:line="225" w:lineRule="exact"/>
        <w:rPr>
          <w:rFonts w:ascii="Times New Roman" w:cs="Times New Roman" w:eastAsia="Times New Roman" w:hAnsi="Times New Roman"/>
          <w:sz w:val="18"/>
          <w:szCs w:val="18"/>
          <w:color w:val="auto"/>
        </w:rPr>
      </w:pPr>
    </w:p>
    <w:p>
      <w:pPr>
        <w:ind w:firstLine="8"/>
        <w:spacing w:after="0" w:line="282" w:lineRule="auto"/>
        <w:tabs>
          <w:tab w:leader="none" w:pos="264"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brief statement as to the nature and scope of the examination or investigation upon which the statements or opinions contained in such certificate or opinion are based;</w:t>
      </w:r>
    </w:p>
    <w:p>
      <w:pPr>
        <w:spacing w:after="0" w:line="161" w:lineRule="exact"/>
        <w:rPr>
          <w:rFonts w:ascii="Times New Roman" w:cs="Times New Roman" w:eastAsia="Times New Roman" w:hAnsi="Times New Roman"/>
          <w:sz w:val="18"/>
          <w:szCs w:val="18"/>
          <w:color w:val="auto"/>
        </w:rPr>
      </w:pPr>
    </w:p>
    <w:p>
      <w:pPr>
        <w:ind w:firstLine="8"/>
        <w:spacing w:after="0" w:line="282" w:lineRule="auto"/>
        <w:tabs>
          <w:tab w:leader="none" w:pos="26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statement that, in the opinion of such person, he has made such examination or investigation as is necessary to enable him to express an informed opinion as to whether or not such covenant or condition has been complied with; and</w:t>
      </w:r>
    </w:p>
    <w:p>
      <w:pPr>
        <w:spacing w:after="0" w:line="161"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statement as to whether or not, in the opinion of such person, such condition or covenant has been complied with.</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10.6 </w:t>
      </w:r>
      <w:r>
        <w:rPr>
          <w:rFonts w:ascii="Times New Roman" w:cs="Times New Roman" w:eastAsia="Times New Roman" w:hAnsi="Times New Roman"/>
          <w:sz w:val="18"/>
          <w:szCs w:val="18"/>
          <w:u w:val="single" w:color="auto"/>
          <w:color w:val="auto"/>
        </w:rPr>
        <w:t>Rules by Trustee and Agents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Trustee may make reasonable rules for action by or a meeting of Security Holders of one or more Series. Any Agent may make reasonable rules and set reasonable requirements for its functions.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10.7 </w:t>
      </w:r>
      <w:r>
        <w:rPr>
          <w:rFonts w:ascii="Times New Roman" w:cs="Times New Roman" w:eastAsia="Times New Roman" w:hAnsi="Times New Roman"/>
          <w:sz w:val="18"/>
          <w:szCs w:val="18"/>
          <w:u w:val="single" w:color="auto"/>
          <w:color w:val="auto"/>
        </w:rPr>
        <w:t>Legal Holidays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Unless otherwise provided by Board Resolution, Officers’ Certificate or supplemental indenture hereto for a particular Series, a “Legal Holiday” is any day that is not a Business Day. If a payment date is a Legal Holiday at a place of payment, payment may be made at that place on the next succeeding day that is not a Legal Holiday, and no interest shall accrue for the intervening period.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10.8 </w:t>
      </w:r>
      <w:r>
        <w:rPr>
          <w:rFonts w:ascii="Times New Roman" w:cs="Times New Roman" w:eastAsia="Times New Roman" w:hAnsi="Times New Roman"/>
          <w:sz w:val="18"/>
          <w:szCs w:val="18"/>
          <w:u w:val="single" w:color="auto"/>
          <w:color w:val="auto"/>
        </w:rPr>
        <w:t>No Recourse Against Others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director, officer, employee or stockholder, as such, of the Company shall not have any liability for any obligations of the Company under the Securities or the Indenture or for any claim based on, in respect of or by reason of such obligations or their creation. Each Security Holder by accepting a Security waives and releases all such liability. The waiver and release are part of the consideration for the issue of the Securities.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10.9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This Indenture may be executed in any number of counterparts and by the parties hereto in separate counterparts, each of which when so executed shall be deemed to be an original and all of which taken together shall constitute one and the same agreement.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10.10 </w:t>
      </w:r>
      <w:r>
        <w:rPr>
          <w:rFonts w:ascii="Times New Roman" w:cs="Times New Roman" w:eastAsia="Times New Roman" w:hAnsi="Times New Roman"/>
          <w:sz w:val="18"/>
          <w:szCs w:val="18"/>
          <w:u w:val="single" w:color="auto"/>
          <w:color w:val="auto"/>
        </w:rPr>
        <w:t>Governing Laws</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THIS INDENTURE AND THE SECURITIES SHALL BE GOVERNED BY THE LAWS OF THE STATE OF NEW YORK APPLICABLE TO AGREEMENTS MADE AND TO BE PERFORMED IN SUCH STATE, WITHOUT REGARD TO THE CONFLICT OF LAWS PROVISIONS THEREOF.</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10.11 </w:t>
      </w:r>
      <w:r>
        <w:rPr>
          <w:rFonts w:ascii="Times New Roman" w:cs="Times New Roman" w:eastAsia="Times New Roman" w:hAnsi="Times New Roman"/>
          <w:sz w:val="18"/>
          <w:szCs w:val="18"/>
          <w:u w:val="single" w:color="auto"/>
          <w:color w:val="auto"/>
        </w:rPr>
        <w:t>No Adverse Interpretation of Other Agreements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This Indenture may not be used to interpret another indenture, loan or debt agreement of the Company or a Subsidiary of the Company. Any such indenture, loan or debt agreement may not be used to interpret this Indenture.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color w:val="auto"/>
        </w:rPr>
        <w:t xml:space="preserve">Section 10.12 </w:t>
      </w:r>
      <w:r>
        <w:rPr>
          <w:rFonts w:ascii="Times New Roman" w:cs="Times New Roman" w:eastAsia="Times New Roman" w:hAnsi="Times New Roman"/>
          <w:sz w:val="18"/>
          <w:szCs w:val="18"/>
          <w:u w:val="single" w:color="auto"/>
          <w:color w:val="auto"/>
        </w:rPr>
        <w:t>Successors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All agreements of the Company in this Indenture and the Securities shall bind its successor. All agreements of the Trustee in this Indenture shall bind its successor.</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10.13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case any provision in this Indenture or in the Securities shall be invalid, illegal or unenforceable, the validity, legality and enforceability of the remaining provisions shall not in any way be affected or impaired thereby.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10.14 </w:t>
      </w:r>
      <w:r>
        <w:rPr>
          <w:rFonts w:ascii="Times New Roman" w:cs="Times New Roman" w:eastAsia="Times New Roman" w:hAnsi="Times New Roman"/>
          <w:sz w:val="18"/>
          <w:szCs w:val="18"/>
          <w:u w:val="single" w:color="auto"/>
          <w:color w:val="auto"/>
        </w:rPr>
        <w:t>Table of Contents, Headings, Etc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Table of Contents, Cross Reference Table, and headings of the Articles and Sections of this Indenture have been inserted for convenience of reference only, are not to be considered a part hereof, and shall in no way modify or restrict any of the terms or provisions hereof.</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10.15 </w:t>
      </w:r>
      <w:r>
        <w:rPr>
          <w:rFonts w:ascii="Times New Roman" w:cs="Times New Roman" w:eastAsia="Times New Roman" w:hAnsi="Times New Roman"/>
          <w:sz w:val="18"/>
          <w:szCs w:val="18"/>
          <w:u w:val="single" w:color="auto"/>
          <w:color w:val="auto"/>
        </w:rPr>
        <w:t>Securities in a Foreign Currency or in ECU</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Unless otherwise specified in a Board Resolution, a supplemental indenture hereto or an Officers’ Certificate delivered pursuant to Section 2.2 of this Indenture with respect to a particular Series of Securities, whenever for purposes of this Indenture any action may be taken by the Holders of a specified percentage in aggregate principal amount of Securities of all Series or all Series affected by a particular action at the time outstanding and, at such time, there are outstanding Securities of any Series which are denominated in a coin or currency other than Dollars (including ECUs), then the principal amount of Securities of such Series which shall be deemed to be outstanding for the purpose of taking such action shall be that amount of Dollars that could be obtained for such amount at the Market Exchange Rate at such time. For purposes of this Section 10.15, “Market Exchange Rate” shall mean the noon Dollar buying rate in New York City for cable transfers of that currency as published by the Federal Reserve Bank of New York; provided, however, in the case of ECUs, Market Exchange Rate shall mean the rate of exchange determined by the Commission of the European Union (or any successor thereto) as published in the Official Journal of the European Union (such publication or any successor publication, the “Journal”). If such Market Exchange Rate is not available for any reason with respect to such currency, the Trustee shall use, in its sole discretion and without liability on its part, such quotation of the Federal Reserve Bank of New York or, in the case of ECUs, the rate of exchange as published in the Journal, as of the most recent available date, or quotations or, in the case of ECUs, rates of exchange from one or more major banks in The City of New York or in the country of issue of the currency in question or, in the case of ECUs, in Luxembourg or such other quotations or, in the case of ECUs, rates of exchange as the Trustee, upon consultation with the Company, shall deem appropriate. The provisions of this paragraph shall apply in determining the equivalent principal amount in respect of Securities of a Series denominated in currency other than Dollars in connection with any action taken by Holders of Securities pursuant to the terms of this Indenture.</w:t>
      </w:r>
    </w:p>
    <w:p>
      <w:pPr>
        <w:spacing w:after="0" w:line="19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All decisions and determinations of the Trustee regarding the Market Exchange Rate or any alternative determination provided for in the preceding paragraph shall be in its sole discretion and shall, in the absence of manifest error, to the extent permitted by law, be conclusive for all purposes and irrevocably binding upon the Company and all Holders.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10.16 </w:t>
      </w:r>
      <w:r>
        <w:rPr>
          <w:rFonts w:ascii="Times New Roman" w:cs="Times New Roman" w:eastAsia="Times New Roman" w:hAnsi="Times New Roman"/>
          <w:sz w:val="18"/>
          <w:szCs w:val="18"/>
          <w:u w:val="single" w:color="auto"/>
          <w:color w:val="auto"/>
        </w:rPr>
        <w:t>Judgment Currency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Company agrees, to the fullest extent that it may effectively do so under applicable law, that (a) if for the purpose of obtaining judgment in any court it is necessary to convert the sum due in respect of the principal of or interest or other amount on the Securities of any Series (the “Required Currency”) into a currency in which a judgment will be rendered (the “Judgment Currency”), the rate of exchange used shall be the rate at which in accordance with normal banking procedures the Trustee could purchase in The City of New York the Required Currency with the Judgment Currency on the day on which final unappealable judgment is entered, unless such day is not a New York Banking Day, then the rate of exchange used shall be the rate at which in accordance with normal banking procedures the Trustee could purchase in The City of New York the Required Currency with the Judgment Currency on the New York Banking Day preceding the day on which final unappealable judgment is entered and (b) its obligations under this Indenture to make payments in the Required Currency (i) shall not be discharged or satisfied by any tender, any recovery pursuant to any judgment (whether or not entered in accordance with subsection (a)), in any currency other than the Required Currency, except to the extent that such tender or recovery shall result in the actual receipt, by the payee, of the full amount of the Required Currency expressed to be payable in respect of such payments, (ii) shall be enforceable as an alternative or additional cause of action for the purpose of recovering in the Required Currency the amount, if any, by which such actual receipt shall fall short of the full amount of the Required Currency so expressed to be payable, and (iii) shall not be affected by judgment being obtained for any other sum due under this Indenture. For purposes of the foregoing, “New York Banking Day” means any day except a Saturday, Sunday or a legal holiday in The City of New York on which banking institutions are authorized or required by law, regulation or executive order to close.</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5" w:name="page76"/>
    <w:bookmarkEnd w:id="75"/>
    <w:p>
      <w:pPr>
        <w:jc w:val="center"/>
        <w:spacing w:after="0"/>
        <w:rPr>
          <w:sz w:val="20"/>
          <w:szCs w:val="20"/>
          <w:color w:val="auto"/>
        </w:rPr>
      </w:pPr>
      <w:r>
        <w:rPr>
          <w:rFonts w:ascii="Times New Roman" w:cs="Times New Roman" w:eastAsia="Times New Roman" w:hAnsi="Times New Roman"/>
          <w:sz w:val="18"/>
          <w:szCs w:val="18"/>
          <w:b w:val="1"/>
          <w:bCs w:val="1"/>
          <w:color w:val="auto"/>
        </w:rPr>
        <w:t>ARTICLE XI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SINKING FUNDS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11.1 </w:t>
      </w:r>
      <w:r>
        <w:rPr>
          <w:rFonts w:ascii="Times New Roman" w:cs="Times New Roman" w:eastAsia="Times New Roman" w:hAnsi="Times New Roman"/>
          <w:sz w:val="18"/>
          <w:szCs w:val="18"/>
          <w:u w:val="single" w:color="auto"/>
          <w:color w:val="auto"/>
        </w:rPr>
        <w:t>Applicability of Article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provisions of this Article shall be applicable to any sinking fund for the retirement of the Securities of a Series, except as otherwise permitted or required by any form of Security of such Series issued pursuant to this Indenture.</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minimum amount of any sinking fund payment provided for by the terms of the Securities of any Series is herein referred to as a “mandatory sinking fund payment” and any other amount provided for by the terms of Securities of such Series is herein referred to as an “optional sinking fund payment.” If provided for by the terms of Securities of any Series, the cash amount of any sinking fund payment may be subject to reduction as provided in Section 11.2. Each sinking fund payment shall be applied to the redemption of Securities of any Series as provided for by the terms of the Securities of such Series.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11.2 </w:t>
      </w:r>
      <w:r>
        <w:rPr>
          <w:rFonts w:ascii="Times New Roman" w:cs="Times New Roman" w:eastAsia="Times New Roman" w:hAnsi="Times New Roman"/>
          <w:sz w:val="18"/>
          <w:szCs w:val="18"/>
          <w:u w:val="single" w:color="auto"/>
          <w:color w:val="auto"/>
        </w:rPr>
        <w:t>Satisfaction of Sinking Fund Payments with Securities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Company may, in satisfaction of all or any part of any sinking fund payment with respect to the Securities of any Series to be made pursuant to the terms of such Securities (1) deliver outstanding Securities of such Series to which such sinking fund payment is applicable (other than any of such Securities previously called for mandatory sinking fund redemption) and (2) apply as credit Securities of such Series to which such sinking fund payment is applicable and which have been repurchased by the Company or redeemed either at the election of the Company pursuant to the terms of such Series of Securities (except pursuant to any mandatory sinking fund) or through the application of permitted optional sinking fund payments or other optional redemptions pursuant to the terms of such Securities, provided that such Securities have not been previously so credited. Such Securities shall be received by the Trustee, together with an Officers’ Certificate with respect thereto, not later than 15 days prior to the date on which the Trustee begins the process of selecting Securities for redemption, and shall be credited for such purpose by the Trustee at the price specified in such Securities for redemption through operation of the sinking fund and the amount of such sinking fund payment shall be reduced accordingly. If as a result of the delivery or credit of Securities in lieu of cash payments pursuant to this Section 11.2, the principal amount of Securities of such Series to be redeemed in order to exhaust the aforesaid cash payment shall be less than $100,000, the Trustee need not call Securities of such Series for redemption, except upon receipt of a Company Order that such action be taken, and such cash payment shall be held by the Trustee or a Paying Agent and applied to the next succeeding sinking fund payment, provided, however, that the Trustee or such Paying Agent shall from time to time upon receipt of a Company Order pay over and deliver to the Company any cash payment so being held by the Trustee or such Paying Agent upon delivery by the Company to the Trustee of Securities of that Series purchased by the Company having an unpaid principal amount equal to the cash payment required to be released to the Company.</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11.3 </w:t>
      </w:r>
      <w:r>
        <w:rPr>
          <w:rFonts w:ascii="Times New Roman" w:cs="Times New Roman" w:eastAsia="Times New Roman" w:hAnsi="Times New Roman"/>
          <w:sz w:val="18"/>
          <w:szCs w:val="18"/>
          <w:u w:val="single" w:color="auto"/>
          <w:color w:val="auto"/>
        </w:rPr>
        <w:t>Redemption of Securities for Sinking Fund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Not less than 45 days (unless otherwise indicated in the Board Resolution, supplemental indenture hereto or Officers’ Certificate in respect of a particular Series of Securities) prior to each sinking fund payment date for any Series of Securities, the Company will deliver to the Trustee an Officers’ Certificate specifying the amount of the next ensuing mandatory sinking fund payment for that Series pursuant to the terms of that Series, the portion thereof, if any, which is to be satisfied by payment of cash and the portion thereof, if any, which is to be satisfied by delivering and crediting of Securities of that Series pursuant to Section 11.2, and the optional amount, if any, to be added in cash to the next ensuing mandatory sinking fund payment, and the Company shall thereupon be obligated to pay the amount therein specified. Not less than 30 days (unless otherwise indicated in the Board Resolution, Officers’ Certificate or supplemental indenture in respect of a particular Series of Securities) before each such sinking fund payment date the Trustee shall select the Securities to be redeemed upon such sinking fund payment date in the manner specified in Section 3.2 and cause notice of the redemption thereof to be given in the name of and at the expense of the Company in the manner provided in Section 3.3. Such notice having been duly given, the redemption of such Securities shall be made upon the terms and in the manner stated in Sections 3.4, 3.5 and 3.6.</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7"/>
          <w:szCs w:val="17"/>
          <w:color w:val="auto"/>
        </w:rPr>
        <w:t>IN WITNESS WHEREOF, the parties hereto have caused this Indenture to be duly executed as of the day and year first above written.</w:t>
      </w:r>
    </w:p>
    <w:p>
      <w:pPr>
        <w:spacing w:after="0" w:line="23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CLPS Incorporation</w:t>
      </w:r>
    </w:p>
    <w:p>
      <w:pPr>
        <w:spacing w:after="0" w:line="22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17145</wp:posOffset>
            </wp:positionV>
            <wp:extent cx="249428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7">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Title:</w:t>
      </w:r>
    </w:p>
    <w:p>
      <w:pPr>
        <w:spacing w:after="0" w:line="220"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as Trustee</w:t>
      </w:r>
    </w:p>
    <w:p>
      <w:pPr>
        <w:spacing w:after="0" w:line="20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17145</wp:posOffset>
            </wp:positionV>
            <wp:extent cx="249428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8">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Title:</w:t>
      </w:r>
    </w:p>
    <w:p>
      <w:pPr>
        <w:spacing w:after="0" w:line="218"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Indenture</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904" w:right="1440" w:bottom="1440" w:gutter="0" w:footer="0" w:header="0"/>
        </w:sectPr>
      </w:pPr>
    </w:p>
    <w:bookmarkStart w:id="77" w:name="page78"/>
    <w:bookmarkEnd w:id="77"/>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14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consent to the reference to our firm under the caption "Experts" in Amendment No. 1 to the Registration Statement (Form F-3 No. 333-266951) and related prospectus of CLPS Incorporation for the registration of its common shares, preferred shares, warrants, debt securities, rights, depositary shares and units of its securities and to the incorporation by reference therein of our report dated October 15, 2021, with respect to the consolidated financial statements of CLPS Incorporation, included in its Annual Report (Form 20-F) for the year ended June 30, 2021, filed with the Securities and Exchange Commission.</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Hua Ming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Shanghai, The People’s Republic of China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12,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451485</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42289EC"/>
    <w:multiLevelType w:val="hybridMultilevel"/>
    <w:lvl w:ilvl="0">
      <w:lvlJc w:val="left"/>
      <w:lvlText w:val="●"/>
      <w:numFmt w:val="bullet"/>
      <w:start w:val="1"/>
    </w:lvl>
  </w:abstractNum>
  <w:abstractNum w:abstractNumId="1">
    <w:nsid w:val="6DE91B18"/>
    <w:multiLevelType w:val="hybridMultilevel"/>
    <w:lvl w:ilvl="0">
      <w:lvlJc w:val="left"/>
      <w:lvlText w:val="●"/>
      <w:numFmt w:val="bullet"/>
      <w:start w:val="1"/>
    </w:lvl>
  </w:abstractNum>
  <w:abstractNum w:abstractNumId="2">
    <w:nsid w:val="38437FDB"/>
    <w:multiLevelType w:val="hybridMultilevel"/>
    <w:lvl w:ilvl="0">
      <w:lvlJc w:val="left"/>
      <w:lvlText w:val="(%1)"/>
      <w:numFmt w:val="decimal"/>
      <w:start w:val="1"/>
    </w:lvl>
  </w:abstractNum>
  <w:abstractNum w:abstractNumId="3">
    <w:nsid w:val="7644A45C"/>
    <w:multiLevelType w:val="hybridMultilevel"/>
    <w:lvl w:ilvl="0">
      <w:lvlJc w:val="left"/>
      <w:lvlText w:val="(%1)"/>
      <w:numFmt w:val="lowerRoman"/>
      <w:start w:val="2"/>
    </w:lvl>
  </w:abstractNum>
  <w:abstractNum w:abstractNumId="4">
    <w:nsid w:val="32FFF902"/>
    <w:multiLevelType w:val="hybridMultilevel"/>
    <w:lvl w:ilvl="0">
      <w:lvlJc w:val="left"/>
      <w:lvlText w:val="(%1)"/>
      <w:numFmt w:val="decimal"/>
      <w:start w:val="1"/>
    </w:lvl>
  </w:abstractNum>
  <w:abstractNum w:abstractNumId="5">
    <w:nsid w:val="684A481A"/>
    <w:multiLevelType w:val="hybridMultilevel"/>
    <w:lvl w:ilvl="0">
      <w:lvlJc w:val="left"/>
      <w:lvlText w:val="●"/>
      <w:numFmt w:val="bullet"/>
      <w:start w:val="1"/>
    </w:lvl>
  </w:abstractNum>
  <w:abstractNum w:abstractNumId="6">
    <w:nsid w:val="579478FE"/>
    <w:multiLevelType w:val="hybridMultilevel"/>
    <w:lvl w:ilvl="0">
      <w:lvlJc w:val="left"/>
      <w:lvlText w:val="●"/>
      <w:numFmt w:val="bullet"/>
      <w:start w:val="1"/>
    </w:lvl>
  </w:abstractNum>
  <w:abstractNum w:abstractNumId="7">
    <w:nsid w:val="749ABB43"/>
    <w:multiLevelType w:val="hybridMultilevel"/>
    <w:lvl w:ilvl="0">
      <w:lvlJc w:val="left"/>
      <w:lvlText w:val="●"/>
      <w:numFmt w:val="bullet"/>
      <w:start w:val="1"/>
    </w:lvl>
  </w:abstractNum>
  <w:abstractNum w:abstractNumId="8">
    <w:nsid w:val="3DC240FB"/>
    <w:multiLevelType w:val="hybridMultilevel"/>
    <w:lvl w:ilvl="0">
      <w:lvlJc w:val="left"/>
      <w:lvlText w:val="●"/>
      <w:numFmt w:val="bullet"/>
      <w:start w:val="1"/>
    </w:lvl>
  </w:abstractNum>
  <w:abstractNum w:abstractNumId="9">
    <w:nsid w:val="1BA026FA"/>
    <w:multiLevelType w:val="hybridMultilevel"/>
    <w:lvl w:ilvl="0">
      <w:lvlJc w:val="left"/>
      <w:lvlText w:val="●"/>
      <w:numFmt w:val="bullet"/>
      <w:start w:val="1"/>
    </w:lvl>
  </w:abstractNum>
  <w:abstractNum w:abstractNumId="10">
    <w:nsid w:val="79A1DEAA"/>
    <w:multiLevelType w:val="hybridMultilevel"/>
    <w:lvl w:ilvl="0">
      <w:lvlJc w:val="left"/>
      <w:lvlText w:val="●"/>
      <w:numFmt w:val="bullet"/>
      <w:start w:val="1"/>
    </w:lvl>
  </w:abstractNum>
  <w:abstractNum w:abstractNumId="11">
    <w:nsid w:val="75C6C33A"/>
    <w:multiLevelType w:val="hybridMultilevel"/>
    <w:lvl w:ilvl="0">
      <w:lvlJc w:val="left"/>
      <w:lvlText w:val="●"/>
      <w:numFmt w:val="bullet"/>
      <w:start w:val="1"/>
    </w:lvl>
  </w:abstractNum>
  <w:abstractNum w:abstractNumId="12">
    <w:nsid w:val="12E685FB"/>
    <w:multiLevelType w:val="hybridMultilevel"/>
    <w:lvl w:ilvl="0">
      <w:lvlJc w:val="left"/>
      <w:lvlText w:val="●"/>
      <w:numFmt w:val="bullet"/>
      <w:start w:val="1"/>
    </w:lvl>
  </w:abstractNum>
  <w:abstractNum w:abstractNumId="13">
    <w:nsid w:val="70C6A529"/>
    <w:multiLevelType w:val="hybridMultilevel"/>
    <w:lvl w:ilvl="0">
      <w:lvlJc w:val="left"/>
      <w:lvlText w:val="●"/>
      <w:numFmt w:val="bullet"/>
      <w:start w:val="1"/>
    </w:lvl>
  </w:abstractNum>
  <w:abstractNum w:abstractNumId="14">
    <w:nsid w:val="520EEDD1"/>
    <w:multiLevelType w:val="hybridMultilevel"/>
    <w:lvl w:ilvl="0">
      <w:lvlJc w:val="left"/>
      <w:lvlText w:val="●"/>
      <w:numFmt w:val="bullet"/>
      <w:start w:val="1"/>
    </w:lvl>
  </w:abstractNum>
  <w:abstractNum w:abstractNumId="15">
    <w:nsid w:val="374A3FE6"/>
    <w:multiLevelType w:val="hybridMultilevel"/>
    <w:lvl w:ilvl="0">
      <w:lvlJc w:val="left"/>
      <w:lvlText w:val="●"/>
      <w:numFmt w:val="bullet"/>
      <w:start w:val="1"/>
    </w:lvl>
  </w:abstractNum>
  <w:abstractNum w:abstractNumId="16">
    <w:nsid w:val="4F4EF005"/>
    <w:multiLevelType w:val="hybridMultilevel"/>
    <w:lvl w:ilvl="0">
      <w:lvlJc w:val="left"/>
      <w:lvlText w:val="●"/>
      <w:numFmt w:val="bullet"/>
      <w:start w:val="1"/>
    </w:lvl>
  </w:abstractNum>
  <w:abstractNum w:abstractNumId="17">
    <w:nsid w:val="23F9C13C"/>
    <w:multiLevelType w:val="hybridMultilevel"/>
    <w:lvl w:ilvl="0">
      <w:lvlJc w:val="left"/>
      <w:lvlText w:val="●"/>
      <w:numFmt w:val="bullet"/>
      <w:start w:val="1"/>
    </w:lvl>
  </w:abstractNum>
  <w:abstractNum w:abstractNumId="18">
    <w:nsid w:val="649BB77C"/>
    <w:multiLevelType w:val="hybridMultilevel"/>
    <w:lvl w:ilvl="0">
      <w:lvlJc w:val="left"/>
      <w:lvlText w:val="●"/>
      <w:numFmt w:val="bullet"/>
      <w:start w:val="1"/>
    </w:lvl>
  </w:abstractNum>
  <w:abstractNum w:abstractNumId="19">
    <w:nsid w:val="275AC794"/>
    <w:multiLevelType w:val="hybridMultilevel"/>
    <w:lvl w:ilvl="0">
      <w:lvlJc w:val="left"/>
      <w:lvlText w:val="(%1)"/>
      <w:numFmt w:val="decimal"/>
      <w:start w:val="1"/>
    </w:lvl>
  </w:abstractNum>
  <w:abstractNum w:abstractNumId="20">
    <w:nsid w:val="39386575"/>
    <w:multiLevelType w:val="hybridMultilevel"/>
    <w:lvl w:ilvl="0">
      <w:lvlJc w:val="left"/>
      <w:lvlText w:val="(%1)"/>
      <w:numFmt w:val="decimal"/>
      <w:start w:val="1"/>
    </w:lvl>
  </w:abstractNum>
  <w:abstractNum w:abstractNumId="21">
    <w:nsid w:val="1CF10FD8"/>
    <w:multiLevelType w:val="hybridMultilevel"/>
    <w:lvl w:ilvl="0">
      <w:lvlJc w:val="left"/>
      <w:lvlText w:val="●"/>
      <w:numFmt w:val="bullet"/>
      <w:start w:val="1"/>
    </w:lvl>
  </w:abstractNum>
  <w:abstractNum w:abstractNumId="22">
    <w:nsid w:val="180115BE"/>
    <w:multiLevelType w:val="hybridMultilevel"/>
    <w:lvl w:ilvl="0">
      <w:lvlJc w:val="left"/>
      <w:lvlText w:val="●"/>
      <w:numFmt w:val="bullet"/>
      <w:start w:val="1"/>
    </w:lvl>
  </w:abstractNum>
  <w:abstractNum w:abstractNumId="23">
    <w:nsid w:val="235BA861"/>
    <w:multiLevelType w:val="hybridMultilevel"/>
    <w:lvl w:ilvl="0">
      <w:lvlJc w:val="left"/>
      <w:lvlText w:val="●"/>
      <w:numFmt w:val="bullet"/>
      <w:start w:val="1"/>
    </w:lvl>
  </w:abstractNum>
  <w:abstractNum w:abstractNumId="24">
    <w:nsid w:val="47398C89"/>
    <w:multiLevelType w:val="hybridMultilevel"/>
    <w:lvl w:ilvl="0">
      <w:lvlJc w:val="left"/>
      <w:lvlText w:val="●"/>
      <w:numFmt w:val="bullet"/>
      <w:start w:val="1"/>
    </w:lvl>
  </w:abstractNum>
  <w:abstractNum w:abstractNumId="25">
    <w:nsid w:val="354FE9F9"/>
    <w:multiLevelType w:val="hybridMultilevel"/>
    <w:lvl w:ilvl="0">
      <w:lvlJc w:val="left"/>
      <w:lvlText w:val="(%1)"/>
      <w:numFmt w:val="decimal"/>
      <w:start w:val="1"/>
    </w:lvl>
  </w:abstractNum>
  <w:abstractNum w:abstractNumId="26">
    <w:nsid w:val="15B5AF5C"/>
    <w:multiLevelType w:val="hybridMultilevel"/>
    <w:lvl w:ilvl="0">
      <w:lvlJc w:val="left"/>
      <w:lvlText w:val="●"/>
      <w:numFmt w:val="bullet"/>
      <w:start w:val="1"/>
    </w:lvl>
  </w:abstractNum>
  <w:abstractNum w:abstractNumId="27">
    <w:nsid w:val="741226BB"/>
    <w:multiLevelType w:val="hybridMultilevel"/>
    <w:lvl w:ilvl="0">
      <w:lvlJc w:val="left"/>
      <w:lvlText w:val="●"/>
      <w:numFmt w:val="bullet"/>
      <w:start w:val="1"/>
    </w:lvl>
  </w:abstractNum>
  <w:abstractNum w:abstractNumId="28">
    <w:nsid w:val="D34B6A8"/>
    <w:multiLevelType w:val="hybridMultilevel"/>
    <w:lvl w:ilvl="0">
      <w:lvlJc w:val="left"/>
      <w:lvlText w:val="●"/>
      <w:numFmt w:val="bullet"/>
      <w:start w:val="1"/>
    </w:lvl>
  </w:abstractNum>
  <w:abstractNum w:abstractNumId="29">
    <w:nsid w:val="10233C99"/>
    <w:multiLevelType w:val="hybridMultilevel"/>
    <w:lvl w:ilvl="0">
      <w:lvlJc w:val="left"/>
      <w:lvlText w:val="*"/>
      <w:numFmt w:val="bullet"/>
      <w:start w:val="1"/>
    </w:lvl>
  </w:abstractNum>
  <w:abstractNum w:abstractNumId="30">
    <w:nsid w:val="3F6AB60F"/>
    <w:multiLevelType w:val="hybridMultilevel"/>
    <w:lvl w:ilvl="0">
      <w:lvlJc w:val="left"/>
      <w:lvlText w:val="**"/>
      <w:numFmt w:val="bullet"/>
      <w:start w:val="1"/>
    </w:lvl>
  </w:abstractNum>
  <w:abstractNum w:abstractNumId="31">
    <w:nsid w:val="61574095"/>
    <w:multiLevelType w:val="hybridMultilevel"/>
    <w:lvl w:ilvl="0">
      <w:lvlJc w:val="left"/>
      <w:lvlText w:val="***"/>
      <w:numFmt w:val="bullet"/>
      <w:start w:val="1"/>
    </w:lvl>
  </w:abstractNum>
  <w:abstractNum w:abstractNumId="32">
    <w:nsid w:val="7E0C57B1"/>
    <w:multiLevelType w:val="hybridMultilevel"/>
    <w:lvl w:ilvl="0">
      <w:lvlJc w:val="left"/>
      <w:lvlText w:val="(%1)"/>
      <w:numFmt w:val="lowerLetter"/>
      <w:start w:val="1"/>
    </w:lvl>
  </w:abstractNum>
  <w:abstractNum w:abstractNumId="33">
    <w:nsid w:val="77AE35EB"/>
    <w:multiLevelType w:val="hybridMultilevel"/>
    <w:lvl w:ilvl="0">
      <w:lvlJc w:val="left"/>
      <w:lvlText w:val="(%1)"/>
      <w:numFmt w:val="lowerLetter"/>
      <w:start w:val="9"/>
    </w:lvl>
  </w:abstractNum>
  <w:abstractNum w:abstractNumId="34">
    <w:nsid w:val="579BE4F1"/>
    <w:multiLevelType w:val="hybridMultilevel"/>
    <w:lvl w:ilvl="0">
      <w:lvlJc w:val="left"/>
      <w:lvlText w:val="(%1)"/>
      <w:numFmt w:val="lowerRoman"/>
      <w:start w:val="2"/>
    </w:lvl>
  </w:abstractNum>
  <w:abstractNum w:abstractNumId="35">
    <w:nsid w:val="310C50B3"/>
    <w:multiLevelType w:val="hybridMultilevel"/>
    <w:lvl w:ilvl="0">
      <w:lvlJc w:val="left"/>
      <w:lvlText w:val="(%1)"/>
      <w:numFmt w:val="lowerLetter"/>
      <w:start w:val="2"/>
    </w:lvl>
  </w:abstractNum>
  <w:abstractNum w:abstractNumId="36">
    <w:nsid w:val="5FF87E05"/>
    <w:multiLevelType w:val="hybridMultilevel"/>
    <w:lvl w:ilvl="0">
      <w:lvlJc w:val="left"/>
      <w:lvlText w:val="(%1)"/>
      <w:numFmt w:val="decimal"/>
      <w:start w:val="2"/>
    </w:lvl>
  </w:abstractNum>
  <w:abstractNum w:abstractNumId="37">
    <w:nsid w:val="2F305DEF"/>
    <w:multiLevelType w:val="hybridMultilevel"/>
    <w:lvl w:ilvl="0">
      <w:lvlJc w:val="left"/>
      <w:lvlText w:val="(%1)"/>
      <w:numFmt w:val="upperLetter"/>
      <w:start w:val="1"/>
    </w:lvl>
  </w:abstractNum>
  <w:abstractNum w:abstractNumId="38">
    <w:nsid w:val="25A70BF7"/>
    <w:multiLevelType w:val="hybridMultilevel"/>
    <w:lvl w:ilvl="0">
      <w:lvlJc w:val="left"/>
      <w:lvlText w:val="(%1)"/>
      <w:numFmt w:val="decimal"/>
      <w:start w:val="6"/>
    </w:lvl>
  </w:abstractNum>
  <w:abstractNum w:abstractNumId="39">
    <w:nsid w:val="1DBABF00"/>
    <w:multiLevelType w:val="hybridMultilevel"/>
    <w:lvl w:ilvl="0">
      <w:lvlJc w:val="left"/>
      <w:lvlText w:val="(%1)"/>
      <w:numFmt w:val="lowerRoman"/>
      <w:start w:val="1"/>
    </w:lvl>
  </w:abstractNum>
  <w:abstractNum w:abstractNumId="40">
    <w:nsid w:val="4AD084E9"/>
    <w:multiLevelType w:val="hybridMultilevel"/>
    <w:lvl w:ilvl="0">
      <w:lvlJc w:val="left"/>
      <w:lvlText w:val="(%1)"/>
      <w:numFmt w:val="lowerLetter"/>
      <w:start w:val="2"/>
    </w:lvl>
  </w:abstractNum>
  <w:abstractNum w:abstractNumId="41">
    <w:nsid w:val="1F48EAA1"/>
    <w:multiLevelType w:val="hybridMultilevel"/>
    <w:lvl w:ilvl="0">
      <w:lvlJc w:val="left"/>
      <w:lvlText w:val="(%1)"/>
      <w:numFmt w:val="lowerRoman"/>
      <w:start w:val="2"/>
    </w:lvl>
  </w:abstractNum>
  <w:abstractNum w:abstractNumId="42">
    <w:nsid w:val="1381823A"/>
    <w:multiLevelType w:val="hybridMultilevel"/>
    <w:lvl w:ilvl="0">
      <w:lvlJc w:val="left"/>
      <w:lvlText w:val="(%1)"/>
      <w:numFmt w:val="lowerLetter"/>
      <w:start w:val="1"/>
    </w:lvl>
  </w:abstractNum>
  <w:abstractNum w:abstractNumId="43">
    <w:nsid w:val="5DB70AE5"/>
    <w:multiLevelType w:val="hybridMultilevel"/>
    <w:lvl w:ilvl="0">
      <w:lvlJc w:val="left"/>
      <w:lvlText w:val="(%1)"/>
      <w:numFmt w:val="lowerLetter"/>
      <w:start w:val="1"/>
    </w:lvl>
  </w:abstractNum>
  <w:abstractNum w:abstractNumId="44">
    <w:nsid w:val="100F8FCA"/>
    <w:multiLevelType w:val="hybridMultilevel"/>
    <w:lvl w:ilvl="0">
      <w:lvlJc w:val="left"/>
      <w:lvlText w:val="(%1)"/>
      <w:numFmt w:val="lowerLetter"/>
      <w:start w:val="2"/>
    </w:lvl>
  </w:abstractNum>
  <w:abstractNum w:abstractNumId="45">
    <w:nsid w:val="6590700B"/>
    <w:multiLevelType w:val="hybridMultilevel"/>
    <w:lvl w:ilvl="0">
      <w:lvlJc w:val="left"/>
      <w:lvlText w:val="(%1)"/>
      <w:numFmt w:val="lowerLetter"/>
      <w:start w:val="16"/>
    </w:lvl>
  </w:abstractNum>
  <w:abstractNum w:abstractNumId="46">
    <w:nsid w:val="15014ACB"/>
    <w:multiLevelType w:val="hybridMultilevel"/>
    <w:lvl w:ilvl="0">
      <w:lvlJc w:val="left"/>
      <w:lvlText w:val="(%1)"/>
      <w:numFmt w:val="lowerLetter"/>
      <w:start w:val="1"/>
    </w:lvl>
  </w:abstractNum>
  <w:abstractNum w:abstractNumId="47">
    <w:nsid w:val="5F5E7FD0"/>
    <w:multiLevelType w:val="hybridMultilevel"/>
    <w:lvl w:ilvl="0">
      <w:lvlJc w:val="left"/>
      <w:lvlText w:val="(%1)"/>
      <w:numFmt w:val="lowerLetter"/>
      <w:start w:val="2"/>
    </w:lvl>
  </w:abstractNum>
  <w:abstractNum w:abstractNumId="48">
    <w:nsid w:val="98A3148"/>
    <w:multiLevelType w:val="hybridMultilevel"/>
    <w:lvl w:ilvl="0">
      <w:lvlJc w:val="left"/>
      <w:lvlText w:val="(%1)"/>
      <w:numFmt w:val="lowerLetter"/>
      <w:start w:val="4"/>
    </w:lvl>
  </w:abstractNum>
  <w:abstractNum w:abstractNumId="49">
    <w:nsid w:val="799D0247"/>
    <w:multiLevelType w:val="hybridMultilevel"/>
    <w:lvl w:ilvl="0">
      <w:lvlJc w:val="left"/>
      <w:lvlText w:val="(%1)"/>
      <w:numFmt w:val="lowerLetter"/>
      <w:start w:val="1"/>
    </w:lvl>
  </w:abstractNum>
  <w:abstractNum w:abstractNumId="50">
    <w:nsid w:val="6B94764"/>
    <w:multiLevelType w:val="hybridMultilevel"/>
    <w:lvl w:ilvl="0">
      <w:lvlJc w:val="left"/>
      <w:lvlText w:val="(%1)"/>
      <w:numFmt w:val="lowerLetter"/>
      <w:start w:val="1"/>
    </w:lvl>
  </w:abstractNum>
  <w:abstractNum w:abstractNumId="51">
    <w:nsid w:val="42C296BD"/>
    <w:multiLevelType w:val="hybridMultilevel"/>
    <w:lvl w:ilvl="0">
      <w:lvlJc w:val="left"/>
      <w:lvlText w:val="(%1)"/>
      <w:numFmt w:val="lowerLetter"/>
      <w:start w:val="1"/>
    </w:lvl>
  </w:abstractNum>
  <w:abstractNum w:abstractNumId="52">
    <w:nsid w:val="168E121F"/>
    <w:multiLevelType w:val="hybridMultilevel"/>
    <w:lvl w:ilvl="0">
      <w:lvlJc w:val="left"/>
      <w:lvlText w:val="(%1)"/>
      <w:numFmt w:val="lowerRoman"/>
      <w:start w:val="1"/>
    </w:lvl>
  </w:abstractNum>
  <w:abstractNum w:abstractNumId="53">
    <w:nsid w:val="1EBA5D23"/>
    <w:multiLevelType w:val="hybridMultilevel"/>
    <w:lvl w:ilvl="0">
      <w:lvlJc w:val="left"/>
      <w:lvlText w:val="(%1)"/>
      <w:numFmt w:val="lowerLetter"/>
      <w:start w:val="5"/>
    </w:lvl>
  </w:abstractNum>
  <w:abstractNum w:abstractNumId="54">
    <w:nsid w:val="661E3F1E"/>
    <w:multiLevelType w:val="hybridMultilevel"/>
    <w:lvl w:ilvl="0">
      <w:lvlJc w:val="left"/>
      <w:lvlText w:val="(%1)"/>
      <w:numFmt w:val="lowerLetter"/>
      <w:start w:val="9"/>
    </w:lvl>
  </w:abstractNum>
  <w:abstractNum w:abstractNumId="55">
    <w:nsid w:val="5DC79EA8"/>
    <w:multiLevelType w:val="hybridMultilevel"/>
    <w:lvl w:ilvl="0">
      <w:lvlJc w:val="left"/>
      <w:lvlText w:val="(%1)"/>
      <w:numFmt w:val="lowerLetter"/>
      <w:start w:val="35"/>
    </w:lvl>
  </w:abstractNum>
  <w:abstractNum w:abstractNumId="56">
    <w:nsid w:val="540A471C"/>
    <w:multiLevelType w:val="hybridMultilevel"/>
    <w:lvl w:ilvl="0">
      <w:lvlJc w:val="left"/>
      <w:lvlText w:val="(%1)"/>
      <w:numFmt w:val="lowerLetter"/>
      <w:start w:val="61"/>
    </w:lvl>
  </w:abstractNum>
  <w:abstractNum w:abstractNumId="57">
    <w:nsid w:val="7BD3EE7B"/>
    <w:multiLevelType w:val="hybridMultilevel"/>
    <w:lvl w:ilvl="0">
      <w:lvlJc w:val="left"/>
      <w:lvlText w:val="(%1)"/>
      <w:numFmt w:val="lowerLetter"/>
      <w:start w:val="6"/>
    </w:lvl>
  </w:abstractNum>
  <w:abstractNum w:abstractNumId="58">
    <w:nsid w:val="51D9C564"/>
    <w:multiLevelType w:val="hybridMultilevel"/>
    <w:lvl w:ilvl="0">
      <w:lvlJc w:val="left"/>
      <w:lvlText w:val="(%1)"/>
      <w:numFmt w:val="lowerLetter"/>
      <w:start w:val="1"/>
    </w:lvl>
  </w:abstractNum>
  <w:abstractNum w:abstractNumId="59">
    <w:nsid w:val="613EFDC5"/>
    <w:multiLevelType w:val="hybridMultilevel"/>
    <w:lvl w:ilvl="0">
      <w:lvlJc w:val="left"/>
      <w:lvlText w:val="(%1)"/>
      <w:numFmt w:val="lowerLetter"/>
      <w:start w:val="1"/>
    </w:lvl>
  </w:abstractNum>
  <w:abstractNum w:abstractNumId="60">
    <w:nsid w:val="BF72B14"/>
    <w:multiLevelType w:val="hybridMultilevel"/>
    <w:lvl w:ilvl="0">
      <w:lvlJc w:val="left"/>
      <w:lvlText w:val="(%1)"/>
      <w:numFmt w:val="lowerLetter"/>
      <w:start w:val="1"/>
    </w:lvl>
  </w:abstractNum>
  <w:abstractNum w:abstractNumId="61">
    <w:nsid w:val="11447B73"/>
    <w:multiLevelType w:val="hybridMultilevel"/>
    <w:lvl w:ilvl="0">
      <w:lvlJc w:val="left"/>
      <w:lvlText w:val="(%1)"/>
      <w:numFmt w:val="lowerLetter"/>
      <w:start w:val="5"/>
    </w:lvl>
  </w:abstractNum>
  <w:abstractNum w:abstractNumId="62">
    <w:nsid w:val="42963E5A"/>
    <w:multiLevelType w:val="hybridMultilevel"/>
    <w:lvl w:ilvl="0">
      <w:lvlJc w:val="left"/>
      <w:lvlText w:val="(%1)"/>
      <w:numFmt w:val="lowerLetter"/>
      <w:start w:val="1"/>
    </w:lvl>
  </w:abstractNum>
  <w:abstractNum w:abstractNumId="63">
    <w:nsid w:val="A0382C5"/>
    <w:multiLevelType w:val="hybridMultilevel"/>
    <w:lvl w:ilvl="0">
      <w:lvlJc w:val="left"/>
      <w:lvlText w:val="(%1)"/>
      <w:numFmt w:val="lowerLetter"/>
      <w:start w:val="3"/>
    </w:lvl>
  </w:abstractNum>
  <w:abstractNum w:abstractNumId="64">
    <w:nsid w:val="8F2B15E"/>
    <w:multiLevelType w:val="hybridMultilevel"/>
    <w:lvl w:ilvl="0">
      <w:lvlJc w:val="left"/>
      <w:lvlText w:val="(%1)"/>
      <w:numFmt w:val="lowerLetter"/>
      <w:start w:val="1"/>
    </w:lvl>
  </w:abstractNum>
  <w:abstractNum w:abstractNumId="65">
    <w:nsid w:val="1A32234B"/>
    <w:multiLevelType w:val="hybridMultilevel"/>
    <w:lvl w:ilvl="0">
      <w:lvlJc w:val="left"/>
      <w:lvlText w:val="(%1)"/>
      <w:numFmt w:val="lowerRoman"/>
      <w:start w:val="1"/>
    </w:lvl>
  </w:abstractNum>
  <w:abstractNum w:abstractNumId="66">
    <w:nsid w:val="3B0FD379"/>
    <w:multiLevelType w:val="hybridMultilevel"/>
    <w:lvl w:ilvl="0">
      <w:lvlJc w:val="left"/>
      <w:lvlText w:val="(%1)"/>
      <w:numFmt w:val="lowerLetter"/>
      <w:start w:val="3"/>
    </w:lvl>
  </w:abstractNum>
  <w:abstractNum w:abstractNumId="67">
    <w:nsid w:val="68EB2F63"/>
    <w:multiLevelType w:val="hybridMultilevel"/>
    <w:lvl w:ilvl="0">
      <w:lvlJc w:val="left"/>
      <w:lvlText w:val="(%1)"/>
      <w:numFmt w:val="lowerLetter"/>
      <w:start w:val="9"/>
    </w:lvl>
  </w:abstractNum>
  <w:abstractNum w:abstractNumId="68">
    <w:nsid w:val="4962813B"/>
    <w:multiLevelType w:val="hybridMultilevel"/>
    <w:lvl w:ilvl="0">
      <w:lvlJc w:val="left"/>
      <w:lvlText w:val="(%1)"/>
      <w:numFmt w:val="lowerRoman"/>
      <w:start w:val="2"/>
    </w:lvl>
  </w:abstractNum>
  <w:abstractNum w:abstractNumId="69">
    <w:nsid w:val="60B6DF70"/>
    <w:multiLevelType w:val="hybridMultilevel"/>
    <w:lvl w:ilvl="0">
      <w:lvlJc w:val="left"/>
      <w:lvlText w:val="(%1)"/>
      <w:numFmt w:val="lowerLetter"/>
      <w:start w:val="4"/>
    </w:lvl>
  </w:abstractNum>
  <w:abstractNum w:abstractNumId="70">
    <w:nsid w:val="6A5EE64"/>
    <w:multiLevelType w:val="hybridMultilevel"/>
    <w:lvl w:ilvl="0">
      <w:lvlJc w:val="left"/>
      <w:lvlText w:val="(%1)"/>
      <w:numFmt w:val="lowerLetter"/>
      <w:start w:val="1"/>
    </w:lvl>
  </w:abstractNum>
  <w:abstractNum w:abstractNumId="71">
    <w:nsid w:val="14330624"/>
    <w:multiLevelType w:val="hybridMultilevel"/>
    <w:lvl w:ilvl="0">
      <w:lvlJc w:val="left"/>
      <w:lvlText w:val="(%1)"/>
      <w:numFmt w:val="lowerLetter"/>
      <w:start w:val="7"/>
    </w:lvl>
  </w:abstractNum>
  <w:abstractNum w:abstractNumId="72">
    <w:nsid w:val="7FFFCA11"/>
    <w:multiLevelType w:val="hybridMultilevel"/>
    <w:lvl w:ilvl="0">
      <w:lvlJc w:val="left"/>
      <w:lvlText w:val="(%1)"/>
      <w:numFmt w:val="lowerLetter"/>
      <w:start w:val="1"/>
    </w:lvl>
  </w:abstractNum>
  <w:abstractNum w:abstractNumId="73">
    <w:nsid w:val="1A27709E"/>
    <w:multiLevelType w:val="hybridMultilevel"/>
    <w:lvl w:ilvl="0">
      <w:lvlJc w:val="left"/>
      <w:lvlText w:val="(%1)"/>
      <w:numFmt w:val="lowerLetter"/>
      <w:start w:val="1"/>
    </w:lvl>
  </w:abstractNum>
  <w:abstractNum w:abstractNumId="74">
    <w:nsid w:val="71EA1109"/>
    <w:multiLevelType w:val="hybridMultilevel"/>
    <w:lvl w:ilvl="0">
      <w:lvlJc w:val="left"/>
      <w:lvlText w:val="(%1)"/>
      <w:numFmt w:val="lowerRoman"/>
      <w:start w:val="1"/>
    </w:lvl>
  </w:abstractNum>
  <w:abstractNum w:abstractNumId="75">
    <w:nsid w:val="100F59DC"/>
    <w:multiLevelType w:val="hybridMultilevel"/>
    <w:lvl w:ilvl="0">
      <w:lvlJc w:val="left"/>
      <w:lvlText w:val="(%1)"/>
      <w:numFmt w:val="upperLetter"/>
      <w:start w:val="1"/>
    </w:lvl>
  </w:abstractNum>
  <w:abstractNum w:abstractNumId="76">
    <w:nsid w:val="7FB7E0AA"/>
    <w:multiLevelType w:val="hybridMultilevel"/>
    <w:lvl w:ilvl="0">
      <w:lvlJc w:val="left"/>
      <w:lvlText w:val="(%1)"/>
      <w:numFmt w:val="lowerLetter"/>
      <w:start w:val="2"/>
    </w:lvl>
  </w:abstractNum>
  <w:abstractNum w:abstractNumId="77">
    <w:nsid w:val="6EB5BD4"/>
    <w:multiLevelType w:val="hybridMultilevel"/>
    <w:lvl w:ilvl="0">
      <w:lvlJc w:val="left"/>
      <w:lvlText w:val="(%1)"/>
      <w:numFmt w:val="lowerLetter"/>
      <w:start w:val="1"/>
    </w:lvl>
  </w:abstractNum>
  <w:abstractNum w:abstractNumId="78">
    <w:nsid w:val="6F6DD9AC"/>
    <w:multiLevelType w:val="hybridMultilevel"/>
    <w:lvl w:ilvl="0">
      <w:lvlJc w:val="left"/>
      <w:lvlText w:val="(%1)"/>
      <w:numFmt w:val="lowerLetter"/>
      <w:start w:val="3"/>
    </w:lvl>
  </w:abstractNum>
  <w:abstractNum w:abstractNumId="79">
    <w:nsid w:val="94211F2"/>
    <w:multiLevelType w:val="hybridMultilevel"/>
    <w:lvl w:ilvl="0">
      <w:lvlJc w:val="left"/>
      <w:lvlText w:val="(%1)"/>
      <w:numFmt w:val="lowerLetter"/>
      <w:start w:val="1"/>
    </w:lvl>
  </w:abstractNum>
  <w:abstractNum w:abstractNumId="80">
    <w:nsid w:val="885E1B"/>
    <w:multiLevelType w:val="hybridMultilevel"/>
    <w:lvl w:ilvl="0">
      <w:lvlJc w:val="left"/>
      <w:lvlText w:val="(%1)"/>
      <w:numFmt w:val="lowerLetter"/>
      <w:start w:val="4"/>
    </w:lvl>
  </w:abstractNum>
  <w:abstractNum w:abstractNumId="81">
    <w:nsid w:val="76272110"/>
    <w:multiLevelType w:val="hybridMultilevel"/>
    <w:lvl w:ilvl="0">
      <w:lvlJc w:val="left"/>
      <w:lvlText w:val="(%1)"/>
      <w:numFmt w:val="lowerLetter"/>
      <w:start w:val="9"/>
    </w:lvl>
  </w:abstractNum>
  <w:abstractNum w:abstractNumId="82">
    <w:nsid w:val="4C04A8AF"/>
    <w:multiLevelType w:val="hybridMultilevel"/>
    <w:lvl w:ilvl="0">
      <w:lvlJc w:val="left"/>
      <w:lvlText w:val="(%1)"/>
      <w:numFmt w:val="lowerLetter"/>
      <w:start w:val="5"/>
    </w:lvl>
  </w:abstractNum>
  <w:abstractNum w:abstractNumId="83">
    <w:nsid w:val="1716703B"/>
    <w:multiLevelType w:val="hybridMultilevel"/>
    <w:lvl w:ilvl="0">
      <w:lvlJc w:val="left"/>
      <w:lvlText w:val="(%1)"/>
      <w:numFmt w:val="lowerLetter"/>
      <w:start w:val="8"/>
    </w:lvl>
  </w:abstractNum>
  <w:abstractNum w:abstractNumId="84">
    <w:nsid w:val="14E17E33"/>
    <w:multiLevelType w:val="hybridMultilevel"/>
    <w:lvl w:ilvl="0">
      <w:lvlJc w:val="left"/>
      <w:lvlText w:val="(%1)"/>
      <w:numFmt w:val="lowerLetter"/>
      <w:start w:val="1"/>
    </w:lvl>
  </w:abstractNum>
  <w:abstractNum w:abstractNumId="85">
    <w:nsid w:val="3222E7CD"/>
    <w:multiLevelType w:val="hybridMultilevel"/>
    <w:lvl w:ilvl="0">
      <w:lvlJc w:val="left"/>
      <w:lvlText w:val="(%1)"/>
      <w:numFmt w:val="lowerLetter"/>
      <w:start w:val="35"/>
    </w:lvl>
  </w:abstractNum>
  <w:abstractNum w:abstractNumId="86">
    <w:nsid w:val="74DE0EE3"/>
    <w:multiLevelType w:val="hybridMultilevel"/>
    <w:lvl w:ilvl="0">
      <w:lvlJc w:val="left"/>
      <w:lvlText w:val="(%1)"/>
      <w:numFmt w:val="lowerLetter"/>
      <w:start w:val="2"/>
    </w:lvl>
  </w:abstractNum>
  <w:abstractNum w:abstractNumId="87">
    <w:nsid w:val="68EBC550"/>
    <w:multiLevelType w:val="hybridMultilevel"/>
    <w:lvl w:ilvl="0">
      <w:lvlJc w:val="left"/>
      <w:lvlText w:val="(%1)"/>
      <w:numFmt w:val="lowerLetter"/>
      <w:start w:val="1"/>
    </w:lvl>
  </w:abstractNum>
  <w:abstractNum w:abstractNumId="88">
    <w:nsid w:val="2DF6D648"/>
    <w:multiLevelType w:val="hybridMultilevel"/>
    <w:lvl w:ilvl="0">
      <w:lvlJc w:val="left"/>
      <w:lvlText w:val="(%1)"/>
      <w:numFmt w:val="lowerLetter"/>
      <w:start w:val="1"/>
    </w:lvl>
  </w:abstractNum>
  <w:abstractNum w:abstractNumId="89">
    <w:nsid w:val="46B7D447"/>
    <w:multiLevelType w:val="hybridMultilevel"/>
    <w:lvl w:ilvl="0">
      <w:lvlJc w:val="left"/>
      <w:lvlText w:val="(%1)"/>
      <w:numFmt w:val="lowerLetter"/>
      <w:start w:val="1"/>
    </w:lvl>
  </w:abstractNum>
  <w:abstractNum w:abstractNumId="90">
    <w:nsid w:val="4A2AC315"/>
    <w:multiLevelType w:val="hybridMultilevel"/>
    <w:lvl w:ilvl="0">
      <w:lvlJc w:val="left"/>
      <w:lvlText w:val="(%1)"/>
      <w:numFmt w:val="lowerLetter"/>
      <w:start w:val="2"/>
    </w:lvl>
  </w:abstractNum>
  <w:abstractNum w:abstractNumId="91">
    <w:nsid w:val="39EE015C"/>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8" Type="http://schemas.openxmlformats.org/officeDocument/2006/relationships/image" Target="media/image14.png"/><Relationship Id="rId29" Type="http://schemas.openxmlformats.org/officeDocument/2006/relationships/image" Target="media/image15.png"/><Relationship Id="rId30" Type="http://schemas.openxmlformats.org/officeDocument/2006/relationships/image" Target="media/image16.png"/><Relationship Id="rId31" Type="http://schemas.openxmlformats.org/officeDocument/2006/relationships/image" Target="media/image17.png"/><Relationship Id="rId32" Type="http://schemas.openxmlformats.org/officeDocument/2006/relationships/image" Target="media/image18.png"/><Relationship Id="rId33" Type="http://schemas.openxmlformats.org/officeDocument/2006/relationships/image" Target="media/image19.png"/><Relationship Id="rId34" Type="http://schemas.openxmlformats.org/officeDocument/2006/relationships/image" Target="media/image20.png"/><Relationship Id="rId35" Type="http://schemas.openxmlformats.org/officeDocument/2006/relationships/image" Target="media/image21.png"/><Relationship Id="rId36" Type="http://schemas.openxmlformats.org/officeDocument/2006/relationships/image" Target="media/image22.png"/><Relationship Id="rId37" Type="http://schemas.openxmlformats.org/officeDocument/2006/relationships/image" Target="media/image23.png"/><Relationship Id="rId38" Type="http://schemas.openxmlformats.org/officeDocument/2006/relationships/image" Target="media/image24.png"/><Relationship Id="rId39" Type="http://schemas.openxmlformats.org/officeDocument/2006/relationships/image" Target="media/image25.png"/><Relationship Id="rId40" Type="http://schemas.openxmlformats.org/officeDocument/2006/relationships/image" Target="media/image26.png"/><Relationship Id="rId41" Type="http://schemas.openxmlformats.org/officeDocument/2006/relationships/image" Target="media/image27.png"/><Relationship Id="rId42" Type="http://schemas.openxmlformats.org/officeDocument/2006/relationships/image" Target="media/image28.png"/><Relationship Id="rId43" Type="http://schemas.openxmlformats.org/officeDocument/2006/relationships/image" Target="media/image29.png"/><Relationship Id="rId44" Type="http://schemas.openxmlformats.org/officeDocument/2006/relationships/image" Target="media/image30.png"/><Relationship Id="rId45" Type="http://schemas.openxmlformats.org/officeDocument/2006/relationships/image" Target="media/image31.png"/><Relationship Id="rId46" Type="http://schemas.openxmlformats.org/officeDocument/2006/relationships/image" Target="media/image32.png"/><Relationship Id="rId47" Type="http://schemas.openxmlformats.org/officeDocument/2006/relationships/image" Target="media/image33.png"/><Relationship Id="rId48" Type="http://schemas.openxmlformats.org/officeDocument/2006/relationships/image" Target="media/image34.png"/><Relationship Id="rId49" Type="http://schemas.openxmlformats.org/officeDocument/2006/relationships/image" Target="media/image35.png"/><Relationship Id="rId50" Type="http://schemas.openxmlformats.org/officeDocument/2006/relationships/image" Target="media/image36.png"/><Relationship Id="rId51" Type="http://schemas.openxmlformats.org/officeDocument/2006/relationships/image" Target="media/image37.png"/><Relationship Id="rId52" Type="http://schemas.openxmlformats.org/officeDocument/2006/relationships/image" Target="media/image38.png"/><Relationship Id="rId53" Type="http://schemas.openxmlformats.org/officeDocument/2006/relationships/image" Target="media/image39.png"/><Relationship Id="rId54" Type="http://schemas.openxmlformats.org/officeDocument/2006/relationships/image" Target="media/image40.png"/><Relationship Id="rId55" Type="http://schemas.openxmlformats.org/officeDocument/2006/relationships/image" Target="media/image41.png"/><Relationship Id="rId56" Type="http://schemas.openxmlformats.org/officeDocument/2006/relationships/image" Target="media/image42.png"/><Relationship Id="rId57" Type="http://schemas.openxmlformats.org/officeDocument/2006/relationships/image" Target="media/image43.png"/><Relationship Id="rId58" Type="http://schemas.openxmlformats.org/officeDocument/2006/relationships/image" Target="media/image44.png"/><Relationship Id="rId59" Type="http://schemas.openxmlformats.org/officeDocument/2006/relationships/image" Target="media/image45.png"/><Relationship Id="rId60" Type="http://schemas.openxmlformats.org/officeDocument/2006/relationships/image" Target="media/image46.png"/><Relationship Id="rId61" Type="http://schemas.openxmlformats.org/officeDocument/2006/relationships/image" Target="media/image47.png"/><Relationship Id="rId62" Type="http://schemas.openxmlformats.org/officeDocument/2006/relationships/image" Target="media/image48.png"/><Relationship Id="rId63" Type="http://schemas.openxmlformats.org/officeDocument/2006/relationships/image" Target="media/image49.png"/><Relationship Id="rId66" Type="http://schemas.openxmlformats.org/officeDocument/2006/relationships/image" Target="media/image50.png"/><Relationship Id="rId67" Type="http://schemas.openxmlformats.org/officeDocument/2006/relationships/image" Target="media/image51.png"/><Relationship Id="rId68" Type="http://schemas.openxmlformats.org/officeDocument/2006/relationships/image" Target="media/image52.png"/><Relationship Id="rId69" Type="http://schemas.openxmlformats.org/officeDocument/2006/relationships/image" Target="media/image53.png"/><Relationship Id="rId70" Type="http://schemas.openxmlformats.org/officeDocument/2006/relationships/image" Target="media/image54.png"/><Relationship Id="rId71" Type="http://schemas.openxmlformats.org/officeDocument/2006/relationships/image" Target="media/image55.png"/><Relationship Id="rId72" Type="http://schemas.openxmlformats.org/officeDocument/2006/relationships/image" Target="media/image56.png"/><Relationship Id="rId73" Type="http://schemas.openxmlformats.org/officeDocument/2006/relationships/image" Target="media/image57.png"/><Relationship Id="rId74" Type="http://schemas.openxmlformats.org/officeDocument/2006/relationships/image" Target="media/image58.png"/><Relationship Id="rId75" Type="http://schemas.openxmlformats.org/officeDocument/2006/relationships/image" Target="media/image59.png"/><Relationship Id="rId76" Type="http://schemas.openxmlformats.org/officeDocument/2006/relationships/image" Target="media/image60.png"/><Relationship Id="rId77" Type="http://schemas.openxmlformats.org/officeDocument/2006/relationships/image" Target="media/image61.png"/><Relationship Id="rId78" Type="http://schemas.openxmlformats.org/officeDocument/2006/relationships/image" Target="media/image62.png"/><Relationship Id="rId79" Type="http://schemas.openxmlformats.org/officeDocument/2006/relationships/image" Target="media/image63.png"/><Relationship Id="rId80" Type="http://schemas.openxmlformats.org/officeDocument/2006/relationships/image" Target="media/image64.png"/><Relationship Id="rId81" Type="http://schemas.openxmlformats.org/officeDocument/2006/relationships/image" Target="media/image65.png"/><Relationship Id="rId82" Type="http://schemas.openxmlformats.org/officeDocument/2006/relationships/image" Target="media/image66.png"/><Relationship Id="rId83" Type="http://schemas.openxmlformats.org/officeDocument/2006/relationships/image" Target="media/image67.png"/><Relationship Id="rId84" Type="http://schemas.openxmlformats.org/officeDocument/2006/relationships/image" Target="media/image68.png"/><Relationship Id="rId85" Type="http://schemas.openxmlformats.org/officeDocument/2006/relationships/image" Target="media/image69.png"/><Relationship Id="rId86" Type="http://schemas.openxmlformats.org/officeDocument/2006/relationships/image" Target="media/image70.png"/><Relationship Id="rId87" Type="http://schemas.openxmlformats.org/officeDocument/2006/relationships/image" Target="media/image71.png"/><Relationship Id="rId88" Type="http://schemas.openxmlformats.org/officeDocument/2006/relationships/image" Target="media/image72.png"/><Relationship Id="rId89" Type="http://schemas.openxmlformats.org/officeDocument/2006/relationships/image" Target="media/image73.png"/><Relationship Id="rId90" Type="http://schemas.openxmlformats.org/officeDocument/2006/relationships/image" Target="media/image74.png"/><Relationship Id="rId91" Type="http://schemas.openxmlformats.org/officeDocument/2006/relationships/image" Target="media/image75.png"/><Relationship Id="rId92" Type="http://schemas.openxmlformats.org/officeDocument/2006/relationships/image" Target="media/image76.png"/><Relationship Id="rId93" Type="http://schemas.openxmlformats.org/officeDocument/2006/relationships/image" Target="media/image77.png"/><Relationship Id="rId94" Type="http://schemas.openxmlformats.org/officeDocument/2006/relationships/image" Target="media/image78.png"/><Relationship Id="rId95" Type="http://schemas.openxmlformats.org/officeDocument/2006/relationships/image" Target="media/image79.png"/><Relationship Id="rId96" Type="http://schemas.openxmlformats.org/officeDocument/2006/relationships/image" Target="media/image80.png"/><Relationship Id="rId97" Type="http://schemas.openxmlformats.org/officeDocument/2006/relationships/image" Target="media/image81.png"/><Relationship Id="rId98" Type="http://schemas.openxmlformats.org/officeDocument/2006/relationships/image" Target="media/image82.png"/><Relationship Id="rId99" Type="http://schemas.openxmlformats.org/officeDocument/2006/relationships/image" Target="media/image83.png"/><Relationship Id="rId100" Type="http://schemas.openxmlformats.org/officeDocument/2006/relationships/image" Target="media/image84.png"/><Relationship Id="rId101" Type="http://schemas.openxmlformats.org/officeDocument/2006/relationships/image" Target="media/image85.png"/><Relationship Id="rId102" Type="http://schemas.openxmlformats.org/officeDocument/2006/relationships/image" Target="media/image86.png"/><Relationship Id="rId103" Type="http://schemas.openxmlformats.org/officeDocument/2006/relationships/image" Target="media/image87.png"/><Relationship Id="rId104" Type="http://schemas.openxmlformats.org/officeDocument/2006/relationships/image" Target="media/image88.png"/><Relationship Id="rId105" Type="http://schemas.openxmlformats.org/officeDocument/2006/relationships/image" Target="media/image89.png"/><Relationship Id="rId106" Type="http://schemas.openxmlformats.org/officeDocument/2006/relationships/image" Target="media/image90.png"/><Relationship Id="rId107" Type="http://schemas.openxmlformats.org/officeDocument/2006/relationships/image" Target="media/image91.png"/><Relationship Id="rId108" Type="http://schemas.openxmlformats.org/officeDocument/2006/relationships/image" Target="media/image92.png"/><Relationship Id="rId109" Type="http://schemas.openxmlformats.org/officeDocument/2006/relationships/image" Target="media/image93.png"/><Relationship Id="rId110" Type="http://schemas.openxmlformats.org/officeDocument/2006/relationships/image" Target="media/image94.png"/><Relationship Id="rId111" Type="http://schemas.openxmlformats.org/officeDocument/2006/relationships/image" Target="media/image95.png"/><Relationship Id="rId112" Type="http://schemas.openxmlformats.org/officeDocument/2006/relationships/image" Target="media/image96.png"/><Relationship Id="rId113" Type="http://schemas.openxmlformats.org/officeDocument/2006/relationships/image" Target="media/image97.png"/><Relationship Id="rId114" Type="http://schemas.openxmlformats.org/officeDocument/2006/relationships/image" Target="media/image98.png"/><Relationship Id="rId115" Type="http://schemas.openxmlformats.org/officeDocument/2006/relationships/image" Target="media/image99.png"/><Relationship Id="rId116" Type="http://schemas.openxmlformats.org/officeDocument/2006/relationships/image" Target="media/image100.png"/><Relationship Id="rId117" Type="http://schemas.openxmlformats.org/officeDocument/2006/relationships/image" Target="media/image101.png"/><Relationship Id="rId118" Type="http://schemas.openxmlformats.org/officeDocument/2006/relationships/image" Target="media/image102.png"/><Relationship Id="rId119" Type="http://schemas.openxmlformats.org/officeDocument/2006/relationships/image" Target="media/image103.png"/><Relationship Id="rId120" Type="http://schemas.openxmlformats.org/officeDocument/2006/relationships/image" Target="media/image104.png"/><Relationship Id="rId21" Type="http://schemas.openxmlformats.org/officeDocument/2006/relationships/hyperlink" Target="http://www.sec.gov/ix?doc=/Archives/edgar/data/1724542/000121390021052933/f20f2021_clpsincorp.htm" TargetMode="External"/><Relationship Id="rId22" Type="http://schemas.openxmlformats.org/officeDocument/2006/relationships/hyperlink" Target="http://www.sec.gov/Archives/edgar/data/1724542/000121390018003524/ff12018_clpsincorporation.htm" TargetMode="External"/><Relationship Id="rId23" Type="http://schemas.openxmlformats.org/officeDocument/2006/relationships/hyperlink" Target="http://www.sec.gov/Archives/edgar/data/1724542/000121390018006724/f8a12b0518_clpsincorporation.htm" TargetMode="External"/><Relationship Id="rId24" Type="http://schemas.openxmlformats.org/officeDocument/2006/relationships/hyperlink" Target="http://www.sec.gov/Archives/edgar/data/1724542/000121390021065345/ea152390-6k_clpsincorp.htm" TargetMode="External"/><Relationship Id="rId25" Type="http://schemas.openxmlformats.org/officeDocument/2006/relationships/hyperlink" Target="http://www.sec.gov/Archives/edgar/data/1724542/000121390022010837/ea156543-6k_clpsincorp.htm" TargetMode="External"/><Relationship Id="rId26" Type="http://schemas.openxmlformats.org/officeDocument/2006/relationships/hyperlink" Target="http://www.sec.gov/Archives/edgar/data/1724542/000121390022018568/ea158042-6k_clpsincorp.htm" TargetMode="External"/><Relationship Id="rId27" Type="http://schemas.openxmlformats.org/officeDocument/2006/relationships/hyperlink" Target="http://www.sec.gov/Archives/edgar/data/1724542/000121390022028744/ea160449-6k_clpsincorp.htm" TargetMode="External"/><Relationship Id="rId64" Type="http://schemas.openxmlformats.org/officeDocument/2006/relationships/hyperlink" Target="http://www.sec.gov/Archives/edgar/data/1724542/000121390018003524/ff12018ex4-1_clpsincorp.htm" TargetMode="External"/><Relationship Id="rId65" Type="http://schemas.openxmlformats.org/officeDocument/2006/relationships/hyperlink" Target="https://www.sec.gov/Archives/edgar/data/1724542/000121390022049179/ea164343ex-fee_clpsinc.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2022-10-12T15:46:24Z</dcterms:created>
  <dcterms:modified xsi:type="dcterms:W3CDTF">2022-10-12T15:46:24Z</dcterms:modified>
</cp:coreProperties>
</file>