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6-K</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PURSUANT </w:t>
      </w:r>
      <w:r>
        <w:rPr>
          <w:rFonts w:ascii="Arial" w:cs="Arial" w:eastAsia="Arial" w:hAnsi="Arial"/>
          <w:sz w:val="18"/>
          <w:szCs w:val="18"/>
          <w:color w:val="auto"/>
        </w:rPr>
        <w:t>TO</w:t>
      </w:r>
      <w:r>
        <w:rPr>
          <w:rFonts w:ascii="Arial" w:cs="Arial" w:eastAsia="Arial" w:hAnsi="Arial"/>
          <w:sz w:val="18"/>
          <w:szCs w:val="18"/>
          <w:b w:val="1"/>
          <w:bCs w:val="1"/>
          <w:color w:val="auto"/>
        </w:rPr>
        <w:t xml:space="preserve">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March 2020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001-38505</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jc w:val="center"/>
        <w:ind w:right="-39"/>
        <w:spacing w:after="0" w:line="207" w:lineRule="exact"/>
        <w:tabs>
          <w:tab w:leader="none" w:pos="2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39"/>
        <w:spacing w:after="0" w:line="207" w:lineRule="exact"/>
        <w:tabs>
          <w:tab w:leader="none" w:pos="2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Attached hereto as Exhibit 99.1 is a Notice of Annual Meeting of Shareholders and Proxy Statement of CLPS Incorporation (the “Company”) relating to the Company’s 2020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to Find Additional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 is a foreign private issuer. As such, the proxy statement is not subject to review and comment by the Securities and Exchange Commission (the “SEC”). Shareholders are urged to carefully read the proxy statement, because it contains important information about the Company and 2020 Annual Meeting of Shareholders. Copies of the proxy statement and other documents filed by the Company will be available at the website maintained by the SEC at </w:t>
      </w:r>
      <w:r>
        <w:rPr>
          <w:rFonts w:ascii="Arial" w:cs="Arial" w:eastAsia="Arial" w:hAnsi="Arial"/>
          <w:sz w:val="18"/>
          <w:szCs w:val="18"/>
          <w:i w:val="1"/>
          <w:iCs w:val="1"/>
          <w:color w:val="auto"/>
        </w:rPr>
        <w:t xml:space="preserve">http://www.sec.gov. </w:t>
      </w:r>
      <w:r>
        <w:rPr>
          <w:rFonts w:ascii="Arial" w:cs="Arial" w:eastAsia="Arial" w:hAnsi="Arial"/>
          <w:sz w:val="18"/>
          <w:szCs w:val="18"/>
          <w:color w:val="auto"/>
        </w:rPr>
        <w:t>Copies of such filings can also be obtained, without charge, from the Company’s website at https://www.cstproxy.com/clpsglobal/2020, or</w:t>
      </w:r>
      <w:r>
        <w:rPr>
          <w:rFonts w:ascii="Arial" w:cs="Arial" w:eastAsia="Arial" w:hAnsi="Arial"/>
          <w:sz w:val="18"/>
          <w:szCs w:val="18"/>
          <w:i w:val="1"/>
          <w:iCs w:val="1"/>
          <w:color w:val="auto"/>
        </w:rPr>
        <w:t xml:space="preserve"> </w:t>
      </w:r>
      <w:r>
        <w:rPr>
          <w:rFonts w:ascii="Arial" w:cs="Arial" w:eastAsia="Arial" w:hAnsi="Arial"/>
          <w:sz w:val="18"/>
          <w:szCs w:val="18"/>
          <w:color w:val="auto"/>
        </w:rPr>
        <w:t>by directing a request to CLPS Incorporation, c/o 2nd Floor, Building 18, Shanghai Pudong Software Park, 498 Guoshoujing Road, Pudong, Shanghai 201203, People’s Republic of China.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r>
        <w:rPr>
          <w:rFonts w:ascii="Arial" w:cs="Arial" w:eastAsia="Arial" w:hAnsi="Arial"/>
          <w:sz w:val="18"/>
          <w:szCs w:val="18"/>
          <w:color w:val="auto"/>
        </w:rPr>
        <w:t>s</w:t>
      </w:r>
    </w:p>
    <w:p>
      <w:pPr>
        <w:spacing w:after="0" w:line="256"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Proxy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Lin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7"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 498 Guoshoujing Road, Pudong, Shanghai 201203,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April 3,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CLPS Incorporation: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Notice is hereby given that the Annual Meeting of the Shareholders of CLPS Incorporation (the “Company”) will be held on April 3, 2020 at 10 AM China time (or April 2, at 10 PM Eastern Daylight Time), at the Company’s principal executive office in Shanghai, China. The meeting is called for the following purposes:</w:t>
      </w:r>
    </w:p>
    <w:p>
      <w:pPr>
        <w:spacing w:after="0" w:line="18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directors, each to serve until the next Annual Meeting of Shareholders or until each successor is duly elected and qualified.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2020 Equity Incentive Plan;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any other business that is properly brought before the Annual Meeting or any adjournment or postponement thereof.</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close of business on February 6, 2020 has been fixed as the record date for the purpose of determining the shareholders entitled to notice of, and to vote at, the meeting. The register of members of the Company will not be closed. The date on which this Proxy Statement and the accompanying form of proxy card will first be mailed or given to the Company’s shareholders is on or about March 9, 2020.</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All shareholders are cordially invited to attend the meeting. Whether or not you expect to attend, you are respectfully requested by the Board of Directors to sign, date and return the enclosed proxy card promptly. Shareholders who appoint proxies retain the right to revoke them at any time prior to the voting thereof. A return envelope which requires no postage if mailed in the United States is enclosed for your convenience. This Proxy Statement, a form of proxy card and our most recent Annual Report are available, free of charge, online at the following internet address: https://www.cstproxy.com/clpsglobal/2020.</w:t>
      </w:r>
    </w:p>
    <w:p>
      <w:pPr>
        <w:spacing w:after="0" w:line="1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Dated: March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Your vote is important. Accordingly, you are urged to sign and return the accompanying proxy card whether or not you plan to attend the meeting. If you do attend the meeting and are a record holder, you may vote by ballot at the meeting, and your proxy will be deemed to be revoked. If you hold your shares in street name and wish to vote your shares at the meeting, you should contact your broker about getting a proxy appointing you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20" w:type="dxa"/>
            <w:vAlign w:val="bottom"/>
            <w:gridSpan w:val="2"/>
          </w:tcPr>
          <w:p>
            <w:pPr>
              <w:jc w:val="center"/>
              <w:ind w:right="2760"/>
              <w:spacing w:after="0"/>
              <w:rPr>
                <w:sz w:val="20"/>
                <w:szCs w:val="20"/>
                <w:color w:val="auto"/>
              </w:rPr>
            </w:pPr>
            <w:r>
              <w:rPr>
                <w:rFonts w:ascii="Arial" w:cs="Arial" w:eastAsia="Arial" w:hAnsi="Arial"/>
                <w:sz w:val="18"/>
                <w:szCs w:val="18"/>
                <w:b w:val="1"/>
                <w:bCs w:val="1"/>
                <w:color w:val="auto"/>
                <w:w w:val="99"/>
              </w:rPr>
              <w:t>CLPS INCORPORATION</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20" w:type="dxa"/>
            <w:vAlign w:val="bottom"/>
            <w:gridSpan w:val="2"/>
          </w:tcPr>
          <w:p>
            <w:pPr>
              <w:jc w:val="center"/>
              <w:ind w:right="274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45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tcBorders>
              <w:bottom w:val="single" w:sz="8" w:color="0000EE"/>
            </w:tcBorders>
            <w:gridSpan w:val="2"/>
            <w:shd w:val="clear" w:color="auto" w:fill="CCEEFF"/>
          </w:tcPr>
          <w:p>
            <w:pPr>
              <w:spacing w:after="0" w:line="142" w:lineRule="exact"/>
              <w:rPr>
                <w:rFonts w:ascii="Arial" w:cs="Arial" w:eastAsia="Arial" w:hAnsi="Arial"/>
                <w:sz w:val="16"/>
                <w:szCs w:val="16"/>
                <w:color w:val="0000EE"/>
              </w:rPr>
            </w:pPr>
            <w:hyperlink w:anchor="page7">
              <w:r>
                <w:rPr>
                  <w:rFonts w:ascii="Arial" w:cs="Arial" w:eastAsia="Arial" w:hAnsi="Arial"/>
                  <w:sz w:val="16"/>
                  <w:szCs w:val="16"/>
                  <w:color w:val="0000EE"/>
                </w:rPr>
                <w:t>PROXY STATEMENT</w:t>
              </w:r>
            </w:hyperlink>
          </w:p>
        </w:tc>
        <w:tc>
          <w:tcPr>
            <w:tcW w:w="8700" w:type="dxa"/>
            <w:vAlign w:val="bottom"/>
            <w:tcBorders>
              <w:bottom w:val="single" w:sz="8" w:color="CCEEFF"/>
            </w:tcBorders>
            <w:gridSpan w:val="7"/>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9"/>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ELECTION OF DIRECTORS (PROPOSAL NO. 1)</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THE BOARD AND BOARD COMMITTEES</w:t>
              </w:r>
            </w:hyperlink>
          </w:p>
        </w:tc>
        <w:tc>
          <w:tcPr>
            <w:tcW w:w="7040" w:type="dxa"/>
            <w:vAlign w:val="bottom"/>
            <w:tcBorders>
              <w:bottom w:val="single" w:sz="8" w:color="CCEEFF"/>
            </w:tcBorders>
            <w:gridSpan w:val="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9"/>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REPORT OF THE AUDIT COMMITTEE</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EXECUTIVE COMPENSATION</w:t>
              </w:r>
            </w:hyperlink>
          </w:p>
        </w:tc>
        <w:tc>
          <w:tcPr>
            <w:tcW w:w="7940" w:type="dxa"/>
            <w:vAlign w:val="bottom"/>
            <w:tcBorders>
              <w:bottom w:val="single" w:sz="8" w:color="CCEEFF"/>
            </w:tcBorders>
            <w:gridSpan w:val="5"/>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9"/>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MAJOR SHAREHOLDERS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APPROVAL OF THE 2020 EQUITY INCENTIVE PLAN (PROPOSAL NO. 2)</w:t>
              </w:r>
            </w:hyperlink>
          </w:p>
        </w:tc>
        <w:tc>
          <w:tcPr>
            <w:tcW w:w="45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1460" w:type="dxa"/>
            <w:vAlign w:val="bottom"/>
            <w:tcBorders>
              <w:bottom w:val="single" w:sz="8" w:color="0000EE"/>
            </w:tcBorders>
          </w:tcPr>
          <w:p>
            <w:pPr>
              <w:spacing w:after="0" w:line="17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OTHER MATTERS</w:t>
              </w:r>
            </w:hyperlink>
          </w:p>
        </w:tc>
        <w:tc>
          <w:tcPr>
            <w:tcW w:w="8920" w:type="dxa"/>
            <w:vAlign w:val="bottom"/>
            <w:gridSpan w:val="8"/>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 People’s Republic of China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(the “Board”) of CLPS Incorporation (the “Company,” “CLPS” “we,” “us,” or “our”) for the Annual Meeting of Shareholders to be held at the Company’s principal executive office, at 2nd Floor, Building 18, Shanghai Pudong Software Park, 498 Guoshoujing Road, Pudong, Shanghai 201203, People’s Republic of China on April 3, 2020 at 10AM local China time (or April 2 at 10PM Eastern Daylight Time) and for any adjournment or adjournments thereof, for the purposes set forth in the accompanying Notice of Annual Meeting of Shareholders. The Company will bear the costs of this solicitation.</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If the enclosed proxy is properly executed and returned, the shares represented thereby will be voted in accordance with the directions thereon and otherwise in accordance with the judgment of the persons designated as proxies. Any proxy card on which no instruction is specified will be voted in favor of the actions described in this Proxy Statement and for the election of the nominees set forth under the caption “Election of Directors.” Any shareholder appointing such a proxy has the power to revoke it at any time before it is voted. If you are a holder of record, written notice of such revocation should be</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forwarded to Continental Stock Transfer &amp; Trust Company, 1 State Street,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10004-1561, facsimile: 212-616-7613, Attn: Proxy Services. If you hold your shares in street name, you should contact your broker about revoking your proxy.</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will bear the cost of preparing, printing, assembling and mailing the proxy card, Proxy Statement and other material which may be sent to shareholders in connection with this solicitation. It is contemplated that brokerage houses will forward the proxy materials to beneficial owners at our request. In addition to the solicitation of proxies by use of the mails, officers and regular employees of the Company may solicit proxies without additional compensation, by telephone or telegraph. We may reimburse brokers or other persons holding Shares in their names or the names of their nominees for the expenses of forwarding soliciting material to their principals and obtaining their proxies.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Only holders of our common shares of record at the close of business on February 6, 2020 (the “Record Date”) are entitled to vote at the meeting. On the Record Date, the Company had 14,820,630 common shares outstanding and entitled to vote at the Annual Meeting. For purposes of voting at the Annual Meeting, each common share is entitled to one vote upon all matters to be acted upon at the meeting. No business may be transacted at any meeting of shareholders unless a quorum is present at the commencement of business. The presence of one or more shareholders entitled to vote and present in person or by proxy representing not less than one third of the total issued voting shares of the Company throughout the meeting shall constitute a quorum.</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Election of directors must be approved by the affirmative vote of a simple majority of the votes of the common shares entitled to vote thereon which were present at the Annual Meeting and were voted. The affirmative vote of a simple majority of the votes cast in person or by proxy at the Annual Meeting and entitled to vote is required to approve the 2020 Equity Incentive Plan. A “majority vote” means that a proposal passes if it receives a majority of the votes cast by, or on behalf of, the shareholders entitled to vote and present at the meeting.</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by, or on behalf of, the shareholders entitled to vote at a meeting, while a special resolution requires the affirmative vote of a majority of at least two-thirds of such shareholders as, being entitled to do so, vote in person or by proxy of which notice specifying the intention to propose the resolution as a special resolution has been duly given. A special resolution will be required for important matters such as a change of name or making changes to our memorandum and articles of association.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ind w:firstLine="324"/>
        <w:spacing w:after="0" w:line="276" w:lineRule="auto"/>
        <w:rPr>
          <w:sz w:val="20"/>
          <w:szCs w:val="20"/>
          <w:color w:val="auto"/>
        </w:rPr>
      </w:pPr>
      <w:r>
        <w:rPr>
          <w:rFonts w:ascii="Arial" w:cs="Arial" w:eastAsia="Arial" w:hAnsi="Arial"/>
          <w:sz w:val="17"/>
          <w:szCs w:val="17"/>
          <w:color w:val="auto"/>
        </w:rPr>
        <w:t>Only Shares that are voted are taken into account in determining the proportion of votes cast for the election of directors. Any Shares not voted (whether by abstention, broker non-vote or otherwise) will therefore only impact the election of directors to the extent that the failure to vote for any individual may result in another individual’s receiving a larger proportion of votes cast. Similarly, any Shares not voted (whether by abstention, broker non-vote or otherwise) will only impact the percentage of votes cast for or against the other matters. Except for determining the presence or absence of a quorum for the transaction of business, broker non-votes are not counted for any purpose in determining whether a matter has been approved.</w:t>
      </w:r>
    </w:p>
    <w:p>
      <w:pPr>
        <w:spacing w:after="0" w:line="1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Annual Meeting will be postponed if a quorum is not present at the Annual Meeting. For purposes of determining the presence of a quorum, abstentions and broker non-votes will be counted as present. A broker non-vote occurs when a broker or nominee holding shares for a beneficial owner signs and returns a proxy but does not vote on a particular proposal because the broker or nominee does not have discretionary voting power and has not received instructions from the beneficial owner. If a quorum is not present, the meeting shall stand adjourned to the same time and place seven days hence, or to such other time or place as is determined by the directors (unless the meeting was requisitioned by the shareholders, in which case such meeting shall be cancelled if a quorum is not present). If a quorum is present, the meeting may be adjourned by the chairman of the meeting by the consent of shareholders who are represented constituting a quorum. The meeting may be rescheduled at the time of the adjournment with no further notice of the rescheduled time (except such notice provided at the meeting at which the adjournment decision was made) if the meeting is adjourned for seven clear days or less. Should a meeting be adjourned for more than seven days, whether because of a lack of quorum or otherwise, shareholders shall be given at least seven days’ notice of the date, time and place of the adjourned meeting and the general nature of the business to be transacted. An adjournment will have no effect on the business to be conducted.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Memorandum and Articles of Association do not contain any provisions that allow cumulative voting for elections of directors.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soliciting your vote through the use of the mail and will bear the cost of this solicitation. The Company does not intend to employ third party solicitors, but our directors, officers, employees, and consultants may solicit proxies by mail, telephone, personal contact, or through online methods; to the extent they do so, the Company will reimburse their expenses for doing this. The Company will also reimburse brokers, fiduciaries, and custodians for their costs in forwarding proxy materials to beneficial owners of the Company’s stock. Other proxy solicitation expenses include those for preparation, mailing, returning, and tabulating the proxies.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is not proposing any action for which the applicable rules and laws provide a right of a shareholder to obtain appraisal of or payment for such shareholder’s shares.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Copies of the Company’s Annual Report on Form 20-F for the fiscal year ended June 30, 2019 as filed with the Securities and Exchange Commission are being sent to all shareholders along with this proxy statement. Additional copies will be furnished without charge to shareholders upon written request. Exhibits to the Annual Report will be provided upon written request. All written requests should be directed to the Company at its main office in Shanghai. The Company is subject to certain disclosure requirements of the Securities Exchange Act of 1934, as amended. The SEC maintains a website that contains various filings and reports regarding companies that file electronically with the SEC. The SEC’s website address is www.sec.gov. In addition, our filings may be inspected and copied at the public reference facilities of the SEC located at 100 F Street, N.E. Washington, DC 20549; and at the SEC’s regional offices at 233 Broadway, New York, NY 10279 and Citicorp Center, 500 West Madison Street, Room 1400, Chicago, IL 60661. Copies of the material may also be obtained upon request and payment of the appropriate fee from the Public Reference Section of the SEC located at 100 F Street, N.E., Washington, DC 20549.</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4700"/>
        <w:spacing w:after="0"/>
        <w:rPr>
          <w:sz w:val="20"/>
          <w:szCs w:val="20"/>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are a shareholder of record, you may vote in person at the Annual Meeting.</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give you a ballot sheet when you arrive. If you do not wish to vote in person or you will not be attending the annual meeting, you may vote by proxy. If you have received a printed copy of these proxy materials by mail, you may vote by proxy using the enclosed proxy card. To vote by proxy using the enclosed proxy card (only if you have received a printed copy of these proxy materials by mail), complete, sign and date your proxy card and return it promptly in the envelope provided. If you intend to vote by proxy, your vote must be received by 5:30 p.m., local China time on April 2, 2020 to be counted.</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your shares are registered in your name, you are a shareholder of record with respect to those shares. On the other hand, if your shares are registered in the name of your broker or bank, your shares are held in street name and you are considered the “beneficial owner” of the shares. As the beneficial owner of those shares, you have the right to direct your broker or bank how to vote your shares, and you will receive separate instructions from your broker or bank describing how to vote your shares.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give a proxy, you may revoke it at any time before it is exercised. You may revoke your proxy in three ways:</w:t>
      </w:r>
    </w:p>
    <w:p>
      <w:pPr>
        <w:spacing w:after="0" w:line="22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send in another proxy with a later date.</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notify us in writing (or if the stockholder is a corporation, under its corporate seal, by an officer or attorney of the corporation) at our principal executive offices before the Annual Meeting that you are revoking your proxy.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vote in person at the Annual Meeting.</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Nominating Committee of the Board has recommended that the Board nominate and the Board has nominated Xiao Feng Yang, Raymond Ming Hui Lin, Jin He Shao, Chong Seng Kee and Kathryn Amooi, each to serve until the next Annual Meeting of Shareholders or until each successor is duly elected and qualified. It is intended that the proxy appointed by the accompanying proxy card will vote for the election, as directors, of the persons named below, unless the proxy card contains contrary instructions.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has no reason to believe that any of the nominees will not be a candidate or will be unable to serve as director. However, in the event that any of the nominees should become unable or unwilling to serve as a director, the persons named in the proxy have advised that they will vote for the election of such person or persons as shall be designated by the directors, unless the proxy card contains contrary instructions.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67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President and Director</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Raymond Ming Hui Lin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57"/>
        </w:trPr>
        <w:tc>
          <w:tcPr>
            <w:tcW w:w="3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Jin He Shao</w:t>
            </w:r>
            <w:r>
              <w:rPr>
                <w:rFonts w:ascii="Arial" w:cs="Arial" w:eastAsia="Arial" w:hAnsi="Arial"/>
                <w:sz w:val="29"/>
                <w:szCs w:val="29"/>
                <w:color w:val="auto"/>
                <w:vertAlign w:val="superscript"/>
              </w:rPr>
              <w:t>(1)(4)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shd w:val="clear" w:color="auto" w:fill="CCEEFF"/>
          </w:tcPr>
          <w:p>
            <w:pPr>
              <w:spacing w:after="0"/>
              <w:rPr>
                <w:sz w:val="22"/>
                <w:szCs w:val="22"/>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57"/>
        </w:trPr>
        <w:tc>
          <w:tcPr>
            <w:tcW w:w="3560" w:type="dxa"/>
            <w:vAlign w:val="bottom"/>
            <w:gridSpan w:val="2"/>
          </w:tcPr>
          <w:p>
            <w:pPr>
              <w:spacing w:after="0" w:line="256" w:lineRule="exact"/>
              <w:rPr>
                <w:sz w:val="20"/>
                <w:szCs w:val="20"/>
                <w:color w:val="auto"/>
              </w:rPr>
            </w:pPr>
            <w:r>
              <w:rPr>
                <w:rFonts w:ascii="Arial" w:cs="Arial" w:eastAsia="Arial" w:hAnsi="Arial"/>
                <w:sz w:val="18"/>
                <w:szCs w:val="18"/>
                <w:color w:val="auto"/>
              </w:rPr>
              <w:t>Kathryn Amooi</w:t>
            </w:r>
            <w:r>
              <w:rPr>
                <w:rFonts w:ascii="Arial" w:cs="Arial" w:eastAsia="Arial" w:hAnsi="Arial"/>
                <w:sz w:val="29"/>
                <w:szCs w:val="29"/>
                <w:color w:val="auto"/>
                <w:vertAlign w:val="superscript"/>
              </w:rPr>
              <w:t>(3)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22"/>
                <w:szCs w:val="22"/>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57"/>
        </w:trPr>
        <w:tc>
          <w:tcPr>
            <w:tcW w:w="3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Kee Chong Seng</w:t>
            </w:r>
            <w:r>
              <w:rPr>
                <w:rFonts w:ascii="Arial" w:cs="Arial" w:eastAsia="Arial" w:hAnsi="Arial"/>
                <w:sz w:val="29"/>
                <w:szCs w:val="29"/>
                <w:color w:val="auto"/>
                <w:vertAlign w:val="superscript"/>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shd w:val="clear" w:color="auto" w:fill="CCEEFF"/>
          </w:tcPr>
          <w:p>
            <w:pPr>
              <w:spacing w:after="0"/>
              <w:rPr>
                <w:sz w:val="22"/>
                <w:szCs w:val="22"/>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bl>
    <w:p>
      <w:pPr>
        <w:spacing w:after="0" w:line="2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Chair of the Audit Committee.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Chair of the Nominating Committee.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Audit Committee Financial Expert.</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following pages set forth the names of director nominees, their respective principal occupations, positions with the Company, and brief employment history of the past five years, including the names of other publicly-held companies of which each serves or has served as a director during the past five years:</w:t>
      </w:r>
    </w:p>
    <w:p>
      <w:pPr>
        <w:spacing w:after="0" w:line="12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Xiao Feng Yang </w:t>
      </w:r>
      <w:r>
        <w:rPr>
          <w:rFonts w:ascii="Arial" w:cs="Arial" w:eastAsia="Arial" w:hAnsi="Arial"/>
          <w:sz w:val="18"/>
          <w:szCs w:val="18"/>
          <w:color w:val="auto"/>
        </w:rPr>
        <w:t>is the chairman, president and director of the Company and has been a director of the Company since May 11, 2017. Mr. Yang has over</w:t>
      </w:r>
      <w:r>
        <w:rPr>
          <w:rFonts w:ascii="Arial" w:cs="Arial" w:eastAsia="Arial" w:hAnsi="Arial"/>
          <w:sz w:val="18"/>
          <w:szCs w:val="18"/>
          <w:b w:val="1"/>
          <w:bCs w:val="1"/>
          <w:color w:val="auto"/>
        </w:rPr>
        <w:t xml:space="preserve"> </w:t>
      </w:r>
      <w:r>
        <w:rPr>
          <w:rFonts w:ascii="Arial" w:cs="Arial" w:eastAsia="Arial" w:hAnsi="Arial"/>
          <w:sz w:val="18"/>
          <w:szCs w:val="18"/>
          <w:color w:val="auto"/>
        </w:rPr>
        <w:t>20 years of executive management and operational experience in the IT services business. From October 2012 to present, Mr. Yang served as chairman and president of ChinaLink. From April 2009 to October 2012, Mr. Yang served as deputy general manager of ADP China managing the service operations of HR BPO in China. Prior to 2002, Mr. Yang was the Human Resource Director of Phillips. Mr. Yang graduated from Tongji University, Shanghai, China, with a Bachelor’s degree in electrical engineering. Mr. Yang received his MBA degree both from Shanghai University of Finance and Economics and Webster University (US). The Board of Directors determined that Xiao Feng Yang should continue serving as our Chairman and President given his pivotal role in the Company’s founding and long-term vision.</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both"/>
        <w:ind w:firstLine="324"/>
        <w:spacing w:after="0" w:line="272" w:lineRule="auto"/>
        <w:rPr>
          <w:sz w:val="20"/>
          <w:szCs w:val="20"/>
          <w:color w:val="auto"/>
        </w:rPr>
      </w:pPr>
      <w:r>
        <w:rPr>
          <w:rFonts w:ascii="Arial" w:cs="Arial" w:eastAsia="Arial" w:hAnsi="Arial"/>
          <w:sz w:val="17"/>
          <w:szCs w:val="17"/>
          <w:b w:val="1"/>
          <w:bCs w:val="1"/>
          <w:color w:val="auto"/>
        </w:rPr>
        <w:t>Raymond Ming Hui Lin</w:t>
      </w:r>
      <w:r>
        <w:rPr>
          <w:rFonts w:ascii="Arial" w:cs="Arial" w:eastAsia="Arial" w:hAnsi="Arial"/>
          <w:sz w:val="17"/>
          <w:szCs w:val="17"/>
          <w:color w:val="auto"/>
        </w:rPr>
        <w:t>, is the chief executive officer and director of the Company and has been a director of the Company since December 7, 2017.</w:t>
      </w:r>
      <w:r>
        <w:rPr>
          <w:rFonts w:ascii="Arial" w:cs="Arial" w:eastAsia="Arial" w:hAnsi="Arial"/>
          <w:sz w:val="17"/>
          <w:szCs w:val="17"/>
          <w:b w:val="1"/>
          <w:bCs w:val="1"/>
          <w:color w:val="auto"/>
        </w:rPr>
        <w:t xml:space="preserve"> </w:t>
      </w:r>
      <w:r>
        <w:rPr>
          <w:rFonts w:ascii="Arial" w:cs="Arial" w:eastAsia="Arial" w:hAnsi="Arial"/>
          <w:sz w:val="17"/>
          <w:szCs w:val="17"/>
          <w:color w:val="auto"/>
        </w:rPr>
        <w:t>Mr. Lin joined CLPS in February 2009 as chief executive officer. From January 2008 to January 2009, Mr. Lin was a business consultant of VanceInfo after VanceInfo acquired A-IT Software (Shanghai) Co. Ltd. Mr. Lin acted as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 The Board of Directors determined that Raymond Ming Hui Lin should continue serving as our director given his pivotal role in the Company’s founding, day-to-day operations and long-term vision.</w:t>
      </w:r>
    </w:p>
    <w:p>
      <w:pPr>
        <w:spacing w:after="0" w:line="17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Jin He Shao </w:t>
      </w:r>
      <w:r>
        <w:rPr>
          <w:rFonts w:ascii="Arial" w:cs="Arial" w:eastAsia="Arial" w:hAnsi="Arial"/>
          <w:sz w:val="17"/>
          <w:szCs w:val="17"/>
          <w:color w:val="auto"/>
        </w:rPr>
        <w:t>is an independent director of the Company and has been a director of the Company since January 11, 2018. From January 2002 to present,</w:t>
      </w:r>
      <w:r>
        <w:rPr>
          <w:rFonts w:ascii="Arial" w:cs="Arial" w:eastAsia="Arial" w:hAnsi="Arial"/>
          <w:sz w:val="17"/>
          <w:szCs w:val="17"/>
          <w:b w:val="1"/>
          <w:bCs w:val="1"/>
          <w:color w:val="auto"/>
        </w:rPr>
        <w:t xml:space="preserve"> </w:t>
      </w:r>
      <w:r>
        <w:rPr>
          <w:rFonts w:ascii="Arial" w:cs="Arial" w:eastAsia="Arial" w:hAnsi="Arial"/>
          <w:sz w:val="17"/>
          <w:szCs w:val="17"/>
          <w:color w:val="auto"/>
        </w:rPr>
        <w:t>Mr. Shao has been a partner at Shanghai Huajin Accounting &amp; Consulting Professional Services. From August 1995 to December 2001, he served as senior tax manager at Phillips (China) Investment Co., Ltd. Mr. Shao received a joint MBA degree from Shanghai University of Finance &amp; Economics and The Webster University. Mr. Shao is qualified as a PRC CPA. In addition, Mr. Shao attended Shanghai Grain College where he majored in finance and accounting, and STV University where he majored in auditing. The Board has determined that Mr. Shao should serve as our director based on his knowledge of the Company’s operations as well as his financial and accounting experience and expertise.</w:t>
      </w:r>
    </w:p>
    <w:p>
      <w:pPr>
        <w:spacing w:after="0" w:line="17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Chong Seng Kee </w:t>
      </w:r>
      <w:r>
        <w:rPr>
          <w:rFonts w:ascii="Arial" w:cs="Arial" w:eastAsia="Arial" w:hAnsi="Arial"/>
          <w:sz w:val="17"/>
          <w:szCs w:val="17"/>
          <w:color w:val="auto"/>
        </w:rPr>
        <w:t>is an independent director of the Company and has been a director of the Company since September 4, 2019. Mr. Kee spent a career in</w:t>
      </w:r>
      <w:r>
        <w:rPr>
          <w:rFonts w:ascii="Arial" w:cs="Arial" w:eastAsia="Arial" w:hAnsi="Arial"/>
          <w:sz w:val="17"/>
          <w:szCs w:val="17"/>
          <w:b w:val="1"/>
          <w:bCs w:val="1"/>
          <w:color w:val="auto"/>
        </w:rPr>
        <w:t xml:space="preserve"> </w:t>
      </w:r>
      <w:r>
        <w:rPr>
          <w:rFonts w:ascii="Arial" w:cs="Arial" w:eastAsia="Arial" w:hAnsi="Arial"/>
          <w:sz w:val="17"/>
          <w:szCs w:val="17"/>
          <w:color w:val="auto"/>
        </w:rPr>
        <w:t>the information technology industry, most recently as an operation manager at Citibank from 2003 until his full retirement in 2015. The Board has determined that Chong Seng Kee should serve as our director based on his industry, finance and business experience and expertise.</w:t>
      </w:r>
    </w:p>
    <w:p>
      <w:pPr>
        <w:spacing w:after="0" w:line="15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Kathryn Amooi </w:t>
      </w:r>
      <w:r>
        <w:rPr>
          <w:rFonts w:ascii="Arial" w:cs="Arial" w:eastAsia="Arial" w:hAnsi="Arial"/>
          <w:sz w:val="18"/>
          <w:szCs w:val="18"/>
          <w:color w:val="auto"/>
        </w:rPr>
        <w:t>is an independent director of the Company and has been a director of the Company since January 11, 2018. Ms. Amooi has held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at Automatic Data Processing (ADP), LLC, a human capital management company, including as Senior Vice President from May 2011 to December 2014, as Senior Division Vice President from May 2008 to June 2011, and Managing Director/General Manager from June 2005 to June 2008 at Automatic Data Processing (ADP) China, LLC. Ms. Amooi attended University of Southern California. The Board determined that Ms. Kathryn Amooi should serve as our director based on her industry knowledge and experience.</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None of the events listed in Item 401(f) of Regulation S-K has occurred during the past ten years that is material to the evaluation of the ability or integrity of any of our directors, director nominees or executive officers. To the best of our knowledge, there have been no events under any bankruptcy act, criminal proceedings, judgments, injunctions, orders or decrees material to the evaluation of the ability and integrity of any director, executive officer, promoter or control person of the Company during the past ten years and there have been no material proceedings to which any director or executive officer is a party adverse to the Company or any of its subsidiaries or has any material interest averse to the Company or any of its subsidiaries.</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BOARD AND BOARD COMMITTEES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2019 fiscal year, the Board met via teleconference for a total of 21 times. All of the directors of the Board at the time attended 75% or more of the aggregate of meetings of the Board and meetings of any committee which such director is a member. Each director nominated above is expected to participate, either in person or via teleconference, in meetings of our Board and meetings of committees of our Board in which each director is a member, and to spend the time necessary to properly discharge such director’s respective duties and responsibilities. We do not have a written policy with regard to directors’ attendance at annual meetings of shareholders; however, all directors are encouraged to attend the annual meeting.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Board; Risk Oversight</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Board of Directors presently consists of five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There are no family relationships between any of our executive officers and directors. Officers are elected by, and serve at the discretion of, the Board. Our Board holds meetings on at least a quarterly basis. There are no other arrangements or understandings pursuant to which our directors are selected or nominated.</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is no formal requirement under the Company’s memorandum and articles of association mandating that we hold an annual meeting of our shareholders.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are no family relationships between any of our executive officers and directors. Officers are elected by, and serve at the discretion of, the board of directors. Our Board holds meetings on at least a quarterly basis. As a smaller reporting company 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Further, there are no share ownership qualifications for directors unless so fixed by us in a general meeting.</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Board plays a significant role in our risk oversight and makes all relevant Company decisions. As such, it is important for us to have our Chief Executive Officer serve on the Board as he plays key roles in the risk oversight or the Company. As a smaller reporting company with a small Board, we believe it is appropriate to have the involvement and input of all of our directors in risk oversight matters.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has reviewed the independence of our directors, applying the NASDAQ independence standards. Based on this review, the Board determined that each of Kathryn Amooi, Chong Seng Kee and Jin He Shao are “independent” within the meaning of the NASDAQ rules. In making this determination, our Board considered the relationships that each of these non-employee directors has with us and all other facts and circumstances our board deemed relevant in determining their independence.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Duties of Directors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 shareholder may have the right to seek damages in our name if a duty owed by our directors is breached.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Board Committees</w:t>
      </w:r>
    </w:p>
    <w:p>
      <w:pPr>
        <w:spacing w:after="0" w:line="2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Currently, three committees have been established under the board: the Audit Committee, the Compensation Committee and the Nominating Committee.</w:t>
      </w:r>
    </w:p>
    <w:p>
      <w:pPr>
        <w:spacing w:after="0" w:line="2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responsible for, among other matters: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establishing procedures for the confidential and/or anonymous submission of concerns regarding accounting, internal controls or auditing matters;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and approving related-party transactions.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Audit Committee consists of Kathryn Amooi, Chong Seng Kee and Jin He Shao,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Company’s management is responsible for preparing the Company’s financial statements, implementing and maintaining systems of internal control, and the independent auditors are responsible for auditing those financial statements and expressing its opinion as to whether the financial statements present fairly, in all material respects, the financial position, results of operations and cash flows of the Company in conformity with generally accepted accounting principles in the United States of America. The Audit Committee is responsible for overseeing the conduct of these activities by the Company’s management and the independent auditors. In fulfilling its responsibilities, the Board appointed Ernst &amp; Young Hua Ming LLP, an independent registered public accounting firm, as the Company’s independent auditors for the 2019 fiscal year. During 2019, the Audit Committee reviewed and discussed with the independent auditors the overall scope and specific plans for their audit.</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Company’s Annual Report on Form 20-F for the fiscal year ended June 30, 2019, the Audit Committee reviewed and discussed with the independent auditors and with management the Company’s audited consolidated financial statements and the adequacy of its internal control over financial reporting. The Audit Committee met with the independent auditors, without management present, to discuss the results of the independent auditors’ audit and the overall quality of the Company’s financial reporting. The meeting was also designed to facilitate any desired private communication between the Audit Committee and the independent auditors.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Audit Committee discussed with the independent auditors the matters required to be discussed by the Statement on Auditing Standards No. 61 (AICPA, Professional Standards, Vol. 1. AU section 380), as adopted by the Public Company Accounting Oversight Board, or PCAOB, in Rule 3200T. The Audit Committee received the written disclosures and the letter from the independent auditors required by applicable requirements of the PCAOB regarding the independent accountants’ communications with the Audit Committee concerning independence, and has discussed with the independent auditors the independent auditors’ independence.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audited consolidated financial statements be included in the Company’s Annual Report on Form 20-F for the fiscal year ended June 30, 2019, as filed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Jin He Shao, Chong Seng Kee, Kathryn Amooi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left="4720"/>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is responsible for, among other matters:</w:t>
      </w:r>
    </w:p>
    <w:p>
      <w:pPr>
        <w:spacing w:after="0" w:line="225"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to approve the compensation of our CEO and other executive officers and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administering incentive and equity-based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Compensation Committee consists of Kathryn Amooi, Chong Seng Kee and Jin He Shao, with Mr. Kee serving as chair of the Compensation Committee.</w:t>
      </w:r>
    </w:p>
    <w:p>
      <w:pPr>
        <w:spacing w:after="0" w:line="24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Nominating Committee is responsible for, among other matters: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selecting or recommending for selection candidates for directorships;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evaluating the independence of directors and director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structure and composition of our board and the board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and monitoring the Company’s Code of Business Conduct and Ethics;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overseeing the evaluation of the Company’s management.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Nominating Committee consists of Kathryn Amooi, Chong Seng Kee and Jin He Shao, with Ms. Amooi serving as chair of the Nominating Committee.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Nominating Committee will consider director candidates recommended by shareholders. Shareholders who wish to recommend to the Nominating Committee a candidate for election to the Board should send their letters to: c/o 2nd Floor, Building 18, Shanghai Pudong Software Park, 498 Guoshoujing Road, Pudong, Shanghai 201203, People’s Republic of China. The corporate secretary will promptly forward all such letters to the members of the Nominating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Member Attendance at Annual Meetings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nominees are generally expected to attend our Annual Meetings in person or by telephone unless personal circumstances make the Board member or director nominee attendance impracticable or inappropriate.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Directors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no formal written policy regarding communication with the Board. Persons wishing to write to the Board or to a specified director or committee of the Board should send correspondence to the Secretary at our main office. Electronic submissions of shareholder correspondence will not be accepted. The Secretary will forward to the directors all communications that, in his judgment, are appropriate for consideration by the directors. Any correspondence received that is addressed generically to the Board will be forwarded to the Chairman of the Board, with a copy will be sent to the Chairman of the Audit Committee.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Interested Transactions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and Borrowing</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540" w:type="dxa"/>
            <w:vAlign w:val="bottom"/>
            <w:gridSpan w:val="4"/>
          </w:tcPr>
          <w:p>
            <w:pPr>
              <w:ind w:left="500"/>
              <w:spacing w:after="0"/>
              <w:rPr>
                <w:sz w:val="20"/>
                <w:szCs w:val="20"/>
                <w:color w:val="auto"/>
              </w:rPr>
            </w:pPr>
            <w:r>
              <w:rPr>
                <w:rFonts w:ascii="Arial" w:cs="Arial" w:eastAsia="Arial" w:hAnsi="Arial"/>
                <w:sz w:val="18"/>
                <w:szCs w:val="18"/>
                <w:b w:val="1"/>
                <w:bCs w:val="1"/>
                <w:color w:val="auto"/>
              </w:rPr>
              <w:t>EXECUTIVE COMPENSATION</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820" w:type="dxa"/>
            <w:vAlign w:val="bottom"/>
            <w:gridSpan w:val="7"/>
          </w:tcPr>
          <w:p>
            <w:pPr>
              <w:ind w:left="340"/>
              <w:spacing w:after="0"/>
              <w:rPr>
                <w:sz w:val="20"/>
                <w:szCs w:val="20"/>
                <w:color w:val="auto"/>
              </w:rPr>
            </w:pPr>
            <w:r>
              <w:rPr>
                <w:rFonts w:ascii="Arial" w:cs="Arial" w:eastAsia="Arial" w:hAnsi="Arial"/>
                <w:sz w:val="18"/>
                <w:szCs w:val="18"/>
                <w:color w:val="auto"/>
                <w:w w:val="90"/>
              </w:rPr>
              <w:t>The following table shows the annual compensation paid by us for the years ended June 30, 2019 and June 30, 2018.</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Salary</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Paid</w:t>
            </w:r>
          </w:p>
        </w:tc>
      </w:tr>
      <w:tr>
        <w:trPr>
          <w:trHeight w:val="241"/>
        </w:trPr>
        <w:tc>
          <w:tcPr>
            <w:tcW w:w="392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w:t>
            </w: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39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Xiao Feng Yang, Chairman and President (1)</w:t>
            </w:r>
          </w:p>
        </w:tc>
        <w:tc>
          <w:tcPr>
            <w:tcW w:w="2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102,827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102,827</w:t>
            </w:r>
          </w:p>
        </w:tc>
      </w:tr>
      <w:tr>
        <w:trPr>
          <w:trHeight w:val="216"/>
        </w:trPr>
        <w:tc>
          <w:tcPr>
            <w:tcW w:w="39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76,338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76,338</w:t>
            </w:r>
          </w:p>
        </w:tc>
      </w:tr>
      <w:tr>
        <w:trPr>
          <w:trHeight w:val="216"/>
        </w:trPr>
        <w:tc>
          <w:tcPr>
            <w:tcW w:w="392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Raymond Ming Hui Lin, CEO and Director (2)</w:t>
            </w:r>
          </w:p>
        </w:tc>
        <w:tc>
          <w:tcPr>
            <w:tcW w:w="2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104,718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104,718</w:t>
            </w:r>
          </w:p>
        </w:tc>
      </w:tr>
      <w:tr>
        <w:trPr>
          <w:trHeight w:val="216"/>
        </w:trPr>
        <w:tc>
          <w:tcPr>
            <w:tcW w:w="39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57,225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57,225</w:t>
            </w:r>
          </w:p>
        </w:tc>
      </w:tr>
      <w:tr>
        <w:trPr>
          <w:trHeight w:val="216"/>
        </w:trPr>
        <w:tc>
          <w:tcPr>
            <w:tcW w:w="392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Tian van Acken, CFO (3)</w:t>
            </w:r>
          </w:p>
        </w:tc>
        <w:tc>
          <w:tcPr>
            <w:tcW w:w="2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192,733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192,733</w:t>
            </w:r>
          </w:p>
        </w:tc>
      </w:tr>
      <w:tr>
        <w:trPr>
          <w:trHeight w:val="216"/>
        </w:trPr>
        <w:tc>
          <w:tcPr>
            <w:tcW w:w="39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69,758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69,758</w:t>
            </w:r>
          </w:p>
        </w:tc>
      </w:tr>
      <w:tr>
        <w:trPr>
          <w:trHeight w:val="216"/>
        </w:trPr>
        <w:tc>
          <w:tcPr>
            <w:tcW w:w="392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 Li, COO (4)</w:t>
            </w:r>
          </w:p>
        </w:tc>
        <w:tc>
          <w:tcPr>
            <w:tcW w:w="2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4,867</w:t>
            </w:r>
          </w:p>
        </w:tc>
      </w:tr>
      <w:tr>
        <w:trPr>
          <w:trHeight w:val="216"/>
        </w:trPr>
        <w:tc>
          <w:tcPr>
            <w:tcW w:w="39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Appointed Chairman and President effective as of December 9, 2017. All other compensation amounts represent cash dividend payments in 2017 and 2018.</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Appointed Chief Executive Officer effective as of December 9, 2017. All other compensation amounts represent cash dividend payments in 2017 and 2018.</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Appointed Chief Financial Officer effective as of December 9, 2017. Ms. Van Acken resigned effective as of October 31,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Appointed Chief Operating Officer effective as of June 11, 2019.</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applicable Chinese laws, we may only terminate employment agreements without paying the Employee severance pay under the following circumstances: (1) upon the labor contract expires, the Employee does not renew the contract even though the conditions offered by us are the same as or better than those stipulated in the current contract, (2) the Employee is at fault such as (i) is proved during the probation period not to satisfy the conditions for employment, (ii) materially breaches the Company’s rules and regulations, (iii) commits serious dereliction of duty or engaged in fraudulent practices, causing substantial damage to the Company, (iv) has additionally established an employment relationship with another employer which materially affects the completion of his tasks with the Company, or he refuses to rectify the matter after the same is brought to his attention by the Employer, (v) causes the employment contract to be invalid from the beginning, (vi) has his criminal liability pursued in accordance with the law, (3) the Employee has commenced drawing on his basic old age insurance pension in accordance with the law, (4) in the event of the Employee’s death, or being declared missing by a People’s Court, (5) the Company is declared bankrupt, (6) the Company has its business license revoked, is ordered to close or is closed down, or the Employer decides on early liquidation, or (7) another circumstance specified in laws or administrative statutes arises.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Except as set forth above, the Company will pay the Employee severance pay. An Employee shall be paid severance pay based on the number of years worked with us at the rate of one month’s wage for each full year worked. Any period of not less than six months but less than one year shall be counted as one year. The severance pay payable to an Employee for any period of less than six months shall be one-half of his monthly wages.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Outstanding Equity Incentive Awards at Fiscal Year-End</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adopted a 2017 Equity Incentive Plan (the “2017 Plan”). The Plan is a stock-based compensation plan that provides for discretionary grants of, among others, stock options, stock awards and stock unit awards to key employees and directors of the Company. On July 12, 2018, our Board approved, upon a recommendation of the Compensation Committee, several restricted stock grants to the members of executive management and the Board of the Company pursuant to the terms of the Plan. Specifically, the Company granted an aggregate of 671,469 RSUs to key employees and directors under the Plan. No grants were made in fiscal 2018. RSUs granted to key employees and directors generally have a term of three years, but are subject to earlier termination in connection with termination of continuous service to the Company. RSUs are valid for a period of 10 years from July 12, 2018 to July 11, 2028. RSUs vest one-third per year over a three-year period, with the first one third vesting on the grant date. As at the grant date of July 12, 2018, the weighted-average fair value per share was $12.22 and the estimated total fair value of the restricted shares granted was $8.2 million. Following the foregoing issuance, we had 1,986,179 common shares available under the Plan. In addition, in November 2018, our Board of Directors authorized and approved an issuance to various key employees of the Company a total of 306,967 options to purchase common shares under the terms of the Plan, which options are exercisable at the exercise price of $5.25 per share and vesting over a 4-year period. As of June 30, 2019, 12,560 of the 306,967 options granted were not vested and were forfeited due to employee resignation or termination.</w:t>
      </w:r>
    </w:p>
    <w:p>
      <w:pPr>
        <w:spacing w:after="0" w:line="18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have adopted a 2019 Equity Incentive Plan (the “2019 Plan”). The Plan is a stock-based compensation plan that provides for discretionary grants of, among others, stock options, stock awards and stock unit awards to key employees and directors of the Company. As of June 30, 2019, the end of the last fiscal year that Company had not granted any awards under the 2019 Plan. The Company has granted no award under the 2019 Plan yet.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Employee directors do not receive any compensation for their services. Non-employee directors receive $1,500 per month for serving as directors and may receive option grants from our company. As of the date hereof, no options have been awarded to the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Xiao Feng Yang Employment Agreement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December 9, 2017, we entered into an employment agreement with Xiao Feng Yang pursuant to which he agreed to serve as our President. The agreement provides for an annual base salary of RMB144,000 and HK$566,472 (a total of approximately USD94,100) payable in accordance with the Company’s ordinary payroll practices. The compensation by the Company to Xiao Feng Yang in 2019 fiscal year was USD 102,827.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Mr. Yang shall be entitled to receive severance payments equal to 9 months’ of his base salary and a pro rata portion of his target annual bonus for the year when termination occurs. Mr. Yang has agreed not to compete with us for 9 months after the termination of his employment; he also executed certain non-solicitation, confidentiality and other covenants customary for agreements of this nature.</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i w:val="1"/>
          <w:iCs w:val="1"/>
          <w:color w:val="auto"/>
        </w:rPr>
        <w:t>Raymond Ming Hui Lin Employment Agreement</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The compensation paid by the Company to Raymond Ming Hui Lin in 2019 fiscal year was USD 104,718.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Tian van Acken Agreement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December 9, 2017, we entered into an employment agreement with Tian van Acken pursuant to which she agreed to serve as our Chief Financial Officer. The agreement provides for an annual base salary of RMB144,000 and HK$558,000 (a total of approximately USD 93,010) payable in accordance with the Company’s ordinary payroll practices. The compensation paid by the Company to Tian van Acken in 2019 fiscal year was USD 192,733. Under the terms of the agreement, commencing with the year ended June 30, 2018, Ms. van Acken was entitled to receive an annual cash bonus, the extent and timing of which are to be determined by the Company’s Compensation Committee; she was also entitled to reimbursement of reasonable expenses, and vacation, sick leave, health and other benefits customary to the agreements of this nature. The term of the agreement was due to expire on December 8, 2022, which term would have automatically extended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Ms. van Acken would have been entitled to receive severance payments equal to 9 months’ of her base salary and a pro rata portion of her target annual bonus for the year when termination occurs. Tian van Acken has agreed not to compete with us for 9 months after the termination of her employment; she also executed certain non-solicitation, confidentiality and other covenants customary for agreements of this nature. Ms. Van Acken voluntarily resigned from her position as Chief Financial Officer, effective as of October 31,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 Li Agreement</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June 11, 2019, we entered into an employment agreement with Li Li pursuant to which he agreed to serve as our Chief Operating Officer. Mr. Li’s employment agreement, set to expire on June 10, 2022, provides for an annual salary of RMB 360,000 and HK$273,600 (approximately US$85,200) and 12,000 shares of common stock to be granted in June 2020. The compensation paid by us to Li Li for the fiscal year ended June 30, 2019 was USD 4,867.</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MAJOR SHAREHOLDERS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sets forth certain information regarding beneficial ownership of our shares by each person who is known by us to beneficially own more than 5% of our shares. The table also identifies the share ownership of each of our directors, each of our named executive officers, and all directors and officers as a group. Except as otherwise indicated, the shareholders listed in the table have sole voting and investment powers with respect to the shares indicated. Our major shareholders do not have different voting rights than any other holder of our shares.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February 6, 2020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broker-dealer. Applicable percentage ownership is based on 14,820,630 common shares outstanding as of February 6, 2020. Unless otherwise indicated, the address of each beneficial owner listed in the table below is c/o CLPS Incorporation, 2nd Floor, Building 18, Shanghai Pudong Software Park, 498 Guoshoujing Road, Pudong, Shanghai 201203, People’s Republic of China.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Shares Owned</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8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Xiao Feng Yang (2)(7)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5,020,164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w:t>
            </w:r>
          </w:p>
        </w:tc>
      </w:tr>
      <w:tr>
        <w:trPr>
          <w:trHeight w:val="216"/>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Raymond Ming Hui Lin (3)(6)(7)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5,421,986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36.58</w:t>
            </w:r>
          </w:p>
        </w:tc>
      </w:tr>
      <w:tr>
        <w:trPr>
          <w:trHeight w:val="21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Rui Yang (4)(6)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Jin He Shao (5)(7)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Kewei Huang (5)(7)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Chong Seng Kee (7)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Kathryn Amooi (5)(7)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Directors &amp; executive officers as a group (7 persons)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10,464,943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70.61</w:t>
            </w:r>
          </w:p>
        </w:tc>
      </w:tr>
      <w:tr>
        <w:trPr>
          <w:trHeight w:val="216"/>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Qinrui Ltd. (2)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4,976,000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33.57</w:t>
            </w:r>
          </w:p>
        </w:tc>
      </w:tr>
      <w:tr>
        <w:trPr>
          <w:trHeight w:val="21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Qinhui Ltd. (3)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4,999,996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w:t>
            </w:r>
          </w:p>
        </w:tc>
      </w:tr>
      <w:tr>
        <w:trPr>
          <w:trHeight w:val="234"/>
        </w:trPr>
        <w:tc>
          <w:tcPr>
            <w:tcW w:w="8820" w:type="dxa"/>
            <w:vAlign w:val="bottom"/>
            <w:gridSpan w:val="2"/>
          </w:tcPr>
          <w:p>
            <w:pPr>
              <w:ind w:left="20"/>
              <w:spacing w:after="0"/>
              <w:rPr>
                <w:sz w:val="20"/>
                <w:szCs w:val="20"/>
                <w:color w:val="auto"/>
              </w:rPr>
            </w:pPr>
            <w:r>
              <w:rPr>
                <w:rFonts w:ascii="Arial" w:cs="Arial" w:eastAsia="Arial" w:hAnsi="Arial"/>
                <w:sz w:val="18"/>
                <w:szCs w:val="18"/>
                <w:b w:val="1"/>
                <w:bCs w:val="1"/>
                <w:color w:val="auto"/>
              </w:rPr>
              <w:t>5% or greater beneficial owners as a group</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9,975,996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67.31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includes voting or investment power with respect to the common shares or the power to receive the economic benefit of the common shares.</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British Virgin Islands corporation with the mailing address of c/o Ogier Global (BVI) Ltd., Ritter House, Wickhams Cay II, PO Box 3170, Road Town, Tortola, VG 1110, British Virgin Islands, with Xiao Feng Yang as its sole shareholder. As such, Mr. Yang is deemed to be the owner of all shares of the Company held by this entity. Also includes the vested portion of the restricted stock granted dated as of July 12, 2018. The total grant of 220,823 common shares to Mr. Yang vests in three equal installments, with the first installment vesting upon grant, and the second and third – on the first and second anniversary of the grant.</w:t>
      </w:r>
    </w:p>
    <w:p>
      <w:pPr>
        <w:spacing w:after="0" w:line="188"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British Virgin Islands corporation with the mailing address of c/o Ogier Global (BVI) Ltd., Ritter House, Wickhams Cay II, PO Box 3170, Road Town, Tortola, VG 1110, British Virgin Islands, with Raymond Ming Hui Lin as its sole shareholder. As such, Mr. Lin is deemed to be the owner of all shares of the Company held by this entity. Also includes the vested portion of the restricted stock granted dated as of July 12, 2018. The total grant of 220,823 common shares to Mr. Lin vests in three equal installments, with the first installment vesting upon grant, and the second and third – on the first and second anniversary of the grant. Also includes 404,600 restricted shares granted to Mr. Lin on November 27, 2019 and vested immediately.</w:t>
      </w:r>
    </w:p>
    <w:p>
      <w:pPr>
        <w:spacing w:after="0" w:line="185"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Acquired before becoming an officer of the Company.</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vested portion of the restricted stock granted dated as of July 12, 2018. The total grant of 3,000 common shares vests in three equal installments, with the first installment vesting upon grant, and the second and third – on the first and second anniversary of the grant.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officer.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is a description of transactions since July 1, 2017, in which the amount involved in the transaction exceeded or will exceed the lesser of $120,000 or one percent of the average of our total assets as at the year-end for the last two completed fiscal years ended June 30, 2019 and 2018,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agreement with our shareholders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The considerations for these transfers are at a nominal amount.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Other related party transactions: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The balances due to and due from related parties were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As of June 30,</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Non-controlling shareholder of CLPS Beijing before acquisition of the remaining 30% equity on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27, 2018</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Non-controlling interest shareholder of Judge China</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212,736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131,321</w:t>
            </w:r>
          </w:p>
        </w:tc>
        <w:tc>
          <w:tcPr>
            <w:tcW w:w="1140" w:type="dxa"/>
            <w:vAlign w:val="bottom"/>
          </w:tcPr>
          <w:p>
            <w:pPr>
              <w:jc w:val="right"/>
              <w:spacing w:after="0"/>
              <w:rPr>
                <w:sz w:val="20"/>
                <w:szCs w:val="20"/>
                <w:color w:val="auto"/>
              </w:rPr>
            </w:pPr>
            <w:r>
              <w:rPr>
                <w:rFonts w:ascii="Arial" w:cs="Arial" w:eastAsia="Arial" w:hAnsi="Arial"/>
                <w:sz w:val="18"/>
                <w:szCs w:val="18"/>
                <w:color w:val="auto"/>
              </w:rPr>
              <w:t>103, 255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Raymond Ming Hui Lin, CEO of Company(1)</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230,540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131,321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118,006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Due to related parties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Shanghai Qisheng Co., Ltd (“Qisheng”) controlled by the Chairman of the Company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Non-controlling shareholder of JQ (2)</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45,615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Mr. Raymond Ming Hui Lin, CEO of the Company(2)</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162,727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vMerge w:val="continue"/>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208,342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1,729,791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Due from related parties mainly represents the expenses paid on behalf of non-controlling interest shareholder of Judge China and advances to the Company’s CEO.</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Due to related parties mainly represents the unpaid bonus, dividends, wages and other benefit to the Company’s CEO and advances from non-controlling shareholder of JQ.</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Effective on December 9, 2017, the Board appointed Mr. Xiao Feng Yang as the Company’s Chairman and President, Mr. Raymond Ming Hui Lin as the Company’s chief executive officer (“CEO”) and director and Ms. Tian van Acken as the Company’s chief financial officer (“CFO”). Their employment terms are five years each starting on December 9, 2017. Mr. Xiao Feng Yang, Mr. Raymond Ming Hui Lin and Ms. Tian van Acken’s basic annual compensation was approximately $94,100, $71,400 and $93,010, respectively, with annual bonuses to be determined based on the sole direction of the Compensation Committee of the Board of Directors in accordance with criteria established by the Compensation Committee of the Board.</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17, 2017, the Company entered into a revolving credit facility with China Merchants Bank (“CMB Credit Facility”) which permits the Company to borrow up to approximately $753,100 (RMB 5,000,000) during the period from May 17, 2017 to May 16, 2018. The CMB Credit Facility is guaranteed by the CEO and Chairman and President of the Company as joint guarantors. In September, 2017, the Company borrowed the full credit amount (RMB 5,000,000) and the loans were repaid by May 2018. The credit facility was renewed on June 22, 2018, and the credit line was up to $1,543,115 (RMB 10,000,000).</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22, 2018, the Company entered into a revolving credit facility with China Merchants Bank (the “CMB Credit Facility”) which permits the Company to borrow up to approximately $1,543,115 (RMB 10,000,000) for the period from July 11, 2018 to July 10, 2019 with an interest rate at 5.655% per annum. The CMB Credit Facility is guaranteed by the CEO, the wife of the CEO, Chairman, and the wife of Chairman of the Company, and Shanghai Small and Medium-sized Enterprises Policy Financing Guarantee Fund Management Centre as joint guarantors. Under the credit facility, the Company borrowed a total of $1,543,115 which was due between August 9, 2019 and January 9, 2020.</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June 30, 2019, the Company provided several loans with the total amount of $820,982 to CLPS Lihong which were all repaid as of June 30, 2019. The total interest income of the loan is $33,096 for the year ended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director nominees for directors who receive the affirmative vote of a majority of the common shares entitled to vote thereon which were present at the Annual Meeting and were voted will be elected. The Board recommends a vote FOR election of the director nominees.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761"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APPROVE THE 2020 EQUITY INCENTIVE PLAN</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28, 2020, our Board approved the 2020 Equity Incentive Plan (the “2020 Plan”), subject to shareholder approval. All of our employees, officers, and directors, and consultants are eligible to be granted options, restricted stock awards, stock unit awards, or stock appreciate rights (each, an “Award”) under the 2020 Plan. The 2020 Plan is currently administered by the Board, which has all the power to administer the 2020 Plan according to its terms, including the power to grant Awards, determine who may be granted Awards and the types and amounts of Awards to be granted, prescribe Award agreements, and establish programs for granting Awards. Awards may be made under the 2020 Plan for up to 11,011,663 of our common shares. No awards have been granted under the 2020 Plan as of today.</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2020 Plan is a stock-based compensation plan that provides for discretionary grants of, among others, stock options, stock awards and stock unit awards to employees, directors and consultants of the Company. The purpose of the 2020 Plan is to recognize contributions made to our company and its subsidiaries by such individuals and to provide them with additional incentive to achieve the objectives of our Company. The following is a summary of the 2020 Plan and is qualified by the full text of the 2020 Plan.</w:t>
      </w:r>
    </w:p>
    <w:p>
      <w:pPr>
        <w:spacing w:after="0" w:line="18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The 2020 Plan will be administered by our board of directors, or, once constituted, the Compensation Committee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(we refer to body administering the 2020 Plan as the “Committee”).</w:t>
      </w:r>
    </w:p>
    <w:p>
      <w:pPr>
        <w:spacing w:after="0" w:line="1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color w:val="auto"/>
        </w:rPr>
        <w:t>Number of Shares of Common Shares</w:t>
      </w:r>
      <w:r>
        <w:rPr>
          <w:rFonts w:ascii="Arial" w:cs="Arial" w:eastAsia="Arial" w:hAnsi="Arial"/>
          <w:sz w:val="16"/>
          <w:szCs w:val="16"/>
          <w:color w:val="auto"/>
        </w:rPr>
        <w:t>. The number of common shares that may be issued under the 2020 Plan is 11,011,663. Shares issuable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2020 Plan may be authorized but unissued shares or treasury shares. If there is a lapse, forfeiture, expiration, termination or cancellation of any award made under the 2020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2020 Plan. The number of common shares issuable under the 2020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2020 Plan. No award granted under the 2020 Plan may be transferred, except by will, the laws of descent and distribution.</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All employees, directors, and consultants of the Company are eligible to receive awards under the 2020 Plan.</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Awards to Participants</w:t>
      </w:r>
      <w:r>
        <w:rPr>
          <w:rFonts w:ascii="Arial" w:cs="Arial" w:eastAsia="Arial" w:hAnsi="Arial"/>
          <w:sz w:val="18"/>
          <w:szCs w:val="18"/>
          <w:color w:val="auto"/>
        </w:rPr>
        <w:t>. The Plan provides for discretionary awards of, among others, stock options, stock awards, stock unit awards and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rights to participants. Each award made under the 2020 Plan will be evidenced by a written award agreement specifying the terms and conditions of the award as determined by the Committee in its sole discretion, consistent with the terms of the 2020 Plan.</w:t>
      </w:r>
    </w:p>
    <w:p>
      <w:pPr>
        <w:spacing w:after="0" w:line="17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 The Committee has the discretion to grant non-qualified stock options or incentive stock options to participants and to set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Employee may receive Stock Options and Stock Appreciation Rights in any calendar year is 800,000, except that the aggregate maximum number of shares as to which a Employee may receive Stock Options and Stock Appreciation Rights in the calendar year in which such Employee begins employment with the Company or its Subsidiaries is 1,000,000.</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ind w:firstLine="324"/>
        <w:spacing w:after="0" w:line="288" w:lineRule="auto"/>
        <w:rPr>
          <w:sz w:val="20"/>
          <w:szCs w:val="20"/>
          <w:color w:val="auto"/>
        </w:rPr>
      </w:pPr>
      <w:r>
        <w:rPr>
          <w:rFonts w:ascii="Arial" w:cs="Arial" w:eastAsia="Arial" w:hAnsi="Arial"/>
          <w:sz w:val="16"/>
          <w:szCs w:val="16"/>
          <w:b w:val="1"/>
          <w:bCs w:val="1"/>
          <w:color w:val="auto"/>
        </w:rPr>
        <w:t>Stock Awards</w:t>
      </w:r>
      <w:r>
        <w:rPr>
          <w:rFonts w:ascii="Arial" w:cs="Arial" w:eastAsia="Arial" w:hAnsi="Arial"/>
          <w:sz w:val="16"/>
          <w:szCs w:val="16"/>
          <w:color w:val="auto"/>
        </w:rPr>
        <w:t>. The Committee has the discretion to grant stock awards to participants. Shares granted under the 2020 Plan will be effective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employee in any calendar year is 800,000 or, in the event the award is settled in cash, an amount equal to the fair market value of such number of shares on the date on which the award is settled.</w:t>
      </w:r>
    </w:p>
    <w:p>
      <w:pPr>
        <w:spacing w:after="0" w:line="1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Stock Unit Awards. </w:t>
      </w:r>
      <w:r>
        <w:rPr>
          <w:rFonts w:ascii="Arial" w:cs="Arial" w:eastAsia="Arial" w:hAnsi="Arial"/>
          <w:sz w:val="17"/>
          <w:szCs w:val="17"/>
          <w:color w:val="auto"/>
        </w:rPr>
        <w:t>The Committee may, in its discretion, grant stock unit awards to any participant. Each stock unit subject to the Award shall entitle</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15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b w:val="1"/>
          <w:bCs w:val="1"/>
          <w:color w:val="auto"/>
        </w:rPr>
        <w:t xml:space="preserve">Stock Appreciation Rights or SAR. </w:t>
      </w:r>
      <w:r>
        <w:rPr>
          <w:rFonts w:ascii="Arial" w:cs="Arial" w:eastAsia="Arial" w:hAnsi="Arial"/>
          <w:sz w:val="16"/>
          <w:szCs w:val="16"/>
          <w:color w:val="auto"/>
        </w:rPr>
        <w:t>The Committee may grant SARs to participants. Upon exercise, an SAR entitles the participant to receive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the 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spacing w:after="0" w:line="1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Payment for Stock Options and Withholding Taxes</w:t>
      </w:r>
      <w:r>
        <w:rPr>
          <w:rFonts w:ascii="Arial" w:cs="Arial" w:eastAsia="Arial" w:hAnsi="Arial"/>
          <w:sz w:val="17"/>
          <w:szCs w:val="17"/>
          <w:color w:val="auto"/>
        </w:rPr>
        <w:t>. The Committee may make one or more of the following methods available for payment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color w:val="auto"/>
        </w:rPr>
        <w:t>Amendment of Award Agreements; Amendment and Termination of the 2020 Plan; Term of the 2020 Plan</w:t>
      </w:r>
      <w:r>
        <w:rPr>
          <w:rFonts w:ascii="Arial" w:cs="Arial" w:eastAsia="Arial" w:hAnsi="Arial"/>
          <w:sz w:val="17"/>
          <w:szCs w:val="17"/>
          <w:color w:val="auto"/>
        </w:rPr>
        <w:t>. The Committee may amend any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at 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2020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2020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2020 Plan on or after the tenth anniversary of the effective date of the 2020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and entitled to vote at the Annual Meeting is required for approval of this Proposal. The Board recommends a vote FOR this Proposal.</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does not know of any matters other than those stated in this Proxy Statement that are to be presented for action at the meeting. If any other matters should properly come before the meeting, it is intended that proxies in the accompanying form will be voted on any such other matters in accordance with the judgment of the persons voting such proxies. Discretionary authority to vote on such matters is conferred by such proxies upon the persons voting them.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Shareholders wishing to communicate with the Board or any individual director may write to the Board or the individual director to the Board, CLPS Incorporation, c/o 2nd Floor, Building 18, Shanghai Pudong Software Park, 498 Guoshoujing Road, Pudong, Shanghai 201203, People’s Republic of China. Any such communication must state the number of Shares beneficially owned by the shareholder making the communication. All such communications will be forwarded to the full Board or to any individual director or directors to whom the communication is directed unless the communication is clearly of a marketing nature or is unduly hostile, threatening, illegal, or similarly inappropriate, in which case the Company has the authority to discard the communication or take appropriate legal action regarding the communication.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Company files annual and current reports and other documents with the SEC under the Exchange Act. The Company’s SEC filings made electronically through the SEC’s EDGAR system are available to the public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You may read and copy any document the Company files at the website of the SEC referred to above.. The Company’s file number with the SEC is 001-38505, and the Company began filing through EDGAR on February 23, 2018.</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6840" w:val="left"/>
        </w:tabs>
        <w:rPr>
          <w:sz w:val="20"/>
          <w:szCs w:val="20"/>
          <w:color w:val="auto"/>
        </w:rPr>
      </w:pPr>
      <w:r>
        <w:rPr>
          <w:rFonts w:ascii="Arial" w:cs="Arial" w:eastAsia="Arial" w:hAnsi="Arial"/>
          <w:sz w:val="18"/>
          <w:szCs w:val="18"/>
          <w:color w:val="auto"/>
        </w:rPr>
        <w:t>March 3, 2020</w:t>
      </w:r>
      <w:r>
        <w:rPr>
          <w:sz w:val="20"/>
          <w:szCs w:val="20"/>
          <w:color w:val="auto"/>
        </w:rPr>
        <w:tab/>
      </w:r>
      <w:r>
        <w:rPr>
          <w:rFonts w:ascii="Arial" w:cs="Arial" w:eastAsia="Arial" w:hAnsi="Arial"/>
          <w:sz w:val="16"/>
          <w:szCs w:val="16"/>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ANNUAL MEETING OF SHAREHOLDERS OF 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3,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INTERNET AVAILABILITY OF PROXY MATERIAL: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Notice of Meeting, Proxy Statement and Proxy Card are available at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https://www.cstproxy.com/clpsglobal/2020.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Please sign, date and mail your proxy card in the envelope provided promptly.</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undersigned acknowledges receipt of the Notice of Annual Meeting of Shareholders and the Proxy Statement and hereby appoints Raymond Ming Hui Lin and Jian Xu or either of them, each with full power of substitution, proxies with power of substitution and hereby authorizes them to represent and to vote, as designated below, all of the shares of common stock of the Company held of record by the undersigned on February 6, 2020 at the Annual Meeting of Shareholders to be held on April 3, 2020 at 10AM local China time (or April 2, at 10PM Eastern Daylight Time) at the Company’s principal executive office in Shanghai, China, and at all postponements or adjournments thereof, with all powers the undersigned would possess if personally present. In their discretion, the proxies are authorized to vote upon such other business as may properly come before the Annual Meeting.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Board of Directors recommends that you vote “FOR” each proposal.</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Election of Directors</w:t>
            </w: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340"/>
              <w:spacing w:after="0"/>
              <w:rPr>
                <w:sz w:val="20"/>
                <w:szCs w:val="20"/>
                <w:color w:val="auto"/>
              </w:rPr>
            </w:pPr>
            <w:r>
              <w:rPr>
                <w:rFonts w:ascii="Arial" w:cs="Arial" w:eastAsia="Arial" w:hAnsi="Arial"/>
                <w:sz w:val="18"/>
                <w:szCs w:val="18"/>
                <w:color w:val="auto"/>
              </w:rPr>
              <w:t>FOR ALL NOMINEES</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340"/>
              <w:spacing w:after="0"/>
              <w:rPr>
                <w:sz w:val="20"/>
                <w:szCs w:val="20"/>
                <w:color w:val="auto"/>
              </w:rPr>
            </w:pPr>
            <w:r>
              <w:rPr>
                <w:rFonts w:ascii="Arial" w:cs="Arial" w:eastAsia="Arial" w:hAnsi="Arial"/>
                <w:sz w:val="18"/>
                <w:szCs w:val="18"/>
                <w:color w:val="auto"/>
              </w:rPr>
              <w:t>WITHHOLDING AUTHORITY</w:t>
            </w:r>
          </w:p>
        </w:tc>
        <w:tc>
          <w:tcPr>
            <w:tcW w:w="10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340"/>
              <w:spacing w:after="0"/>
              <w:rPr>
                <w:sz w:val="20"/>
                <w:szCs w:val="20"/>
                <w:color w:val="auto"/>
              </w:rPr>
            </w:pPr>
            <w:r>
              <w:rPr>
                <w:rFonts w:ascii="Arial" w:cs="Arial" w:eastAsia="Arial" w:hAnsi="Arial"/>
                <w:sz w:val="18"/>
                <w:szCs w:val="18"/>
                <w:color w:val="auto"/>
              </w:rPr>
              <w:t>FOR ALL NOMINEES</w:t>
            </w: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FOR ALL EXCEPT</w:t>
            </w: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(SEE INSTRUCTIONS BELOW)</w:t>
            </w: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40" w:type="dxa"/>
            <w:vAlign w:val="bottom"/>
          </w:tcPr>
          <w:p>
            <w:pPr>
              <w:spacing w:after="0"/>
              <w:rPr>
                <w:sz w:val="24"/>
                <w:szCs w:val="24"/>
                <w:color w:val="auto"/>
              </w:rPr>
            </w:pPr>
          </w:p>
        </w:tc>
        <w:tc>
          <w:tcPr>
            <w:tcW w:w="5160" w:type="dxa"/>
            <w:vAlign w:val="bottom"/>
            <w:gridSpan w:val="2"/>
          </w:tcPr>
          <w:p>
            <w:pPr>
              <w:ind w:left="3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Xiao Feng Yang</w:t>
            </w:r>
          </w:p>
        </w:tc>
        <w:tc>
          <w:tcPr>
            <w:tcW w:w="3040" w:type="dxa"/>
            <w:vAlign w:val="bottom"/>
            <w:gridSpan w:val="2"/>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Raymond Ming Hui Lin</w:t>
            </w: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4160" w:type="dxa"/>
            <w:vAlign w:val="bottom"/>
          </w:tcPr>
          <w:p>
            <w:pPr>
              <w:ind w:left="2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Jin He Shao</w:t>
            </w:r>
          </w:p>
        </w:tc>
        <w:tc>
          <w:tcPr>
            <w:tcW w:w="2260" w:type="dxa"/>
            <w:vAlign w:val="bottom"/>
            <w:gridSpan w:val="2"/>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Chong Seng Kee</w:t>
            </w:r>
          </w:p>
        </w:tc>
        <w:tc>
          <w:tcPr>
            <w:tcW w:w="1780" w:type="dxa"/>
            <w:vAlign w:val="bottom"/>
          </w:tcPr>
          <w:p>
            <w:pPr>
              <w:ind w:left="44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Kathryn Amooi</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INSTRUCTION: To withhold authority to vote for any individual nominee(s), mark “FOR ALL EXCEPT” and fill in the circle next to each nominee you</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which to withhold, as shown here: •</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Approval of the 2020 Equity Incentive Plan.</w:t>
      </w:r>
    </w:p>
    <w:p>
      <w:pPr>
        <w:spacing w:after="0" w:line="197" w:lineRule="exact"/>
        <w:rPr>
          <w:sz w:val="20"/>
          <w:szCs w:val="20"/>
          <w:color w:val="auto"/>
        </w:rPr>
      </w:pPr>
    </w:p>
    <w:p>
      <w:pPr>
        <w:spacing w:after="0" w:line="207" w:lineRule="exact"/>
        <w:tabs>
          <w:tab w:leader="none" w:pos="4220" w:val="left"/>
          <w:tab w:leader="none" w:pos="91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ABSTAIN</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3. To transact any other business that is properly brought before the Annual Meeting or any adjournment or postponement thereof.</w:t>
      </w:r>
    </w:p>
    <w:p>
      <w:pPr>
        <w:spacing w:after="0" w:line="2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other business is presented at the meeting, this proxy will be voted by those named in this proxy in their best judgment. At the present time, the Board of Directors is not aware of any other business to be presented at the meeting. If you return an executed copy of this proxy card and do not check a box with respect to any of the proposals set forth above, the Shares represented by this proxy card will be voted “For” the directors and “For” the ratification of the Company’s auditors.</w:t>
      </w:r>
    </w:p>
    <w:p>
      <w:pPr>
        <w:sectPr>
          <w:pgSz w:w="11900" w:h="16838" w:orient="portrait"/>
          <w:cols w:equalWidth="0" w:num="1">
            <w:col w:w="11420"/>
          </w:cols>
          <w:pgMar w:left="240" w:top="90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Signature of Shareholder: 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Signature of Shareholder: _____________________</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 2020</w:t>
      </w:r>
    </w:p>
    <w:p>
      <w:pPr>
        <w:spacing w:after="0" w:line="200" w:lineRule="exact"/>
        <w:rPr>
          <w:sz w:val="20"/>
          <w:szCs w:val="20"/>
          <w:color w:val="auto"/>
        </w:rPr>
      </w:pPr>
    </w:p>
    <w:p>
      <w:pPr>
        <w:sectPr>
          <w:pgSz w:w="11900" w:h="16838" w:orient="portrait"/>
          <w:cols w:equalWidth="0" w:num="2">
            <w:col w:w="5000" w:space="720"/>
            <w:col w:w="5700"/>
          </w:cols>
          <w:pgMar w:left="240" w:top="904" w:right="239" w:bottom="1440" w:gutter="0" w:footer="0" w:header="0"/>
          <w:type w:val="continuous"/>
        </w:sectPr>
      </w:pPr>
    </w:p>
    <w:p>
      <w:pPr>
        <w:spacing w:after="0" w:line="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Note: Please sign exactly as your name or names appear on this Proxy. If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2020 Equity Incentive Plan</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______________________</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Establishment and Purpose.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1.1 The purpose of the Plan is to attract and retain outstanding individuals as Employees, Directors and Consultants of the Company and its Subsidiaries, to recognize the contributions made to the Company and its Subsidiaries by Employees, Directors and Consultants, and to provide such Employees, Directors and Consultants with additional incentive to expand and improve the profits and achieve the objectives of the Company and its Subsidiaries, by providing such Employees, Directors and Consultants with the opportunity to acquire or increase their proprietary interest in the Company through receipt of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Award</w:t>
      </w:r>
      <w:r>
        <w:rPr>
          <w:rFonts w:ascii="Arial" w:cs="Arial" w:eastAsia="Arial" w:hAnsi="Arial"/>
          <w:sz w:val="17"/>
          <w:szCs w:val="17"/>
          <w:color w:val="auto"/>
        </w:rPr>
        <w:t>” means any award or benefit granted under the Plan, which shall be a Stock Option, a Stock Award, a Stock Unit Award or an SAR.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as applicable, a Stock Option Agreement, Stock Award Agreement, Stock Unit Award Agreement or SAR Agreement evidencing an Award granted under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set forth in Section 8.2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such other committee as may be designated by the Board from time to time to administer the Plan, or, if no such committee has been designated at the time of any grants, it shall mean the Board.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Company</w:t>
      </w:r>
      <w:r>
        <w:rPr>
          <w:rFonts w:ascii="Arial" w:cs="Arial" w:eastAsia="Arial" w:hAnsi="Arial"/>
          <w:sz w:val="18"/>
          <w:szCs w:val="18"/>
          <w:color w:val="auto"/>
        </w:rPr>
        <w:t>” means CLPS Incorporation.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2.8 “</w:t>
      </w:r>
      <w:r>
        <w:rPr>
          <w:rFonts w:ascii="Arial" w:cs="Arial" w:eastAsia="Arial" w:hAnsi="Arial"/>
          <w:sz w:val="17"/>
          <w:szCs w:val="17"/>
          <w:u w:val="single" w:color="auto"/>
          <w:color w:val="auto"/>
        </w:rPr>
        <w:t>Consultant</w:t>
      </w:r>
      <w:r>
        <w:rPr>
          <w:rFonts w:ascii="Arial" w:cs="Arial" w:eastAsia="Arial" w:hAnsi="Arial"/>
          <w:sz w:val="17"/>
          <w:szCs w:val="17"/>
          <w:color w:val="auto"/>
        </w:rPr>
        <w:t>” means any person, including an advisor, who is engaged by the Company or a Subsidiary to render consulting or advisory services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Director</w:t>
      </w:r>
      <w:r>
        <w:rPr>
          <w:rFonts w:ascii="Arial" w:cs="Arial" w:eastAsia="Arial" w:hAnsi="Arial"/>
          <w:sz w:val="18"/>
          <w:szCs w:val="18"/>
          <w:color w:val="auto"/>
        </w:rPr>
        <w:t>” means a director of the Company who is not an employee of the Company or a Subsidiary.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February 28,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2.12 “</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closing price of a Share on the national securities exchange on which the Shares are listed, or, if the Shares are not listed on a national securities exchange, the over-the-counter market on which the Shares trades, or, if the Shares is not listed on a national securities exchange or an over-the-counter market, as determined by the Board as of such date in accordance with the requirements of Code Section 422 or 409A, as applicable, or, if no trading occurred on such date, as of the trading day immediately preceding such date.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or “</w:t>
      </w:r>
      <w:r>
        <w:rPr>
          <w:rFonts w:ascii="Arial" w:cs="Arial" w:eastAsia="Arial" w:hAnsi="Arial"/>
          <w:sz w:val="18"/>
          <w:szCs w:val="18"/>
          <w:u w:val="single" w:color="auto"/>
          <w:color w:val="auto"/>
        </w:rPr>
        <w:t>ISO</w:t>
      </w:r>
      <w:r>
        <w:rPr>
          <w:rFonts w:ascii="Arial" w:cs="Arial" w:eastAsia="Arial" w:hAnsi="Arial"/>
          <w:sz w:val="18"/>
          <w:szCs w:val="18"/>
          <w:color w:val="auto"/>
        </w:rPr>
        <w:t>” means a Stock Option granted under Section 5 of the Plan that meets the requirements of Section 422(b) of the Code or any successor provision.</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Employee</w:t>
      </w:r>
      <w:r>
        <w:rPr>
          <w:rFonts w:ascii="Arial" w:cs="Arial" w:eastAsia="Arial" w:hAnsi="Arial"/>
          <w:sz w:val="16"/>
          <w:szCs w:val="16"/>
          <w:color w:val="auto"/>
        </w:rPr>
        <w:t>” means an employee of the Company or any Subsidiary selected to participate in the Plan in accordance with Section 3. A Employee may also include a person who is granted an Award (other than an Incentive Stock Option) in connection with the hiring of the person prior to the date the person becomes an employee of the Company or any Subsidiary, provided that such Award shall not vest prior to the commencement of employment.</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u w:val="single" w:color="auto"/>
          <w:color w:val="auto"/>
        </w:rPr>
        <w:t>Family Member</w:t>
      </w:r>
      <w:r>
        <w:rPr>
          <w:rFonts w:ascii="Arial" w:cs="Arial" w:eastAsia="Arial" w:hAnsi="Arial"/>
          <w:sz w:val="17"/>
          <w:szCs w:val="17"/>
          <w:color w:val="auto"/>
        </w:rPr>
        <w:t>” unless otherwise defined by applicable tax laws, shall mean any child, stepchild, grandchild, parent, stepparent, spouse, former spouse, sibling, niece, nephew, mother-in-law, father-in-law, son-in-law, daughter-in-law, brother-in-law or sister-in-law, including adoptive relationships, any person sharing the Participant’s household (other than a tenant or employee of the Participant), a trust in which such persons have more than fifty percent (50%) of the beneficial interest, a foundation in which such persons (or the Participant) control the management of assets, and any other entity in which such persons (or the Participant) own more than fifty percent (50%) of the voting interests.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Founder</w:t>
      </w:r>
      <w:r>
        <w:rPr>
          <w:rFonts w:ascii="Arial" w:cs="Arial" w:eastAsia="Arial" w:hAnsi="Arial"/>
          <w:sz w:val="18"/>
          <w:szCs w:val="18"/>
          <w:color w:val="auto"/>
        </w:rPr>
        <w:t>” means the Company’s co-founder Raymond Lin.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2.17 “</w:t>
      </w:r>
      <w:r>
        <w:rPr>
          <w:rFonts w:ascii="Arial" w:cs="Arial" w:eastAsia="Arial" w:hAnsi="Arial"/>
          <w:sz w:val="17"/>
          <w:szCs w:val="17"/>
          <w:u w:val="single" w:color="auto"/>
          <w:color w:val="auto"/>
        </w:rPr>
        <w:t>Non-Qualified Stock Option</w:t>
      </w:r>
      <w:r>
        <w:rPr>
          <w:rFonts w:ascii="Arial" w:cs="Arial" w:eastAsia="Arial" w:hAnsi="Arial"/>
          <w:sz w:val="17"/>
          <w:szCs w:val="17"/>
          <w:color w:val="auto"/>
        </w:rPr>
        <w:t>” or “</w:t>
      </w:r>
      <w:r>
        <w:rPr>
          <w:rFonts w:ascii="Arial" w:cs="Arial" w:eastAsia="Arial" w:hAnsi="Arial"/>
          <w:sz w:val="17"/>
          <w:szCs w:val="17"/>
          <w:u w:val="single" w:color="auto"/>
          <w:color w:val="auto"/>
        </w:rPr>
        <w:t>NSO</w:t>
      </w:r>
      <w:r>
        <w:rPr>
          <w:rFonts w:ascii="Arial" w:cs="Arial" w:eastAsia="Arial" w:hAnsi="Arial"/>
          <w:sz w:val="17"/>
          <w:szCs w:val="17"/>
          <w:color w:val="auto"/>
        </w:rPr>
        <w:t>” means a Stock Option granted under Section 5 of the Plan that is not an Incentive Stock Option.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Director or Consultant selected to receive an Award under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Plan</w:t>
      </w:r>
      <w:r>
        <w:rPr>
          <w:rFonts w:ascii="Arial" w:cs="Arial" w:eastAsia="Arial" w:hAnsi="Arial"/>
          <w:sz w:val="18"/>
          <w:szCs w:val="18"/>
          <w:color w:val="auto"/>
        </w:rPr>
        <w:t>” means this 2020 Equity Incentive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Shares</w:t>
      </w:r>
      <w:r>
        <w:rPr>
          <w:rFonts w:ascii="Arial" w:cs="Arial" w:eastAsia="Arial" w:hAnsi="Arial"/>
          <w:sz w:val="18"/>
          <w:szCs w:val="18"/>
          <w:color w:val="auto"/>
        </w:rPr>
        <w:t>” means ordinary common shares with a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 grant of a right to receive Shares or cash under Section 8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Stock Award</w:t>
      </w:r>
      <w:r>
        <w:rPr>
          <w:rFonts w:ascii="Arial" w:cs="Arial" w:eastAsia="Arial" w:hAnsi="Arial"/>
          <w:sz w:val="18"/>
          <w:szCs w:val="18"/>
          <w:color w:val="auto"/>
        </w:rPr>
        <w:t>” means a grant of Shares under Section 6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Incentive Stock Option or a Non-Qualified Stock Option granted under Section 5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Stock Unit Award</w:t>
      </w:r>
      <w:r>
        <w:rPr>
          <w:rFonts w:ascii="Arial" w:cs="Arial" w:eastAsia="Arial" w:hAnsi="Arial"/>
          <w:sz w:val="18"/>
          <w:szCs w:val="18"/>
          <w:color w:val="auto"/>
        </w:rPr>
        <w:t>” means a grant of a right to receive Shares or cash under Section 7 of the Plan.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right="20" w:firstLine="648"/>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Subsidiary</w:t>
      </w:r>
      <w:r>
        <w:rPr>
          <w:rFonts w:ascii="Arial" w:cs="Arial" w:eastAsia="Arial" w:hAnsi="Arial"/>
          <w:sz w:val="18"/>
          <w:szCs w:val="18"/>
          <w:color w:val="auto"/>
        </w:rPr>
        <w:t>” means an entity of which the Company is the direct or indirect beneficial owner of not less than 50% of all issued and outstanding equity interest of such entity.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means a termination of a Participant’s service with the Company or a Subsidiary, as applicable, for any reason, including, without limitation, disability or death. In the event Termination of Service shall constitute a payment event with respect to any Award subject to Code Section 409A, Termination of Service shall only be deemed to occur upon a “separation from service” as such term is defined under Code Section 409A.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The Committee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Plan shall be administered by the Committee, which shall be comprised of at least two members of the Board who satisfy the “non-employee director” definition set forth in Rule 16b-3 under the Exchange Act, unless the Board otherwise determines.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Authority of the Committee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79" w:lineRule="auto"/>
        <w:tabs>
          <w:tab w:leader="none" w:pos="155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Committee, in its sole discretion, shall determine the Employees and Directors to whom, and the time or times at which Awards will be granted, the form and amount of each Award, the expiration date of each Award, the time or times within which the Awards may be exercised, the cancellation of the Awards and the other limitations, restrictions, terms and conditions applicable to the grant of the Awards. The terms and conditions of the Awards need not be the same with respect to each Participant or with respect to each Award.</w:t>
      </w:r>
    </w:p>
    <w:p>
      <w:pPr>
        <w:spacing w:after="0" w:line="171" w:lineRule="exact"/>
        <w:rPr>
          <w:rFonts w:ascii="Arial" w:cs="Arial" w:eastAsia="Arial" w:hAnsi="Arial"/>
          <w:sz w:val="17"/>
          <w:szCs w:val="17"/>
          <w:color w:val="auto"/>
        </w:rPr>
      </w:pPr>
    </w:p>
    <w:p>
      <w:pPr>
        <w:jc w:val="both"/>
        <w:ind w:left="660" w:firstLine="645"/>
        <w:spacing w:after="0" w:line="259" w:lineRule="auto"/>
        <w:tabs>
          <w:tab w:leader="none" w:pos="15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permitted by applicable law, regulation, and rules of a stock exchange on which the Shares are listed or traded, the Committee may delegate its authority to grant Awards to Employees and to determine the terms and conditions thereof to such officer of the Company as it may determine in its discretion, on such terms and conditions as it may impose, except with respect to Awards to officers subject to Section 16 of the Exchange Act.</w:t>
      </w:r>
    </w:p>
    <w:p>
      <w:pPr>
        <w:spacing w:after="0" w:line="186" w:lineRule="exact"/>
        <w:rPr>
          <w:rFonts w:ascii="Arial" w:cs="Arial" w:eastAsia="Arial" w:hAnsi="Arial"/>
          <w:sz w:val="18"/>
          <w:szCs w:val="18"/>
          <w:color w:val="auto"/>
        </w:rPr>
      </w:pPr>
    </w:p>
    <w:p>
      <w:pPr>
        <w:jc w:val="both"/>
        <w:ind w:left="660" w:firstLine="645"/>
        <w:spacing w:after="0" w:line="302" w:lineRule="auto"/>
        <w:tabs>
          <w:tab w:leader="none" w:pos="155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Committee may, subject to the provisions of the Plan, establish such rules and regulations as it deems necessary or advisable for the proper administration of the Plan, and may make determinations and may take such other action in connection with or in relation to the Plan as it deems necessary or advisable. Each determination or other action made or taken pursuant to the Plan, including interpretation of the Plan and the specific terms and conditions of the Awards granted hereunder, shall be final and conclusive for all purposes and upon all persons.</w:t>
      </w:r>
    </w:p>
    <w:p>
      <w:pPr>
        <w:spacing w:after="0" w:line="154" w:lineRule="exact"/>
        <w:rPr>
          <w:rFonts w:ascii="Arial" w:cs="Arial" w:eastAsia="Arial" w:hAnsi="Arial"/>
          <w:sz w:val="16"/>
          <w:szCs w:val="16"/>
          <w:color w:val="auto"/>
        </w:rPr>
      </w:pPr>
    </w:p>
    <w:p>
      <w:pPr>
        <w:jc w:val="both"/>
        <w:ind w:left="660" w:firstLine="645"/>
        <w:spacing w:after="0" w:line="264" w:lineRule="auto"/>
        <w:tabs>
          <w:tab w:leader="none" w:pos="1571"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member of the Board or the Committee shall be liable for any action taken or determination made hereunder in good faith. Service on the Committee shall constitute service as a Director so that the members of the Committee shall be entitled to indemnification and reimbursement as Directors of the Company pursuant to the Company’s Certificate of Incorporation and By-Laws.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Award Agreements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86" w:lineRule="auto"/>
        <w:tabs>
          <w:tab w:leader="none" w:pos="15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Each Award shall be evidenced by a written Award Agreement specifying the terms and conditions of the Award. In the sole discretion of the Committee, the Award Agreement may condition the grant of an Award upon the Participant’s entering into one or more of the following agreements with the Company: (i) an agreement not to compete with the Company and its Subsidiaries which shall become effective as of the date of the grant of the Award and remain in effect for a specified period of time following termination of the Participant’s employment with the Company;</w:t>
      </w:r>
    </w:p>
    <w:p>
      <w:pPr>
        <w:spacing w:after="0" w:line="1" w:lineRule="exact"/>
        <w:rPr>
          <w:rFonts w:ascii="Arial" w:cs="Arial" w:eastAsia="Arial" w:hAnsi="Arial"/>
          <w:sz w:val="16"/>
          <w:szCs w:val="16"/>
          <w:color w:val="auto"/>
        </w:rPr>
      </w:pPr>
    </w:p>
    <w:p>
      <w:pPr>
        <w:jc w:val="both"/>
        <w:ind w:left="660" w:hanging="4"/>
        <w:spacing w:after="0" w:line="254" w:lineRule="auto"/>
        <w:tabs>
          <w:tab w:leader="none" w:pos="9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agreement to cancel any employment agreement, fringe benefit or compensation arrangement in effect between the Company and the Participant; and (iii) an agreement to retain the confidentiality of certain information. Such agreements may contain such other terms and conditions as the Committee shall determine. If the Participant shall fail to enter into any such agreement at the request of the Committee, then the Award granted or to be granted to such Participant shall be forfeited and cancelled.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Subject to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Total Number of Shares</w:t>
      </w:r>
      <w:r>
        <w:rPr>
          <w:rFonts w:ascii="Arial" w:cs="Arial" w:eastAsia="Arial" w:hAnsi="Arial"/>
          <w:sz w:val="18"/>
          <w:szCs w:val="18"/>
          <w:color w:val="auto"/>
        </w:rPr>
        <w:t>.</w:t>
      </w:r>
    </w:p>
    <w:p>
      <w:pPr>
        <w:spacing w:after="0" w:line="225" w:lineRule="exact"/>
        <w:rPr>
          <w:sz w:val="20"/>
          <w:szCs w:val="20"/>
          <w:color w:val="auto"/>
        </w:rPr>
      </w:pPr>
    </w:p>
    <w:p>
      <w:pPr>
        <w:ind w:left="660" w:right="20" w:firstLine="645"/>
        <w:spacing w:after="0" w:line="277" w:lineRule="auto"/>
        <w:tabs>
          <w:tab w:leader="none" w:pos="1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number of Shares that may be issued under the Plan shall be 11,011,663. Such Shares may be either authorized but unissued shares or treasury shares, and shall be adjusted in accordance with the provisions of Section 4.3 of the Plan.</w:t>
      </w:r>
    </w:p>
    <w:p>
      <w:pPr>
        <w:spacing w:after="0" w:line="170" w:lineRule="exact"/>
        <w:rPr>
          <w:rFonts w:ascii="Arial" w:cs="Arial" w:eastAsia="Arial" w:hAnsi="Arial"/>
          <w:sz w:val="18"/>
          <w:szCs w:val="18"/>
          <w:color w:val="auto"/>
        </w:rPr>
      </w:pPr>
    </w:p>
    <w:p>
      <w:pPr>
        <w:jc w:val="both"/>
        <w:ind w:left="660" w:firstLine="645"/>
        <w:spacing w:after="0" w:line="297" w:lineRule="auto"/>
        <w:tabs>
          <w:tab w:leader="none" w:pos="1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number of Shares delivered by a Participant or withheld by the Company on behalf of any such Participant as full or partial payment of an Award, including the exercise price of a Stock Option or of any required withholding taxes, shall not again be available for issuance pursuant to subsequent Awards, and shall count towards the aggregate number of Shares that may be issued under the Plan. Any Shares purchased by the Company with proceeds from a Stock Option exercise shall not again be available for issuance pursuant to subsequent Awards, shall count against the aggregate number of Shares that may be issued under the Plan and shall not increase the number of shares available under the Plan.</w:t>
      </w:r>
    </w:p>
    <w:p>
      <w:pPr>
        <w:spacing w:after="0" w:line="158" w:lineRule="exact"/>
        <w:rPr>
          <w:rFonts w:ascii="Arial" w:cs="Arial" w:eastAsia="Arial" w:hAnsi="Arial"/>
          <w:sz w:val="16"/>
          <w:szCs w:val="16"/>
          <w:color w:val="auto"/>
        </w:rPr>
      </w:pPr>
    </w:p>
    <w:p>
      <w:pPr>
        <w:jc w:val="both"/>
        <w:ind w:left="660" w:firstLine="645"/>
        <w:spacing w:after="0" w:line="279" w:lineRule="auto"/>
        <w:tabs>
          <w:tab w:leader="none" w:pos="1571"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there is a lapse, forfeiture, expiration, termination or cancellation of any Award for any reason (including for reasons described in Section 3.3), or if Shares are issued under such Award and thereafter are reacquired by the Company pursuant to rights reserved by the Company upon issuance thereof, the Shares subject to such Award or reacquired by the Company shall again be available for issuance pursuant to subsequent Awards, and shall not count towards the aggregate number of Shares that may be issued under the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Shares Under Awards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the Shares authorized for issuance under the Plan pursuant to Section 4.1:</w:t>
      </w:r>
    </w:p>
    <w:p>
      <w:pPr>
        <w:spacing w:after="0" w:line="225" w:lineRule="exact"/>
        <w:rPr>
          <w:sz w:val="20"/>
          <w:szCs w:val="20"/>
          <w:color w:val="auto"/>
        </w:rPr>
      </w:pPr>
    </w:p>
    <w:p>
      <w:pPr>
        <w:jc w:val="both"/>
        <w:ind w:left="660" w:firstLine="645"/>
        <w:spacing w:after="0" w:line="259" w:lineRule="auto"/>
        <w:tabs>
          <w:tab w:leader="none" w:pos="15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maximum number of Shares as to which an Employee (other than the Founder to whom no annual limit is applicable) may receive Stock Options or SARs in any calendar year is 800,000, except that the maximum number of Shares as to which an Employee (other than the Founder) may receive Stock Options or SARs in the calendar year in which such Employee begins employment with the Company or its Subsidiaries is 1,000,000.</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maximum number of Shares that may be subject to Stock Options (ISOs and/or NSOs) is full amount of Shares authorized under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4.1.</w:t>
      </w:r>
    </w:p>
    <w:p>
      <w:pPr>
        <w:spacing w:after="0" w:line="210" w:lineRule="exact"/>
        <w:rPr>
          <w:rFonts w:ascii="Arial" w:cs="Arial" w:eastAsia="Arial" w:hAnsi="Arial"/>
          <w:sz w:val="16"/>
          <w:szCs w:val="16"/>
          <w:color w:val="auto"/>
        </w:rPr>
      </w:pPr>
    </w:p>
    <w:p>
      <w:pPr>
        <w:jc w:val="both"/>
        <w:ind w:left="660" w:firstLine="645"/>
        <w:spacing w:after="0" w:line="264" w:lineRule="auto"/>
        <w:tabs>
          <w:tab w:leader="none" w:pos="15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maximum number of Shares that may be used for Stock Awards and/or Stock Unit Awards that may be granted to any Employee (other than the Founder) in any calendar year is 800,000, or, in the event the Award is settled in cash, an amount equal to the Fair Market Value of such number of Shares on the date on which the Award is settled.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left="660" w:firstLine="645"/>
        <w:spacing w:after="0" w:line="259" w:lineRule="auto"/>
        <w:tabs>
          <w:tab w:leader="none" w:pos="15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maximum number of Shares subject to Awards granted under the Plan or otherwise during any one calendar year to any Director for service on the Board, taken together with any cash fees paid by the Company to such Director during such calendar year for service on the Board, will not exceed $1,000,000 in total value (calculating the value of any such Awards based on the grant date fair value of such Awards for financial reporting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numbers of Shares described herein shall be as adjusted in accordance with Section 4.3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Adjustment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event of any reorganization, recapitalization, stock split, stock distribution, merger, consolidation, split-up, spin-off, combination, subdivision, consolidation or exchange of shares, any change in the capital structure of the Company or any similar corporate transaction, the Committee shall make such adjustments as it deems appropriate, in its sole discretion, to preserve the benefits or intended benefits of the Plan and Awards granted under the Plan. Such adjustments may include: (a) adjustment in the number and kind of shares reserved for issuance under the Plan; (b) adjustment in the number and kind of shares covered by outstanding Awards; (c) adjustment in the exercise price of outstanding Stock Options or SARs or the price of Stock Awards or Stock Unit Awards under the Plan; (d) adjustments to any of the shares limitations set forth in Section 4.1 or 4.2 of the Plan; and (e) any other changes that the Committee determines to be equitable under the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Grants of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the terms of the Plan, the Committee may from time to time grant Stock Options to Participants. Stock Options granted under the Plan to Employees shall be NSOs unless the Award Agreement expressly provides that the Stock Option is an ISO. Stock Options granted under the Plan to Consultants and Directors who are not Employees shall be NSOs.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Stock Option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grant of each Stock Option shall be evidenced by a written Stock Option Agreement specifying the type of Stock Option granted, the exercise period, the exercise price, the terms for payment of the exercise price, the expiration date of the Stock Option, the number of Shares to be subject to each Stock Option and such other terms and conditions established by the Committee, in its sole discretion, not inconsistent with the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Exercise Price and Exercise Period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each Stock Option granted to a Participant:</w:t>
      </w:r>
    </w:p>
    <w:p>
      <w:pPr>
        <w:spacing w:after="0" w:line="225" w:lineRule="exact"/>
        <w:rPr>
          <w:sz w:val="20"/>
          <w:szCs w:val="20"/>
          <w:color w:val="auto"/>
        </w:rPr>
      </w:pPr>
    </w:p>
    <w:p>
      <w:pPr>
        <w:ind w:left="660" w:firstLine="645"/>
        <w:spacing w:after="0" w:line="277" w:lineRule="auto"/>
        <w:tabs>
          <w:tab w:leader="none" w:pos="15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 Share exercise price of each Stock Option shall be the Fair Market Value of the Shares subject to the Stock Option on the date on which the Stock Option is granted, but such exercise price shall not be less than its par value.</w:t>
      </w:r>
    </w:p>
    <w:p>
      <w:pPr>
        <w:spacing w:after="0" w:line="170" w:lineRule="exact"/>
        <w:rPr>
          <w:rFonts w:ascii="Arial" w:cs="Arial" w:eastAsia="Arial" w:hAnsi="Arial"/>
          <w:sz w:val="18"/>
          <w:szCs w:val="18"/>
          <w:color w:val="auto"/>
        </w:rPr>
      </w:pPr>
    </w:p>
    <w:p>
      <w:pPr>
        <w:ind w:left="660" w:firstLine="645"/>
        <w:spacing w:after="0" w:line="277" w:lineRule="auto"/>
        <w:tabs>
          <w:tab w:leader="none" w:pos="15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Stock Option shall become exercisable as provided in the Stock Option Agreement; provided that the Committee shall have the discretion to accelerate the date as of which any Stock Option shall become exercisable.</w:t>
      </w:r>
    </w:p>
    <w:p>
      <w:pPr>
        <w:spacing w:after="0" w:line="170" w:lineRule="exact"/>
        <w:rPr>
          <w:rFonts w:ascii="Arial" w:cs="Arial" w:eastAsia="Arial" w:hAnsi="Arial"/>
          <w:sz w:val="18"/>
          <w:szCs w:val="18"/>
          <w:color w:val="auto"/>
        </w:rPr>
      </w:pPr>
    </w:p>
    <w:p>
      <w:pPr>
        <w:ind w:left="1540" w:hanging="235"/>
        <w:spacing w:after="0"/>
        <w:tabs>
          <w:tab w:leader="none" w:pos="1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dividends or dividend equivalents shall be paid with respect to any Shares subject to a Stock Option prior to the exercise of the Stock</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firstLine="645"/>
        <w:spacing w:after="0" w:line="277" w:lineRule="auto"/>
        <w:tabs>
          <w:tab w:leader="none" w:pos="9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Stock Option shall expire, and all rights to purchase Shares thereunder shall expire, on the tenth anniversary of the date the Stock Option was granted, unless an earlier expiration date is specified in the Award Agreement or dictated by Section 5.4.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Required Terms and Conditions of ISOs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foregoing, each ISO granted to an Employee shall be subject to the following specific rules:</w:t>
      </w:r>
    </w:p>
    <w:p>
      <w:pPr>
        <w:spacing w:after="0" w:line="225" w:lineRule="exact"/>
        <w:rPr>
          <w:sz w:val="20"/>
          <w:szCs w:val="20"/>
          <w:color w:val="auto"/>
        </w:rPr>
      </w:pPr>
    </w:p>
    <w:p>
      <w:pPr>
        <w:jc w:val="both"/>
        <w:ind w:firstLine="645"/>
        <w:spacing w:after="0" w:line="255"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Fair Market Value (determined with respect to each ISO at the time such Option is granted) of the Shares with respect to which ISOs are exercisable for the first time by an Employee during any calendar year (under all incentive stock option plans of the Company and its Subsidiaries) shall not exceed $100,000. If the aggregate Fair Market Value (determined at the time of grant) of the Shares subject to an ISO which first becomes exercisable in any calendar year exceeds the limitation of this Section 5.4(a), so much of the ISO that does not exceed the applicable dollar limit shall be an ISO and the remainder shall be a NSO; but in all other respects, the original Stock Option Agreement shall remain in full force and effect.</w:t>
      </w:r>
    </w:p>
    <w:p>
      <w:pPr>
        <w:spacing w:after="0" w:line="193" w:lineRule="exact"/>
        <w:rPr>
          <w:rFonts w:ascii="Arial" w:cs="Arial" w:eastAsia="Arial" w:hAnsi="Arial"/>
          <w:sz w:val="18"/>
          <w:szCs w:val="18"/>
          <w:color w:val="auto"/>
        </w:rPr>
      </w:pPr>
    </w:p>
    <w:p>
      <w:pPr>
        <w:jc w:val="both"/>
        <w:ind w:firstLine="645"/>
        <w:spacing w:after="0" w:line="257" w:lineRule="auto"/>
        <w:tabs>
          <w:tab w:leader="none" w:pos="9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an ISO is granted to an Employee who owns stock possessing more than 10% of the total combined voting power of all classes of stock of the Company (or its parent or subsidiaries within the meaning of Section 422(b)(6) of the Code): (i) the purchase price of each Shares subject to the ISO shall be not less than 110% of the Fair Market Value of the Shares on the date the ISO is granted; and (ii) the ISO shall expire, and all rights to purchase Shares thereunder shall expire, no later than the fifth anniversary of the date the ISO was granted.</w:t>
      </w:r>
    </w:p>
    <w:p>
      <w:pPr>
        <w:spacing w:after="0" w:line="188" w:lineRule="exact"/>
        <w:rPr>
          <w:rFonts w:ascii="Arial" w:cs="Arial" w:eastAsia="Arial" w:hAnsi="Arial"/>
          <w:sz w:val="18"/>
          <w:szCs w:val="18"/>
          <w:color w:val="auto"/>
        </w:rPr>
      </w:pPr>
    </w:p>
    <w:p>
      <w:pPr>
        <w:ind w:firstLine="645"/>
        <w:spacing w:after="0" w:line="277" w:lineRule="auto"/>
        <w:tabs>
          <w:tab w:leader="none" w:pos="9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ISOs shall be granted under the Plan after ten years from the earlier of the date the Plan is adopted or approved by shareholders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Exercise of Stock Options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64" w:lineRule="auto"/>
        <w:tabs>
          <w:tab w:leader="none" w:pos="8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Participant entitled to exercise a Stock Option may do so by delivering written notice to that effect specifying the number of Shares with respect to which the Stock Option is being exercised and any other information the Committee may prescribe. All notices or requests provided for herein shall be delivered to the Chief Financial Officer of the Company.</w:t>
      </w:r>
    </w:p>
    <w:p>
      <w:pPr>
        <w:spacing w:after="0" w:line="181" w:lineRule="exact"/>
        <w:rPr>
          <w:rFonts w:ascii="Arial" w:cs="Arial" w:eastAsia="Arial" w:hAnsi="Arial"/>
          <w:sz w:val="18"/>
          <w:szCs w:val="18"/>
          <w:color w:val="auto"/>
        </w:rPr>
      </w:pPr>
    </w:p>
    <w:p>
      <w:pPr>
        <w:jc w:val="both"/>
        <w:ind w:firstLine="645"/>
        <w:spacing w:after="0" w:line="254" w:lineRule="auto"/>
        <w:tabs>
          <w:tab w:leader="none" w:pos="9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Committee in its sole discretion may make available one or more of the following alternatives for the payment of the Stock Option exercise price: (i) in cash; (ii) in cash received from a broker-dealer to whom the Participant has submitted an exercise notice together with irrevocable instructions to deliver promptly to the Company the amount of sales proceeds from the sale of the Shares subject to the Stock Option to pay the exercise price; (iii) by directing the Company to withhold such number of Shares otherwise issuable in connection with the exercise of the Stock Option having an aggregate Fair Market Value equal to the exercise price; or (iv) by delivering previously acquired Shares that are acceptable to the Committee and that have an aggregate Fair Market Value on the date of exercise equal to the Stock Option exercise price. The Committee shall have the sole discretion to establish the terms and conditions applicable to any alternative made available for payment of the Stock Option exercise price.</w:t>
      </w: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2" w:name="page33"/>
    <w:bookmarkEnd w:id="32"/>
    <w:p>
      <w:pPr>
        <w:ind w:left="660" w:firstLine="645"/>
        <w:spacing w:after="0" w:line="277" w:lineRule="auto"/>
        <w:tabs>
          <w:tab w:leader="none" w:pos="15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to the extent inconsistent with the terms of the applicable Award Agreement and/or the provisions of Section 9, the following terms and conditions shall apply with respect to a Participant’s Termination of Service, as applicable:</w:t>
      </w:r>
    </w:p>
    <w:p>
      <w:pPr>
        <w:spacing w:after="0" w:line="170" w:lineRule="exact"/>
        <w:rPr>
          <w:rFonts w:ascii="Arial" w:cs="Arial" w:eastAsia="Arial" w:hAnsi="Arial"/>
          <w:sz w:val="18"/>
          <w:szCs w:val="18"/>
          <w:color w:val="auto"/>
        </w:rPr>
      </w:pPr>
    </w:p>
    <w:p>
      <w:pPr>
        <w:jc w:val="both"/>
        <w:ind w:left="1300" w:firstLine="653"/>
        <w:spacing w:after="0" w:line="264" w:lineRule="auto"/>
        <w:tabs>
          <w:tab w:leader="none" w:pos="2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Participant’s rights, if any, to exercise any vested Stock Option and/or SAR shall terminate ninety (90) days after the date of such Termination of Service, provided that if such termination is on account of the Participant’s death or disability (as defined under Code Section 422(c)(6)), one (1) year after the date of such Termination of Service; and</w:t>
      </w:r>
    </w:p>
    <w:p>
      <w:pPr>
        <w:spacing w:after="0" w:line="181" w:lineRule="exact"/>
        <w:rPr>
          <w:rFonts w:ascii="Arial" w:cs="Arial" w:eastAsia="Arial" w:hAnsi="Arial"/>
          <w:sz w:val="18"/>
          <w:szCs w:val="18"/>
          <w:color w:val="auto"/>
        </w:rPr>
      </w:pPr>
    </w:p>
    <w:p>
      <w:pPr>
        <w:jc w:val="both"/>
        <w:ind w:left="1300" w:firstLine="653"/>
        <w:spacing w:after="0" w:line="279" w:lineRule="auto"/>
        <w:tabs>
          <w:tab w:leader="none" w:pos="2216" w:val="left"/>
        </w:tabs>
        <w:numPr>
          <w:ilvl w:val="1"/>
          <w:numId w:val="20"/>
        </w:numPr>
        <w:rPr>
          <w:rFonts w:ascii="Arial" w:cs="Arial" w:eastAsia="Arial" w:hAnsi="Arial"/>
          <w:sz w:val="17"/>
          <w:szCs w:val="17"/>
          <w:color w:val="auto"/>
        </w:rPr>
      </w:pPr>
      <w:r>
        <w:rPr>
          <w:rFonts w:ascii="Arial" w:cs="Arial" w:eastAsia="Arial" w:hAnsi="Arial"/>
          <w:sz w:val="17"/>
          <w:szCs w:val="17"/>
          <w:color w:val="auto"/>
        </w:rPr>
        <w:t>Upon such applicable date the Participant (or other legal representative) shall forfeit any rights or interests in or with respect to any such Award. Notwithstanding the foregoing, the Committee, in its sole discretion, may provide for a different time period in the Award Agreement, or may extend the time period, following a Termination of Service, during which the Participant has the right to exercise any vested NSO or SAR, which time period may not extend beyond the expiration date of the Award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Stock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Committee may, in its discretion, (a) grant Shares under the Plan to any Participant without consideration from such Participant or (b) sell Shares under the Plan to any Participant for such amount of cash, Shares or other consideration as the Committee deems appropriate.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Stock Award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Each Shares granted or sold hereunder shall be subject to such restrictions, conditions and other terms as the Committee may determine at the time of grant or sale, the general provisions of the Plan, the restrictions, terms and conditions of the related Stock Award Agreement, and the following specific rules:</w:t>
      </w:r>
    </w:p>
    <w:p>
      <w:pPr>
        <w:spacing w:after="0" w:line="124" w:lineRule="exact"/>
        <w:rPr>
          <w:sz w:val="20"/>
          <w:szCs w:val="20"/>
          <w:color w:val="auto"/>
        </w:rPr>
      </w:pPr>
    </w:p>
    <w:p>
      <w:pPr>
        <w:ind w:left="660" w:firstLine="645"/>
        <w:spacing w:after="0" w:line="277" w:lineRule="auto"/>
        <w:tabs>
          <w:tab w:leader="none" w:pos="15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Award Agreement shall specify whether the Shares are granted or sold to the Participant and such other provisions, not inconsistent with the terms and conditions of the Plan, as the Committee shall determine.</w:t>
      </w:r>
    </w:p>
    <w:p>
      <w:pPr>
        <w:spacing w:after="0" w:line="170" w:lineRule="exact"/>
        <w:rPr>
          <w:rFonts w:ascii="Arial" w:cs="Arial" w:eastAsia="Arial" w:hAnsi="Arial"/>
          <w:sz w:val="18"/>
          <w:szCs w:val="18"/>
          <w:color w:val="auto"/>
        </w:rPr>
      </w:pPr>
    </w:p>
    <w:p>
      <w:pPr>
        <w:ind w:left="660" w:firstLine="645"/>
        <w:spacing w:after="0" w:line="342" w:lineRule="auto"/>
        <w:tabs>
          <w:tab w:leader="none" w:pos="156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restrictions to which the Shares awarded hereunder are subject shall lapse as provided in Stock Award Agreement; provided that the Committee shall have the discretion to accelerate the date as of which the restrictions lapse with respect to any Award held by a Participant.</w:t>
      </w:r>
    </w:p>
    <w:p>
      <w:pPr>
        <w:spacing w:after="0" w:line="123" w:lineRule="exact"/>
        <w:rPr>
          <w:rFonts w:ascii="Arial" w:cs="Arial" w:eastAsia="Arial" w:hAnsi="Arial"/>
          <w:sz w:val="16"/>
          <w:szCs w:val="16"/>
          <w:color w:val="auto"/>
        </w:rPr>
      </w:pPr>
    </w:p>
    <w:p>
      <w:pPr>
        <w:jc w:val="both"/>
        <w:ind w:left="660" w:firstLine="645"/>
        <w:spacing w:after="0" w:line="255" w:lineRule="auto"/>
        <w:tabs>
          <w:tab w:leader="none" w:pos="15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as provided in this subsection (c) and unless otherwise set forth in the related Stock Award Agreement, the Participant receiving a grant of or purchasing Shares shall thereupon be a shareholder of the Company with respect to such Shares and shall have the rights of a shareholder of the Company with respect to such Shares, including the right to vote such Shares and to receive dividends and other distributions paid with respect to such Shares; provided that any dividends or other distributions payable with respect to the Stock Award shall be accumulated and held by the Company and paid to the Participant only upon, and to the extent, the restrictions lapse in accordance with the terms of the applicable Stock Award Agreement. Any such dividends or other distributions held by the Company attributable to the portion of a Stock Award that is forfeited shall also be forfeited.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Section 7. Stock Unit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Committee may, in its discretion, grant Stock Unit Awards to any Participant. Each Stock Unit subject to the Award shall 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Stock Unit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Each Stock Unit Award shall be subject to such restrictions, conditions and other terms as the Committee may determine at the time of grant, the general provisions of the Plan, the restrictions, terms and conditions of the related Stock Unit Award Agreement and the following specific rules:</w:t>
      </w:r>
    </w:p>
    <w:p>
      <w:pPr>
        <w:spacing w:after="0" w:line="147" w:lineRule="exact"/>
        <w:rPr>
          <w:sz w:val="20"/>
          <w:szCs w:val="20"/>
          <w:color w:val="auto"/>
        </w:rPr>
      </w:pPr>
    </w:p>
    <w:p>
      <w:pPr>
        <w:ind w:left="660" w:firstLine="645"/>
        <w:spacing w:after="0" w:line="277" w:lineRule="auto"/>
        <w:tabs>
          <w:tab w:leader="none" w:pos="15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Stock Unit Agreement shall specify such provisions, not inconsistent with the terms and conditions of the Plan, as the Committee shall determine.</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restrictions to which the Shares of Stock Units awarded hereunder are subject shall lapse as provided in Stock Unit Agreement; provided that the Committee shall have the discretion to accelerate the date as of which the restrictions lapse with respect to any Award held by a Participant.</w:t>
      </w:r>
    </w:p>
    <w:p>
      <w:pPr>
        <w:spacing w:after="0" w:line="181" w:lineRule="exact"/>
        <w:rPr>
          <w:rFonts w:ascii="Arial" w:cs="Arial" w:eastAsia="Arial" w:hAnsi="Arial"/>
          <w:sz w:val="18"/>
          <w:szCs w:val="18"/>
          <w:color w:val="auto"/>
        </w:rPr>
      </w:pPr>
    </w:p>
    <w:p>
      <w:pPr>
        <w:jc w:val="both"/>
        <w:ind w:left="660" w:firstLine="645"/>
        <w:spacing w:after="0" w:line="271" w:lineRule="auto"/>
        <w:tabs>
          <w:tab w:leader="none" w:pos="1563"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Except as provided in this subsection (c) and unless otherwise set forth in the Stock Unit Agreement, the Participant receiving a Stock Unit Award shall have no rights of a shareholder of the Company, including voting or dividends or other distributions rights, with respect to any Stock Units prior to the date they are settled in Shares; provided that a Stock Unit Award Agreement may provide that until the Stock Units are settled in Shares or cash, the Participant shall be entitled to receive on each dividend or distribution payment date applicable to the Shares an amount equal to the dividends or other distributions that the Participant would have received had the Stock Units held by the Participant as of the related record date been actual Shares. Such amounts shall be accumulated and held by the Company and paid to the Participant only upon, and to the extent, the restrictions lapse in accordance with the terms of the applicable Stock Unit Award Agreement. Such amounts held by the Company attributable to the portion of the Stock Unit Award that is forfeited shall also be forfeited.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SARs.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may grant SARs to Participants. Upon exercise, an SAR entitles the Participant to receive from the Company the 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SAR Agreement</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86" w:lineRule="auto"/>
        <w:tabs>
          <w:tab w:leader="none" w:pos="15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SAR shall be evidenced by a written SAR Agreement specifying the terms and conditions of the SAR as the Committee may determine, including the SAR exercise price, expiration date of the SAR, the number of Shares to which the SAR pertains, the form of settlement and such other terms and conditions established by the Committee, in its sole discretion, not inconsistent with the Plan.</w:t>
      </w:r>
    </w:p>
    <w:p>
      <w:pPr>
        <w:spacing w:after="0" w:line="165" w:lineRule="exact"/>
        <w:rPr>
          <w:rFonts w:ascii="Arial" w:cs="Arial" w:eastAsia="Arial" w:hAnsi="Arial"/>
          <w:sz w:val="17"/>
          <w:szCs w:val="17"/>
          <w:color w:val="auto"/>
        </w:rPr>
      </w:pPr>
    </w:p>
    <w:p>
      <w:pPr>
        <w:ind w:left="1580" w:hanging="275"/>
        <w:spacing w:after="0"/>
        <w:tabs>
          <w:tab w:leader="none" w:pos="1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per Share exercise price of each SAR shall not be less than 100% of the Fair Market Value of a Share on the date the SAR is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granted.</w:t>
      </w:r>
    </w:p>
    <w:p>
      <w:pPr>
        <w:spacing w:after="0" w:line="210" w:lineRule="exact"/>
        <w:rPr>
          <w:rFonts w:ascii="Arial" w:cs="Arial" w:eastAsia="Arial" w:hAnsi="Arial"/>
          <w:sz w:val="17"/>
          <w:szCs w:val="17"/>
          <w:color w:val="auto"/>
        </w:rPr>
      </w:pPr>
    </w:p>
    <w:p>
      <w:pPr>
        <w:jc w:val="both"/>
        <w:ind w:left="660" w:firstLine="645"/>
        <w:spacing w:after="0" w:line="259" w:lineRule="auto"/>
        <w:tabs>
          <w:tab w:leader="none" w:pos="15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SAR shall expire and all rights thereunder shall cease on the date fixed by the Committee in the related SAR Agreement, which shall not be later than the ten years after the date of grant; provided however, if a Participant is unable to exercise an SAR because trading in the Shares is prohibited by law or the Company’s insider-trading policy, the SAR exercise date shall be extended to the date that is 30 days after the expiration of the trading prohibition.</w:t>
      </w:r>
    </w:p>
    <w:p>
      <w:pPr>
        <w:spacing w:after="0" w:line="186" w:lineRule="exact"/>
        <w:rPr>
          <w:rFonts w:ascii="Arial" w:cs="Arial" w:eastAsia="Arial" w:hAnsi="Arial"/>
          <w:sz w:val="18"/>
          <w:szCs w:val="18"/>
          <w:color w:val="auto"/>
        </w:rPr>
      </w:pPr>
    </w:p>
    <w:p>
      <w:pPr>
        <w:ind w:left="660" w:firstLine="645"/>
        <w:spacing w:after="0" w:line="277" w:lineRule="auto"/>
        <w:tabs>
          <w:tab w:leader="none" w:pos="15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SAR shall become exercisable as provided in the related SAR Agreement; provided that notwithstanding any other Plan provision, the Committee shall have the discretion to accelerate the date as of which any SAR shall become exercisable.</w:t>
      </w:r>
    </w:p>
    <w:p>
      <w:pPr>
        <w:spacing w:after="0" w:line="170" w:lineRule="exact"/>
        <w:rPr>
          <w:rFonts w:ascii="Arial" w:cs="Arial" w:eastAsia="Arial" w:hAnsi="Arial"/>
          <w:sz w:val="18"/>
          <w:szCs w:val="18"/>
          <w:color w:val="auto"/>
        </w:rPr>
      </w:pPr>
    </w:p>
    <w:p>
      <w:pPr>
        <w:ind w:left="1540" w:hanging="235"/>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dividends or dividend equivalents shall be paid with respect to any SAR prior to the exercise of the SAR.</w:t>
      </w:r>
    </w:p>
    <w:p>
      <w:pPr>
        <w:spacing w:after="0" w:line="225" w:lineRule="exact"/>
        <w:rPr>
          <w:rFonts w:ascii="Arial" w:cs="Arial" w:eastAsia="Arial" w:hAnsi="Arial"/>
          <w:sz w:val="18"/>
          <w:szCs w:val="18"/>
          <w:color w:val="auto"/>
        </w:rPr>
      </w:pPr>
    </w:p>
    <w:p>
      <w:pPr>
        <w:jc w:val="both"/>
        <w:ind w:left="660" w:firstLine="645"/>
        <w:spacing w:after="0" w:line="293" w:lineRule="auto"/>
        <w:tabs>
          <w:tab w:leader="none" w:pos="155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person entitled to exercise an SAR may do so by delivery of a written notice in accordance with procedures established by the Committee specifying the number of Shares with respect to which the SAR is being exercised and any other information the Committee may prescribe. As soon as reasonably practicable after the exercise of an SAR, the Company shall (i) issue the total number of full Shares to which the Participant is entitled and cash in an amount equal to the Fair Market Value, as of the date of exercise, of any resulting fractional Share, and (ii) if the Committee causes the Company to elect to settle all or part of its obligations arising out of the exercise of the SAR in cash, deliver to the Participant an amount in cash equal to the Fair Market Value, as of the date of exercise, of the Shares it would otherwise be obligated to deliver.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Change in Control.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Effect of a Change in Control</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59" w:lineRule="auto"/>
        <w:tabs>
          <w:tab w:leader="none" w:pos="15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Notwithstanding any of the provisions of the Plan or any outstanding Award Agreement, upon a Change in Control of the Company (as defined in Section 9.2), the Board is authorized and has sole discretion to provide that (i) all outstanding Awards shall become fully exercisable, (ii) all restrictions applicable to all Awards shall terminate or lapse and (iii) performance goals applicable to any Awards shall be deemed satisfied at the highest level, as applicable, in order that Participants may realize the benefits thereunder.</w:t>
      </w:r>
    </w:p>
    <w:p>
      <w:pPr>
        <w:spacing w:after="0" w:line="186" w:lineRule="exact"/>
        <w:rPr>
          <w:rFonts w:ascii="Arial" w:cs="Arial" w:eastAsia="Arial" w:hAnsi="Arial"/>
          <w:sz w:val="18"/>
          <w:szCs w:val="18"/>
          <w:color w:val="auto"/>
        </w:rPr>
      </w:pPr>
    </w:p>
    <w:p>
      <w:pPr>
        <w:jc w:val="both"/>
        <w:ind w:left="660" w:firstLine="645"/>
        <w:spacing w:after="0" w:line="293" w:lineRule="auto"/>
        <w:tabs>
          <w:tab w:leader="none" w:pos="15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addition to the Board’s authority set forth in Section 3, upon such Change in Control of the Company, the Board is authorized and has sole discretion as to any Award, either at the time such Award is granted hereunder or any time thereafter, to take any one or more of the following actions without Participant consent: (i) provide for the purchase of any vested or unvested outstanding Stock Option, for an amount of cash equal to the difference between the exercise price and the then Fair Market Value of the Shares covered thereby; (ii) make such adjustment to any such Award then outstanding as the Board deems appropriate to reflect such Change in Control; and (iii) cause any such Award then outstanding to be assumed by or substituted for another form of Award issued by the surviving corporation after such Change in Control.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Definition of Change in Control</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“Change in Control” of the Company shall be deemed to have occurred if at any time during the term of an Award granted under the Plan any of the following events occurs:</w:t>
      </w:r>
    </w:p>
    <w:p>
      <w:pPr>
        <w:spacing w:after="0" w:line="170" w:lineRule="exact"/>
        <w:rPr>
          <w:sz w:val="20"/>
          <w:szCs w:val="20"/>
          <w:color w:val="auto"/>
        </w:rPr>
      </w:pPr>
    </w:p>
    <w:p>
      <w:pPr>
        <w:jc w:val="both"/>
        <w:ind w:left="660" w:firstLine="645"/>
        <w:spacing w:after="0" w:line="257" w:lineRule="auto"/>
        <w:tabs>
          <w:tab w:leader="none" w:pos="15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Person (other than the Company, a trustee or other fiduciary holding securities under an employee benefit plan of the Company, or a corporation owned directly or indirectly by the shareholders of the Company in substantially the same proportions as their ownership of Shares) is or becomes the Beneficial Owner, directly or indirectly, of securities of the Company representing 30% or more of the combined voting power of the Company’s then outstanding securities entitled to vote generally in the election of directors (“Person” and “Beneficial Owner” being defined in Rule 13d-3 of the General Rules and Regulations of the Exchange Act);</w:t>
      </w:r>
    </w:p>
    <w:p>
      <w:pPr>
        <w:spacing w:after="0" w:line="188" w:lineRule="exact"/>
        <w:rPr>
          <w:rFonts w:ascii="Arial" w:cs="Arial" w:eastAsia="Arial" w:hAnsi="Arial"/>
          <w:sz w:val="18"/>
          <w:szCs w:val="18"/>
          <w:color w:val="auto"/>
        </w:rPr>
      </w:pPr>
    </w:p>
    <w:p>
      <w:pPr>
        <w:jc w:val="both"/>
        <w:ind w:left="660" w:firstLine="645"/>
        <w:spacing w:after="0" w:line="255" w:lineRule="auto"/>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is party to a merger, consolidation, reorganization or other similar transaction with another corporation or other Person unless, following such transaction, more than 50% of the combined voting power of the outstanding securities of the surviving, resulting or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transaction, in substantially the same proportions as their ownership, immediately prior to such transaction, of the Company’s outstanding securities entitled to vote generally in the election of directors;</w:t>
      </w:r>
    </w:p>
    <w:p>
      <w:pPr>
        <w:spacing w:after="0" w:line="189" w:lineRule="exact"/>
        <w:rPr>
          <w:rFonts w:ascii="Arial" w:cs="Arial" w:eastAsia="Arial" w:hAnsi="Arial"/>
          <w:sz w:val="18"/>
          <w:szCs w:val="18"/>
          <w:color w:val="auto"/>
        </w:rPr>
      </w:pPr>
    </w:p>
    <w:p>
      <w:pPr>
        <w:jc w:val="both"/>
        <w:ind w:left="660" w:firstLine="645"/>
        <w:spacing w:after="0" w:line="302" w:lineRule="auto"/>
        <w:tabs>
          <w:tab w:leader="none" w:pos="15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election to the Board, without the recommendation or approval of two-thirds of the incumbent Board, of the lesser of: (i) three Directors; or (ii) Directors constituting a majority of the number of Directors of the Company then in office; provided, however, that Directors whose initial assumption of office is in connection with an actual or threatened election contest, including but not limited to a consent solicitation, relating to the election of Directors of the Company will not be considered as incumbent members of the Board for purposes of this Section; or</w:t>
      </w:r>
    </w:p>
    <w:p>
      <w:pPr>
        <w:spacing w:after="0" w:line="154" w:lineRule="exact"/>
        <w:rPr>
          <w:rFonts w:ascii="Arial" w:cs="Arial" w:eastAsia="Arial" w:hAnsi="Arial"/>
          <w:sz w:val="16"/>
          <w:szCs w:val="16"/>
          <w:color w:val="auto"/>
        </w:rPr>
      </w:pPr>
    </w:p>
    <w:p>
      <w:pPr>
        <w:jc w:val="both"/>
        <w:ind w:left="660" w:firstLine="645"/>
        <w:spacing w:after="0" w:line="255" w:lineRule="auto"/>
        <w:tabs>
          <w:tab w:leader="none" w:pos="15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is a complete liquidation or dissolution of the Company, or the Company sells all or substantially all of its business and/or assets to another corporation or other Person unless, following such sale, more than 50% of the combined voting power of the outstanding securities of the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sale, in substantially the same proportions as their ownership, immediately prior to such sale, of the Company’s outstanding securities entitled to vote generally in the election of directors.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no event, however, shall a Change in Control be deemed to have occurred, with respect to a Participant, if that Participant is part of a purchasing group which consummates the Change in Control transaction. A Participant shall be deemed “part of a purchasing group” for purposes of the preceding sentence if the Participant is an equity participant or has agreed to become an equity participant in the purchasing company or group (except for (a) passive ownership of less than 3% of the shares of the purchasing company; or (b) ownership of equity participation in the purchasing company or group which is otherwise not deemed to be significant, as determined prior to the Change in Control by a majority of the disinterested Directors).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Section 10. Payment of Taxes.</w:t>
      </w:r>
    </w:p>
    <w:p>
      <w:pPr>
        <w:spacing w:after="0" w:line="229" w:lineRule="exact"/>
        <w:rPr>
          <w:sz w:val="20"/>
          <w:szCs w:val="20"/>
          <w:color w:val="auto"/>
        </w:rPr>
      </w:pPr>
    </w:p>
    <w:p>
      <w:pPr>
        <w:jc w:val="both"/>
        <w:ind w:left="660" w:firstLine="645"/>
        <w:spacing w:after="0" w:line="259" w:lineRule="auto"/>
        <w:tabs>
          <w:tab w:leader="none" w:pos="15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any Award, and as a condition to the issuance or delivery of any Shares to the Participant in connection therewith, the Company shall require the Participant to pay the Company the minimum amount of federal, state, local or foreign taxes required to be withheld, and in the Company’s sole discretion, the Company may permit the Participant to pay the Company up to the maximum individual statutory rate of applicable withholding.</w:t>
      </w:r>
    </w:p>
    <w:p>
      <w:pPr>
        <w:spacing w:after="0" w:line="186" w:lineRule="exact"/>
        <w:rPr>
          <w:rFonts w:ascii="Arial" w:cs="Arial" w:eastAsia="Arial" w:hAnsi="Arial"/>
          <w:sz w:val="18"/>
          <w:szCs w:val="18"/>
          <w:color w:val="auto"/>
        </w:rPr>
      </w:pPr>
    </w:p>
    <w:p>
      <w:pPr>
        <w:jc w:val="both"/>
        <w:ind w:left="660" w:firstLine="645"/>
        <w:spacing w:after="0" w:line="255" w:lineRule="auto"/>
        <w:tabs>
          <w:tab w:leader="none" w:pos="15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in its sole discretion may make available one or more of the following alternatives for the payment of such taxes: (i) in cash; (ii) in cash received from a broker-dealer to whom the Participant has submitted notice together with irrevocable instructions to deliver promptly to the Company the amount of sales proceeds from the sale of the Shares subject to the Award to pay the withholding taxes; (iii) by directing the Company to withhold such number of Shares otherwise issuable in connection with the Award having an aggregate Fair Market Value equal to the minimum amount of tax required to be withheld; (iv) by delivering previously acquired Shares of the Company that are acceptable to the Board that have an aggregate Fair Market Value equal to the amount required to be withheld; or (v) by certifying to ownership by attestation of such previously acquired Shares.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shall have the sole discretion to establish the terms and conditions applicable to any alternative made available for payment of the required withholding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Section 409A.</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Notwithstanding any other provision of the Plan, the Committee shall have no authority to issue an Award under the Plan with terms and/or conditions which would cause such Award to constitute non-qualified “deferred compensation” under Section 409A of the Code unless such Award shall be structured to be exempt from or comply with all requirements of Code Section 409A. The Plan and all Award Agreements are intended to comply with the requirements of Section 409A of the Code (or to be exempt therefrom) and shall be so interpreted and construed and no amount shall be paid or distributed from the Plan unless and until such payment complies with all requirements of Code Section 409A. It is the intent of the Company that the provisions of this Agreement and all other plans and programs sponsored by the Company be interpreted to comply in all respects with Code Section 409A, however, the Company shall have no liability to the Participant, or any successor or beneficiary thereof, in the event taxes, penalties or excise taxes may ultimately be determined to be applicable to any payment or award under the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Postponement.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Committee may postpone any grant or settlement of an Award or exercise of a Stock Option or SAR for such time as the Board in its sole discretion may deem necessary in order to permit the Company:</w:t>
      </w:r>
    </w:p>
    <w:p>
      <w:pPr>
        <w:spacing w:after="0" w:line="170" w:lineRule="exact"/>
        <w:rPr>
          <w:sz w:val="20"/>
          <w:szCs w:val="20"/>
          <w:color w:val="auto"/>
        </w:rPr>
      </w:pPr>
    </w:p>
    <w:p>
      <w:pPr>
        <w:ind w:left="660" w:firstLine="645"/>
        <w:spacing w:after="0" w:line="308" w:lineRule="auto"/>
        <w:tabs>
          <w:tab w:leader="none" w:pos="157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effect, amend or maintain any necessary registration of the Plan or the Shares issuable pursuant to an Award, including upon the exercise of a Stock Option or SAR, under the Securities Act of 1933, as amended, or the securities laws of any applicable jurisdiction;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both"/>
        <w:ind w:left="660" w:firstLine="645"/>
        <w:spacing w:after="0" w:line="264" w:lineRule="auto"/>
        <w:tabs>
          <w:tab w:leader="none" w:pos="15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permit any action to be taken in order to (i) list such Shares on a stock exchange if Shares are then listed on such exchange or (ii) comply with restrictions or regulations incident to the maintenance of a public market for its Shares, including any rules or regulations of any stock exchange on which the Shares are listed; or</w:t>
      </w:r>
    </w:p>
    <w:p>
      <w:pPr>
        <w:spacing w:after="0" w:line="181" w:lineRule="exact"/>
        <w:rPr>
          <w:rFonts w:ascii="Arial" w:cs="Arial" w:eastAsia="Arial" w:hAnsi="Arial"/>
          <w:sz w:val="18"/>
          <w:szCs w:val="18"/>
          <w:color w:val="auto"/>
        </w:rPr>
      </w:pPr>
    </w:p>
    <w:p>
      <w:pPr>
        <w:jc w:val="both"/>
        <w:ind w:left="660" w:firstLine="645"/>
        <w:spacing w:after="0" w:line="286" w:lineRule="auto"/>
        <w:tabs>
          <w:tab w:leader="none" w:pos="1567"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determine that such Shares and the Plan are exempt from such registration or that no action of the kind referred to in (b)(ii) above needs to be taken; and the Company shall not be obligated by virtue of any terms and conditions of any Award or any provision of the Plan to sell or issue Shares in violation of the Securities Act of 1933 or the law of any government having jurisdiction thereof.</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such postponement shall not extend the term of an Award and shall comply with all requirements of Code Section 409A, and neither the Company nor its Directors or officers shall have any obligation or liability to a Participant, the Participant’s successor or any other person with respect to any Shares as to which the Award shall lapse because of such postponement.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Nontransferability.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Awards granted under the Plan, and any rights and privileges pertaining thereto, may not be transferred, assigned, pledged or hypothecated in any manner, or be subject to execution, attachment or similar process, by operation of law or otherwise, except (i) by will or by the laws of descent and distribution, or (ii) where permitted under applicable tax rules, by gift to any Family Member of the Participant, subject to compliance with applicable laws. An Award may be exercisable during the lifetime of the Participant only by such Participant or by the Participant’s guardian or legal representative unless it has been transferred by gift to a Family Member of the Participant, in which case it shall be exercisable solely by such transferee. Notwithstanding any such transfer, the Participant shall continue to be subject to the withholding requirements provided for under Section 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Delivery of Shares.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issued pursuant to a Stock Award, the exercise of a Stock or SAR or the settlement of a Stock Unit Award shall be represented by share certificates or on a non-certificated basis, with the ownership of such Shares by the Participant evidenced solely by book entry in the records of the Company’s transfer agent; provided, however, that upon the written request of the Participant, the Company shall issue, in the name of the Participant, share certificates representing such Shares. Notwithstanding the foregoing, Shares granted pursuant to a Stock Award shall be held by the Secretary of the Company until such time as the Shares are forfeited or settled.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Termination or Amendment of Plan and Award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Termination or Amendment of Plan</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55" w:lineRule="auto"/>
        <w:tabs>
          <w:tab w:leader="none" w:pos="15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as described in Section 15.3 below, the Board may terminate, suspend, or amend the Plan, in whole or in part, from time to time, without the approval of the shareholders of the Company, unless such approval is required by applicable law, regulation or rule of any stock exchange on which the Shares are listed. No amendment or termination of the Plan shall adversely affect the right of any Participant under any outstanding Award in any material way without the written consent of the Participant, unless such amendment or termination is required by applicable law, regulation or rule of any stock exchange on which the Shares are listed. Subject to the foregoing, the Committee may correct any defect or supply an omission or reconcile any inconsistency in the Plan or in any Award granted hereunder in the manner and to the extent it shall deem desirable, in its sole discretion, to effectuate the Plan.</w:t>
      </w:r>
    </w:p>
    <w:p>
      <w:pPr>
        <w:spacing w:after="0" w:line="189" w:lineRule="exact"/>
        <w:rPr>
          <w:rFonts w:ascii="Arial" w:cs="Arial" w:eastAsia="Arial" w:hAnsi="Arial"/>
          <w:sz w:val="18"/>
          <w:szCs w:val="18"/>
          <w:color w:val="auto"/>
        </w:rPr>
      </w:pPr>
    </w:p>
    <w:p>
      <w:pPr>
        <w:ind w:left="660" w:firstLine="645"/>
        <w:spacing w:after="0" w:line="277" w:lineRule="auto"/>
        <w:tabs>
          <w:tab w:leader="none" w:pos="156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Board shall have the authority to amend the Plan to the extent necessary or appropriate to comply with applicable law, regulation or accounting rules in order to permit Participants who are located outside of the United States to participate in the Plan.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Amendment of Award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 shall have the authority to amend any Award Agreement at any time; provided however, that no such amendment shall adversely affect the right of any Participant under any outstanding Award Agreement in any material way without the written consent of the Participant, unless such amendment is required by applicable law, regulation or rule of any stock exchange on which the Shares are listed.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No Repricing of Stock Options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and except as described in Section 4.3, there shall be no amendment to the Plan or any outstanding Stock Option Agreement or SAR Agreement that results in the repricing of Stock Options or SARs without shareholders' approval. For this purpose, repricing includes (i) a reduction in the exercise price of the Stock Option or SARs or (ii) the cancellation of a Stock Option in exchange for cash, Stock Options or SARs with an exercise price less than the exercise price of the cancelled Options or SARs, other Awards or any other consideration provided by the Company, but does not include any adjustment described in Section 4.3.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No Contract of Employment.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the adoption of the Plan nor the grant of any Award under the Plan shall be deemed to obligate the Company or any Subsidiary to continue the employment of any Participant for any particular period, nor shall the granting of an Award constitute a request or consent to postpone the retirement date of any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Applicable Law.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questions pertaining to the validity, construction and administration of the Plan and all Awards granted under the Plan shall be determined in conformity with the laws of the state of New York, without regard to the conflict of law provisions of any state, and, in the case of Incentive Stock Options, Section 422 of the Code and regulations issued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Effective Date and Term of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Plan shall be effective as of the Effective Date, provided that the Plan is approved by the shareholders of the Company within twelve (12) months of such date. Awards may be granted or awarded prior to such shareholder approval, provided that such Awards shall not be exercisable, shall not vest and the restrictions thereon shall not lapse prior to the time when the Plan is approved by the shareholders, and provided further that if such approval has not been obtained at the end of said twelve month period, all Awards previously granted or awarded under the Plan shall thereupon be canceled and become null and void. The Plan is intended to supersede and replace any and all prior equity plans sponsored by the Company with respect to any authorized shares not made subject to any award under such plans prior to the effective date of this Plan. Any outstanding awards under prior plans shall continue to be subject to and governed by the terms of such plans.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Term of Plan</w:t>
      </w:r>
      <w:r>
        <w:rPr>
          <w:rFonts w:ascii="Arial" w:cs="Arial" w:eastAsia="Arial" w:hAnsi="Arial"/>
          <w:sz w:val="18"/>
          <w:szCs w:val="18"/>
          <w:color w:val="auto"/>
        </w:rPr>
        <w:t>.</w:t>
      </w:r>
    </w:p>
    <w:p>
      <w:pPr>
        <w:spacing w:after="0" w:line="225"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Notwithstanding anything to the contrary contained herein, no Awards shall be granted on or after the tenth anniversary of the adoption of this Plan.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1"/>
    </w:lvl>
    <w:lvl w:ilvl="1">
      <w:lvlJc w:val="left"/>
      <w:lvlText w:val="(%2)"/>
      <w:numFmt w:val="lowerLetter"/>
      <w:start w:val="1"/>
    </w:lvl>
  </w:abstractNum>
  <w:abstractNum w:abstractNumId="11">
    <w:nsid w:val="436C6125"/>
    <w:multiLevelType w:val="hybridMultilevel"/>
    <w:lvl w:ilvl="0">
      <w:lvlJc w:val="left"/>
      <w:lvlText w:val="(%1)"/>
      <w:numFmt w:val="lowerLetter"/>
      <w:start w:val="35"/>
    </w:lvl>
    <w:lvl w:ilvl="1">
      <w:lvlJc w:val="left"/>
      <w:lvlText w:val="%2"/>
      <w:numFmt w:val="lowerLetter"/>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4"/>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4"/>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3"/>
    </w:lvl>
    <w:lvl w:ilvl="1">
      <w:lvlJc w:val="left"/>
      <w:lvlText w:val="(%2)"/>
      <w:numFmt w:val="lowerRoman"/>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2"/>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2020-03-03T15:39:04Z</dcterms:created>
  <dcterms:modified xsi:type="dcterms:W3CDTF">2020-03-03T15:39:04Z</dcterms:modified>
</cp:coreProperties>
</file>