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xml:space="preserve">PURSUANT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b w:val="1"/>
          <w:bCs w:val="1"/>
          <w:color w:val="auto"/>
        </w:rPr>
        <w:t xml:space="preserve">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March 2025</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No. 001-38505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 Unit 1000, 10th Floor, Millennium City III</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370 Kwun Tong Road, Kwun Tong, Kowloon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(852) 37073600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42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March 5, 2025, CLPS Inc. (the “Company”) issued a press release announcing its financial results for the six months ended December 31, 2024, or the first half of the Company’s fiscal year 2025. A copy of this press release is filed as Exhibit 99.1 to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Ming Hui Lin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Ming Hui Lin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5,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 Reports Financial Results for the First Half of Fiscal Year 2025</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Hong Kong, March 5, 2025 /PRNewswire/ -- CLPS Incorporation (the “Company” or “CLPS”) (Nasdaq: CLPS), today announced its unaudited financial results for the six months ended December 31, 2024, or the first half of the Company’s fiscal year 2025.</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period marked significant progress for CLPS as we executed our dual-engine strategy of global expansion and industry diversification, balanced with disciplined organic growth. By broadening our geographic reach and penetrating new sectors, we reinforced our core IT services expertise while diversifying revenue streams. To drive sustainable growth, we intensified investments in proprietary product development by establishing the Company’s China Development Center (CDC) and Global Testing Center (GTC). These strategic hubs are dedicated to building technological edge and fostering ecosystem synergies, while leveraging standardized IT solutions to strengthen our competitive position. Ultimately, these efforts have bolstered our market standing and laid the groundwork for sustainable value creation across our global client base and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Half of Fiscal 2025 Highlights (all results compared to the six months ended December 31, 2023)</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15.3% to $82.8 million from $71.8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outside of mainland China increased by 110.4% to $19.0 million from $9.0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by 21.6% to $19.2 million from $15.8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$0.2 million compared to an operating loss of $0.9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$0.2 million compared to a net loss of $1.0 million.</w:t>
      </w:r>
    </w:p>
    <w:p>
      <w:pPr>
        <w:spacing w:after="0" w:line="2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Non-GAAP net income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increased by 31.8% to $2.3 million from $1.7 million.</w:t>
      </w:r>
    </w:p>
    <w:p>
      <w:pPr>
        <w:spacing w:after="0" w:line="77"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employees was 3,642 compared to 3,516.</w:t>
      </w:r>
    </w:p>
    <w:p>
      <w:pPr>
        <w:spacing w:after="0" w:line="2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clients was 277 compared to 225.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Raymond Lin, Chief Executive Officer of CLPS, commented, “Our financial and operational performance for the first half of fiscal year 2025 reflects our commitment to sustainable growth. We achieved meaningful improvements in both our top-line and bottom-line results, driven by our strategic initiatives and the successful execution of our growth plans.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“Internationally, revenue outside of mainland China surged 110.4% year-over-year, demonstrating the success of our investments in high-potential markets, particularly within the Asia Pacific (APAC) region. In North America, the U.S. experienced consistent growth, while initial revenue generation has begun in Canada. By leveraging key synergies from our global footprint, we effectively mitigated single-market exposure and reduced dependency on domestic operations, thereby strengthening our international market position and sustaining the expansion of our market 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“We are equally proud of the progress our subsidiary, JAJI Global Incorporation (JAJI), has made toward its Nasdaq IPO, a strategic milestone that will unlock value and amplify our global brand. This listing will allow JAJI to pursue focused growth strategies while maintaining strong strategic alignment with our core objectives.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“Innovation remains central to our client value proposition. Our five core engines, including AI, low-code platforms, RPA, cloud computing, and big data —are powering transformative initiatives. We build solutions that create a cycle of growth for our clients’ specific needs, helping them cut costs and enhance efficiency. Supporting this effort, we established the CLPS AI Innovation Committee, a dedicated team tasked with advancing our AI application initiatives and ensuring we remain at the forefront of technological advancements. A standout example of our innovation in action is the launch of our next-generation RPA product, Nibot, which is already gaining market traction and revolutionizing automation for businesses seeking to streamline operations, enhance productivity, and improve resource allocation.</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remain focused on our mission to deliver innovative, professional IT services that generate significant benefits for all of our stakeholders. This period has set a strong foundation for continued growth, and we are confident in our ability to capitalize on the opportunities ahead.”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Ms. Rui Yang, Chief Financial Officer of CLPS, said, “Our financial performance for the first half of fiscal year 2025 underscores our commitment to delivering shareholder value and maintaining a robust financial position.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navigating a complex and challenging macroeconomic environment, we are proud to have delivered improved financial results. Revenue grew by 15.3% year-over-year, and gross margin expanded to 23.1%, up from 21.9% in the prior year period. Notably, we achieved a turnaround in profitability, reporting a net income of $0.2 million compared to a net loss of $1.0 million in the prior year period.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November 2024, we distributed a special cash dividend of $0.13 per share, reflecting our confidence in the Company’s financial stability and our dedication to rewarding shareholders.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prioritize operational efficiency, optimize the return on our technological innovation investments, and upgrade our high-value business structure to secure steady financial results going forward.”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Half of Fiscal Year 2025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half of fiscal 2025, revenues increased by $11.0 million, or 15.3%, to $82.8 million from $71.8 million in the prior year period. The increase was primarily due to the increased in revenue from IT consulting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Service</w:t>
      </w:r>
    </w:p>
    <w:p>
      <w:pPr>
        <w:spacing w:after="0" w:line="227" w:lineRule="exact"/>
        <w:rPr>
          <w:sz w:val="20"/>
          <w:szCs w:val="20"/>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IT consulting services increased by $10.6 million, or 15.2%, to $80.1 million in the first half of fiscal year 2025 from $69.5 million in the prior year period. Revenue from IT consulting services accounted for 96.7% of total revenue compared to 96.8% in the prior year period. The increase was primarily due to a growth in client base and the successful execution of our global expansion strategy.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customized IT solution services decreased by $0.3 million, or 22.5%, to $0.9 million in the first half of fiscal year 2025 from $1.2 million in the prior year period. Revenue from customized IT solution services accounted for 1.1% of total revenue compared to 1.7% in the prior year period. The decrease was primarily due to some existing clients’ budget optimization efforts, which resulted in decreased demand.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academic education services was $1.1 million, as a result of the acquisition of College of Allied Educators Pte. Ltd.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other services decreased by $0.3 million, or 34.7%, to $0.7 million in the first half of fiscal year 2025 from $1.0 million in the prior year period. Revenue from other services accounted for 0.8% of total revenue compared to 1.5% in the prior year period. The decrease was primarily due to the decrease in revenue from IT product sales and head hunting services.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Operational Areas</w:t>
      </w:r>
    </w:p>
    <w:p>
      <w:pPr>
        <w:spacing w:after="0" w:line="227" w:lineRule="exact"/>
        <w:rPr>
          <w:sz w:val="20"/>
          <w:szCs w:val="20"/>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banking area increased by $4.9 million, or 17.0%, to $33.5 million in the first half of fiscal year 2025 from $28.6 million in the prior year period. Revenue from banking area accounted for 40.4% and 39.9% of total revenues in the first half of fiscal 2025 and 2024, respectively.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wealth management area decreased by $3.2 million, or 17.3%, to $15.4 million in the first half of fiscal year 2025 from $18.6 million in the prior year period. Revenue from wealth management area accounted for 18.6% and 25.9% of total revenues in the first half of fiscal 2025 and 2024, respectively.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e-Commerce area increased by $3.9 million, or 36.2%, to $14.9 million in the first half of fiscal year 2025 from $11.0 million in the prior year period. Revenue from e-Commerce area accounted for 18.0% and 15.3% of total revenues in the first half of fiscal 2025 and 2024, respectively.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automotive area increased by $2.0 million, or 27.1%, to $9.2 million in the first half of fiscal year 2025 from $7.2 million in the prior year period. Revenue from automotive area accounted for 11.1% and 10.1% of total revenues in the first half of fiscal 2025 and 2024,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Geography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generated outside of mainland China increased by 110.4% to $19.0 million in the first half of fiscal year 2025 from $9.0 million in the prior year period. The increase was primarily due to the strong operational performance in the APAC region, notably in Singapore and Hong Kong SAR.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Gross profit increased by $3.4 million, or 21.6%, to $19.2 million in the first half of fiscal 2025 compared to $15.8 million in the prior year period. Gross margin increased to 23.1% in the first half of fiscal 2025 compared to 21.9% in the prior year period. The increase was primarily due to an increase in total revenue and our efforts to control cost of revenue’s growth rate.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marketing expenses decreased by $0.2 million, or 10.0%, to $2.5 million in the first half of fiscal year 2025 from $2.7 million in the prior year period. As a percentage of total revenues, selling and marketing expenses decreased to 3.0% in the first half of fiscal 2025 compared to 3.8% in the prior year period. The decrease was primarily due to AI-driven automation, workforce optimization, and structural realignment, which reduced redundancies, targeted high-value tasks, and aligned resources with business goals, improving efficiency while lowering expenses.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$0.1 million, or 2.7%, to $3.3 million in the first half of fiscal year 2025 from $3.2 million in the prior year period. As a percentage of total revenues, research and development expenses decreased to 4.0% in the first half of fiscal 2025 compared to 4.5% in the prior year period. The increase was primarily due to the increased R&amp;D personnel-related costs associated with the Company’s ongoing research and development initiatives in cutting-edge technologies and new projects, such as AI-generated content (AIGC), CAKU 2.0, Nibot and a new generation of loan system.</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$2.9 million, or 26.2%, to $14.1 million in the first half of fiscal year 2025 from $11.2 million in the prior year period. As a percentage of total revenues, general and administrative expenses increased to 17.1% in the first half of fiscal 2025 compared to 15.6% in the prior year period. The increase was primarily due to a higher G&amp;A personnel-related costs linked to the establishment of our CDC and GTC, which support our efforts to capture the anticipated growth in demand for customized IT solution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was $0.2 million in the first half of fiscal 2025 compared to $0.9 million operating loss in the same period of the previous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margin was 0.2% in the first half of fiscal 2025 compared to -1.3% in the prior year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other income, net of other expenses was $0.2 million in the first half of fiscal 2025 compared to $0.1 million total other income, net of other expenses in the prior year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Provision for income taxes decreased by $0.07 million to $0.27 million in the first half of fiscal 2025 from $0.34 million in the same period of the previous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and EPS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$0.2 million in the first half of fiscal 2025 compared to $1.0 million net loss in the prior year period.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Non-GAAP net income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increased by $0.6 million, or 31.8%, to $2.3 million in the first half of fiscal year 2025 from $1.7 million in the prior year period.</w:t>
      </w:r>
    </w:p>
    <w:p>
      <w:pPr>
        <w:spacing w:after="0" w:line="135"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Net loss attributable to CLPS Incorporation’s shareholders was $0.4 million, or $0.015 basic and diluted losses per share in the first half of fiscal 2025 compared to a net loss attributable to CLPS Incorporation’s shareholders of $1.5 million, or $0.06 basic and diluted losses per share in the prior year period.</w:t>
      </w:r>
    </w:p>
    <w:p>
      <w:pPr>
        <w:spacing w:after="0" w:line="14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Non-GAAP net income attributable to CLPS Incorporation’s shareholders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was $1.7 million, or $0.06 basic and diluted earnings per share in the first half of fiscal 2025 compared to $1.2 million, or $0.05 basic and diluted earnings per share in the prior year period.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Company had cash and cash equivalents of $35.6 million compared to $29.1 million as of June 30, 2024.</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$7.1 million. Net cash used in investing activities was approximately $1.6 million. Net cash provided by financing activities was approximately $1.1 million. The effect of exchange rate change on cash was approximately negative $0.1 million. The Company believes that its current cash position and cash flow from operations are sufficient to meet its anticipated cash needs for at least the next 12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fiscal year 2025, the Company expects total sales growth to be in the range of approximately 12% to 17% and non-GAAP net income growth in the range of approximately 15% to 20% year-over-year.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forecast reflects the Company’s current and preliminary views, which are subject to change and are subject to risks and uncertainties, including, but not limited to various risks and uncertainties facing the Company’s business and operations as identified in its public filings.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balance sheet amounts with the exception of equity as of December 31, 2024, were translated at 7.2993 RMB to 1.00 USD compared to 7.2672 RMB to 1.00 USD as of June 30, 2024. The equity accounts were stated at their historical rate. The average translation rates applied to the income statements accounts for the periods ended December 31, 2024 and 2023 were 7.1767 RMB to 1.00 USD and 7.2347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CLPS Incorporation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Headquartered in Hong Kong, CLPS Incorporation is a leading global information technology (“IT”) consulting and solutions service provider, primarily focused on serving global institutions in the banking, wealth management, e-commerce, and automotive sectors. As an IT services provider for a growing network of clients within the fintech and financial services industry, CLPS has expanded its business beyond core IT services, venturing into the loan, e-commerce, academic education, and tourism sectors. Through its diversified offerings, CLPS is committed to providing comprehensive services and solutions for its clients. The Company maintains 19 delivery and/or research &amp; development centers to serve different customers in various geographic locations. Mainland China centers are located in Shanghai, Beijing, Dalian, Tianjin, Xi’an, Chengdu, Guangzhou, Shenzhen, Hangzhou, and Hainan. The remaining 9 global centers are located in Hong Kong SAR, USA, Japan, Singapore, Malaysia, India, Philippines, Canada, and UAE. For further information regarding the Company, please visit: https://ir.clpsglobal.com/, or follow CLPS on Facebook, Instagram, LinkedIn, X (formerly Twitter), and YouTube.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 statements made in this press release are “forward-looking statements” within the meaning and protections of Section 27A of the Securities Act of 1933, as amended, and Section 21E of the Securities Exchange Act of 1934, as amended. Forward-looking statements include statements with respect to the Company’s beliefs, plans, objectives, goals, expectations, anticipations, assumptions, estimates, intentions, and future performance, and involve known and unknown risks, uncertainties and other factors, which may be beyond the Company’s control, and which may cause the actual results, performance, capital, ownership or achievements of the Company to be materially different from future results, performance or achievements expressed or implied by such forward-looking statements. All such statements attributable to us are expressly qualified in their entirety by this cautionary notice, including, without limitation, those risks and uncertainties related to the Company’s financial and operational performance in the first half of fiscal year 2025, its expectations of the Company’s future performance, its preliminary outlook and guidance offered in this presentation, as well as the risks and uncertainties described in the Company’s most recently filed SEC reports and filings. Such reports are available upon request from the Company, or from the Securities and Exchange Commission, including through the SEC’s Internet website at http://www.sec.gov. We have no obligation and do not undertake to update, revise or correct any of the forward-looking statements after the date hereof, or after the respective dates on which any such statements otherwise are made.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consolidated financial information is prepared in conformity with accounting principles generally accepted in the United States of America (“U.S. GAAP”), except that the consolidated statement of changes in shareholders’ equity, consolidated statements of cash flows, and the detailed notes have not been presented. The Company uses non-GAAP cost of revenues, non-GAAP selling and marketing expenses, non-GAAP general and administrative expenses, non-GAAP operating income, non-GAAP operating margin, non-GAAP net income, non-GAAP net income attributable to CLPS Incorporation’s shareholders, and basic and diluted non-GAAP net income per share, which are non-GAAP financial measures. Non-GAAP cost of revenues is cost of revenue excluding share-based compensation expenses. Non-GAAP selling and marketing expenses is selling and marketing expenses excluding share-based compensation expenses. Non-GAAP general and administrative expenses is general and administrative expenses excluding share-based compensation expenses. Non-GAAP operating income is operating income excluding share-based compensation expenses. Non-GAAP operating margin is non-GAAP operating income as a percentage of revenues. Non-GAAP net income is net income excluding share-based compensation expenses. Non-GAAP net income attributable to CLPS Incorporation’s shareholders is net income attributable to CLPS Incorporation’s shareholders excluding share-based compensation expenses. Basic and diluted non-GAAP net income per share is non-GAAP net income attributable to common shareholders divided by weighted average number of shares used in the calculation of basic and diluted net income per share. The Company believes that separate analysis and exclusion of the non-cash impact of share-based compensation expenses clarity to the constituent parts of its performance. The Company reviews these non-GAAP financial measures together with GAAP financial measures to obtain a better understanding of its operating performance. It uses the non-GAAP financial measure for planning, forecasting and measuring results against the forecast. The Company believes that non-GAAP financial measure is useful supplemental information for investors and analysts to assess its operating performance without the effect of non-cash share-based compensation expenses, which have been and will continue to be significant recurring expenses in its business. However, the use of non-GAAP financial measures has material limitations as an analytical tool. One of the limitations of using non-GAAP financial measures is that they do not include all items that impact the Company’s net income for the period. In addition, because non-GAAP financial measures are not measured in the same manner by all companies, they may not be comparable to other similar titled measures used by other companies. In light of the foregoing limitations, you should not consider non-GAAP financial measure in isolation from or as an alternative to the financial measure prepared in accordance with U.S. GAAP.</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presentation of these non-GAAP financial measures is not intended to be considered in isolation from, or as a substitute for, the financial information prepared and presented in accordance with U.S. GAAP. The Company encourages investors to carefully consider its results under GAAP, as well as its supplemental non-GAAP information and the reconciliation between these presentations, to more fully understand its business. For more information on these non-GAAP financial measures, please see the table captioned “Unaudited Reconciliation of Non-GAAP and GAAP Results” near the end of this release.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Rhon Galicha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+86-182-2192-5378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ir@clpsglobal.com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7" w:lineRule="exact"/>
        <w:rPr>
          <w:sz w:val="20"/>
          <w:szCs w:val="20"/>
          <w:color w:val="auto"/>
        </w:rPr>
      </w:pPr>
    </w:p>
    <w:p>
      <w:pPr>
        <w:ind w:left="340" w:right="2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is a non-GAAP financial measure, which is defined as net income excluding share-based compensation expenses. Please refer to the section titled "Unaudited Reconciliation of Non-GAAP and GAAP Results" for details.</w:t>
      </w:r>
    </w:p>
    <w:p>
      <w:pPr>
        <w:spacing w:after="0" w:line="162" w:lineRule="exact"/>
        <w:rPr>
          <w:sz w:val="20"/>
          <w:szCs w:val="20"/>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attributable to CLPS Incorporation’s shareholders is a non-GAAP financial measure, which is defined as net income attributable to CLPS Incorporation’s shareholders excluding share-based compensation expenses. Please refer to the section titled “Unaudited Reconciliation of Non-GAAP and GAAP Results” for details.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CLPS INCORPORATION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9"/>
              </w:rPr>
              <w:t>(Amounts in U.S. dollars (“$”), except for number of shares)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34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16"/>
                <w:szCs w:val="16"/>
                <w:color w:val="auto"/>
              </w:rPr>
            </w:pPr>
          </w:p>
        </w:tc>
        <w:tc>
          <w:tcPr>
            <w:tcW w:w="98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40" w:type="dxa"/>
            <w:vAlign w:val="bottom"/>
          </w:tcPr>
          <w:p>
            <w:pPr>
              <w:spacing w:after="0"/>
              <w:rPr>
                <w:sz w:val="21"/>
                <w:szCs w:val="21"/>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0" w:type="dxa"/>
            <w:vAlign w:val="bottom"/>
          </w:tcPr>
          <w:p>
            <w:pPr>
              <w:spacing w:after="0"/>
              <w:rPr>
                <w:sz w:val="1"/>
                <w:szCs w:val="1"/>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35,626,137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29,116,431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24,081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1,643,691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40,394,147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38,779,209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deposits and other assets,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4,285,476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4,497,578</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4,899,451</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3,559,109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86,848,902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78,076,408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20,972,905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21,168,524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2,067,127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2,254,372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3,430,925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2,776,858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1,462,032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1,473,899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692,385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613,807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deposits and other assets,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1,005,886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594,603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2,270,249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2,374,298</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666,720</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697,047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119,417,131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110,029,816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loans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27,949,778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23,232,856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1,548,917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949,137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397,767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799,495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Tax payables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1,906,938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2,351,615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3,015,923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1,139,001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benefits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13,285,958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9,941,541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1,853,798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1,361,928</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20,324</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20,230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49,979,403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39,795,803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1,846,777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1,638,243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354,649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378,344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3,696,355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3,413,850</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880,076</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883,963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56,757,260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46,110,203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27,986,235 shares issued and outstanding as of</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2024; 25,640,056 shares issued and outstanding as of June 30, 2024</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2,799</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59,815,077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61,351,200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5,761,656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5,553,104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(650,193)</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(51,728)</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losses</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(4,238,666)</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(4,345,902)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CLPS Incorporation’s Shareholders’ Equity</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60,690,673</w:t>
            </w: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62,509,238</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1,969,198</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1,410,375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62,659,871</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63,919,613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119,417,131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110,029,816</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jc w:val="center"/>
              <w:ind w:left="2470"/>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96"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CONSOLIDATED STATEMENT OF INCOME AND COMPREHENSIVE INCOME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 except for number of shares)</w:t>
      </w:r>
    </w:p>
    <w:p>
      <w:pPr>
        <w:spacing w:after="0" w:line="225"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7"/>
          <w:szCs w:val="17"/>
          <w:b w:val="1"/>
          <w:bCs w:val="1"/>
          <w:color w:val="auto"/>
        </w:rPr>
        <w:t>For the six months ended</w:t>
      </w:r>
    </w:p>
    <w:p>
      <w:pPr>
        <w:spacing w:after="0" w:line="43"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19685</wp:posOffset>
            </wp:positionV>
            <wp:extent cx="156019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Cost of revenues (note 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325" w:hanging="325"/>
        <w:spacing w:after="0"/>
        <w:tabs>
          <w:tab w:leader="none" w:pos="32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82,777,520   $  71,774,201</w:t>
      </w:r>
    </w:p>
    <w:p>
      <w:pPr>
        <w:spacing w:after="0" w:line="31" w:lineRule="exact"/>
        <w:rPr>
          <w:rFonts w:ascii="Times New Roman" w:cs="Times New Roman" w:eastAsia="Times New Roman" w:hAnsi="Times New Roman"/>
          <w:sz w:val="18"/>
          <w:szCs w:val="18"/>
          <w:b w:val="1"/>
          <w:bCs w:val="1"/>
          <w:color w:val="auto"/>
        </w:rPr>
      </w:pPr>
    </w:p>
    <w:p>
      <w:pPr>
        <w:ind w:left="265"/>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(63,622,547)(56,024,043)</w:t>
      </w:r>
    </w:p>
    <w:p>
      <w:pPr>
        <w:spacing w:after="0" w:line="27" w:lineRule="exact"/>
        <w:rPr>
          <w:rFonts w:ascii="Times New Roman" w:cs="Times New Roman" w:eastAsia="Times New Roman" w:hAnsi="Times New Roman"/>
          <w:sz w:val="18"/>
          <w:szCs w:val="18"/>
          <w:b w:val="1"/>
          <w:bCs w:val="1"/>
          <w:color w:val="auto"/>
        </w:rPr>
      </w:pPr>
    </w:p>
    <w:p>
      <w:pPr>
        <w:ind w:left="325"/>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19,154,97315,750,158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-5502910</wp:posOffset>
            </wp:positionH>
            <wp:positionV relativeFrom="paragraph">
              <wp:posOffset>-416560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-5502910</wp:posOffset>
            </wp:positionH>
            <wp:positionV relativeFrom="paragraph">
              <wp:posOffset>-133985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55" w:space="720"/>
            <w:col w:w="2565"/>
          </w:cols>
          <w:pgMar w:left="320" w:top="900" w:right="339" w:bottom="1440" w:gutter="0" w:footer="0" w:header="0"/>
          <w:type w:val="continuous"/>
        </w:sectPr>
      </w:pP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 (note 1)</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2,452,957</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2,724,226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3,281,877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3,194,918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(note 1)</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14,115,055</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11,184,626</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Subsidies and other operating income</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(853,986)</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(437,598)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18,995,903</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16,666,172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159,070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(916,014)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585,266</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308,017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(371,032)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(198,043)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 and share of income (loss) in equity investees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373,304</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(806,040)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267,790</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337,563</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(loss) before share of income in equity investees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105,514</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(1,143,603)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 in equity investees, net of tax</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77,505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150,148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183,019</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(993,455)</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572,932</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494,080</w:t>
            </w:r>
          </w:p>
        </w:tc>
        <w:tc>
          <w:tcPr>
            <w:tcW w:w="0" w:type="dxa"/>
            <w:vAlign w:val="bottom"/>
          </w:tcPr>
          <w:p>
            <w:pPr>
              <w:spacing w:after="0"/>
              <w:rPr>
                <w:sz w:val="1"/>
                <w:szCs w:val="1"/>
                <w:color w:val="auto"/>
              </w:rPr>
            </w:pPr>
          </w:p>
        </w:tc>
      </w:tr>
      <w:tr>
        <w:trPr>
          <w:trHeight w:val="278"/>
        </w:trPr>
        <w:tc>
          <w:tcPr>
            <w:tcW w:w="8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CLPS Incorporation’s shareholders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(389,913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(1,487,535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income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93,127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905,532</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foreign currency translation (loss) income attributable to noncontrolling interest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(14,109)</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31,873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attributable to CLPS Incorporation’s shareholders</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107,236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873,659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CLPS Incorporation’s shareholders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(282,677)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(613,876)</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558,823</w:t>
            </w:r>
          </w:p>
        </w:tc>
        <w:tc>
          <w:tcPr>
            <w:tcW w:w="20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525,953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276,146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(87,923</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(0.015)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 outstanding – basic</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26,859,936</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24,814,349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Diluted loss per common share</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 outstanding – diluted</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26,859,936</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24,814,349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Note:</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(1) Includes share-based compensation expenses as follows: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5,306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5,809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89,652</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192,947</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2,011,255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2,532,137</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2,106,213</w:t>
            </w:r>
          </w:p>
        </w:tc>
        <w:tc>
          <w:tcPr>
            <w:tcW w:w="200" w:type="dxa"/>
            <w:vAlign w:val="bottom"/>
          </w:tcPr>
          <w:p>
            <w:pPr>
              <w:spacing w:after="0"/>
              <w:rPr>
                <w:sz w:val="21"/>
                <w:szCs w:val="21"/>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2,730,893</w:t>
            </w:r>
          </w:p>
        </w:tc>
        <w:tc>
          <w:tcPr>
            <w:tcW w:w="0" w:type="dxa"/>
            <w:vAlign w:val="bottom"/>
          </w:tcPr>
          <w:p>
            <w:pPr>
              <w:spacing w:after="0"/>
              <w:rPr>
                <w:sz w:val="1"/>
                <w:szCs w:val="1"/>
                <w:color w:val="auto"/>
              </w:rPr>
            </w:pPr>
          </w:p>
        </w:tc>
      </w:tr>
      <w:tr>
        <w:trPr>
          <w:trHeight w:val="21"/>
        </w:trPr>
        <w:tc>
          <w:tcPr>
            <w:tcW w:w="86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20" w:type="dxa"/>
            <w:vAlign w:val="bottom"/>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w w:val="99"/>
              </w:rPr>
              <w:t>CLPS INCORPORATION</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UNAUDITED RECONCILIATION OF NON-GAAP AND GAAP RESULTS</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20" w:type="dxa"/>
            <w:vAlign w:val="bottom"/>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w w:val="99"/>
              </w:rPr>
              <w:t>(Amounts in U.S. dollars (“$”), except for number of shares)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45"/>
        </w:trPr>
        <w:tc>
          <w:tcPr>
            <w:tcW w:w="8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5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(63,622,547)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(56,024,043)</w:t>
            </w:r>
          </w:p>
        </w:tc>
        <w:tc>
          <w:tcPr>
            <w:tcW w:w="0" w:type="dxa"/>
            <w:vAlign w:val="bottom"/>
          </w:tcPr>
          <w:p>
            <w:pPr>
              <w:spacing w:after="0"/>
              <w:rPr>
                <w:sz w:val="1"/>
                <w:szCs w:val="1"/>
                <w:color w:val="auto"/>
              </w:rPr>
            </w:pPr>
          </w:p>
        </w:tc>
      </w:tr>
      <w:tr>
        <w:trPr>
          <w:trHeight w:val="237"/>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Less: share-based compensation expenses</w:t>
            </w:r>
          </w:p>
        </w:tc>
        <w:tc>
          <w:tcPr>
            <w:tcW w:w="160" w:type="dxa"/>
            <w:vAlign w:val="bottom"/>
          </w:tcPr>
          <w:p>
            <w:pPr>
              <w:spacing w:after="0"/>
              <w:rPr>
                <w:sz w:val="20"/>
                <w:szCs w:val="20"/>
                <w:color w:val="auto"/>
              </w:rPr>
            </w:pP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(5,306)</w:t>
            </w:r>
          </w:p>
        </w:tc>
        <w:tc>
          <w:tcPr>
            <w:tcW w:w="160" w:type="dxa"/>
            <w:vAlign w:val="bottom"/>
          </w:tcPr>
          <w:p>
            <w:pPr>
              <w:spacing w:after="0"/>
              <w:rPr>
                <w:sz w:val="20"/>
                <w:szCs w:val="20"/>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(5,809)</w:t>
            </w:r>
          </w:p>
        </w:tc>
        <w:tc>
          <w:tcPr>
            <w:tcW w:w="0" w:type="dxa"/>
            <w:vAlign w:val="bottom"/>
          </w:tcPr>
          <w:p>
            <w:pPr>
              <w:spacing w:after="0"/>
              <w:rPr>
                <w:sz w:val="1"/>
                <w:szCs w:val="1"/>
                <w:color w:val="auto"/>
              </w:rPr>
            </w:pPr>
          </w:p>
        </w:tc>
      </w:tr>
      <w:tr>
        <w:trPr>
          <w:trHeight w:val="223"/>
        </w:trPr>
        <w:tc>
          <w:tcPr>
            <w:tcW w:w="8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cost of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(63,617,241</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(56,018,234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(2,452,957)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(2,724,226)</w:t>
            </w:r>
          </w:p>
        </w:tc>
        <w:tc>
          <w:tcPr>
            <w:tcW w:w="0" w:type="dxa"/>
            <w:vAlign w:val="bottom"/>
          </w:tcPr>
          <w:p>
            <w:pPr>
              <w:spacing w:after="0"/>
              <w:rPr>
                <w:sz w:val="1"/>
                <w:szCs w:val="1"/>
                <w:color w:val="auto"/>
              </w:rPr>
            </w:pPr>
          </w:p>
        </w:tc>
      </w:tr>
      <w:tr>
        <w:trPr>
          <w:trHeight w:val="23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Less: share-based compensation expenses</w:t>
            </w:r>
          </w:p>
        </w:tc>
        <w:tc>
          <w:tcPr>
            <w:tcW w:w="160" w:type="dxa"/>
            <w:vAlign w:val="bottom"/>
          </w:tcPr>
          <w:p>
            <w:pPr>
              <w:spacing w:after="0"/>
              <w:rPr>
                <w:sz w:val="20"/>
                <w:szCs w:val="20"/>
                <w:color w:val="auto"/>
              </w:rPr>
            </w:pP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(89,652)</w:t>
            </w:r>
          </w:p>
        </w:tc>
        <w:tc>
          <w:tcPr>
            <w:tcW w:w="160" w:type="dxa"/>
            <w:vAlign w:val="bottom"/>
          </w:tcPr>
          <w:p>
            <w:pPr>
              <w:spacing w:after="0"/>
              <w:rPr>
                <w:sz w:val="20"/>
                <w:szCs w:val="20"/>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(192,947)</w:t>
            </w:r>
          </w:p>
        </w:tc>
        <w:tc>
          <w:tcPr>
            <w:tcW w:w="0" w:type="dxa"/>
            <w:vAlign w:val="bottom"/>
          </w:tcPr>
          <w:p>
            <w:pPr>
              <w:spacing w:after="0"/>
              <w:rPr>
                <w:sz w:val="1"/>
                <w:szCs w:val="1"/>
                <w:color w:val="auto"/>
              </w:rPr>
            </w:pPr>
          </w:p>
        </w:tc>
      </w:tr>
      <w:tr>
        <w:trPr>
          <w:trHeight w:val="216"/>
        </w:trPr>
        <w:tc>
          <w:tcPr>
            <w:tcW w:w="8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selling and marketing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(2,363,305)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(2,531,279)</w:t>
            </w:r>
          </w:p>
        </w:tc>
        <w:tc>
          <w:tcPr>
            <w:tcW w:w="0" w:type="dxa"/>
            <w:vAlign w:val="bottom"/>
          </w:tcPr>
          <w:p>
            <w:pPr>
              <w:spacing w:after="0"/>
              <w:rPr>
                <w:sz w:val="1"/>
                <w:szCs w:val="1"/>
                <w:color w:val="auto"/>
              </w:rPr>
            </w:pPr>
          </w:p>
        </w:tc>
      </w:tr>
      <w:tr>
        <w:trPr>
          <w:trHeight w:val="216"/>
        </w:trPr>
        <w:tc>
          <w:tcPr>
            <w:tcW w:w="8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(14,115,055)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(11,184,626)</w:t>
            </w:r>
          </w:p>
        </w:tc>
        <w:tc>
          <w:tcPr>
            <w:tcW w:w="0" w:type="dxa"/>
            <w:vAlign w:val="bottom"/>
          </w:tcPr>
          <w:p>
            <w:pPr>
              <w:spacing w:after="0"/>
              <w:rPr>
                <w:sz w:val="1"/>
                <w:szCs w:val="1"/>
                <w:color w:val="auto"/>
              </w:rPr>
            </w:pPr>
          </w:p>
        </w:tc>
      </w:tr>
      <w:tr>
        <w:trPr>
          <w:trHeight w:val="249"/>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share-based compensation expenses</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(2,011,255)</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(2,532,137)</w:t>
            </w:r>
          </w:p>
        </w:tc>
        <w:tc>
          <w:tcPr>
            <w:tcW w:w="0" w:type="dxa"/>
            <w:vAlign w:val="bottom"/>
          </w:tcPr>
          <w:p>
            <w:pPr>
              <w:spacing w:after="0"/>
              <w:rPr>
                <w:sz w:val="1"/>
                <w:szCs w:val="1"/>
                <w:color w:val="auto"/>
              </w:rPr>
            </w:pPr>
          </w:p>
        </w:tc>
      </w:tr>
      <w:tr>
        <w:trPr>
          <w:trHeight w:val="210"/>
        </w:trPr>
        <w:tc>
          <w:tcPr>
            <w:tcW w:w="85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Non-GAAP general and administrative expenses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(12,103,800</w:t>
            </w:r>
          </w:p>
        </w:tc>
        <w:tc>
          <w:tcPr>
            <w:tcW w:w="3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(8,652,489</w:t>
            </w:r>
          </w:p>
        </w:tc>
        <w:tc>
          <w:tcPr>
            <w:tcW w:w="2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159,070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(916,014)</w:t>
            </w:r>
          </w:p>
        </w:tc>
        <w:tc>
          <w:tcPr>
            <w:tcW w:w="0" w:type="dxa"/>
            <w:vAlign w:val="bottom"/>
          </w:tcPr>
          <w:p>
            <w:pPr>
              <w:spacing w:after="0"/>
              <w:rPr>
                <w:sz w:val="1"/>
                <w:szCs w:val="1"/>
                <w:color w:val="auto"/>
              </w:rPr>
            </w:pPr>
          </w:p>
        </w:tc>
      </w:tr>
      <w:tr>
        <w:trPr>
          <w:trHeight w:val="250"/>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2,106,213</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2,730,893</w:t>
            </w:r>
          </w:p>
        </w:tc>
        <w:tc>
          <w:tcPr>
            <w:tcW w:w="0" w:type="dxa"/>
            <w:vAlign w:val="bottom"/>
          </w:tcPr>
          <w:p>
            <w:pPr>
              <w:spacing w:after="0"/>
              <w:rPr>
                <w:sz w:val="1"/>
                <w:szCs w:val="1"/>
                <w:color w:val="auto"/>
              </w:rPr>
            </w:pPr>
          </w:p>
        </w:tc>
      </w:tr>
      <w:tr>
        <w:trPr>
          <w:trHeight w:val="210"/>
        </w:trPr>
        <w:tc>
          <w:tcPr>
            <w:tcW w:w="85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2,265,283</w:t>
            </w:r>
          </w:p>
        </w:tc>
        <w:tc>
          <w:tcPr>
            <w:tcW w:w="3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1,814,879</w:t>
            </w:r>
          </w:p>
        </w:tc>
        <w:tc>
          <w:tcPr>
            <w:tcW w:w="22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60" w:type="dxa"/>
            <w:vAlign w:val="bottom"/>
          </w:tcPr>
          <w:p>
            <w:pPr>
              <w:spacing w:after="0"/>
              <w:rPr>
                <w:sz w:val="18"/>
                <w:szCs w:val="18"/>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0"/>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85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Non-GAAP operating margin</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w:t>
            </w:r>
          </w:p>
        </w:tc>
        <w:tc>
          <w:tcPr>
            <w:tcW w:w="3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183,019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(993,455)</w:t>
            </w:r>
          </w:p>
        </w:tc>
        <w:tc>
          <w:tcPr>
            <w:tcW w:w="0" w:type="dxa"/>
            <w:vAlign w:val="bottom"/>
          </w:tcPr>
          <w:p>
            <w:pPr>
              <w:spacing w:after="0"/>
              <w:rPr>
                <w:sz w:val="1"/>
                <w:szCs w:val="1"/>
                <w:color w:val="auto"/>
              </w:rPr>
            </w:pPr>
          </w:p>
        </w:tc>
      </w:tr>
      <w:tr>
        <w:trPr>
          <w:trHeight w:val="249"/>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2,106,213</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2,730,893</w:t>
            </w:r>
          </w:p>
        </w:tc>
        <w:tc>
          <w:tcPr>
            <w:tcW w:w="0" w:type="dxa"/>
            <w:vAlign w:val="bottom"/>
          </w:tcPr>
          <w:p>
            <w:pPr>
              <w:spacing w:after="0"/>
              <w:rPr>
                <w:sz w:val="1"/>
                <w:szCs w:val="1"/>
                <w:color w:val="auto"/>
              </w:rPr>
            </w:pPr>
          </w:p>
        </w:tc>
      </w:tr>
      <w:tr>
        <w:trPr>
          <w:trHeight w:val="210"/>
        </w:trPr>
        <w:tc>
          <w:tcPr>
            <w:tcW w:w="85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Non-GAAP 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2,289,232</w:t>
            </w:r>
          </w:p>
        </w:tc>
        <w:tc>
          <w:tcPr>
            <w:tcW w:w="3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1,737,438</w:t>
            </w:r>
          </w:p>
        </w:tc>
        <w:tc>
          <w:tcPr>
            <w:tcW w:w="22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CLPS Incorporation’s shareholders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(389,913)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(1,487,535)</w:t>
            </w:r>
          </w:p>
        </w:tc>
        <w:tc>
          <w:tcPr>
            <w:tcW w:w="0" w:type="dxa"/>
            <w:vAlign w:val="bottom"/>
          </w:tcPr>
          <w:p>
            <w:pPr>
              <w:spacing w:after="0"/>
              <w:rPr>
                <w:sz w:val="1"/>
                <w:szCs w:val="1"/>
                <w:color w:val="auto"/>
              </w:rPr>
            </w:pPr>
          </w:p>
        </w:tc>
      </w:tr>
      <w:tr>
        <w:trPr>
          <w:trHeight w:val="250"/>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2,106,213</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2,730,893</w:t>
            </w:r>
          </w:p>
        </w:tc>
        <w:tc>
          <w:tcPr>
            <w:tcW w:w="0" w:type="dxa"/>
            <w:vAlign w:val="bottom"/>
          </w:tcPr>
          <w:p>
            <w:pPr>
              <w:spacing w:after="0"/>
              <w:rPr>
                <w:sz w:val="1"/>
                <w:szCs w:val="1"/>
                <w:color w:val="auto"/>
              </w:rPr>
            </w:pPr>
          </w:p>
        </w:tc>
      </w:tr>
      <w:tr>
        <w:trPr>
          <w:trHeight w:val="210"/>
        </w:trPr>
        <w:tc>
          <w:tcPr>
            <w:tcW w:w="85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Non-GAAP net income attributable to CLPS Incorporation’s shareholders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1,716,300</w:t>
            </w:r>
          </w:p>
        </w:tc>
        <w:tc>
          <w:tcPr>
            <w:tcW w:w="3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1,243,358</w:t>
            </w:r>
          </w:p>
        </w:tc>
        <w:tc>
          <w:tcPr>
            <w:tcW w:w="22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 outstanding used in computing GAAP and non-GAAP basic earnings</w:t>
            </w:r>
          </w:p>
        </w:tc>
        <w:tc>
          <w:tcPr>
            <w:tcW w:w="160" w:type="dxa"/>
            <w:vAlign w:val="bottom"/>
          </w:tcPr>
          <w:p>
            <w:pPr>
              <w:spacing w:after="0"/>
              <w:rPr>
                <w:sz w:val="18"/>
                <w:szCs w:val="18"/>
                <w:color w:val="auto"/>
              </w:rPr>
            </w:pPr>
          </w:p>
        </w:tc>
        <w:tc>
          <w:tcPr>
            <w:tcW w:w="12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26,859,936</w:t>
            </w: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24,814,349</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basic loss per common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(0.015)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7"/>
        </w:trPr>
        <w:tc>
          <w:tcPr>
            <w:tcW w:w="8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basic earnings per common share</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0.05</w:t>
            </w:r>
          </w:p>
        </w:tc>
        <w:tc>
          <w:tcPr>
            <w:tcW w:w="0" w:type="dxa"/>
            <w:vAlign w:val="bottom"/>
          </w:tcPr>
          <w:p>
            <w:pPr>
              <w:spacing w:after="0"/>
              <w:rPr>
                <w:sz w:val="1"/>
                <w:szCs w:val="1"/>
                <w:color w:val="auto"/>
              </w:rPr>
            </w:pPr>
          </w:p>
        </w:tc>
      </w:tr>
      <w:tr>
        <w:trPr>
          <w:trHeight w:val="21"/>
        </w:trPr>
        <w:tc>
          <w:tcPr>
            <w:tcW w:w="8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 outstanding used in computing GAAP diluted loss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26,859,936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24,814,349</w:t>
            </w:r>
          </w:p>
        </w:tc>
        <w:tc>
          <w:tcPr>
            <w:tcW w:w="0" w:type="dxa"/>
            <w:vAlign w:val="bottom"/>
          </w:tcPr>
          <w:p>
            <w:pPr>
              <w:spacing w:after="0"/>
              <w:rPr>
                <w:sz w:val="1"/>
                <w:szCs w:val="1"/>
                <w:color w:val="auto"/>
              </w:rPr>
            </w:pPr>
          </w:p>
        </w:tc>
      </w:tr>
      <w:tr>
        <w:trPr>
          <w:trHeight w:val="237"/>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 outstanding used in computing non-GAAP diluted earnings</w:t>
            </w:r>
          </w:p>
        </w:tc>
        <w:tc>
          <w:tcPr>
            <w:tcW w:w="160" w:type="dxa"/>
            <w:vAlign w:val="bottom"/>
          </w:tcPr>
          <w:p>
            <w:pPr>
              <w:spacing w:after="0"/>
              <w:rPr>
                <w:sz w:val="20"/>
                <w:szCs w:val="20"/>
                <w:color w:val="auto"/>
              </w:rPr>
            </w:pPr>
          </w:p>
        </w:tc>
        <w:tc>
          <w:tcPr>
            <w:tcW w:w="12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27,343,717</w:t>
            </w:r>
          </w:p>
        </w:tc>
        <w:tc>
          <w:tcPr>
            <w:tcW w:w="16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24,814,477</w:t>
            </w:r>
          </w:p>
        </w:tc>
        <w:tc>
          <w:tcPr>
            <w:tcW w:w="0" w:type="dxa"/>
            <w:vAlign w:val="bottom"/>
          </w:tcPr>
          <w:p>
            <w:pPr>
              <w:spacing w:after="0"/>
              <w:rPr>
                <w:sz w:val="1"/>
                <w:szCs w:val="1"/>
                <w:color w:val="auto"/>
              </w:rPr>
            </w:pPr>
          </w:p>
        </w:tc>
      </w:tr>
      <w:tr>
        <w:trPr>
          <w:trHeight w:val="216"/>
        </w:trPr>
        <w:tc>
          <w:tcPr>
            <w:tcW w:w="8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GAAP diluted loss per common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(0.015)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0.075</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diluted earnings per common share</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0.05</w:t>
            </w:r>
          </w:p>
        </w:tc>
        <w:tc>
          <w:tcPr>
            <w:tcW w:w="0" w:type="dxa"/>
            <w:vAlign w:val="bottom"/>
          </w:tcPr>
          <w:p>
            <w:pPr>
              <w:spacing w:after="0"/>
              <w:rPr>
                <w:sz w:val="1"/>
                <w:szCs w:val="1"/>
                <w:color w:val="auto"/>
              </w:rPr>
            </w:pPr>
          </w:p>
        </w:tc>
      </w:tr>
      <w:tr>
        <w:trPr>
          <w:trHeight w:val="21"/>
        </w:trPr>
        <w:tc>
          <w:tcPr>
            <w:tcW w:w="8520" w:type="dxa"/>
            <w:vAlign w:val="bottom"/>
            <w:vMerge w:val="restart"/>
          </w:tcPr>
          <w:p>
            <w:pPr>
              <w:jc w:val="center"/>
              <w:ind w:left="2630"/>
              <w:spacing w:after="0"/>
              <w:rPr>
                <w:sz w:val="20"/>
                <w:szCs w:val="20"/>
                <w:color w:val="auto"/>
              </w:rPr>
            </w:pPr>
            <w:r>
              <w:rPr>
                <w:rFonts w:ascii="Times New Roman" w:cs="Times New Roman" w:eastAsia="Times New Roman" w:hAnsi="Times New Roman"/>
                <w:sz w:val="18"/>
                <w:szCs w:val="18"/>
                <w:color w:val="auto"/>
                <w:w w:val="88"/>
              </w:rPr>
              <w:t>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5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bullet"/>
      <w:start w:val="1"/>
    </w:lvl>
  </w:abstractNum>
  <w:abstractNum w:abstractNumId="5">
    <w:nsid w:val="2EB141F2"/>
    <w:multiLevelType w:val="hybridMultilevel"/>
    <w:lvl w:ilvl="0">
      <w:lvlJc w:val="left"/>
      <w:lvlText w:val="2"/>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2025-03-05T05:16:21Z</dcterms:created>
  <dcterms:modified xsi:type="dcterms:W3CDTF">2025-03-05T05:16:21Z</dcterms:modified>
</cp:coreProperties>
</file>