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8995-20fa1_clpsincorp.htm"/>
      <w:bookmarkStart w:id="1" w:name="ksea030899520fa1_clpsincorp"/>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20-F/A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REGISTRATION STATEMENT PURSUANT TO SECTION 12(b) OR (g)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ANNUAL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fiscal year ended June 30,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TRANSITION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SHELL COMPANY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____________to 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001-38505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CLPS Incorporation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the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Cayman Islands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 Unit 1000, 10</w:t>
      </w:r>
      <w:r>
        <w:rPr>
          <w:rFonts w:ascii="Times New Roman;Times;Serif" w:hAnsi="Times New Roman;Times;Serif"/>
          <w:b/>
          <w:i w:val="false"/>
          <w:caps w:val="false"/>
          <w:smallCaps w:val="false"/>
          <w:position w:val="7"/>
          <w:sz w:val="16"/>
          <w:sz w:val="20"/>
        </w:rPr>
        <w:t xml:space="preserve">th </w:t>
      </w:r>
      <w:r>
        <w:rPr>
          <w:rFonts w:ascii="Times New Roman;Times;Serif" w:hAnsi="Times New Roman;Times;Serif"/>
          <w:b/>
          <w:i w:val="false"/>
          <w:caps w:val="false"/>
          <w:smallCaps w:val="false"/>
          <w:sz w:val="20"/>
        </w:rPr>
        <w:t>Floor, Millennium City III</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370 Kwun Tong Road, Kwun Tong, Kowloon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Hong Kong SAR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 (852) 37073600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Raymond Ming Hui Lin, Chief Executive Officer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 Unit 1000, 10</w:t>
      </w:r>
      <w:r>
        <w:rPr>
          <w:rFonts w:ascii="Times New Roman;Times;Serif" w:hAnsi="Times New Roman;Times;Serif"/>
          <w:b/>
          <w:i w:val="false"/>
          <w:caps w:val="false"/>
          <w:smallCaps w:val="false"/>
          <w:position w:val="7"/>
          <w:sz w:val="16"/>
          <w:sz w:val="20"/>
        </w:rPr>
        <w:t xml:space="preserve">th </w:t>
      </w:r>
      <w:r>
        <w:rPr>
          <w:rFonts w:ascii="Times New Roman;Times;Serif" w:hAnsi="Times New Roman;Times;Serif"/>
          <w:b/>
          <w:i w:val="false"/>
          <w:caps w:val="false"/>
          <w:smallCaps w:val="false"/>
          <w:sz w:val="20"/>
        </w:rPr>
        <w:t>Floor, Millennium City III</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370 Kwun Tong Road, Kwun Tong, Kowloon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Hong Kong SAR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 (852) 37073600</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295" w:type="dxa"/>
        <w:jc w:val="left"/>
        <w:tblInd w:w="0" w:type="dxa"/>
        <w:tblLayout w:type="fixed"/>
        <w:tblCellMar>
          <w:top w:w="0" w:type="dxa"/>
          <w:left w:w="0" w:type="dxa"/>
          <w:bottom w:w="28" w:type="dxa"/>
          <w:right w:w="0" w:type="dxa"/>
        </w:tblCellMar>
      </w:tblPr>
      <w:tblGrid>
        <w:gridCol w:w="3050"/>
        <w:gridCol w:w="60"/>
        <w:gridCol w:w="1535"/>
        <w:gridCol w:w="60"/>
        <w:gridCol w:w="3590"/>
      </w:tblGrid>
      <w:tr>
        <w:trPr/>
        <w:tc>
          <w:tcPr>
            <w:tcW w:w="3050" w:type="dxa"/>
            <w:tcBorders>
              <w:bottom w:val="single" w:sz="12" w:space="0" w:color="000000"/>
            </w:tcBorders>
            <w:shd w:fill="FFFFFF" w:val="clear"/>
            <w:vAlign w:val="center"/>
          </w:tcPr>
          <w:p>
            <w:pPr>
              <w:pStyle w:val="TableContents"/>
              <w:bidi w:val="0"/>
              <w:spacing w:before="0" w:after="283"/>
              <w:jc w:val="center"/>
              <w:rPr>
                <w:sz w:val="20"/>
              </w:rPr>
            </w:pPr>
            <w:r>
              <w:rPr>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shd w:fill="FFFFFF" w:val="clear"/>
            <w:vAlign w:val="center"/>
          </w:tcPr>
          <w:p>
            <w:pPr>
              <w:pStyle w:val="TableContents"/>
              <w:bidi w:val="0"/>
              <w:spacing w:before="0" w:after="283"/>
              <w:jc w:val="center"/>
              <w:rPr>
                <w:sz w:val="20"/>
              </w:rPr>
            </w:pPr>
            <w:r>
              <w:rPr>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590" w:type="dxa"/>
            <w:tcBorders>
              <w:bottom w:val="single" w:sz="12" w:space="0" w:color="000000"/>
            </w:tcBorders>
            <w:shd w:fill="FFFFFF" w:val="clear"/>
            <w:vAlign w:val="center"/>
          </w:tcPr>
          <w:p>
            <w:pPr>
              <w:pStyle w:val="TableContents"/>
              <w:bidi w:val="0"/>
              <w:spacing w:before="0" w:after="283"/>
              <w:jc w:val="center"/>
              <w:rPr>
                <w:sz w:val="20"/>
              </w:rPr>
            </w:pPr>
            <w:r>
              <w:rPr>
                <w:sz w:val="20"/>
              </w:rPr>
              <w:t>Name of each exchange on which registered</w:t>
            </w:r>
          </w:p>
        </w:tc>
      </w:tr>
      <w:tr>
        <w:trPr/>
        <w:tc>
          <w:tcPr>
            <w:tcW w:w="3050" w:type="dxa"/>
            <w:tcBorders/>
            <w:shd w:fill="CCEEFF" w:val="clear"/>
            <w:tcMar>
              <w:bottom w:w="0" w:type="dxa"/>
            </w:tcMar>
            <w:vAlign w:val="center"/>
          </w:tcPr>
          <w:p>
            <w:pPr>
              <w:pStyle w:val="TableContents"/>
              <w:bidi w:val="0"/>
              <w:spacing w:before="0" w:after="283"/>
              <w:jc w:val="center"/>
              <w:rPr>
                <w:b/>
                <w:sz w:val="20"/>
              </w:rPr>
            </w:pPr>
            <w:r>
              <w:rPr>
                <w:b/>
                <w:sz w:val="20"/>
              </w:rPr>
              <w:t>Common Shares, par value $0.0001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b/>
                <w:sz w:val="20"/>
              </w:rPr>
            </w:pPr>
            <w:r>
              <w:rPr>
                <w:b/>
                <w:sz w:val="20"/>
              </w:rPr>
              <w:t>CLPS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tcBorders/>
            <w:shd w:fill="CCEEFF" w:val="clear"/>
            <w:tcMar>
              <w:bottom w:w="0" w:type="dxa"/>
            </w:tcMar>
            <w:vAlign w:val="center"/>
          </w:tcPr>
          <w:p>
            <w:pPr>
              <w:pStyle w:val="TableContents"/>
              <w:bidi w:val="0"/>
              <w:spacing w:before="0" w:after="283"/>
              <w:jc w:val="center"/>
              <w:rPr>
                <w:b/>
                <w:sz w:val="20"/>
              </w:rPr>
            </w:pPr>
            <w:r>
              <w:rPr>
                <w:b/>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or to be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for which there is a reporting obligation pursuant to Section 15(d)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16, 2026, the issuer had 29,860,906 shares outstanding.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“accelerated filer and large accelerated filer” in Rule 12b-2 of the Exchange Act.</w:t>
      </w:r>
    </w:p>
    <w:p>
      <w:pPr>
        <w:pStyle w:val="TextBody"/>
        <w:bidi w:val="0"/>
        <w:spacing w:before="0" w:after="0"/>
        <w:ind w:left="0" w:right="0" w:firstLine="72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2105"/>
        <w:gridCol w:w="1625"/>
        <w:gridCol w:w="2000"/>
      </w:tblGrid>
      <w:tr>
        <w:trPr/>
        <w:tc>
          <w:tcPr>
            <w:tcW w:w="2105" w:type="dxa"/>
            <w:tcBorders/>
            <w:vAlign w:val="center"/>
          </w:tcPr>
          <w:p>
            <w:pPr>
              <w:pStyle w:val="TableContents"/>
              <w:bidi w:val="0"/>
              <w:spacing w:before="0" w:after="283"/>
              <w:jc w:val="left"/>
              <w:rPr/>
            </w:pPr>
            <w:r>
              <w:rPr/>
              <w:t xml:space="preserve">☐ </w:t>
            </w:r>
            <w:r>
              <w:rPr>
                <w:sz w:val="20"/>
              </w:rPr>
              <w:t>Large accelerated filer</w:t>
            </w:r>
          </w:p>
        </w:tc>
        <w:tc>
          <w:tcPr>
            <w:tcW w:w="1625" w:type="dxa"/>
            <w:tcBorders/>
            <w:vAlign w:val="center"/>
          </w:tcPr>
          <w:p>
            <w:pPr>
              <w:pStyle w:val="TableContents"/>
              <w:bidi w:val="0"/>
              <w:spacing w:before="0" w:after="283"/>
              <w:jc w:val="left"/>
              <w:rPr/>
            </w:pPr>
            <w:r>
              <w:rPr/>
              <w:t xml:space="preserve">☐ </w:t>
            </w:r>
            <w:r>
              <w:rPr>
                <w:sz w:val="20"/>
              </w:rPr>
              <w:t>Accelerated filer</w:t>
            </w:r>
          </w:p>
        </w:tc>
        <w:tc>
          <w:tcPr>
            <w:tcW w:w="2000" w:type="dxa"/>
            <w:tcBorders/>
            <w:vAlign w:val="center"/>
          </w:tcPr>
          <w:p>
            <w:pPr>
              <w:pStyle w:val="TableContents"/>
              <w:bidi w:val="0"/>
              <w:spacing w:before="0" w:after="283"/>
              <w:jc w:val="left"/>
              <w:rPr/>
            </w:pPr>
            <w:r>
              <w:rPr/>
              <w:t xml:space="preserve">☒ </w:t>
            </w:r>
            <w:r>
              <w:rPr>
                <w:sz w:val="20"/>
              </w:rPr>
              <w:t>Non-accelerated filer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806"/>
        <w:gridCol w:w="230"/>
        <w:gridCol w:w="8208"/>
        <w:gridCol w:w="230"/>
        <w:gridCol w:w="486"/>
      </w:tblGrid>
      <w:tr>
        <w:trPr/>
        <w:tc>
          <w:tcPr>
            <w:tcW w:w="245" w:type="dxa"/>
            <w:tcBorders/>
            <w:vAlign w:val="center"/>
          </w:tcPr>
          <w:p>
            <w:pPr>
              <w:pStyle w:val="TableContents"/>
              <w:bidi w:val="0"/>
              <w:spacing w:before="0" w:after="283"/>
              <w:jc w:val="left"/>
              <w:rPr/>
            </w:pPr>
            <w:r>
              <w:rPr/>
              <w:t>☒</w:t>
            </w:r>
          </w:p>
        </w:tc>
        <w:tc>
          <w:tcPr>
            <w:tcW w:w="806" w:type="dxa"/>
            <w:tcBorders/>
            <w:vAlign w:val="center"/>
          </w:tcPr>
          <w:p>
            <w:pPr>
              <w:pStyle w:val="TableContents"/>
              <w:bidi w:val="0"/>
              <w:spacing w:before="0" w:after="283"/>
              <w:jc w:val="left"/>
              <w:rPr>
                <w:sz w:val="20"/>
              </w:rPr>
            </w:pPr>
            <w:r>
              <w:rPr>
                <w:sz w:val="20"/>
              </w:rPr>
              <w:t>US GAAP</w:t>
            </w:r>
          </w:p>
        </w:tc>
        <w:tc>
          <w:tcPr>
            <w:tcW w:w="230" w:type="dxa"/>
            <w:tcBorders/>
            <w:vAlign w:val="center"/>
          </w:tcPr>
          <w:p>
            <w:pPr>
              <w:pStyle w:val="TableContents"/>
              <w:bidi w:val="0"/>
              <w:spacing w:before="0" w:after="283"/>
              <w:jc w:val="left"/>
              <w:rPr/>
            </w:pPr>
            <w:r>
              <w:rPr/>
              <w:t>☐</w:t>
            </w:r>
          </w:p>
        </w:tc>
        <w:tc>
          <w:tcPr>
            <w:tcW w:w="8208" w:type="dxa"/>
            <w:tcBorders/>
            <w:vAlign w:val="center"/>
          </w:tcPr>
          <w:p>
            <w:pPr>
              <w:pStyle w:val="TableContents"/>
              <w:bidi w:val="0"/>
              <w:spacing w:before="0" w:after="283"/>
              <w:jc w:val="left"/>
              <w:rPr>
                <w:sz w:val="20"/>
              </w:rPr>
            </w:pPr>
            <w:r>
              <w:rPr>
                <w:sz w:val="20"/>
              </w:rPr>
              <w:t>International Financial Reporting Standards as issued by the International Accounting Standards Board </w:t>
            </w:r>
          </w:p>
        </w:tc>
        <w:tc>
          <w:tcPr>
            <w:tcW w:w="230" w:type="dxa"/>
            <w:tcBorders/>
            <w:vAlign w:val="center"/>
          </w:tcPr>
          <w:p>
            <w:pPr>
              <w:pStyle w:val="TableContents"/>
              <w:bidi w:val="0"/>
              <w:spacing w:before="0" w:after="283"/>
              <w:jc w:val="center"/>
              <w:rPr/>
            </w:pPr>
            <w:r>
              <w:rPr/>
              <w:t>☐</w:t>
            </w:r>
          </w:p>
        </w:tc>
        <w:tc>
          <w:tcPr>
            <w:tcW w:w="486" w:type="dxa"/>
            <w:tcBorders/>
            <w:vAlign w:val="center"/>
          </w:tcPr>
          <w:p>
            <w:pPr>
              <w:pStyle w:val="TableContents"/>
              <w:bidi w:val="0"/>
              <w:spacing w:before="0" w:after="283"/>
              <w:jc w:val="left"/>
              <w:rPr>
                <w:sz w:val="20"/>
              </w:rPr>
            </w:pPr>
            <w:r>
              <w:rPr>
                <w:sz w:val="20"/>
              </w:rPr>
              <w:t>Other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Item 17  ☐ Item 18</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CLPS Incorporation (the “Company”) is filing this Amendment No. 1 on Form 20-F (“Amendment No. 1”) to amend its Annual Report on Form 20-F for the fiscal year ended June 30, 2026 (the “Original Form 20-F”), which was originally filed with the Securities and Exchange Commission (“SEC”) on October 16, 2026.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No. 1 is being filed solely to provide an updated Exhibit 23.1 (Consent of Ernst &amp; Young Hua Ming LLP) to correct an administrative error in such Exhibit 23.1 in the Original Form 20-F, where the conformed signature of Ernst &amp; Young Hua Ming LLP was inadvertently omitted. The updated consent is included with this Amendment No. 1.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No. 1 speaks as of the date of the Original Form 20-F. Except as described above, the Company has not modified or updated disclosures made in the Original Form 20-F in this Amendment No. 1. Accordingly, this Amendment No. 1 does not reflect events occurring after the filing of the Original Form 20-F or modify or update any disclosures affected by subsequent events.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No. 1 consists of a cover page, this explanatory note, the signature page, Exhibits 12.1, 12.2 and 13.1 (new certifications by the Company’s principal executive officer and principal financial officer as required by Rule 12b-15 under the Securities Exchange Act of 1934, as amended) and the updated Exhibit 23.1.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19. EXHIBITS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filed as part of this Annual Report beginning on page F-1.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7"/>
        <w:gridCol w:w="60"/>
        <w:gridCol w:w="9278"/>
      </w:tblGrid>
      <w:tr>
        <w:trPr/>
        <w:tc>
          <w:tcPr>
            <w:tcW w:w="867"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78"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8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8" w:type="dxa"/>
            <w:tcBorders/>
            <w:tcMar>
              <w:bottom w:w="0" w:type="dxa"/>
            </w:tcMar>
            <w:vAlign w:val="center"/>
          </w:tcPr>
          <w:p>
            <w:pPr>
              <w:pStyle w:val="TableContents"/>
              <w:bidi w:val="0"/>
              <w:spacing w:before="0" w:after="283"/>
              <w:jc w:val="both"/>
              <w:rPr/>
            </w:pPr>
            <w:r>
              <w:rPr/>
              <w:t> </w:t>
            </w:r>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2">
              <w:r>
                <w:rPr>
                  <w:rStyle w:val="InternetLink"/>
                  <w:b/>
                  <w:sz w:val="20"/>
                </w:rPr>
                <w:t>Form of Underwriting Agreement (2).</w:t>
              </w:r>
            </w:hyperlink>
          </w:p>
        </w:tc>
      </w:tr>
      <w:tr>
        <w:trPr/>
        <w:tc>
          <w:tcPr>
            <w:tcW w:w="867" w:type="dxa"/>
            <w:tcBorders/>
            <w:shd w:fill="FFFFFF" w:val="clear"/>
            <w:tcMar>
              <w:bottom w:w="0" w:type="dxa"/>
            </w:tcMar>
            <w:vAlign w:val="center"/>
          </w:tcPr>
          <w:p>
            <w:pPr>
              <w:pStyle w:val="TableContents"/>
              <w:bidi w:val="0"/>
              <w:spacing w:before="0" w:after="283"/>
              <w:jc w:val="left"/>
              <w:rPr>
                <w:b/>
                <w:sz w:val="20"/>
              </w:rPr>
            </w:pPr>
            <w:r>
              <w:rPr>
                <w:b/>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3">
              <w:r>
                <w:rPr>
                  <w:rStyle w:val="InternetLink"/>
                  <w:b/>
                  <w:sz w:val="20"/>
                </w:rPr>
                <w:t>Description of Securities registered under Section 12 of the Exchange Act (4)</w:t>
              </w:r>
            </w:hyperlink>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4">
              <w:r>
                <w:rPr>
                  <w:rStyle w:val="InternetLink"/>
                  <w:b/>
                  <w:sz w:val="20"/>
                </w:rPr>
                <w:t>Memorandum and Articles of Association (1).</w:t>
              </w:r>
            </w:hyperlink>
          </w:p>
        </w:tc>
      </w:tr>
      <w:tr>
        <w:trPr/>
        <w:tc>
          <w:tcPr>
            <w:tcW w:w="867" w:type="dxa"/>
            <w:tcBorders/>
            <w:shd w:fill="FFFFFF" w:val="clear"/>
            <w:tcMar>
              <w:bottom w:w="0" w:type="dxa"/>
            </w:tcMar>
            <w:vAlign w:val="center"/>
          </w:tcPr>
          <w:p>
            <w:pPr>
              <w:pStyle w:val="TableContents"/>
              <w:bidi w:val="0"/>
              <w:spacing w:before="0" w:after="283"/>
              <w:jc w:val="left"/>
              <w:rPr>
                <w:b/>
                <w:sz w:val="20"/>
              </w:rPr>
            </w:pPr>
            <w:r>
              <w:rPr>
                <w:b/>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5">
              <w:r>
                <w:rPr>
                  <w:rStyle w:val="InternetLink"/>
                  <w:b/>
                  <w:sz w:val="20"/>
                </w:rPr>
                <w:t>Specimen Share Certificate (1).</w:t>
              </w:r>
            </w:hyperlink>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6">
              <w:r>
                <w:rPr>
                  <w:rStyle w:val="InternetLink"/>
                  <w:b/>
                  <w:sz w:val="20"/>
                </w:rPr>
                <w:t>2023 Equity Incentive Plan (6)</w:t>
              </w:r>
            </w:hyperlink>
          </w:p>
        </w:tc>
      </w:tr>
      <w:tr>
        <w:trPr/>
        <w:tc>
          <w:tcPr>
            <w:tcW w:w="867" w:type="dxa"/>
            <w:tcBorders/>
            <w:shd w:fill="FFFFFF" w:val="clear"/>
            <w:tcMar>
              <w:bottom w:w="0" w:type="dxa"/>
            </w:tcMar>
            <w:vAlign w:val="center"/>
          </w:tcPr>
          <w:p>
            <w:pPr>
              <w:pStyle w:val="TableContents"/>
              <w:bidi w:val="0"/>
              <w:spacing w:before="0" w:after="283"/>
              <w:jc w:val="left"/>
              <w:rPr>
                <w:b/>
                <w:sz w:val="20"/>
              </w:rPr>
            </w:pPr>
            <w:r>
              <w:rPr>
                <w:b/>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7">
              <w:r>
                <w:rPr>
                  <w:rStyle w:val="InternetLink"/>
                  <w:b/>
                  <w:sz w:val="20"/>
                </w:rPr>
                <w:t>Form Independent Director Agreement (1).</w:t>
              </w:r>
            </w:hyperlink>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8">
              <w:r>
                <w:rPr>
                  <w:rStyle w:val="InternetLink"/>
                  <w:b/>
                  <w:sz w:val="20"/>
                </w:rPr>
                <w:t>Employment Agreement between the Company and Xiao Feng Yang (1).</w:t>
              </w:r>
            </w:hyperlink>
          </w:p>
        </w:tc>
      </w:tr>
      <w:tr>
        <w:trPr/>
        <w:tc>
          <w:tcPr>
            <w:tcW w:w="867" w:type="dxa"/>
            <w:tcBorders/>
            <w:shd w:fill="FFFFFF" w:val="clear"/>
            <w:tcMar>
              <w:bottom w:w="0" w:type="dxa"/>
            </w:tcMar>
            <w:vAlign w:val="center"/>
          </w:tcPr>
          <w:p>
            <w:pPr>
              <w:pStyle w:val="TableContents"/>
              <w:bidi w:val="0"/>
              <w:spacing w:before="0" w:after="283"/>
              <w:jc w:val="left"/>
              <w:rPr>
                <w:b/>
                <w:sz w:val="20"/>
              </w:rPr>
            </w:pPr>
            <w:r>
              <w:rPr>
                <w:b/>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9">
              <w:r>
                <w:rPr>
                  <w:rStyle w:val="InternetLink"/>
                  <w:b/>
                  <w:sz w:val="20"/>
                </w:rPr>
                <w:t>Employment Agreement between the Company and Raymond Ming Hui Lin (1).</w:t>
              </w:r>
            </w:hyperlink>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10">
              <w:r>
                <w:rPr>
                  <w:rStyle w:val="InternetLink"/>
                  <w:b/>
                  <w:sz w:val="20"/>
                </w:rPr>
                <w:t>Employment Agreement between the Company and Rui Yang (3).</w:t>
              </w:r>
            </w:hyperlink>
          </w:p>
        </w:tc>
      </w:tr>
      <w:tr>
        <w:trPr/>
        <w:tc>
          <w:tcPr>
            <w:tcW w:w="867" w:type="dxa"/>
            <w:tcBorders/>
            <w:shd w:fill="FFFFFF" w:val="clear"/>
            <w:tcMar>
              <w:bottom w:w="0" w:type="dxa"/>
            </w:tcMar>
            <w:vAlign w:val="center"/>
          </w:tcPr>
          <w:p>
            <w:pPr>
              <w:pStyle w:val="TableContents"/>
              <w:bidi w:val="0"/>
              <w:spacing w:before="0" w:after="283"/>
              <w:jc w:val="left"/>
              <w:rPr>
                <w:b/>
                <w:sz w:val="20"/>
              </w:rPr>
            </w:pPr>
            <w:r>
              <w:rPr>
                <w:b/>
                <w:sz w:val="20"/>
              </w:rPr>
              <w:t>10.6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11">
              <w:r>
                <w:rPr>
                  <w:rStyle w:val="InternetLink"/>
                  <w:b/>
                  <w:sz w:val="20"/>
                </w:rPr>
                <w:t>Employment Agreement between the Company and Li Li (5).</w:t>
              </w:r>
            </w:hyperlink>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12">
              <w:r>
                <w:rPr>
                  <w:rStyle w:val="InternetLink"/>
                  <w:b/>
                  <w:sz w:val="20"/>
                </w:rPr>
                <w:t>ANZ Global Services and Operations (Chengdu) Company Limited Agreement (1).</w:t>
              </w:r>
            </w:hyperlink>
          </w:p>
        </w:tc>
      </w:tr>
      <w:tr>
        <w:trPr/>
        <w:tc>
          <w:tcPr>
            <w:tcW w:w="867" w:type="dxa"/>
            <w:tcBorders/>
            <w:shd w:fill="FFFFFF" w:val="clear"/>
            <w:tcMar>
              <w:bottom w:w="0" w:type="dxa"/>
            </w:tcMar>
            <w:vAlign w:val="center"/>
          </w:tcPr>
          <w:p>
            <w:pPr>
              <w:pStyle w:val="TableContents"/>
              <w:bidi w:val="0"/>
              <w:spacing w:before="0" w:after="283"/>
              <w:jc w:val="left"/>
              <w:rPr>
                <w:b/>
                <w:sz w:val="20"/>
              </w:rPr>
            </w:pPr>
            <w:r>
              <w:rPr>
                <w:b/>
                <w:sz w:val="20"/>
              </w:rPr>
              <w:t>10.8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13">
              <w:r>
                <w:rPr>
                  <w:rStyle w:val="InternetLink"/>
                  <w:b/>
                  <w:sz w:val="20"/>
                </w:rPr>
                <w:t>Master Lease Agreement - Shanghai Pudong Software Park Co., Ltd. (7)</w:t>
              </w:r>
            </w:hyperlink>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10.9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14">
              <w:r>
                <w:rPr>
                  <w:rStyle w:val="InternetLink"/>
                  <w:b/>
                  <w:sz w:val="20"/>
                </w:rPr>
                <w:t>Master Lease Agreement - Shanghai Pudong Software Park Co., Ltd. (7)</w:t>
              </w:r>
            </w:hyperlink>
          </w:p>
        </w:tc>
      </w:tr>
      <w:tr>
        <w:trPr/>
        <w:tc>
          <w:tcPr>
            <w:tcW w:w="867" w:type="dxa"/>
            <w:tcBorders/>
            <w:shd w:fill="FFFFFF" w:val="clear"/>
            <w:tcMar>
              <w:bottom w:w="0" w:type="dxa"/>
            </w:tcMar>
            <w:vAlign w:val="center"/>
          </w:tcPr>
          <w:p>
            <w:pPr>
              <w:pStyle w:val="TableContents"/>
              <w:bidi w:val="0"/>
              <w:spacing w:before="0" w:after="283"/>
              <w:jc w:val="left"/>
              <w:rPr>
                <w:b/>
                <w:sz w:val="20"/>
              </w:rPr>
            </w:pPr>
            <w:r>
              <w:rPr>
                <w:b/>
                <w:sz w:val="20"/>
              </w:rPr>
              <w:t>10.10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15">
              <w:r>
                <w:rPr>
                  <w:rStyle w:val="InternetLink"/>
                  <w:b/>
                  <w:sz w:val="20"/>
                </w:rPr>
                <w:t>Master Lease Agreement - Dalian High-Tech Park (7)</w:t>
              </w:r>
            </w:hyperlink>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10.11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16">
              <w:r>
                <w:rPr>
                  <w:rStyle w:val="InternetLink"/>
                  <w:b/>
                  <w:sz w:val="20"/>
                </w:rPr>
                <w:t>Master Lease Agreement - Guangzhou Fengxing Plaza-A20F (7)</w:t>
              </w:r>
            </w:hyperlink>
          </w:p>
        </w:tc>
      </w:tr>
      <w:tr>
        <w:trPr/>
        <w:tc>
          <w:tcPr>
            <w:tcW w:w="867" w:type="dxa"/>
            <w:tcBorders/>
            <w:shd w:fill="FFFFFF" w:val="clear"/>
            <w:tcMar>
              <w:bottom w:w="0" w:type="dxa"/>
            </w:tcMar>
            <w:vAlign w:val="center"/>
          </w:tcPr>
          <w:p>
            <w:pPr>
              <w:pStyle w:val="TableContents"/>
              <w:bidi w:val="0"/>
              <w:spacing w:before="0" w:after="283"/>
              <w:jc w:val="left"/>
              <w:rPr>
                <w:b/>
                <w:sz w:val="20"/>
              </w:rPr>
            </w:pPr>
            <w:r>
              <w:rPr>
                <w:b/>
                <w:sz w:val="20"/>
              </w:rPr>
              <w:t>10.12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17">
              <w:r>
                <w:rPr>
                  <w:rStyle w:val="InternetLink"/>
                  <w:b/>
                  <w:sz w:val="20"/>
                </w:rPr>
                <w:t>Master Lease Agreement - Guangzhou Fengxing Plaza-A21F (7)</w:t>
              </w:r>
            </w:hyperlink>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10.13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18">
              <w:r>
                <w:rPr>
                  <w:rStyle w:val="InternetLink"/>
                  <w:b/>
                  <w:sz w:val="20"/>
                </w:rPr>
                <w:t>Master Lease Agreement - Guangzhou Fengxing Plaza- 9F (9)</w:t>
              </w:r>
            </w:hyperlink>
          </w:p>
        </w:tc>
      </w:tr>
      <w:tr>
        <w:trPr/>
        <w:tc>
          <w:tcPr>
            <w:tcW w:w="867" w:type="dxa"/>
            <w:tcBorders/>
            <w:shd w:fill="FFFFFF" w:val="clear"/>
            <w:tcMar>
              <w:bottom w:w="0" w:type="dxa"/>
            </w:tcMar>
            <w:vAlign w:val="center"/>
          </w:tcPr>
          <w:p>
            <w:pPr>
              <w:pStyle w:val="TableContents"/>
              <w:bidi w:val="0"/>
              <w:spacing w:before="0" w:after="283"/>
              <w:jc w:val="left"/>
              <w:rPr>
                <w:b/>
                <w:sz w:val="20"/>
              </w:rPr>
            </w:pPr>
            <w:r>
              <w:rPr>
                <w:b/>
                <w:sz w:val="20"/>
              </w:rPr>
              <w:t>10.14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19">
              <w:r>
                <w:rPr>
                  <w:rStyle w:val="InternetLink"/>
                  <w:b/>
                  <w:sz w:val="20"/>
                </w:rPr>
                <w:t>Form of Framework Contract for Subcontracting (1).</w:t>
              </w:r>
            </w:hyperlink>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10.15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20">
              <w:r>
                <w:rPr>
                  <w:rStyle w:val="InternetLink"/>
                  <w:b/>
                  <w:sz w:val="20"/>
                </w:rPr>
                <w:t>Form Warrant Agreement (2).</w:t>
              </w:r>
            </w:hyperlink>
          </w:p>
        </w:tc>
      </w:tr>
      <w:tr>
        <w:trPr/>
        <w:tc>
          <w:tcPr>
            <w:tcW w:w="867" w:type="dxa"/>
            <w:tcBorders/>
            <w:shd w:fill="FFFFFF" w:val="clear"/>
            <w:tcMar>
              <w:bottom w:w="0" w:type="dxa"/>
            </w:tcMar>
            <w:vAlign w:val="center"/>
          </w:tcPr>
          <w:p>
            <w:pPr>
              <w:pStyle w:val="TableContents"/>
              <w:bidi w:val="0"/>
              <w:spacing w:before="0" w:after="283"/>
              <w:jc w:val="left"/>
              <w:rPr>
                <w:b/>
                <w:sz w:val="20"/>
              </w:rPr>
            </w:pPr>
            <w:r>
              <w:rPr>
                <w:b/>
                <w:sz w:val="20"/>
              </w:rPr>
              <w:t>10.16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21">
              <w:r>
                <w:rPr>
                  <w:rStyle w:val="InternetLink"/>
                  <w:b/>
                  <w:sz w:val="20"/>
                </w:rPr>
                <w:t>Form Lockup Agreement (2).</w:t>
              </w:r>
            </w:hyperlink>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10.17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22">
              <w:r>
                <w:rPr>
                  <w:rStyle w:val="InternetLink"/>
                  <w:b/>
                  <w:sz w:val="20"/>
                </w:rPr>
                <w:t>Escrow Indemnification Agreement (2).</w:t>
              </w:r>
            </w:hyperlink>
          </w:p>
        </w:tc>
      </w:tr>
      <w:tr>
        <w:trPr/>
        <w:tc>
          <w:tcPr>
            <w:tcW w:w="867" w:type="dxa"/>
            <w:tcBorders/>
            <w:shd w:fill="FFFFFF" w:val="clear"/>
            <w:tcMar>
              <w:bottom w:w="0" w:type="dxa"/>
            </w:tcMar>
            <w:vAlign w:val="center"/>
          </w:tcPr>
          <w:p>
            <w:pPr>
              <w:pStyle w:val="TableContents"/>
              <w:bidi w:val="0"/>
              <w:spacing w:before="0" w:after="283"/>
              <w:jc w:val="left"/>
              <w:rPr>
                <w:b/>
                <w:sz w:val="20"/>
              </w:rPr>
            </w:pPr>
            <w:r>
              <w:rPr>
                <w:b/>
                <w:sz w:val="20"/>
              </w:rPr>
              <w:t>10.18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23">
              <w:r>
                <w:rPr>
                  <w:rStyle w:val="InternetLink"/>
                  <w:b/>
                  <w:sz w:val="20"/>
                </w:rPr>
                <w:t>Credit Agreement with Bank of Shanghai Pudong Development Bank Co. Ltd-4million</w:t>
              </w:r>
            </w:hyperlink>
            <w:hyperlink r:id="rId24">
              <w:r>
                <w:rPr>
                  <w:rStyle w:val="InternetLink"/>
                </w:rPr>
                <w:t xml:space="preserve"> </w:t>
              </w:r>
            </w:hyperlink>
            <w:hyperlink r:id="rId25">
              <w:r>
                <w:rPr>
                  <w:rStyle w:val="InternetLink"/>
                  <w:b/>
                  <w:sz w:val="20"/>
                </w:rPr>
                <w:t>(9)</w:t>
              </w:r>
            </w:hyperlink>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10.19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26">
              <w:r>
                <w:rPr>
                  <w:rStyle w:val="InternetLink"/>
                  <w:b/>
                  <w:sz w:val="20"/>
                </w:rPr>
                <w:t>Credit Agreement with Bank of Shanghai Pudong Development Bank Co. Ltd-6million</w:t>
              </w:r>
            </w:hyperlink>
            <w:hyperlink r:id="rId27">
              <w:r>
                <w:rPr>
                  <w:rStyle w:val="InternetLink"/>
                </w:rPr>
                <w:t xml:space="preserve"> </w:t>
              </w:r>
            </w:hyperlink>
            <w:hyperlink r:id="rId28">
              <w:r>
                <w:rPr>
                  <w:rStyle w:val="InternetLink"/>
                  <w:b/>
                  <w:sz w:val="20"/>
                </w:rPr>
                <w:t>(9)</w:t>
              </w:r>
            </w:hyperlink>
          </w:p>
        </w:tc>
      </w:tr>
      <w:tr>
        <w:trPr/>
        <w:tc>
          <w:tcPr>
            <w:tcW w:w="867" w:type="dxa"/>
            <w:tcBorders/>
            <w:shd w:fill="FFFFFF" w:val="clear"/>
            <w:tcMar>
              <w:bottom w:w="0" w:type="dxa"/>
            </w:tcMar>
            <w:vAlign w:val="center"/>
          </w:tcPr>
          <w:p>
            <w:pPr>
              <w:pStyle w:val="TableContents"/>
              <w:bidi w:val="0"/>
              <w:spacing w:before="0" w:after="283"/>
              <w:jc w:val="left"/>
              <w:rPr>
                <w:b/>
                <w:sz w:val="20"/>
              </w:rPr>
            </w:pPr>
            <w:r>
              <w:rPr>
                <w:b/>
                <w:sz w:val="20"/>
              </w:rPr>
              <w:t>10.20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29">
              <w:r>
                <w:rPr>
                  <w:rStyle w:val="InternetLink"/>
                  <w:b/>
                  <w:sz w:val="20"/>
                </w:rPr>
                <w:t>Credit Agreement with Bank of Shanghai Pudong Development Bank Co. Ltd-10 million</w:t>
              </w:r>
            </w:hyperlink>
            <w:hyperlink r:id="rId30">
              <w:r>
                <w:rPr>
                  <w:rStyle w:val="InternetLink"/>
                </w:rPr>
                <w:t xml:space="preserve"> </w:t>
              </w:r>
            </w:hyperlink>
            <w:hyperlink r:id="rId31">
              <w:r>
                <w:rPr>
                  <w:rStyle w:val="InternetLink"/>
                  <w:b/>
                  <w:sz w:val="20"/>
                </w:rPr>
                <w:t>(9)</w:t>
              </w:r>
            </w:hyperlink>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10.21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32">
              <w:r>
                <w:rPr>
                  <w:rStyle w:val="InternetLink"/>
                  <w:b/>
                  <w:sz w:val="20"/>
                </w:rPr>
                <w:t>Credit Agreement with Bank of Shanghai Pudong Development Bank Co. Ltd-23 million</w:t>
              </w:r>
            </w:hyperlink>
            <w:hyperlink r:id="rId33">
              <w:r>
                <w:rPr>
                  <w:rStyle w:val="InternetLink"/>
                </w:rPr>
                <w:t xml:space="preserve"> </w:t>
              </w:r>
            </w:hyperlink>
            <w:hyperlink r:id="rId34">
              <w:r>
                <w:rPr>
                  <w:rStyle w:val="InternetLink"/>
                  <w:b/>
                  <w:sz w:val="20"/>
                </w:rPr>
                <w:t>(9)</w:t>
              </w:r>
            </w:hyperlink>
          </w:p>
        </w:tc>
      </w:tr>
      <w:tr>
        <w:trPr/>
        <w:tc>
          <w:tcPr>
            <w:tcW w:w="867" w:type="dxa"/>
            <w:tcBorders/>
            <w:shd w:fill="FFFFFF" w:val="clear"/>
            <w:tcMar>
              <w:bottom w:w="0" w:type="dxa"/>
            </w:tcMar>
            <w:vAlign w:val="center"/>
          </w:tcPr>
          <w:p>
            <w:pPr>
              <w:pStyle w:val="TableContents"/>
              <w:bidi w:val="0"/>
              <w:spacing w:before="0" w:after="283"/>
              <w:jc w:val="left"/>
              <w:rPr>
                <w:b/>
                <w:sz w:val="20"/>
              </w:rPr>
            </w:pPr>
            <w:r>
              <w:rPr>
                <w:b/>
                <w:sz w:val="20"/>
              </w:rPr>
              <w:t>10.22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35">
              <w:r>
                <w:rPr>
                  <w:rStyle w:val="InternetLink"/>
                  <w:b/>
                  <w:sz w:val="20"/>
                </w:rPr>
                <w:t>Credit Agreement with China Merchants Bank Co., Ltd.-12 million</w:t>
              </w:r>
            </w:hyperlink>
            <w:hyperlink r:id="rId36">
              <w:r>
                <w:rPr>
                  <w:rStyle w:val="InternetLink"/>
                </w:rPr>
                <w:t xml:space="preserve"> </w:t>
              </w:r>
            </w:hyperlink>
            <w:hyperlink r:id="rId37">
              <w:r>
                <w:rPr>
                  <w:rStyle w:val="InternetLink"/>
                  <w:b/>
                  <w:sz w:val="20"/>
                </w:rPr>
                <w:t>(9)</w:t>
              </w:r>
            </w:hyperlink>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10.23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38">
              <w:r>
                <w:rPr>
                  <w:rStyle w:val="InternetLink"/>
                  <w:b/>
                  <w:sz w:val="20"/>
                </w:rPr>
                <w:t>Credit Agreement with China Merchants Bank Co., Ltd.-60 million</w:t>
              </w:r>
            </w:hyperlink>
            <w:hyperlink r:id="rId39">
              <w:r>
                <w:rPr>
                  <w:rStyle w:val="InternetLink"/>
                </w:rPr>
                <w:t xml:space="preserve"> </w:t>
              </w:r>
            </w:hyperlink>
            <w:hyperlink r:id="rId40">
              <w:r>
                <w:rPr>
                  <w:rStyle w:val="InternetLink"/>
                  <w:b/>
                  <w:sz w:val="20"/>
                </w:rPr>
                <w:t>(9)</w:t>
              </w:r>
            </w:hyperlink>
          </w:p>
        </w:tc>
      </w:tr>
      <w:tr>
        <w:trPr/>
        <w:tc>
          <w:tcPr>
            <w:tcW w:w="867" w:type="dxa"/>
            <w:tcBorders/>
            <w:shd w:fill="FFFFFF" w:val="clear"/>
            <w:tcMar>
              <w:bottom w:w="0" w:type="dxa"/>
            </w:tcMar>
            <w:vAlign w:val="center"/>
          </w:tcPr>
          <w:p>
            <w:pPr>
              <w:pStyle w:val="TableContents"/>
              <w:bidi w:val="0"/>
              <w:spacing w:before="0" w:after="283"/>
              <w:jc w:val="left"/>
              <w:rPr>
                <w:b/>
                <w:sz w:val="20"/>
              </w:rPr>
            </w:pPr>
            <w:r>
              <w:rPr>
                <w:b/>
                <w:sz w:val="20"/>
              </w:rPr>
              <w:t>10.24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41">
              <w:r>
                <w:rPr>
                  <w:rStyle w:val="InternetLink"/>
                  <w:b/>
                  <w:sz w:val="20"/>
                </w:rPr>
                <w:t>Credit Agreement with Bank of Ningbo Co., Ltd- 20 million</w:t>
              </w:r>
            </w:hyperlink>
            <w:hyperlink r:id="rId42">
              <w:r>
                <w:rPr>
                  <w:rStyle w:val="InternetLink"/>
                </w:rPr>
                <w:t xml:space="preserve"> </w:t>
              </w:r>
            </w:hyperlink>
            <w:hyperlink r:id="rId43">
              <w:r>
                <w:rPr>
                  <w:rStyle w:val="InternetLink"/>
                  <w:b/>
                  <w:sz w:val="20"/>
                </w:rPr>
                <w:t>(9)</w:t>
              </w:r>
            </w:hyperlink>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10.25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44">
              <w:r>
                <w:rPr>
                  <w:rStyle w:val="InternetLink"/>
                  <w:b/>
                  <w:sz w:val="20"/>
                </w:rPr>
                <w:t>Credit Agreement with Bank of Communication Co., Ltd.-10 million</w:t>
              </w:r>
            </w:hyperlink>
            <w:hyperlink r:id="rId45">
              <w:r>
                <w:rPr>
                  <w:rStyle w:val="InternetLink"/>
                </w:rPr>
                <w:t xml:space="preserve"> </w:t>
              </w:r>
            </w:hyperlink>
            <w:hyperlink r:id="rId46">
              <w:r>
                <w:rPr>
                  <w:rStyle w:val="InternetLink"/>
                  <w:b/>
                  <w:sz w:val="20"/>
                </w:rPr>
                <w:t>(9)</w:t>
              </w:r>
            </w:hyperlink>
          </w:p>
        </w:tc>
      </w:tr>
      <w:tr>
        <w:trPr/>
        <w:tc>
          <w:tcPr>
            <w:tcW w:w="867" w:type="dxa"/>
            <w:tcBorders/>
            <w:shd w:fill="FFFFFF" w:val="clear"/>
            <w:tcMar>
              <w:bottom w:w="0" w:type="dxa"/>
            </w:tcMar>
            <w:vAlign w:val="center"/>
          </w:tcPr>
          <w:p>
            <w:pPr>
              <w:pStyle w:val="TableContents"/>
              <w:bidi w:val="0"/>
              <w:spacing w:before="0" w:after="283"/>
              <w:jc w:val="left"/>
              <w:rPr>
                <w:b/>
                <w:sz w:val="20"/>
              </w:rPr>
            </w:pPr>
            <w:r>
              <w:rPr>
                <w:b/>
                <w:sz w:val="20"/>
              </w:rPr>
              <w:t>10.26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47">
              <w:r>
                <w:rPr>
                  <w:rStyle w:val="InternetLink"/>
                  <w:b/>
                  <w:sz w:val="20"/>
                </w:rPr>
                <w:t>Credit Agreement with Bank of Communication Co., Ltd.-15 million</w:t>
              </w:r>
            </w:hyperlink>
            <w:hyperlink r:id="rId48">
              <w:r>
                <w:rPr>
                  <w:rStyle w:val="InternetLink"/>
                </w:rPr>
                <w:t xml:space="preserve"> </w:t>
              </w:r>
            </w:hyperlink>
            <w:hyperlink r:id="rId49">
              <w:r>
                <w:rPr>
                  <w:rStyle w:val="InternetLink"/>
                  <w:b/>
                  <w:sz w:val="20"/>
                </w:rPr>
                <w:t>(9)</w:t>
              </w:r>
            </w:hyperlink>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10.27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50">
              <w:r>
                <w:rPr>
                  <w:rStyle w:val="InternetLink"/>
                  <w:b/>
                  <w:sz w:val="20"/>
                </w:rPr>
                <w:t>Credit Agreement with China CITIC Bank- 15 million</w:t>
              </w:r>
            </w:hyperlink>
            <w:hyperlink r:id="rId51">
              <w:r>
                <w:rPr>
                  <w:rStyle w:val="InternetLink"/>
                </w:rPr>
                <w:t xml:space="preserve"> </w:t>
              </w:r>
            </w:hyperlink>
            <w:hyperlink r:id="rId52">
              <w:r>
                <w:rPr>
                  <w:rStyle w:val="InternetLink"/>
                  <w:b/>
                  <w:sz w:val="20"/>
                </w:rPr>
                <w:t>(9)</w:t>
              </w:r>
            </w:hyperlink>
          </w:p>
        </w:tc>
      </w:tr>
      <w:tr>
        <w:trPr/>
        <w:tc>
          <w:tcPr>
            <w:tcW w:w="867" w:type="dxa"/>
            <w:tcBorders/>
            <w:shd w:fill="FFFFFF" w:val="clear"/>
            <w:tcMar>
              <w:bottom w:w="0" w:type="dxa"/>
            </w:tcMar>
            <w:vAlign w:val="center"/>
          </w:tcPr>
          <w:p>
            <w:pPr>
              <w:pStyle w:val="TableContents"/>
              <w:bidi w:val="0"/>
              <w:spacing w:before="0" w:after="283"/>
              <w:jc w:val="left"/>
              <w:rPr>
                <w:b/>
                <w:sz w:val="20"/>
              </w:rPr>
            </w:pPr>
            <w:r>
              <w:rPr>
                <w:b/>
                <w:sz w:val="20"/>
              </w:rPr>
              <w:t>11.1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53">
              <w:r>
                <w:rPr>
                  <w:rStyle w:val="InternetLink"/>
                  <w:b/>
                  <w:sz w:val="20"/>
                </w:rPr>
                <w:t>Insider Trading Policy (8)</w:t>
              </w:r>
            </w:hyperlink>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12.1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w:anchor="ea030899501ex12-1.htm">
              <w:r>
                <w:rPr>
                  <w:rStyle w:val="InternetLink"/>
                  <w:b/>
                  <w:sz w:val="20"/>
                </w:rPr>
                <w:t>Certification of the Chief Executive Officer (Principal Executive Officer) pursuant to Rule 13a-14(a) of the Securities Exchange Act, as amended.</w:t>
              </w:r>
            </w:hyperlink>
          </w:p>
        </w:tc>
      </w:tr>
      <w:tr>
        <w:trPr/>
        <w:tc>
          <w:tcPr>
            <w:tcW w:w="867" w:type="dxa"/>
            <w:tcBorders/>
            <w:shd w:fill="FFFFFF" w:val="clear"/>
            <w:tcMar>
              <w:bottom w:w="0" w:type="dxa"/>
            </w:tcMar>
            <w:vAlign w:val="center"/>
          </w:tcPr>
          <w:p>
            <w:pPr>
              <w:pStyle w:val="TableContents"/>
              <w:bidi w:val="0"/>
              <w:spacing w:before="0" w:after="283"/>
              <w:jc w:val="left"/>
              <w:rPr>
                <w:b/>
                <w:sz w:val="20"/>
              </w:rPr>
            </w:pPr>
            <w:r>
              <w:rPr>
                <w:b/>
                <w:sz w:val="20"/>
              </w:rPr>
              <w:t>12.2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w:anchor="ea030899501ex12-2.htm">
              <w:r>
                <w:rPr>
                  <w:rStyle w:val="InternetLink"/>
                  <w:b/>
                  <w:sz w:val="20"/>
                </w:rPr>
                <w:t>Certification of the Chief Financial Officer (Principal Financial Officer) pursuant to Rule 13a-14(a) of the Securities Exchange Act, as amended.</w:t>
              </w:r>
            </w:hyperlink>
          </w:p>
        </w:tc>
      </w:tr>
      <w:tr>
        <w:trPr/>
        <w:tc>
          <w:tcPr>
            <w:tcW w:w="867" w:type="dxa"/>
            <w:tcBorders/>
            <w:shd w:fill="CCEEFF" w:val="clear"/>
            <w:tcMar>
              <w:bottom w:w="0" w:type="dxa"/>
            </w:tcMar>
            <w:vAlign w:val="center"/>
          </w:tcPr>
          <w:p>
            <w:pPr>
              <w:pStyle w:val="TableContents"/>
              <w:bidi w:val="0"/>
              <w:spacing w:before="0" w:after="283"/>
              <w:jc w:val="left"/>
              <w:rPr>
                <w:b/>
                <w:sz w:val="20"/>
              </w:rPr>
            </w:pPr>
            <w:r>
              <w:rPr>
                <w:b/>
                <w:sz w:val="20"/>
              </w:rPr>
              <w:t>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w:anchor="ea030899501ex13-1.htm">
              <w:r>
                <w:rPr>
                  <w:rStyle w:val="InternetLink"/>
                  <w:b/>
                  <w:sz w:val="20"/>
                </w:rPr>
                <w:t>Certification of the Chief Executive Officer and Chief Financial Officer pursuant to 18 U.S.C. 1350, as adopted pursuant to Section 906 of the Sarbanes-Oxley Act of 2002.</w:t>
              </w:r>
            </w:hyperlink>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560" w:type="dxa"/>
        <w:jc w:val="left"/>
        <w:tblInd w:w="0" w:type="dxa"/>
        <w:tblLayout w:type="fixed"/>
        <w:tblCellMar>
          <w:top w:w="0" w:type="dxa"/>
          <w:left w:w="0" w:type="dxa"/>
          <w:bottom w:w="0" w:type="dxa"/>
          <w:right w:w="0" w:type="dxa"/>
        </w:tblCellMar>
      </w:tblPr>
      <w:tblGrid>
        <w:gridCol w:w="800"/>
        <w:gridCol w:w="60"/>
        <w:gridCol w:w="7700"/>
      </w:tblGrid>
      <w:tr>
        <w:trPr/>
        <w:tc>
          <w:tcPr>
            <w:tcW w:w="800" w:type="dxa"/>
            <w:tcBorders/>
            <w:shd w:fill="CCEEFF" w:val="clear"/>
            <w:vAlign w:val="center"/>
          </w:tcPr>
          <w:p>
            <w:pPr>
              <w:pStyle w:val="TableContents"/>
              <w:bidi w:val="0"/>
              <w:spacing w:before="0" w:after="283"/>
              <w:jc w:val="left"/>
              <w:rPr>
                <w:b/>
                <w:sz w:val="20"/>
              </w:rPr>
            </w:pPr>
            <w:r>
              <w:rPr>
                <w:b/>
                <w:sz w:val="20"/>
              </w:rPr>
              <w:t>14.1</w:t>
            </w:r>
          </w:p>
        </w:tc>
        <w:tc>
          <w:tcPr>
            <w:tcW w:w="60"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both"/>
              <w:rPr/>
            </w:pPr>
            <w:hyperlink r:id="rId54">
              <w:r>
                <w:rPr>
                  <w:rStyle w:val="InternetLink"/>
                  <w:b/>
                  <w:sz w:val="20"/>
                </w:rPr>
                <w:t>Code of Conduct and Ethics (1).</w:t>
              </w:r>
            </w:hyperlink>
            <w:hyperlink r:id="rId55">
              <w:r>
                <w:rPr>
                  <w:rStyle w:val="InternetLink"/>
                  <w:sz w:val="20"/>
                </w:rPr>
                <w:t> </w:t>
              </w:r>
            </w:hyperlink>
          </w:p>
        </w:tc>
      </w:tr>
      <w:tr>
        <w:trPr/>
        <w:tc>
          <w:tcPr>
            <w:tcW w:w="800" w:type="dxa"/>
            <w:tcBorders/>
            <w:shd w:fill="FFFFFF" w:val="clear"/>
            <w:vAlign w:val="center"/>
          </w:tcPr>
          <w:p>
            <w:pPr>
              <w:pStyle w:val="TableContents"/>
              <w:bidi w:val="0"/>
              <w:spacing w:before="0" w:after="283"/>
              <w:jc w:val="left"/>
              <w:rPr>
                <w:b/>
                <w:sz w:val="20"/>
              </w:rPr>
            </w:pPr>
            <w:r>
              <w:rPr>
                <w:b/>
                <w:sz w:val="20"/>
              </w:rPr>
              <w:t>21.1</w:t>
            </w:r>
          </w:p>
        </w:tc>
        <w:tc>
          <w:tcPr>
            <w:tcW w:w="60"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both"/>
              <w:rPr/>
            </w:pPr>
            <w:hyperlink r:id="rId56">
              <w:r>
                <w:rPr>
                  <w:rStyle w:val="InternetLink"/>
                  <w:b/>
                  <w:sz w:val="20"/>
                </w:rPr>
                <w:t>List of Subsidiaries of the Registrant.</w:t>
              </w:r>
            </w:hyperlink>
            <w:hyperlink r:id="rId57">
              <w:r>
                <w:rPr>
                  <w:rStyle w:val="InternetLink"/>
                </w:rPr>
                <w:t xml:space="preserve"> </w:t>
              </w:r>
            </w:hyperlink>
            <w:hyperlink r:id="rId58">
              <w:r>
                <w:rPr>
                  <w:rStyle w:val="InternetLink"/>
                  <w:b/>
                  <w:sz w:val="20"/>
                </w:rPr>
                <w:t>(9)</w:t>
              </w:r>
            </w:hyperlink>
          </w:p>
        </w:tc>
      </w:tr>
      <w:tr>
        <w:trPr/>
        <w:tc>
          <w:tcPr>
            <w:tcW w:w="800" w:type="dxa"/>
            <w:tcBorders/>
            <w:shd w:fill="CCEEFF" w:val="clear"/>
            <w:vAlign w:val="center"/>
          </w:tcPr>
          <w:p>
            <w:pPr>
              <w:pStyle w:val="TableContents"/>
              <w:bidi w:val="0"/>
              <w:spacing w:before="0" w:after="283"/>
              <w:jc w:val="left"/>
              <w:rPr>
                <w:b/>
                <w:sz w:val="20"/>
              </w:rPr>
            </w:pPr>
            <w:r>
              <w:rPr>
                <w:b/>
                <w:sz w:val="20"/>
              </w:rPr>
              <w:t>23.1</w:t>
            </w:r>
          </w:p>
        </w:tc>
        <w:tc>
          <w:tcPr>
            <w:tcW w:w="60"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both"/>
              <w:rPr/>
            </w:pPr>
            <w:hyperlink w:anchor="ea030899501ex23-1.htm">
              <w:r>
                <w:rPr>
                  <w:rStyle w:val="InternetLink"/>
                  <w:b/>
                  <w:sz w:val="20"/>
                </w:rPr>
                <w:t>Consent of Ernst &amp; Young Hua Ming LLP.</w:t>
              </w:r>
            </w:hyperlink>
          </w:p>
        </w:tc>
      </w:tr>
      <w:tr>
        <w:trPr/>
        <w:tc>
          <w:tcPr>
            <w:tcW w:w="800" w:type="dxa"/>
            <w:tcBorders/>
            <w:shd w:fill="FFFFFF" w:val="clear"/>
            <w:vAlign w:val="center"/>
          </w:tcPr>
          <w:p>
            <w:pPr>
              <w:pStyle w:val="TableContents"/>
              <w:bidi w:val="0"/>
              <w:spacing w:before="0" w:after="283"/>
              <w:jc w:val="left"/>
              <w:rPr>
                <w:b/>
                <w:sz w:val="20"/>
              </w:rPr>
            </w:pPr>
            <w:r>
              <w:rPr>
                <w:b/>
                <w:sz w:val="20"/>
              </w:rPr>
              <w:t>97.1</w:t>
            </w:r>
          </w:p>
        </w:tc>
        <w:tc>
          <w:tcPr>
            <w:tcW w:w="60"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both"/>
              <w:rPr/>
            </w:pPr>
            <w:hyperlink r:id="rId59">
              <w:r>
                <w:rPr>
                  <w:rStyle w:val="InternetLink"/>
                  <w:b/>
                  <w:sz w:val="20"/>
                </w:rPr>
                <w:t>Clawback Policy (8)</w:t>
              </w:r>
            </w:hyperlink>
          </w:p>
        </w:tc>
      </w:tr>
      <w:tr>
        <w:trPr/>
        <w:tc>
          <w:tcPr>
            <w:tcW w:w="800" w:type="dxa"/>
            <w:tcBorders/>
            <w:shd w:fill="CCEEFF" w:val="clear"/>
            <w:vAlign w:val="center"/>
          </w:tcPr>
          <w:p>
            <w:pPr>
              <w:pStyle w:val="TableContents"/>
              <w:bidi w:val="0"/>
              <w:spacing w:before="0" w:after="283"/>
              <w:jc w:val="left"/>
              <w:rPr>
                <w:b/>
                <w:sz w:val="20"/>
              </w:rPr>
            </w:pPr>
            <w:r>
              <w:rPr>
                <w:b/>
                <w:sz w:val="20"/>
              </w:rPr>
              <w:t>99.1</w:t>
            </w:r>
          </w:p>
        </w:tc>
        <w:tc>
          <w:tcPr>
            <w:tcW w:w="60"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both"/>
              <w:rPr/>
            </w:pPr>
            <w:hyperlink r:id="rId60">
              <w:r>
                <w:rPr>
                  <w:rStyle w:val="InternetLink"/>
                  <w:b/>
                  <w:sz w:val="20"/>
                </w:rPr>
                <w:t>Charter of the Audit Committee (1).</w:t>
              </w:r>
            </w:hyperlink>
          </w:p>
        </w:tc>
      </w:tr>
      <w:tr>
        <w:trPr/>
        <w:tc>
          <w:tcPr>
            <w:tcW w:w="800" w:type="dxa"/>
            <w:tcBorders/>
            <w:shd w:fill="FFFFFF" w:val="clear"/>
            <w:vAlign w:val="center"/>
          </w:tcPr>
          <w:p>
            <w:pPr>
              <w:pStyle w:val="TableContents"/>
              <w:bidi w:val="0"/>
              <w:spacing w:before="0" w:after="283"/>
              <w:jc w:val="left"/>
              <w:rPr>
                <w:b/>
                <w:sz w:val="20"/>
              </w:rPr>
            </w:pPr>
            <w:r>
              <w:rPr>
                <w:b/>
                <w:sz w:val="20"/>
              </w:rPr>
              <w:t>99.2</w:t>
            </w:r>
          </w:p>
        </w:tc>
        <w:tc>
          <w:tcPr>
            <w:tcW w:w="60"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both"/>
              <w:rPr/>
            </w:pPr>
            <w:hyperlink r:id="rId61">
              <w:r>
                <w:rPr>
                  <w:rStyle w:val="InternetLink"/>
                  <w:b/>
                  <w:sz w:val="20"/>
                </w:rPr>
                <w:t>Charter of the Compensation Committee (1).</w:t>
              </w:r>
            </w:hyperlink>
          </w:p>
        </w:tc>
      </w:tr>
      <w:tr>
        <w:trPr/>
        <w:tc>
          <w:tcPr>
            <w:tcW w:w="800" w:type="dxa"/>
            <w:tcBorders/>
            <w:shd w:fill="CCEEFF" w:val="clear"/>
            <w:vAlign w:val="center"/>
          </w:tcPr>
          <w:p>
            <w:pPr>
              <w:pStyle w:val="TableContents"/>
              <w:bidi w:val="0"/>
              <w:spacing w:before="0" w:after="283"/>
              <w:jc w:val="left"/>
              <w:rPr>
                <w:b/>
                <w:sz w:val="20"/>
              </w:rPr>
            </w:pPr>
            <w:r>
              <w:rPr>
                <w:b/>
                <w:sz w:val="20"/>
              </w:rPr>
              <w:t>99.3</w:t>
            </w:r>
          </w:p>
        </w:tc>
        <w:tc>
          <w:tcPr>
            <w:tcW w:w="60"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both"/>
              <w:rPr/>
            </w:pPr>
            <w:hyperlink r:id="rId62">
              <w:r>
                <w:rPr>
                  <w:rStyle w:val="InternetLink"/>
                  <w:b/>
                  <w:sz w:val="20"/>
                </w:rPr>
                <w:t>Charter of the Nominating Committee (1).</w:t>
              </w:r>
            </w:hyperlink>
          </w:p>
        </w:tc>
      </w:tr>
      <w:tr>
        <w:trPr/>
        <w:tc>
          <w:tcPr>
            <w:tcW w:w="800" w:type="dxa"/>
            <w:tcBorders/>
            <w:shd w:fill="FFFFFF" w:val="clear"/>
            <w:vAlign w:val="center"/>
          </w:tcPr>
          <w:p>
            <w:pPr>
              <w:pStyle w:val="TableContents"/>
              <w:bidi w:val="0"/>
              <w:spacing w:before="0" w:after="283"/>
              <w:jc w:val="left"/>
              <w:rPr>
                <w:b/>
                <w:sz w:val="20"/>
              </w:rPr>
            </w:pPr>
            <w:r>
              <w:rPr>
                <w:b/>
                <w:sz w:val="20"/>
              </w:rPr>
              <w:t>101.INS</w:t>
            </w:r>
          </w:p>
        </w:tc>
        <w:tc>
          <w:tcPr>
            <w:tcW w:w="60"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both"/>
              <w:rPr>
                <w:b/>
                <w:sz w:val="20"/>
              </w:rPr>
            </w:pPr>
            <w:r>
              <w:rPr>
                <w:b/>
                <w:sz w:val="20"/>
              </w:rPr>
              <w:t>Inline XBRL Instance Document.</w:t>
            </w:r>
          </w:p>
        </w:tc>
      </w:tr>
      <w:tr>
        <w:trPr/>
        <w:tc>
          <w:tcPr>
            <w:tcW w:w="800" w:type="dxa"/>
            <w:tcBorders/>
            <w:shd w:fill="CCEEFF" w:val="clear"/>
            <w:vAlign w:val="center"/>
          </w:tcPr>
          <w:p>
            <w:pPr>
              <w:pStyle w:val="TableContents"/>
              <w:bidi w:val="0"/>
              <w:spacing w:before="0" w:after="283"/>
              <w:jc w:val="left"/>
              <w:rPr>
                <w:b/>
                <w:sz w:val="20"/>
              </w:rPr>
            </w:pPr>
            <w:r>
              <w:rPr>
                <w:b/>
                <w:sz w:val="20"/>
              </w:rPr>
              <w:t>101.SCH</w:t>
            </w:r>
          </w:p>
        </w:tc>
        <w:tc>
          <w:tcPr>
            <w:tcW w:w="60"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both"/>
              <w:rPr>
                <w:b/>
                <w:sz w:val="20"/>
              </w:rPr>
            </w:pPr>
            <w:r>
              <w:rPr>
                <w:b/>
                <w:sz w:val="20"/>
              </w:rPr>
              <w:t>Inline XBRL Taxonomy Extension Schema Document.</w:t>
            </w:r>
          </w:p>
        </w:tc>
      </w:tr>
      <w:tr>
        <w:trPr/>
        <w:tc>
          <w:tcPr>
            <w:tcW w:w="800" w:type="dxa"/>
            <w:tcBorders/>
            <w:shd w:fill="FFFFFF" w:val="clear"/>
            <w:vAlign w:val="center"/>
          </w:tcPr>
          <w:p>
            <w:pPr>
              <w:pStyle w:val="TableContents"/>
              <w:bidi w:val="0"/>
              <w:spacing w:before="0" w:after="283"/>
              <w:jc w:val="left"/>
              <w:rPr>
                <w:b/>
                <w:sz w:val="20"/>
              </w:rPr>
            </w:pPr>
            <w:r>
              <w:rPr>
                <w:b/>
                <w:sz w:val="20"/>
              </w:rPr>
              <w:t>101.CAL</w:t>
            </w:r>
          </w:p>
        </w:tc>
        <w:tc>
          <w:tcPr>
            <w:tcW w:w="60"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both"/>
              <w:rPr>
                <w:b/>
                <w:sz w:val="20"/>
              </w:rPr>
            </w:pPr>
            <w:r>
              <w:rPr>
                <w:b/>
                <w:sz w:val="20"/>
              </w:rPr>
              <w:t>Inline XBRL Taxonomy Extension Calculation Linkbase Document.</w:t>
            </w:r>
          </w:p>
        </w:tc>
      </w:tr>
      <w:tr>
        <w:trPr/>
        <w:tc>
          <w:tcPr>
            <w:tcW w:w="800" w:type="dxa"/>
            <w:tcBorders/>
            <w:shd w:fill="CCEEFF" w:val="clear"/>
            <w:vAlign w:val="center"/>
          </w:tcPr>
          <w:p>
            <w:pPr>
              <w:pStyle w:val="TableContents"/>
              <w:bidi w:val="0"/>
              <w:spacing w:before="0" w:after="283"/>
              <w:jc w:val="left"/>
              <w:rPr>
                <w:b/>
                <w:sz w:val="20"/>
              </w:rPr>
            </w:pPr>
            <w:r>
              <w:rPr>
                <w:b/>
                <w:sz w:val="20"/>
              </w:rPr>
              <w:t>101.DEF</w:t>
            </w:r>
          </w:p>
        </w:tc>
        <w:tc>
          <w:tcPr>
            <w:tcW w:w="60"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both"/>
              <w:rPr>
                <w:b/>
                <w:sz w:val="20"/>
              </w:rPr>
            </w:pPr>
            <w:r>
              <w:rPr>
                <w:b/>
                <w:sz w:val="20"/>
              </w:rPr>
              <w:t>Inline XBRL Taxonomy Extension Definition Linkbase Document.</w:t>
            </w:r>
          </w:p>
        </w:tc>
      </w:tr>
      <w:tr>
        <w:trPr/>
        <w:tc>
          <w:tcPr>
            <w:tcW w:w="800" w:type="dxa"/>
            <w:tcBorders/>
            <w:shd w:fill="FFFFFF" w:val="clear"/>
            <w:vAlign w:val="center"/>
          </w:tcPr>
          <w:p>
            <w:pPr>
              <w:pStyle w:val="TableContents"/>
              <w:bidi w:val="0"/>
              <w:spacing w:before="0" w:after="283"/>
              <w:jc w:val="left"/>
              <w:rPr>
                <w:b/>
                <w:sz w:val="20"/>
              </w:rPr>
            </w:pPr>
            <w:r>
              <w:rPr>
                <w:b/>
                <w:sz w:val="20"/>
              </w:rPr>
              <w:t>101.LAB</w:t>
            </w:r>
          </w:p>
        </w:tc>
        <w:tc>
          <w:tcPr>
            <w:tcW w:w="60"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both"/>
              <w:rPr>
                <w:b/>
                <w:sz w:val="20"/>
              </w:rPr>
            </w:pPr>
            <w:r>
              <w:rPr>
                <w:b/>
                <w:sz w:val="20"/>
              </w:rPr>
              <w:t>Inline XBRL Taxonomy Extension Label Linkbase Document.</w:t>
            </w:r>
          </w:p>
        </w:tc>
      </w:tr>
      <w:tr>
        <w:trPr/>
        <w:tc>
          <w:tcPr>
            <w:tcW w:w="800" w:type="dxa"/>
            <w:tcBorders/>
            <w:shd w:fill="CCEEFF" w:val="clear"/>
            <w:vAlign w:val="center"/>
          </w:tcPr>
          <w:p>
            <w:pPr>
              <w:pStyle w:val="TableContents"/>
              <w:bidi w:val="0"/>
              <w:spacing w:before="0" w:after="283"/>
              <w:jc w:val="left"/>
              <w:rPr>
                <w:b/>
                <w:sz w:val="20"/>
              </w:rPr>
            </w:pPr>
            <w:r>
              <w:rPr>
                <w:b/>
                <w:sz w:val="20"/>
              </w:rPr>
              <w:t>101.PRE</w:t>
            </w:r>
          </w:p>
        </w:tc>
        <w:tc>
          <w:tcPr>
            <w:tcW w:w="60"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both"/>
              <w:rPr>
                <w:b/>
                <w:sz w:val="20"/>
              </w:rPr>
            </w:pPr>
            <w:r>
              <w:rPr>
                <w:b/>
                <w:sz w:val="20"/>
              </w:rPr>
              <w:t>Inline XBRL Taxonomy Extension Presentation Linkbase Document.</w:t>
            </w:r>
          </w:p>
        </w:tc>
      </w:tr>
      <w:tr>
        <w:trPr/>
        <w:tc>
          <w:tcPr>
            <w:tcW w:w="800" w:type="dxa"/>
            <w:tcBorders/>
            <w:shd w:fill="FFFFFF" w:val="clear"/>
            <w:vAlign w:val="center"/>
          </w:tcPr>
          <w:p>
            <w:pPr>
              <w:pStyle w:val="TableContents"/>
              <w:bidi w:val="0"/>
              <w:spacing w:before="0" w:after="283"/>
              <w:jc w:val="left"/>
              <w:rPr>
                <w:b/>
                <w:sz w:val="20"/>
              </w:rPr>
            </w:pPr>
            <w:r>
              <w:rPr>
                <w:b/>
                <w:sz w:val="20"/>
              </w:rPr>
              <w:t>104</w:t>
            </w:r>
          </w:p>
        </w:tc>
        <w:tc>
          <w:tcPr>
            <w:tcW w:w="60"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both"/>
              <w:rPr>
                <w:b/>
                <w:sz w:val="20"/>
              </w:rPr>
            </w:pPr>
            <w:r>
              <w:rPr>
                <w:b/>
                <w:sz w:val="20"/>
              </w:rPr>
              <w:t>Cover Page Interactive Data File (formatted as Inline XBRL and contained in Exhibit 101).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sz w:val="20"/>
              </w:rPr>
            </w:pPr>
            <w:r>
              <w:rPr>
                <w:sz w:val="20"/>
              </w:rPr>
              <w:t>(1)</w:t>
            </w:r>
          </w:p>
        </w:tc>
        <w:tc>
          <w:tcPr>
            <w:tcW w:w="9948" w:type="dxa"/>
            <w:tcBorders/>
            <w:vAlign w:val="center"/>
          </w:tcPr>
          <w:p>
            <w:pPr>
              <w:pStyle w:val="TableContents"/>
              <w:bidi w:val="0"/>
              <w:spacing w:before="0" w:after="283"/>
              <w:jc w:val="both"/>
              <w:rPr>
                <w:sz w:val="20"/>
              </w:rPr>
            </w:pPr>
            <w:r>
              <w:rPr>
                <w:sz w:val="20"/>
              </w:rPr>
              <w:t>Previously filed as part of the registration statement filed with the SEC on March 27, 2018 and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260"/>
        <w:gridCol w:w="9380"/>
      </w:tblGrid>
      <w:tr>
        <w:trPr/>
        <w:tc>
          <w:tcPr>
            <w:tcW w:w="260" w:type="dxa"/>
            <w:tcBorders/>
            <w:vAlign w:val="center"/>
          </w:tcPr>
          <w:p>
            <w:pPr>
              <w:pStyle w:val="TableContents"/>
              <w:bidi w:val="0"/>
              <w:spacing w:before="0" w:after="283"/>
              <w:jc w:val="left"/>
              <w:rPr>
                <w:sz w:val="20"/>
              </w:rPr>
            </w:pPr>
            <w:r>
              <w:rPr>
                <w:sz w:val="20"/>
              </w:rPr>
              <w:t>(2)</w:t>
            </w:r>
          </w:p>
        </w:tc>
        <w:tc>
          <w:tcPr>
            <w:tcW w:w="9380" w:type="dxa"/>
            <w:tcBorders/>
            <w:vAlign w:val="center"/>
          </w:tcPr>
          <w:p>
            <w:pPr>
              <w:pStyle w:val="TableContents"/>
              <w:bidi w:val="0"/>
              <w:spacing w:before="0" w:after="283"/>
              <w:jc w:val="both"/>
              <w:rPr>
                <w:sz w:val="20"/>
              </w:rPr>
            </w:pPr>
            <w:r>
              <w:rPr>
                <w:sz w:val="20"/>
              </w:rPr>
              <w:t>Previously filed with the SEC as exhibit to Form F-1/A filed on May 18, 2018 and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60"/>
        <w:gridCol w:w="9860"/>
      </w:tblGrid>
      <w:tr>
        <w:trPr/>
        <w:tc>
          <w:tcPr>
            <w:tcW w:w="260" w:type="dxa"/>
            <w:tcBorders/>
            <w:vAlign w:val="center"/>
          </w:tcPr>
          <w:p>
            <w:pPr>
              <w:pStyle w:val="TableContents"/>
              <w:bidi w:val="0"/>
              <w:spacing w:before="0" w:after="283"/>
              <w:jc w:val="left"/>
              <w:rPr>
                <w:sz w:val="20"/>
              </w:rPr>
            </w:pPr>
            <w:r>
              <w:rPr>
                <w:sz w:val="20"/>
              </w:rPr>
              <w:t>(3)</w:t>
            </w:r>
          </w:p>
        </w:tc>
        <w:tc>
          <w:tcPr>
            <w:tcW w:w="9860" w:type="dxa"/>
            <w:tcBorders/>
            <w:vAlign w:val="center"/>
          </w:tcPr>
          <w:p>
            <w:pPr>
              <w:pStyle w:val="TableContents"/>
              <w:bidi w:val="0"/>
              <w:spacing w:before="0" w:after="283"/>
              <w:jc w:val="both"/>
              <w:rPr>
                <w:sz w:val="20"/>
              </w:rPr>
            </w:pPr>
            <w:r>
              <w:rPr>
                <w:sz w:val="20"/>
              </w:rPr>
              <w:t xml:space="preserve">Previously filed as an exhibit to Form 6-K filed with the SEC on November 4, 2019 and incorporated by reference herein. </w:t>
            </w:r>
          </w:p>
        </w:tc>
      </w:tr>
    </w:tbl>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260"/>
        <w:gridCol w:w="8390"/>
      </w:tblGrid>
      <w:tr>
        <w:trPr/>
        <w:tc>
          <w:tcPr>
            <w:tcW w:w="260" w:type="dxa"/>
            <w:tcBorders/>
            <w:vAlign w:val="center"/>
          </w:tcPr>
          <w:p>
            <w:pPr>
              <w:pStyle w:val="TableContents"/>
              <w:bidi w:val="0"/>
              <w:spacing w:before="0" w:after="283"/>
              <w:jc w:val="left"/>
              <w:rPr>
                <w:sz w:val="20"/>
              </w:rPr>
            </w:pPr>
            <w:r>
              <w:rPr>
                <w:sz w:val="20"/>
              </w:rPr>
              <w:t>(4)</w:t>
            </w:r>
          </w:p>
        </w:tc>
        <w:tc>
          <w:tcPr>
            <w:tcW w:w="8390" w:type="dxa"/>
            <w:tcBorders/>
            <w:vAlign w:val="center"/>
          </w:tcPr>
          <w:p>
            <w:pPr>
              <w:pStyle w:val="TableContents"/>
              <w:bidi w:val="0"/>
              <w:spacing w:before="0" w:after="283"/>
              <w:jc w:val="both"/>
              <w:rPr>
                <w:sz w:val="20"/>
              </w:rPr>
            </w:pPr>
            <w:r>
              <w:rPr>
                <w:sz w:val="20"/>
              </w:rPr>
              <w:t>Previously filed with the SEC on Form 8-A 12B on May 22, 2018 and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260"/>
        <w:gridCol w:w="9380"/>
      </w:tblGrid>
      <w:tr>
        <w:trPr/>
        <w:tc>
          <w:tcPr>
            <w:tcW w:w="260" w:type="dxa"/>
            <w:tcBorders/>
            <w:vAlign w:val="center"/>
          </w:tcPr>
          <w:p>
            <w:pPr>
              <w:pStyle w:val="TableContents"/>
              <w:bidi w:val="0"/>
              <w:spacing w:before="0" w:after="283"/>
              <w:jc w:val="left"/>
              <w:rPr>
                <w:sz w:val="20"/>
              </w:rPr>
            </w:pPr>
            <w:r>
              <w:rPr>
                <w:sz w:val="20"/>
              </w:rPr>
              <w:t>(5)</w:t>
            </w:r>
          </w:p>
        </w:tc>
        <w:tc>
          <w:tcPr>
            <w:tcW w:w="9380" w:type="dxa"/>
            <w:tcBorders/>
            <w:vAlign w:val="center"/>
          </w:tcPr>
          <w:p>
            <w:pPr>
              <w:pStyle w:val="TableContents"/>
              <w:bidi w:val="0"/>
              <w:spacing w:before="0" w:after="283"/>
              <w:jc w:val="both"/>
              <w:rPr>
                <w:sz w:val="20"/>
              </w:rPr>
            </w:pPr>
            <w:r>
              <w:rPr>
                <w:sz w:val="20"/>
              </w:rPr>
              <w:t>Previously filed with the SEC as an exhibit to Form 20-F on October 22, 2020 and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sz w:val="20"/>
              </w:rPr>
            </w:pPr>
            <w:r>
              <w:rPr>
                <w:sz w:val="20"/>
              </w:rPr>
              <w:t>(6)</w:t>
            </w:r>
          </w:p>
        </w:tc>
        <w:tc>
          <w:tcPr>
            <w:tcW w:w="9948" w:type="dxa"/>
            <w:tcBorders/>
            <w:vAlign w:val="center"/>
          </w:tcPr>
          <w:p>
            <w:pPr>
              <w:pStyle w:val="TableContents"/>
              <w:bidi w:val="0"/>
              <w:spacing w:before="0" w:after="283"/>
              <w:jc w:val="both"/>
              <w:rPr>
                <w:sz w:val="20"/>
              </w:rPr>
            </w:pPr>
            <w:r>
              <w:rPr>
                <w:sz w:val="20"/>
              </w:rPr>
              <w:t>Previously filed as part of the registration statement filed with the SEC on May 12, 2023 and incorporated by reference herein.  </w:t>
            </w:r>
          </w:p>
        </w:tc>
      </w:tr>
      <w:tr>
        <w:trPr/>
        <w:tc>
          <w:tcPr>
            <w:tcW w:w="257" w:type="dxa"/>
            <w:tcBorders/>
            <w:vAlign w:val="center"/>
          </w:tcPr>
          <w:p>
            <w:pPr>
              <w:pStyle w:val="TableContents"/>
              <w:bidi w:val="0"/>
              <w:spacing w:before="0" w:after="283"/>
              <w:jc w:val="left"/>
              <w:rPr/>
            </w:pPr>
            <w:r>
              <w:rPr/>
              <w:t> </w:t>
            </w:r>
          </w:p>
        </w:tc>
        <w:tc>
          <w:tcPr>
            <w:tcW w:w="9948" w:type="dxa"/>
            <w:tcBorders/>
            <w:vAlign w:val="center"/>
          </w:tcPr>
          <w:p>
            <w:pPr>
              <w:pStyle w:val="TableContents"/>
              <w:bidi w:val="0"/>
              <w:spacing w:before="0" w:after="283"/>
              <w:jc w:val="both"/>
              <w:rPr/>
            </w:pPr>
            <w:r>
              <w:rPr/>
              <w:t> </w:t>
            </w:r>
          </w:p>
        </w:tc>
      </w:tr>
      <w:tr>
        <w:trPr/>
        <w:tc>
          <w:tcPr>
            <w:tcW w:w="257" w:type="dxa"/>
            <w:tcBorders/>
            <w:vAlign w:val="center"/>
          </w:tcPr>
          <w:p>
            <w:pPr>
              <w:pStyle w:val="TableContents"/>
              <w:bidi w:val="0"/>
              <w:spacing w:before="0" w:after="283"/>
              <w:jc w:val="left"/>
              <w:rPr>
                <w:sz w:val="20"/>
              </w:rPr>
            </w:pPr>
            <w:r>
              <w:rPr>
                <w:sz w:val="20"/>
              </w:rPr>
              <w:t>(7)</w:t>
            </w:r>
          </w:p>
        </w:tc>
        <w:tc>
          <w:tcPr>
            <w:tcW w:w="9948" w:type="dxa"/>
            <w:tcBorders/>
            <w:vAlign w:val="center"/>
          </w:tcPr>
          <w:p>
            <w:pPr>
              <w:pStyle w:val="TableContents"/>
              <w:bidi w:val="0"/>
              <w:spacing w:before="0" w:after="283"/>
              <w:jc w:val="both"/>
              <w:rPr>
                <w:sz w:val="20"/>
              </w:rPr>
            </w:pPr>
            <w:r>
              <w:rPr>
                <w:sz w:val="20"/>
              </w:rPr>
              <w:t>Previously filed with the SEC as an exhibit to Form 20-F on October 18, 2023 and incorporated by reference herein.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(8)</w:t>
            </w:r>
          </w:p>
        </w:tc>
        <w:tc>
          <w:tcPr>
            <w:tcW w:w="9886" w:type="dxa"/>
            <w:tcBorders/>
            <w:vAlign w:val="center"/>
          </w:tcPr>
          <w:p>
            <w:pPr>
              <w:pStyle w:val="TableContents"/>
              <w:bidi w:val="0"/>
              <w:spacing w:before="0" w:after="283"/>
              <w:jc w:val="both"/>
              <w:rPr/>
            </w:pPr>
            <w:r>
              <w:rPr/>
              <w:t>Previously filed with the SEC as an exhibit to Form 20-F on October 18, 2024 and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45"/>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(9)</w:t>
            </w:r>
          </w:p>
        </w:tc>
        <w:tc>
          <w:tcPr>
            <w:tcW w:w="9380" w:type="dxa"/>
            <w:tcBorders/>
            <w:vAlign w:val="center"/>
          </w:tcPr>
          <w:p>
            <w:pPr>
              <w:pStyle w:val="TableContents"/>
              <w:bidi w:val="0"/>
              <w:spacing w:before="0" w:after="283"/>
              <w:jc w:val="both"/>
              <w:rPr>
                <w:sz w:val="20"/>
              </w:rPr>
            </w:pPr>
            <w:r>
              <w:rPr>
                <w:sz w:val="20"/>
              </w:rPr>
              <w:t>Previously filed with the SEC as an exhibit to Form 20-F on October 16, 2026 and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20-F/A and that it has duly caused and authorized the undersigned to sign this Amendment No. 1 to the Annual Report on its behalf.</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6005" w:type="dxa"/>
        <w:jc w:val="left"/>
        <w:tblInd w:w="0" w:type="dxa"/>
        <w:shd w:fill="FFFFFF" w:val="clear"/>
        <w:tblLayout w:type="fixed"/>
        <w:tblCellMar>
          <w:top w:w="0" w:type="dxa"/>
          <w:left w:w="0" w:type="dxa"/>
          <w:bottom w:w="0" w:type="dxa"/>
          <w:right w:w="0" w:type="dxa"/>
        </w:tblCellMar>
      </w:tblPr>
      <w:tblGrid>
        <w:gridCol w:w="1445"/>
        <w:gridCol w:w="320"/>
        <w:gridCol w:w="590"/>
        <w:gridCol w:w="3650"/>
      </w:tblGrid>
      <w:tr>
        <w:trPr/>
        <w:tc>
          <w:tcPr>
            <w:tcW w:w="1445" w:type="dxa"/>
            <w:tcBorders/>
            <w:shd w:fill="FFFFFF" w:val="clear"/>
            <w:vAlign w:val="center"/>
          </w:tcPr>
          <w:p>
            <w:pPr>
              <w:pStyle w:val="TableContents"/>
              <w:bidi w:val="0"/>
              <w:spacing w:before="0" w:after="283"/>
              <w:jc w:val="left"/>
              <w:rPr/>
            </w:pPr>
            <w:r>
              <w:rPr/>
              <w:t> </w:t>
            </w:r>
          </w:p>
        </w:tc>
        <w:tc>
          <w:tcPr>
            <w:tcW w:w="4560" w:type="dxa"/>
            <w:gridSpan w:val="3"/>
            <w:tcBorders/>
            <w:shd w:fill="FFFFFF" w:val="clear"/>
            <w:vAlign w:val="center"/>
          </w:tcPr>
          <w:p>
            <w:pPr>
              <w:pStyle w:val="TableContents"/>
              <w:bidi w:val="0"/>
              <w:spacing w:before="0" w:after="283"/>
              <w:jc w:val="left"/>
              <w:rPr>
                <w:b/>
                <w:sz w:val="20"/>
              </w:rPr>
            </w:pPr>
            <w:r>
              <w:rPr>
                <w:b/>
                <w:sz w:val="20"/>
              </w:rPr>
              <w:t>CLPS Incorporation</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4240" w:type="dxa"/>
            <w:gridSpan w:val="2"/>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sz w:val="20"/>
              </w:rPr>
            </w:pPr>
            <w:r>
              <w:rPr>
                <w:sz w:val="20"/>
              </w:rPr>
              <w:t>October 20, 2026</w:t>
            </w:r>
          </w:p>
        </w:tc>
        <w:tc>
          <w:tcPr>
            <w:tcW w:w="320" w:type="dxa"/>
            <w:tcBorders/>
            <w:shd w:fill="FFFFFF" w:val="clear"/>
            <w:vAlign w:val="center"/>
          </w:tcPr>
          <w:p>
            <w:pPr>
              <w:pStyle w:val="TableContents"/>
              <w:bidi w:val="0"/>
              <w:spacing w:before="0" w:after="283"/>
              <w:jc w:val="left"/>
              <w:rPr>
                <w:sz w:val="20"/>
              </w:rPr>
            </w:pPr>
            <w:r>
              <w:rPr>
                <w:sz w:val="20"/>
              </w:rPr>
              <w:t>By:</w:t>
            </w:r>
          </w:p>
        </w:tc>
        <w:tc>
          <w:tcPr>
            <w:tcW w:w="4240" w:type="dxa"/>
            <w:gridSpan w:val="2"/>
            <w:tcBorders>
              <w:bottom w:val="single" w:sz="12" w:space="0" w:color="000000"/>
            </w:tcBorders>
            <w:shd w:fill="FFFFFF" w:val="clear"/>
            <w:tcMar>
              <w:bottom w:w="28" w:type="dxa"/>
            </w:tcMar>
            <w:vAlign w:val="center"/>
          </w:tcPr>
          <w:p>
            <w:pPr>
              <w:pStyle w:val="TableContents"/>
              <w:bidi w:val="0"/>
              <w:spacing w:before="0" w:after="283"/>
              <w:jc w:val="left"/>
              <w:rPr>
                <w:sz w:val="20"/>
              </w:rPr>
            </w:pPr>
            <w:r>
              <w:rPr>
                <w:sz w:val="20"/>
              </w:rPr>
              <w:t>/s/ </w:t>
            </w:r>
            <w:r>
              <w:rPr>
                <w:i/>
                <w:sz w:val="20"/>
              </w:rPr>
              <w:t>Raymond Ming Hui Lin</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20"/>
              </w:rPr>
            </w:pPr>
            <w:r>
              <w:rPr>
                <w:sz w:val="20"/>
              </w:rPr>
              <w:t>Name: </w:t>
            </w:r>
          </w:p>
        </w:tc>
        <w:tc>
          <w:tcPr>
            <w:tcW w:w="3650" w:type="dxa"/>
            <w:tcBorders/>
            <w:shd w:fill="FFFFFF" w:val="clear"/>
            <w:vAlign w:val="center"/>
          </w:tcPr>
          <w:p>
            <w:pPr>
              <w:pStyle w:val="TableContents"/>
              <w:bidi w:val="0"/>
              <w:spacing w:before="0" w:after="283"/>
              <w:jc w:val="left"/>
              <w:rPr>
                <w:sz w:val="20"/>
              </w:rPr>
            </w:pPr>
            <w:r>
              <w:rPr>
                <w:sz w:val="20"/>
              </w:rPr>
              <w:t>Raymond Ming Hui Lin</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20"/>
              </w:rPr>
            </w:pPr>
            <w:r>
              <w:rPr>
                <w:sz w:val="20"/>
              </w:rPr>
              <w:t>Title:</w:t>
            </w:r>
          </w:p>
        </w:tc>
        <w:tc>
          <w:tcPr>
            <w:tcW w:w="3650" w:type="dxa"/>
            <w:tcBorders/>
            <w:shd w:fill="FFFFFF" w:val="clear"/>
            <w:vAlign w:val="center"/>
          </w:tcPr>
          <w:p>
            <w:pPr>
              <w:pStyle w:val="TableContents"/>
              <w:bidi w:val="0"/>
              <w:spacing w:before="0" w:after="283"/>
              <w:jc w:val="left"/>
              <w:rPr>
                <w:sz w:val="20"/>
              </w:rPr>
            </w:pPr>
            <w:r>
              <w:rPr>
                <w:sz w:val="20"/>
              </w:rPr>
              <w:t>Chief Executive Officer</w:t>
              <w:br/>
              <w:t>(Principal Executive Officer)</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365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sz w:val="20"/>
              </w:rPr>
            </w:pPr>
            <w:r>
              <w:rPr>
                <w:sz w:val="20"/>
              </w:rPr>
              <w:t>October 20, 2026</w:t>
            </w:r>
          </w:p>
        </w:tc>
        <w:tc>
          <w:tcPr>
            <w:tcW w:w="320" w:type="dxa"/>
            <w:tcBorders/>
            <w:shd w:fill="FFFFFF" w:val="clear"/>
            <w:vAlign w:val="center"/>
          </w:tcPr>
          <w:p>
            <w:pPr>
              <w:pStyle w:val="TableContents"/>
              <w:bidi w:val="0"/>
              <w:spacing w:before="0" w:after="283"/>
              <w:jc w:val="left"/>
              <w:rPr>
                <w:sz w:val="20"/>
              </w:rPr>
            </w:pPr>
            <w:r>
              <w:rPr>
                <w:sz w:val="20"/>
              </w:rPr>
              <w:t>By:</w:t>
            </w:r>
          </w:p>
        </w:tc>
        <w:tc>
          <w:tcPr>
            <w:tcW w:w="4240" w:type="dxa"/>
            <w:gridSpan w:val="2"/>
            <w:tcBorders>
              <w:bottom w:val="single" w:sz="12" w:space="0" w:color="000000"/>
            </w:tcBorders>
            <w:shd w:fill="FFFFFF" w:val="clear"/>
            <w:tcMar>
              <w:bottom w:w="28" w:type="dxa"/>
            </w:tcMar>
            <w:vAlign w:val="center"/>
          </w:tcPr>
          <w:p>
            <w:pPr>
              <w:pStyle w:val="TableContents"/>
              <w:bidi w:val="0"/>
              <w:spacing w:before="0" w:after="283"/>
              <w:jc w:val="left"/>
              <w:rPr>
                <w:sz w:val="20"/>
              </w:rPr>
            </w:pPr>
            <w:r>
              <w:rPr>
                <w:sz w:val="20"/>
              </w:rPr>
              <w:t>/s/ </w:t>
            </w:r>
            <w:r>
              <w:rPr>
                <w:i/>
                <w:sz w:val="20"/>
              </w:rPr>
              <w:t>Rui Yang</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20"/>
              </w:rPr>
            </w:pPr>
            <w:r>
              <w:rPr>
                <w:sz w:val="20"/>
              </w:rPr>
              <w:t>Name: </w:t>
            </w:r>
          </w:p>
        </w:tc>
        <w:tc>
          <w:tcPr>
            <w:tcW w:w="3650" w:type="dxa"/>
            <w:tcBorders/>
            <w:shd w:fill="FFFFFF" w:val="clear"/>
            <w:vAlign w:val="center"/>
          </w:tcPr>
          <w:p>
            <w:pPr>
              <w:pStyle w:val="TableContents"/>
              <w:bidi w:val="0"/>
              <w:spacing w:before="0" w:after="283"/>
              <w:jc w:val="left"/>
              <w:rPr>
                <w:sz w:val="20"/>
              </w:rPr>
            </w:pPr>
            <w:r>
              <w:rPr>
                <w:sz w:val="20"/>
              </w:rPr>
              <w:t>Rui Yang</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20"/>
              </w:rPr>
            </w:pPr>
            <w:r>
              <w:rPr>
                <w:sz w:val="20"/>
              </w:rPr>
              <w:t>Title:</w:t>
            </w:r>
          </w:p>
        </w:tc>
        <w:tc>
          <w:tcPr>
            <w:tcW w:w="3650" w:type="dxa"/>
            <w:tcBorders/>
            <w:shd w:fill="FFFFFF" w:val="clear"/>
            <w:vAlign w:val="center"/>
          </w:tcPr>
          <w:p>
            <w:pPr>
              <w:pStyle w:val="TableContents"/>
              <w:bidi w:val="0"/>
              <w:spacing w:before="0" w:after="283"/>
              <w:jc w:val="left"/>
              <w:rPr>
                <w:sz w:val="20"/>
              </w:rPr>
            </w:pPr>
            <w:r>
              <w:rPr>
                <w:sz w:val="20"/>
              </w:rPr>
              <w:t>Chief Financial Officer</w:t>
              <w:br/>
              <w:t>(Principal Financial and Accounting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2" w:name="ea030899501ex12-1.htm"/>
      <w:bookmarkStart w:id="3" w:name="ksea030899501ex121"/>
      <w:bookmarkEnd w:id="2"/>
      <w:bookmarkEnd w:id="3"/>
      <w:r>
        <w:rPr>
          <w:b/>
        </w:rPr>
        <w:t>Exhibit 12.1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Raymond Ming Hui Lin, certify that:</w:t>
      </w:r>
    </w:p>
    <w:p>
      <w:pPr>
        <w:pStyle w:val="TextBody"/>
        <w:bidi w:val="0"/>
        <w:spacing w:before="0" w:after="0"/>
        <w:ind w:left="0" w:right="0" w:firstLine="720"/>
        <w:jc w:val="both"/>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85"/>
        <w:gridCol w:w="6050"/>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6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20-F/A of CLPS Incorporation;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360"/>
        <w:jc w:val="left"/>
        <w:rPr>
          <w:caps w:val="false"/>
          <w:smallCaps w:val="false"/>
        </w:rPr>
      </w:pPr>
      <w:r>
        <w:rPr>
          <w:caps w:val="false"/>
          <w:smallCaps w:val="false"/>
        </w:rPr>
        <w:t> </w:t>
      </w:r>
    </w:p>
    <w:tbl>
      <w:tblPr>
        <w:tblW w:w="5195" w:type="dxa"/>
        <w:jc w:val="left"/>
        <w:tblInd w:w="0" w:type="dxa"/>
        <w:tblLayout w:type="fixed"/>
        <w:tblCellMar>
          <w:top w:w="0" w:type="dxa"/>
          <w:left w:w="0" w:type="dxa"/>
          <w:bottom w:w="0" w:type="dxa"/>
          <w:right w:w="0" w:type="dxa"/>
        </w:tblCellMar>
      </w:tblPr>
      <w:tblGrid>
        <w:gridCol w:w="1925"/>
        <w:gridCol w:w="320"/>
        <w:gridCol w:w="590"/>
        <w:gridCol w:w="2360"/>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20,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5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Raymond Ming Hui Lin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Ming Hui Lin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 w:name="ea030899501ex12-2.htm"/>
      <w:bookmarkStart w:id="5" w:name="ksea030899501ex122"/>
      <w:bookmarkEnd w:id="4"/>
      <w:bookmarkEnd w:id="5"/>
      <w:r>
        <w:rPr>
          <w:b/>
        </w:rPr>
        <w:t>Exhibit 12.2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Rui Yang, certify that:</w:t>
      </w:r>
    </w:p>
    <w:p>
      <w:pPr>
        <w:pStyle w:val="TextBody"/>
        <w:bidi w:val="0"/>
        <w:spacing w:before="0" w:after="0"/>
        <w:ind w:left="0" w:right="0" w:firstLine="72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85"/>
        <w:gridCol w:w="605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20-F/A of CLPS Incorporation;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firstLine="720"/>
        <w:jc w:val="left"/>
        <w:rPr>
          <w:caps w:val="false"/>
          <w:smallCaps w:val="false"/>
        </w:rPr>
      </w:pPr>
      <w:r>
        <w:rPr>
          <w:caps w:val="false"/>
          <w:smallCaps w:val="false"/>
        </w:rPr>
        <w:t> </w:t>
      </w:r>
    </w:p>
    <w:tbl>
      <w:tblPr>
        <w:tblW w:w="6485" w:type="dxa"/>
        <w:jc w:val="left"/>
        <w:tblInd w:w="0" w:type="dxa"/>
        <w:tblLayout w:type="fixed"/>
        <w:tblCellMar>
          <w:top w:w="0" w:type="dxa"/>
          <w:left w:w="0" w:type="dxa"/>
          <w:bottom w:w="0" w:type="dxa"/>
          <w:right w:w="0" w:type="dxa"/>
        </w:tblCellMar>
      </w:tblPr>
      <w:tblGrid>
        <w:gridCol w:w="1925"/>
        <w:gridCol w:w="320"/>
        <w:gridCol w:w="590"/>
        <w:gridCol w:w="3650"/>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20,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Rui Yang</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 Yang</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6" w:name="ea030899501ex13-1.htm"/>
      <w:bookmarkStart w:id="7" w:name="ksea030899501ex131"/>
      <w:bookmarkEnd w:id="6"/>
      <w:bookmarkEnd w:id="7"/>
      <w:r>
        <w:rPr>
          <w:b/>
        </w:rPr>
        <w:t>Exhibit 13.1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U.S.C. Section 1350 of the Sarbanes-Oxley Act of 2002 (subsections (a) and (b) of Section 1350, Chapter 63 of Title 18, United States Code), each of the undersigned officers of CLPS Incorporation (the “Company”), does hereby certify, to such officer’s knowledge, that the Annual Report on Form 20-F/A for the year ended June 30, 2026 of the Company fully complies with the requirements of Section 13(a) or 15(d) of the Securities Exchange Act of 1934 and information contained in the Form 20-F fairly presents, in all material respects, the financial condition and results of operations of the Company.</w:t>
      </w:r>
    </w:p>
    <w:p>
      <w:pPr>
        <w:pStyle w:val="TextBody"/>
        <w:bidi w:val="0"/>
        <w:spacing w:before="0" w:after="0"/>
        <w:ind w:left="0" w:right="0" w:firstLine="720"/>
        <w:jc w:val="left"/>
        <w:rPr>
          <w:caps w:val="false"/>
          <w:smallCaps w:val="false"/>
        </w:rPr>
      </w:pPr>
      <w:r>
        <w:rPr>
          <w:caps w:val="false"/>
          <w:smallCaps w:val="false"/>
        </w:rPr>
        <w:t> </w:t>
      </w:r>
    </w:p>
    <w:tbl>
      <w:tblPr>
        <w:tblW w:w="6005" w:type="dxa"/>
        <w:jc w:val="left"/>
        <w:tblInd w:w="0" w:type="dxa"/>
        <w:tblLayout w:type="fixed"/>
        <w:tblCellMar>
          <w:top w:w="0" w:type="dxa"/>
          <w:left w:w="0" w:type="dxa"/>
          <w:bottom w:w="0" w:type="dxa"/>
          <w:right w:w="0" w:type="dxa"/>
        </w:tblCellMar>
      </w:tblPr>
      <w:tblGrid>
        <w:gridCol w:w="1445"/>
        <w:gridCol w:w="320"/>
        <w:gridCol w:w="590"/>
        <w:gridCol w:w="3650"/>
      </w:tblGrid>
      <w:tr>
        <w:trPr/>
        <w:tc>
          <w:tcPr>
            <w:tcW w:w="1445" w:type="dxa"/>
            <w:tcBorders/>
            <w:vAlign w:val="center"/>
          </w:tcPr>
          <w:p>
            <w:pPr>
              <w:pStyle w:val="TableContents"/>
              <w:bidi w:val="0"/>
              <w:spacing w:before="0" w:after="283"/>
              <w:jc w:val="left"/>
              <w:rPr/>
            </w:pPr>
            <w:r>
              <w:rPr/>
              <w:t> </w:t>
            </w:r>
          </w:p>
        </w:tc>
        <w:tc>
          <w:tcPr>
            <w:tcW w:w="456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CLPS Incorporation</w:t>
            </w:r>
          </w:p>
        </w:tc>
      </w:tr>
      <w:tr>
        <w:trPr/>
        <w:tc>
          <w:tcPr>
            <w:tcW w:w="1445" w:type="dxa"/>
            <w:tcBorders/>
            <w:vAlign w:val="center"/>
          </w:tcPr>
          <w:p>
            <w:pPr>
              <w:pStyle w:val="TableContents"/>
              <w:bidi w:val="0"/>
              <w:spacing w:before="0" w:after="283"/>
              <w:jc w:val="left"/>
              <w:rPr/>
            </w:pPr>
            <w:r>
              <w:rPr/>
              <w:t> </w:t>
            </w:r>
          </w:p>
        </w:tc>
        <w:tc>
          <w:tcPr>
            <w:tcW w:w="4560" w:type="dxa"/>
            <w:gridSpan w:val="3"/>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20,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Raymond Ming Hui Lin</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Ming Hui Lin</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20,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Rui Yang</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 Yang</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8" w:name="ea030899501ex23-1.htm"/>
      <w:bookmarkStart w:id="9" w:name="ksea030899501ex231"/>
      <w:bookmarkEnd w:id="8"/>
      <w:bookmarkEnd w:id="9"/>
      <w:r>
        <w:rPr>
          <w:b/>
        </w:rPr>
        <w:t>Exhibit 23.1</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following Registration Statements:</w:t>
      </w:r>
    </w:p>
    <w:p>
      <w:pPr>
        <w:pStyle w:val="TextBody"/>
        <w:bidi w:val="0"/>
        <w:spacing w:before="0" w:after="0"/>
        <w:ind w:left="0" w:right="0" w:hanging="0"/>
        <w:jc w:val="both"/>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290"/>
        <w:gridCol w:w="7610"/>
      </w:tblGrid>
      <w:tr>
        <w:trPr/>
        <w:tc>
          <w:tcPr>
            <w:tcW w:w="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7610" w:type="dxa"/>
            <w:tcBorders/>
            <w:vAlign w:val="center"/>
          </w:tcPr>
          <w:p>
            <w:pPr>
              <w:pStyle w:val="TableContents"/>
              <w:bidi w:val="0"/>
              <w:spacing w:before="0" w:after="283"/>
              <w:jc w:val="both"/>
              <w:rPr/>
            </w:pPr>
            <w:r>
              <w:rPr/>
              <w:t>Registration Statement (Form F-3 No. 333-291045) of CLPS Incorporation, and</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283"/>
              <w:jc w:val="both"/>
              <w:rPr/>
            </w:pPr>
            <w:r>
              <w:rPr/>
              <w:t>Registration Statement (Form S-8 No. 333-271860) pertaining to the 2023 Equity Incentive Plan of CLPS Incorporation and Post-Effective Amendment No. 1 to the Registration Statement (Form S-8 No. 333-271860) of CLPS Incorporation, of our report dated October 16, 2026, with respect to the consolidated financial statements of CLPS Incorporation included in this Annual Report (Form 20-F) of CLPS Incorporation for the year ended June 30, 2026.</w:t>
            </w:r>
          </w:p>
        </w:tc>
      </w:tr>
    </w:tbl>
    <w:p>
      <w:pPr>
        <w:pStyle w:val="TextBody"/>
        <w:bidi w:val="0"/>
        <w:spacing w:before="0" w:after="0"/>
        <w:ind w:left="567"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Hua Ming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The People’s Republic of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20, 2026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24542/000121390018006558/ff12018a2ex1-1_clpsinc.htm" TargetMode="External"/><Relationship Id="rId3" Type="http://schemas.openxmlformats.org/officeDocument/2006/relationships/hyperlink" Target="http://www.sec.gov/Archives/edgar/data/1724542/000121390018006724/f8a12b0518_clpsincorporation.htm" TargetMode="External"/><Relationship Id="rId4" Type="http://schemas.openxmlformats.org/officeDocument/2006/relationships/hyperlink" Target="http://www.sec.gov/Archives/edgar/data/1724542/000121390018003524/ff12018ex3-1_clpsincorp.htm" TargetMode="External"/><Relationship Id="rId5" Type="http://schemas.openxmlformats.org/officeDocument/2006/relationships/hyperlink" Target="http://www.sec.gov/Archives/edgar/data/1724542/000121390018003524/ff12018ex4-1_clpsincorp.htm" TargetMode="External"/><Relationship Id="rId6" Type="http://schemas.openxmlformats.org/officeDocument/2006/relationships/hyperlink" Target="https://www.sec.gov/Archives/edgar/data/1724542/000121390023038741/ea178469ex10-1_clpsincorp.htm" TargetMode="External"/><Relationship Id="rId7" Type="http://schemas.openxmlformats.org/officeDocument/2006/relationships/hyperlink" Target="https://www.sec.gov/Archives/edgar/data/1724542/000121390018003524/ff12018ex10-2_clpsincorp.htm" TargetMode="External"/><Relationship Id="rId8" Type="http://schemas.openxmlformats.org/officeDocument/2006/relationships/hyperlink" Target="https://www.sec.gov/Archives/edgar/data/1724542/000121390018003524/ff12018ex10-3_clpsincorp.htm" TargetMode="External"/><Relationship Id="rId9" Type="http://schemas.openxmlformats.org/officeDocument/2006/relationships/hyperlink" Target="https://www.sec.gov/Archives/edgar/data/1724542/000121390018003524/ff12018ex10-4_clpsincorp.htm" TargetMode="External"/><Relationship Id="rId10" Type="http://schemas.openxmlformats.org/officeDocument/2006/relationships/hyperlink" Target="https://www.sec.gov/Archives/edgar/data/1724542/000121390019021899/f6k110419ex99-1_clpsincorp.htm" TargetMode="External"/><Relationship Id="rId11" Type="http://schemas.openxmlformats.org/officeDocument/2006/relationships/hyperlink" Target="https://www.sec.gov/Archives/edgar/data/1724542/000121390020032817/f20f2020ex10-8_clpsincorp.htm" TargetMode="External"/><Relationship Id="rId12" Type="http://schemas.openxmlformats.org/officeDocument/2006/relationships/hyperlink" Target="https://www.sec.gov/Archives/edgar/data/1724542/000121390018003524/ff12018ex10-6_clpsincorp.htm" TargetMode="External"/><Relationship Id="rId13" Type="http://schemas.openxmlformats.org/officeDocument/2006/relationships/hyperlink" Target="https://www.sec.gov/Archives/edgar/data/1724542/000101376223004641/f20f2023ex10-11_clpsinc.htm" TargetMode="External"/><Relationship Id="rId14" Type="http://schemas.openxmlformats.org/officeDocument/2006/relationships/hyperlink" Target="https://www.sec.gov/Archives/edgar/data/1724542/000101376223004641/f20f2023ex10-12_clpsinc.htm" TargetMode="External"/><Relationship Id="rId15" Type="http://schemas.openxmlformats.org/officeDocument/2006/relationships/hyperlink" Target="https://www.sec.gov/Archives/edgar/data/1724542/000101376223004641/f20f2023ex10-13_clpsinc.htm" TargetMode="External"/><Relationship Id="rId16" Type="http://schemas.openxmlformats.org/officeDocument/2006/relationships/hyperlink" Target="https://www.sec.gov/Archives/edgar/data/1724542/000101376223004641/f20f2023ex10-14_clpsinc.htm" TargetMode="External"/><Relationship Id="rId17" Type="http://schemas.openxmlformats.org/officeDocument/2006/relationships/hyperlink" Target="https://www.sec.gov/Archives/edgar/data/1724542/000101376223004641/f20f2023ex10-15_clpsinc.htm" TargetMode="External"/><Relationship Id="rId18" Type="http://schemas.openxmlformats.org/officeDocument/2006/relationships/hyperlink" Target="http://www.sec.gov/Archives/edgar/data/1724542/000121390026110018/ea030717901ex10-13.htm" TargetMode="External"/><Relationship Id="rId19" Type="http://schemas.openxmlformats.org/officeDocument/2006/relationships/hyperlink" Target="https://www.sec.gov/Archives/edgar/data/1724542/000121390018003524/ff12018ex10-8_clpsincorp.htm" TargetMode="External"/><Relationship Id="rId20" Type="http://schemas.openxmlformats.org/officeDocument/2006/relationships/hyperlink" Target="https://www.sec.gov/Archives/edgar/data/1724542/000121390018006558/ff12018a2ex10-9_clpsinc.htm" TargetMode="External"/><Relationship Id="rId21" Type="http://schemas.openxmlformats.org/officeDocument/2006/relationships/hyperlink" Target="https://www.sec.gov/Archives/edgar/data/1724542/000121390018006558/ff12018a2ex10-10_clpsinc.htm" TargetMode="External"/><Relationship Id="rId22" Type="http://schemas.openxmlformats.org/officeDocument/2006/relationships/hyperlink" Target="http://www.sec.gov/Archives/edgar/data/1724542/000121390018006558/ff12018a2ex10-11_clpsinc.htm" TargetMode="External"/><Relationship Id="rId23" Type="http://schemas.openxmlformats.org/officeDocument/2006/relationships/hyperlink" Target="http://www.sec.gov/Archives/edgar/data/1724542/000121390026110018/ea030717901ex10-18.htm" TargetMode="External"/><Relationship Id="rId24" Type="http://schemas.openxmlformats.org/officeDocument/2006/relationships/hyperlink" Target="http://www.sec.gov/Archives/edgar/data/1724542/000121390026110018/ea030717901ex10-18.htm" TargetMode="External"/><Relationship Id="rId25" Type="http://schemas.openxmlformats.org/officeDocument/2006/relationships/hyperlink" Target="http://www.sec.gov/Archives/edgar/data/1724542/000121390026110018/ea030717901ex10-18.htm" TargetMode="External"/><Relationship Id="rId26" Type="http://schemas.openxmlformats.org/officeDocument/2006/relationships/hyperlink" Target="http://www.sec.gov/Archives/edgar/data/1724542/000121390026110018/ea030717901ex10-19.htm" TargetMode="External"/><Relationship Id="rId27" Type="http://schemas.openxmlformats.org/officeDocument/2006/relationships/hyperlink" Target="http://www.sec.gov/Archives/edgar/data/1724542/000121390026110018/ea030717901ex10-19.htm" TargetMode="External"/><Relationship Id="rId28" Type="http://schemas.openxmlformats.org/officeDocument/2006/relationships/hyperlink" Target="http://www.sec.gov/Archives/edgar/data/1724542/000121390026110018/ea030717901ex10-19.htm" TargetMode="External"/><Relationship Id="rId29" Type="http://schemas.openxmlformats.org/officeDocument/2006/relationships/hyperlink" Target="http://www.sec.gov/Archives/edgar/data/1724542/000121390026110018/ea030717901ex10-20.htm" TargetMode="External"/><Relationship Id="rId30" Type="http://schemas.openxmlformats.org/officeDocument/2006/relationships/hyperlink" Target="http://www.sec.gov/Archives/edgar/data/1724542/000121390026110018/ea030717901ex10-20.htm" TargetMode="External"/><Relationship Id="rId31" Type="http://schemas.openxmlformats.org/officeDocument/2006/relationships/hyperlink" Target="http://www.sec.gov/Archives/edgar/data/1724542/000121390026110018/ea030717901ex10-20.htm" TargetMode="External"/><Relationship Id="rId32" Type="http://schemas.openxmlformats.org/officeDocument/2006/relationships/hyperlink" Target="http://www.sec.gov/Archives/edgar/data/1724542/000121390026110018/ea030717901ex10-21.htm" TargetMode="External"/><Relationship Id="rId33" Type="http://schemas.openxmlformats.org/officeDocument/2006/relationships/hyperlink" Target="http://www.sec.gov/Archives/edgar/data/1724542/000121390026110018/ea030717901ex10-21.htm" TargetMode="External"/><Relationship Id="rId34" Type="http://schemas.openxmlformats.org/officeDocument/2006/relationships/hyperlink" Target="http://www.sec.gov/Archives/edgar/data/1724542/000121390026110018/ea030717901ex10-21.htm" TargetMode="External"/><Relationship Id="rId35" Type="http://schemas.openxmlformats.org/officeDocument/2006/relationships/hyperlink" Target="http://www.sec.gov/Archives/edgar/data/1724542/000121390026110018/ea030717901ex10-22.htm" TargetMode="External"/><Relationship Id="rId36" Type="http://schemas.openxmlformats.org/officeDocument/2006/relationships/hyperlink" Target="http://www.sec.gov/Archives/edgar/data/1724542/000121390026110018/ea030717901ex10-22.htm" TargetMode="External"/><Relationship Id="rId37" Type="http://schemas.openxmlformats.org/officeDocument/2006/relationships/hyperlink" Target="http://www.sec.gov/Archives/edgar/data/1724542/000121390026110018/ea030717901ex10-22.htm" TargetMode="External"/><Relationship Id="rId38" Type="http://schemas.openxmlformats.org/officeDocument/2006/relationships/hyperlink" Target="http://www.sec.gov/Archives/edgar/data/1724542/000121390026110018/ea030717901ex10-23.htm" TargetMode="External"/><Relationship Id="rId39" Type="http://schemas.openxmlformats.org/officeDocument/2006/relationships/hyperlink" Target="http://www.sec.gov/Archives/edgar/data/1724542/000121390026110018/ea030717901ex10-23.htm" TargetMode="External"/><Relationship Id="rId40" Type="http://schemas.openxmlformats.org/officeDocument/2006/relationships/hyperlink" Target="http://www.sec.gov/Archives/edgar/data/1724542/000121390026110018/ea030717901ex10-23.htm" TargetMode="External"/><Relationship Id="rId41" Type="http://schemas.openxmlformats.org/officeDocument/2006/relationships/hyperlink" Target="http://www.sec.gov/Archives/edgar/data/1724542/000121390026110018/ea030717901ex10-24.htm" TargetMode="External"/><Relationship Id="rId42" Type="http://schemas.openxmlformats.org/officeDocument/2006/relationships/hyperlink" Target="http://www.sec.gov/Archives/edgar/data/1724542/000121390026110018/ea030717901ex10-24.htm" TargetMode="External"/><Relationship Id="rId43" Type="http://schemas.openxmlformats.org/officeDocument/2006/relationships/hyperlink" Target="http://www.sec.gov/Archives/edgar/data/1724542/000121390026110018/ea030717901ex10-24.htm" TargetMode="External"/><Relationship Id="rId44" Type="http://schemas.openxmlformats.org/officeDocument/2006/relationships/hyperlink" Target="http://www.sec.gov/Archives/edgar/data/1724542/000121390026110018/ea030717901ex10-25.htm" TargetMode="External"/><Relationship Id="rId45" Type="http://schemas.openxmlformats.org/officeDocument/2006/relationships/hyperlink" Target="http://www.sec.gov/Archives/edgar/data/1724542/000121390026110018/ea030717901ex10-25.htm" TargetMode="External"/><Relationship Id="rId46" Type="http://schemas.openxmlformats.org/officeDocument/2006/relationships/hyperlink" Target="http://www.sec.gov/Archives/edgar/data/1724542/000121390026110018/ea030717901ex10-25.htm" TargetMode="External"/><Relationship Id="rId47" Type="http://schemas.openxmlformats.org/officeDocument/2006/relationships/hyperlink" Target="http://www.sec.gov/Archives/edgar/data/1724542/000121390026110018/ea030717901ex10-26.htm" TargetMode="External"/><Relationship Id="rId48" Type="http://schemas.openxmlformats.org/officeDocument/2006/relationships/hyperlink" Target="http://www.sec.gov/Archives/edgar/data/1724542/000121390026110018/ea030717901ex10-26.htm" TargetMode="External"/><Relationship Id="rId49" Type="http://schemas.openxmlformats.org/officeDocument/2006/relationships/hyperlink" Target="http://www.sec.gov/Archives/edgar/data/1724542/000121390026110018/ea030717901ex10-26.htm" TargetMode="External"/><Relationship Id="rId50" Type="http://schemas.openxmlformats.org/officeDocument/2006/relationships/hyperlink" Target="http://www.sec.gov/Archives/edgar/data/1724542/000121390026110018/ea030717901ex10-27.htm" TargetMode="External"/><Relationship Id="rId51" Type="http://schemas.openxmlformats.org/officeDocument/2006/relationships/hyperlink" Target="http://www.sec.gov/Archives/edgar/data/1724542/000121390026110018/ea030717901ex10-27.htm" TargetMode="External"/><Relationship Id="rId52" Type="http://schemas.openxmlformats.org/officeDocument/2006/relationships/hyperlink" Target="http://www.sec.gov/Archives/edgar/data/1724542/000121390026110018/ea030717901ex10-27.htm" TargetMode="External"/><Relationship Id="rId53" Type="http://schemas.openxmlformats.org/officeDocument/2006/relationships/hyperlink" Target="https://www.sec.gov/Archives/edgar/data/1724542/000121390024088712/ea021691901ex11-1_clpsinc.htm" TargetMode="External"/><Relationship Id="rId54" Type="http://schemas.openxmlformats.org/officeDocument/2006/relationships/hyperlink" Target="http://www.sec.gov/Archives/edgar/data/1724542/000121390018003524/ff12018ex14-1_clpsincorp.htm" TargetMode="External"/><Relationship Id="rId55" Type="http://schemas.openxmlformats.org/officeDocument/2006/relationships/hyperlink" Target="http://www.sec.gov/Archives/edgar/data/1724542/000121390018003524/ff12018ex14-1_clpsincorp.htm" TargetMode="External"/><Relationship Id="rId56" Type="http://schemas.openxmlformats.org/officeDocument/2006/relationships/hyperlink" Target="http://www.sec.gov/Archives/edgar/data/1724542/000121390026110018/ea030717901ex21-1.htm" TargetMode="External"/><Relationship Id="rId57" Type="http://schemas.openxmlformats.org/officeDocument/2006/relationships/hyperlink" Target="http://www.sec.gov/Archives/edgar/data/1724542/000121390026110018/ea030717901ex21-1.htm" TargetMode="External"/><Relationship Id="rId58" Type="http://schemas.openxmlformats.org/officeDocument/2006/relationships/hyperlink" Target="http://www.sec.gov/Archives/edgar/data/1724542/000121390026110018/ea030717901ex21-1.htm" TargetMode="External"/><Relationship Id="rId59" Type="http://schemas.openxmlformats.org/officeDocument/2006/relationships/hyperlink" Target="https://www.sec.gov/Archives/edgar/data/1724542/000121390024088712/ea021691901ex97-1_clpsinc.htm" TargetMode="External"/><Relationship Id="rId60" Type="http://schemas.openxmlformats.org/officeDocument/2006/relationships/hyperlink" Target="http://www.sec.gov/Archives/edgar/data/1724542/000121390018003524/ff12018ex99-1_clpsincorp.htm" TargetMode="External"/><Relationship Id="rId61" Type="http://schemas.openxmlformats.org/officeDocument/2006/relationships/hyperlink" Target="http://www.sec.gov/Archives/edgar/data/1724542/000121390018003524/ff12018ex99-2_clpsincorp.htm" TargetMode="External"/><Relationship Id="rId62" Type="http://schemas.openxmlformats.org/officeDocument/2006/relationships/hyperlink" Target="http://www.sec.gov/Archives/edgar/data/1724542/000121390018003524/ff12018ex99-3_clpsincorp.htm" TargetMode="External"/><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3028</Words>
  <Characters>16347</Characters>
  <CharactersWithSpaces>19371</CharactersWithSpaces>
  <Paragraphs>559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