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G31642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Raymond Ming Hui Lin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(+86) 21-31268010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540" w:type="dxa"/>
            <w:vAlign w:val="bottom"/>
            <w:tcBorders>
              <w:right w:val="single" w:sz="8" w:color="auto"/>
            </w:tcBorders>
          </w:tcPr>
          <w:p>
            <w:pPr>
              <w:ind w:left="3600"/>
              <w:spacing w:after="0"/>
              <w:rPr>
                <w:sz w:val="20"/>
                <w:szCs w:val="20"/>
                <w:color w:val="auto"/>
              </w:rPr>
            </w:pPr>
            <w:r>
              <w:rPr>
                <w:rFonts w:ascii="Arial" w:cs="Arial" w:eastAsia="Arial" w:hAnsi="Arial"/>
                <w:sz w:val="18"/>
                <w:szCs w:val="18"/>
                <w:b w:val="1"/>
                <w:bCs w:val="1"/>
                <w:color w:val="auto"/>
              </w:rPr>
              <w:t>13D</w:t>
            </w:r>
          </w:p>
        </w:tc>
        <w:tc>
          <w:tcPr>
            <w:tcW w:w="180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85"/>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608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pacing w:after="0" w:line="209" w:lineRule="exact"/>
        <w:rPr>
          <w:sz w:val="20"/>
          <w:szCs w:val="20"/>
          <w:color w:val="auto"/>
        </w:rPr>
      </w:pPr>
    </w:p>
    <w:p>
      <w:pPr>
        <w:ind w:left="1000" w:hanging="564"/>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Qinhui Ltd.</w:t>
      </w:r>
    </w:p>
    <w:p>
      <w:pPr>
        <w:spacing w:after="0" w:line="40" w:lineRule="exact"/>
        <w:rPr>
          <w:sz w:val="20"/>
          <w:szCs w:val="20"/>
          <w:color w:val="auto"/>
        </w:rPr>
      </w:pPr>
    </w:p>
    <w:p>
      <w:pPr>
        <w:ind w:left="1000" w:hanging="564"/>
        <w:spacing w:after="0"/>
        <w:tabs>
          <w:tab w:leader="none" w:pos="10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8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8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1000" w:hanging="564"/>
        <w:spacing w:after="0"/>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1000" w:hanging="564"/>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OO (See Item 3)</w:t>
      </w:r>
    </w:p>
    <w:p>
      <w:pPr>
        <w:spacing w:after="0" w:line="40" w:lineRule="exact"/>
        <w:rPr>
          <w:sz w:val="20"/>
          <w:szCs w:val="20"/>
          <w:color w:val="auto"/>
        </w:rPr>
      </w:pPr>
    </w:p>
    <w:p>
      <w:pPr>
        <w:ind w:left="1000" w:hanging="564"/>
        <w:spacing w:after="0"/>
        <w:tabs>
          <w:tab w:leader="none" w:pos="10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1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1000" w:hanging="564"/>
        <w:spacing w:after="0"/>
        <w:tabs>
          <w:tab w:leader="none" w:pos="10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British Virgin Islands</w:t>
      </w:r>
    </w:p>
    <w:p>
      <w:pPr>
        <w:spacing w:after="0" w:line="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color w:val="auto"/>
                <w:w w:val="79"/>
              </w:rPr>
              <w:t>7</w:t>
            </w:r>
          </w:p>
        </w:tc>
        <w:tc>
          <w:tcPr>
            <w:tcW w:w="836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NUMBER OF</w:t>
            </w:r>
          </w:p>
        </w:tc>
        <w:tc>
          <w:tcPr>
            <w:tcW w:w="7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36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760" w:type="dxa"/>
            <w:vAlign w:val="bottom"/>
            <w:vMerge w:val="continue"/>
          </w:tcPr>
          <w:p>
            <w:pPr>
              <w:spacing w:after="0"/>
              <w:rPr>
                <w:sz w:val="11"/>
                <w:szCs w:val="11"/>
                <w:color w:val="auto"/>
              </w:rPr>
            </w:pPr>
          </w:p>
        </w:tc>
        <w:tc>
          <w:tcPr>
            <w:tcW w:w="8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8"/>
                <w:szCs w:val="18"/>
                <w:color w:val="auto"/>
              </w:rPr>
            </w:pPr>
          </w:p>
        </w:tc>
        <w:tc>
          <w:tcPr>
            <w:tcW w:w="83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4,999,996 common shares (See Item 5)</w:t>
            </w:r>
          </w:p>
        </w:tc>
        <w:tc>
          <w:tcPr>
            <w:tcW w:w="0" w:type="dxa"/>
            <w:vAlign w:val="bottom"/>
          </w:tcPr>
          <w:p>
            <w:pPr>
              <w:spacing w:after="0"/>
              <w:rPr>
                <w:sz w:val="1"/>
                <w:szCs w:val="1"/>
                <w:color w:val="auto"/>
              </w:rPr>
            </w:pPr>
          </w:p>
        </w:tc>
      </w:tr>
      <w:tr>
        <w:trPr>
          <w:trHeight w:val="116"/>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8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36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5"/>
              </w:rPr>
              <w:t>EACH</w:t>
            </w:r>
          </w:p>
        </w:tc>
        <w:tc>
          <w:tcPr>
            <w:tcW w:w="76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3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4"/>
              </w:rPr>
              <w:t>PERSON WITH</w:t>
            </w:r>
          </w:p>
        </w:tc>
        <w:tc>
          <w:tcPr>
            <w:tcW w:w="76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3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4,999,996 common shares (See Item 5)</w:t>
      </w:r>
    </w:p>
    <w:p>
      <w:pPr>
        <w:spacing w:after="0" w:line="40" w:lineRule="exact"/>
        <w:rPr>
          <w:sz w:val="20"/>
          <w:szCs w:val="20"/>
          <w:color w:val="auto"/>
        </w:rPr>
      </w:pPr>
    </w:p>
    <w:p>
      <w:pPr>
        <w:ind w:left="1000" w:hanging="604"/>
        <w:spacing w:after="0"/>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4,999,996 (See Item 5)</w:t>
      </w:r>
    </w:p>
    <w:p>
      <w:pPr>
        <w:spacing w:after="0" w:line="40" w:lineRule="exact"/>
        <w:rPr>
          <w:sz w:val="20"/>
          <w:szCs w:val="20"/>
          <w:color w:val="auto"/>
        </w:rPr>
      </w:pPr>
    </w:p>
    <w:p>
      <w:pPr>
        <w:ind w:left="1000" w:hanging="609"/>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1000" w:hanging="609"/>
        <w:spacing w:after="0"/>
        <w:tabs>
          <w:tab w:leader="none" w:pos="10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33.74% of the Company’s outstanding common shares</w:t>
      </w:r>
    </w:p>
    <w:p>
      <w:pPr>
        <w:spacing w:after="0" w:line="40" w:lineRule="exact"/>
        <w:rPr>
          <w:sz w:val="20"/>
          <w:szCs w:val="20"/>
          <w:color w:val="auto"/>
        </w:rPr>
      </w:pPr>
    </w:p>
    <w:p>
      <w:pPr>
        <w:ind w:left="1000" w:hanging="609"/>
        <w:spacing w:after="0"/>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540" w:type="dxa"/>
            <w:vAlign w:val="bottom"/>
            <w:tcBorders>
              <w:right w:val="single" w:sz="8" w:color="auto"/>
            </w:tcBorders>
          </w:tcPr>
          <w:p>
            <w:pPr>
              <w:ind w:left="3600"/>
              <w:spacing w:after="0"/>
              <w:rPr>
                <w:sz w:val="20"/>
                <w:szCs w:val="20"/>
                <w:color w:val="auto"/>
              </w:rPr>
            </w:pPr>
            <w:r>
              <w:rPr>
                <w:rFonts w:ascii="Arial" w:cs="Arial" w:eastAsia="Arial" w:hAnsi="Arial"/>
                <w:sz w:val="18"/>
                <w:szCs w:val="18"/>
                <w:b w:val="1"/>
                <w:bCs w:val="1"/>
                <w:color w:val="auto"/>
              </w:rPr>
              <w:t>13D</w:t>
            </w:r>
          </w:p>
        </w:tc>
        <w:tc>
          <w:tcPr>
            <w:tcW w:w="180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85"/>
              </w:rPr>
              <w:t>Page 3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608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pacing w:after="0" w:line="209" w:lineRule="exact"/>
        <w:rPr>
          <w:sz w:val="20"/>
          <w:szCs w:val="20"/>
          <w:color w:val="auto"/>
        </w:rPr>
      </w:pPr>
    </w:p>
    <w:p>
      <w:pPr>
        <w:ind w:left="1000" w:hanging="564"/>
        <w:spacing w:after="0"/>
        <w:tabs>
          <w:tab w:leader="none" w:pos="10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Raymond Ming Hui Lin</w:t>
      </w:r>
    </w:p>
    <w:p>
      <w:pPr>
        <w:spacing w:after="0" w:line="40" w:lineRule="exact"/>
        <w:rPr>
          <w:sz w:val="20"/>
          <w:szCs w:val="20"/>
          <w:color w:val="auto"/>
        </w:rPr>
      </w:pPr>
    </w:p>
    <w:p>
      <w:pPr>
        <w:ind w:left="1000" w:hanging="564"/>
        <w:spacing w:after="0"/>
        <w:tabs>
          <w:tab w:leader="none" w:pos="10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8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8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1000" w:hanging="564"/>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1000" w:hanging="564"/>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PF/OO</w:t>
      </w:r>
    </w:p>
    <w:p>
      <w:pPr>
        <w:spacing w:after="0" w:line="40" w:lineRule="exact"/>
        <w:rPr>
          <w:sz w:val="20"/>
          <w:szCs w:val="20"/>
          <w:color w:val="auto"/>
        </w:rPr>
      </w:pPr>
    </w:p>
    <w:p>
      <w:pPr>
        <w:ind w:left="1000" w:hanging="564"/>
        <w:spacing w:after="0"/>
        <w:tabs>
          <w:tab w:leader="none" w:pos="10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1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1000" w:hanging="564"/>
        <w:spacing w:after="0"/>
        <w:tabs>
          <w:tab w:leader="none" w:pos="10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Hong Kong Special Administrative Region of the People’s Republic of China</w:t>
      </w:r>
    </w:p>
    <w:p>
      <w:pPr>
        <w:spacing w:after="0" w:line="40" w:lineRule="exact"/>
        <w:rPr>
          <w:sz w:val="20"/>
          <w:szCs w:val="20"/>
          <w:color w:val="auto"/>
        </w:rPr>
      </w:pPr>
    </w:p>
    <w:p>
      <w:pPr>
        <w:ind w:left="3280" w:hanging="562"/>
        <w:spacing w:after="0"/>
        <w:tabs>
          <w:tab w:leader="none" w:pos="32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NUMBER OF</w:t>
            </w:r>
          </w:p>
        </w:tc>
        <w:tc>
          <w:tcPr>
            <w:tcW w:w="760" w:type="dxa"/>
            <w:vAlign w:val="bottom"/>
            <w:tcBorders>
              <w:bottom w:val="single" w:sz="8" w:color="auto"/>
            </w:tcBorders>
          </w:tcPr>
          <w:p>
            <w:pPr>
              <w:spacing w:after="0"/>
              <w:rPr>
                <w:sz w:val="20"/>
                <w:szCs w:val="20"/>
                <w:color w:val="auto"/>
              </w:rPr>
            </w:pPr>
          </w:p>
        </w:tc>
        <w:tc>
          <w:tcPr>
            <w:tcW w:w="8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5,421,986 common shares</w:t>
            </w: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36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760" w:type="dxa"/>
            <w:vAlign w:val="bottom"/>
            <w:vMerge w:val="continue"/>
          </w:tcPr>
          <w:p>
            <w:pPr>
              <w:spacing w:after="0"/>
              <w:rPr>
                <w:sz w:val="11"/>
                <w:szCs w:val="11"/>
                <w:color w:val="auto"/>
              </w:rPr>
            </w:pPr>
          </w:p>
        </w:tc>
        <w:tc>
          <w:tcPr>
            <w:tcW w:w="8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760" w:type="dxa"/>
            <w:vAlign w:val="bottom"/>
          </w:tcPr>
          <w:p>
            <w:pPr>
              <w:spacing w:after="0"/>
              <w:rPr>
                <w:sz w:val="18"/>
                <w:szCs w:val="18"/>
                <w:color w:val="auto"/>
              </w:rPr>
            </w:pPr>
          </w:p>
        </w:tc>
        <w:tc>
          <w:tcPr>
            <w:tcW w:w="83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8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36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5"/>
              </w:rPr>
              <w:t>EACH</w:t>
            </w:r>
          </w:p>
        </w:tc>
        <w:tc>
          <w:tcPr>
            <w:tcW w:w="760" w:type="dxa"/>
            <w:vAlign w:val="bottom"/>
            <w:vMerge w:val="continue"/>
          </w:tcPr>
          <w:p>
            <w:pPr>
              <w:spacing w:after="0"/>
              <w:rPr>
                <w:sz w:val="13"/>
                <w:szCs w:val="13"/>
                <w:color w:val="auto"/>
              </w:rPr>
            </w:pPr>
          </w:p>
        </w:tc>
        <w:tc>
          <w:tcPr>
            <w:tcW w:w="8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3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5,421,986 common shares</w:t>
            </w:r>
          </w:p>
        </w:tc>
        <w:tc>
          <w:tcPr>
            <w:tcW w:w="0" w:type="dxa"/>
            <w:vAlign w:val="bottom"/>
          </w:tcPr>
          <w:p>
            <w:pPr>
              <w:spacing w:after="0"/>
              <w:rPr>
                <w:sz w:val="1"/>
                <w:szCs w:val="1"/>
                <w:color w:val="auto"/>
              </w:rPr>
            </w:pPr>
          </w:p>
        </w:tc>
      </w:tr>
      <w:tr>
        <w:trPr>
          <w:trHeight w:val="143"/>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4"/>
              </w:rPr>
              <w:t>PERSON WITH</w:t>
            </w:r>
          </w:p>
        </w:tc>
        <w:tc>
          <w:tcPr>
            <w:tcW w:w="760" w:type="dxa"/>
            <w:vAlign w:val="bottom"/>
            <w:tcBorders>
              <w:bottom w:val="single" w:sz="8" w:color="auto"/>
            </w:tcBorders>
          </w:tcPr>
          <w:p>
            <w:pPr>
              <w:spacing w:after="0"/>
              <w:rPr>
                <w:sz w:val="12"/>
                <w:szCs w:val="12"/>
                <w:color w:val="auto"/>
              </w:rPr>
            </w:pPr>
          </w:p>
        </w:tc>
        <w:tc>
          <w:tcPr>
            <w:tcW w:w="8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3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1000" w:hanging="604"/>
        <w:spacing w:after="0"/>
        <w:tabs>
          <w:tab w:leader="none" w:pos="10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5,421,986 common shares</w:t>
      </w:r>
    </w:p>
    <w:p>
      <w:pPr>
        <w:spacing w:after="0" w:line="40" w:lineRule="exact"/>
        <w:rPr>
          <w:sz w:val="20"/>
          <w:szCs w:val="20"/>
          <w:color w:val="auto"/>
        </w:rPr>
      </w:pPr>
    </w:p>
    <w:p>
      <w:pPr>
        <w:ind w:left="1000" w:hanging="609"/>
        <w:spacing w:after="0"/>
        <w:tabs>
          <w:tab w:leader="none" w:pos="10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1000" w:hanging="609"/>
        <w:spacing w:after="0"/>
        <w:tabs>
          <w:tab w:leader="none" w:pos="10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36.58% of the Company’s outstanding common shares</w:t>
      </w:r>
    </w:p>
    <w:p>
      <w:pPr>
        <w:spacing w:after="0" w:line="40" w:lineRule="exact"/>
        <w:rPr>
          <w:sz w:val="20"/>
          <w:szCs w:val="20"/>
          <w:color w:val="auto"/>
        </w:rPr>
      </w:pPr>
    </w:p>
    <w:p>
      <w:pPr>
        <w:ind w:left="1000" w:hanging="609"/>
        <w:spacing w:after="0"/>
        <w:tabs>
          <w:tab w:leader="none" w:pos="10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540" w:type="dxa"/>
            <w:vAlign w:val="bottom"/>
            <w:tcBorders>
              <w:right w:val="single" w:sz="8" w:color="auto"/>
            </w:tcBorders>
          </w:tcPr>
          <w:p>
            <w:pPr>
              <w:ind w:left="3600"/>
              <w:spacing w:after="0"/>
              <w:rPr>
                <w:sz w:val="20"/>
                <w:szCs w:val="20"/>
                <w:color w:val="auto"/>
              </w:rPr>
            </w:pPr>
            <w:r>
              <w:rPr>
                <w:rFonts w:ascii="Arial" w:cs="Arial" w:eastAsia="Arial" w:hAnsi="Arial"/>
                <w:sz w:val="18"/>
                <w:szCs w:val="18"/>
                <w:b w:val="1"/>
                <w:bCs w:val="1"/>
                <w:color w:val="auto"/>
              </w:rPr>
              <w:t>13D</w:t>
            </w:r>
          </w:p>
        </w:tc>
        <w:tc>
          <w:tcPr>
            <w:tcW w:w="180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85"/>
              </w:rPr>
              <w:t>Page 4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No. 1 to Schedule 13D amends Schedule 13D filed on February 25, 2019 (the “Original 13D”). This Amendment and the Original 13D are hereby referred to as the “Schedule 13D”.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specifically amended below, all other provisions of the Schedule 13D remain in effect. Capitalized terms used and not defined in this Amendment are used as defined in the Original 13D. This Amendment is being filed to reflect the disposition of 129,825 common shares of the Company between November 8, 2019 and December 13, 2019 and the acquisition by Mr. Raymond Ming Hui Lin, a Reporting Person, of 404,600 common shares of the Company pursuant to a grant under the Company’s 2017 Equity Incentive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title and class of equity securities to which this Schedule 13D relates is the common shares, par value $0.0001 per share (“Common Shares”), of CLPS Incorporation, a Cayman Islands corporation (the “Company”). The Company’s principal executive office is located at 2nd Floor, Building 18, Shanghai Pudong Software Park, 498 Guoshoujing Road, Pudong, Shanghai 201203, People’s Republic of China.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 This report is being filed by Qinhui Ltd. and Raymond Ming Hui Lin (together, the “Reporting Persons”). Raymond Ming Hui Lin is the Chief Executive Officer and a director of the Company. This business address is 2nd Floor, Building 18, Shanghai Pudong Software Park, 498 Guoshoujing Road, Pudong, Shanghai 201203, People’s Republic of China.</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Qinhui Ltd. is a holding company formed under the laws of the British Virgin Islands. The principal business of Qinhui Ltd. is managing Raymond Ming Hui Lin’s personal assets and investments. Qinhui Ltd.’s mailing address is c/o Ogier Global (BVI) Ltd., Ritter House, Wickham’s Cay II, Road Town, Tortola, VG 1110, British Virgin Islands. Raymond Ming Hui Lin is the sole owner of Qinhui Ltd.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 Neither Raymond Ming Hui Lin nor Qinhui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ind w:firstLine="8"/>
        <w:spacing w:after="0" w:line="277"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Raymond Ming Hui Lin is a citizen of Hong Kong Special Administrative Region of the People’s Republic of China. Qinhui Ltd. is a British Virgin Islands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and Other Consideration.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Between November 8, 2019 and December 13, 2019, Mr. Lin sold 129,825 common shares of the Company. On November 26, 2019, the Board of Directors of the Company authorized the award of 404,600 restricted shares (the “Shares”) to Mr. Lin under the Company’s 2017 Equity Incentive Plan, which vested on November 27, 2019. Mr. Lin did not pay any additional consideration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540" w:type="dxa"/>
            <w:vAlign w:val="bottom"/>
            <w:tcBorders>
              <w:right w:val="single" w:sz="8" w:color="auto"/>
            </w:tcBorders>
          </w:tcPr>
          <w:p>
            <w:pPr>
              <w:ind w:left="3600"/>
              <w:spacing w:after="0"/>
              <w:rPr>
                <w:sz w:val="20"/>
                <w:szCs w:val="20"/>
                <w:color w:val="auto"/>
              </w:rPr>
            </w:pPr>
            <w:r>
              <w:rPr>
                <w:rFonts w:ascii="Arial" w:cs="Arial" w:eastAsia="Arial" w:hAnsi="Arial"/>
                <w:sz w:val="18"/>
                <w:szCs w:val="18"/>
                <w:b w:val="1"/>
                <w:bCs w:val="1"/>
                <w:color w:val="auto"/>
              </w:rPr>
              <w:t>13D</w:t>
            </w:r>
          </w:p>
        </w:tc>
        <w:tc>
          <w:tcPr>
            <w:tcW w:w="180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85"/>
              </w:rPr>
              <w:t>Page 5 of 6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Mr. Lin sold common shares of the Company between November and December of 2019, and he was awarded the Shares under the Company’s 2017 Equity Incentive Plan stated above. Mr. Lin is currently the Chief Executive Officer and a director of the Company and therefore will continue to participate in and receive awards under the Company’s incentive programs for as long as he is an employee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 The calculations in this Item are based upon 14,820,630 common shares issued and outstanding as of January 15, 2020. The foregoing calculation is made pursuant to Rule l3d-3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of</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Shared Power to</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Sole Power to</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Shared Power to</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Percentage of</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Sole Power to Vote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Vote or Direct the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Dispose or to Direct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Dispose or to Direct</w:t>
            </w:r>
          </w:p>
        </w:tc>
      </w:tr>
      <w:tr>
        <w:trPr>
          <w:trHeight w:val="241"/>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Beneficially Owned</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Class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Direct the Vote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Vote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the Disposition</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the Disposition</w:t>
            </w:r>
          </w:p>
        </w:tc>
      </w:tr>
      <w:tr>
        <w:trPr>
          <w:trHeight w:val="202"/>
        </w:trPr>
        <w:tc>
          <w:tcPr>
            <w:tcW w:w="15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Raymond Ming Hui</w:t>
            </w: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5,421,986 common</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5,421,986 common</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5,421,986 common</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30"/>
        </w:trPr>
        <w:tc>
          <w:tcPr>
            <w:tcW w:w="1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Lin</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shares*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36.58%</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rPr>
              <w:t>Qinhui Ltd.</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4,999,996 common</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4,999,996 common</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4,999,996 common</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33.74%</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shares</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02" w:lineRule="exact"/>
        <w:rPr>
          <w:sz w:val="20"/>
          <w:szCs w:val="20"/>
          <w:color w:val="auto"/>
        </w:rPr>
      </w:pPr>
    </w:p>
    <w:p>
      <w:pPr>
        <w:ind w:left="420" w:hanging="331"/>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vested portion of the restricted stock granted dated as of November 27, 2019.</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Because Mr. Lin controls all of the voting and disposition interests of Qinhui Ltd. with respect to the securities, he may be deemed to have indirect beneficial ownership of the common shares directly beneficially owned by Qinhui Ltd. Neither Raymond Ming Hui Lin nor Qinhui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540" w:type="dxa"/>
            <w:vAlign w:val="bottom"/>
            <w:tcBorders>
              <w:right w:val="single" w:sz="8" w:color="auto"/>
            </w:tcBorders>
          </w:tcPr>
          <w:p>
            <w:pPr>
              <w:ind w:left="3600"/>
              <w:spacing w:after="0"/>
              <w:rPr>
                <w:sz w:val="20"/>
                <w:szCs w:val="20"/>
                <w:color w:val="auto"/>
              </w:rPr>
            </w:pPr>
            <w:r>
              <w:rPr>
                <w:rFonts w:ascii="Arial" w:cs="Arial" w:eastAsia="Arial" w:hAnsi="Arial"/>
                <w:sz w:val="18"/>
                <w:szCs w:val="18"/>
                <w:b w:val="1"/>
                <w:bCs w:val="1"/>
                <w:color w:val="auto"/>
              </w:rPr>
              <w:t>13D</w:t>
            </w:r>
          </w:p>
        </w:tc>
        <w:tc>
          <w:tcPr>
            <w:tcW w:w="180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85"/>
              </w:rPr>
              <w:t>Page 6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17, 2020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Raymond Ming Hui Lin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Qinhui Ltd.</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2"/>
      <w:numFmt w:val="bullet"/>
      <w:start w:val="1"/>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1"/>
      <w:numFmt w:val="decimal"/>
      <w:start w:val="11"/>
    </w:lvl>
  </w:abstractNum>
  <w:abstractNum w:abstractNumId="7">
    <w:nsid w:val="41A7C4C9"/>
    <w:multiLevelType w:val="hybridMultilevel"/>
    <w:lvl w:ilvl="0">
      <w:lvlJc w:val="left"/>
      <w:lvlText w:val="%1"/>
      <w:numFmt w:val="decimal"/>
      <w:start w:val="12"/>
    </w:lvl>
  </w:abstractNum>
  <w:abstractNum w:abstractNumId="8">
    <w:nsid w:val="6B68079A"/>
    <w:multiLevelType w:val="hybridMultilevel"/>
    <w:lvl w:ilvl="0">
      <w:lvlJc w:val="left"/>
      <w:lvlText w:val="%1"/>
      <w:numFmt w:val="decimal"/>
      <w:start w:val="13"/>
    </w:lvl>
  </w:abstractNum>
  <w:abstractNum w:abstractNumId="9">
    <w:nsid w:val="4E6AFB66"/>
    <w:multiLevelType w:val="hybridMultilevel"/>
    <w:lvl w:ilvl="0">
      <w:lvlJc w:val="left"/>
      <w:lvlText w:val="%1"/>
      <w:numFmt w:val="decimal"/>
      <w:start w:val="14"/>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2"/>
      <w:numFmt w:val="bullet"/>
      <w:start w:val="1"/>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4"/>
      <w:numFmt w:val="bullet"/>
      <w:start w:val="1"/>
    </w:lvl>
  </w:abstractNum>
  <w:abstractNum w:abstractNumId="14">
    <w:nsid w:val="7C83E458"/>
    <w:multiLevelType w:val="hybridMultilevel"/>
    <w:lvl w:ilvl="0">
      <w:lvlJc w:val="left"/>
      <w:lvlText w:val="5"/>
      <w:numFmt w:val="bullet"/>
      <w:start w:val="1"/>
    </w:lvl>
  </w:abstractNum>
  <w:abstractNum w:abstractNumId="15">
    <w:nsid w:val="257130A3"/>
    <w:multiLevelType w:val="hybridMultilevel"/>
    <w:lvl w:ilvl="0">
      <w:lvlJc w:val="left"/>
      <w:lvlText w:val="6"/>
      <w:numFmt w:val="bullet"/>
      <w:start w:val="1"/>
    </w:lvl>
  </w:abstractNum>
  <w:abstractNum w:abstractNumId="16">
    <w:nsid w:val="62BBD95A"/>
    <w:multiLevelType w:val="hybridMultilevel"/>
    <w:lvl w:ilvl="0">
      <w:lvlJc w:val="left"/>
      <w:lvlText w:val="7"/>
      <w:numFmt w:val="bullet"/>
      <w:start w:val="1"/>
    </w:lvl>
  </w:abstractNum>
  <w:abstractNum w:abstractNumId="17">
    <w:nsid w:val="436C6125"/>
    <w:multiLevelType w:val="hybridMultilevel"/>
    <w:lvl w:ilvl="0">
      <w:lvlJc w:val="left"/>
      <w:lvlText w:val="%1"/>
      <w:numFmt w:val="decimal"/>
      <w:start w:val="11"/>
    </w:lvl>
  </w:abstractNum>
  <w:abstractNum w:abstractNumId="18">
    <w:nsid w:val="628C895D"/>
    <w:multiLevelType w:val="hybridMultilevel"/>
    <w:lvl w:ilvl="0">
      <w:lvlJc w:val="left"/>
      <w:lvlText w:val="%1"/>
      <w:numFmt w:val="decimal"/>
      <w:start w:val="12"/>
    </w:lvl>
  </w:abstractNum>
  <w:abstractNum w:abstractNumId="19">
    <w:nsid w:val="333AB105"/>
    <w:multiLevelType w:val="hybridMultilevel"/>
    <w:lvl w:ilvl="0">
      <w:lvlJc w:val="left"/>
      <w:lvlText w:val="%1"/>
      <w:numFmt w:val="decimal"/>
      <w:start w:val="13"/>
    </w:lvl>
  </w:abstractNum>
  <w:abstractNum w:abstractNumId="20">
    <w:nsid w:val="721DA317"/>
    <w:multiLevelType w:val="hybridMultilevel"/>
    <w:lvl w:ilvl="0">
      <w:lvlJc w:val="left"/>
      <w:lvlText w:val="%1"/>
      <w:numFmt w:val="decimal"/>
      <w:start w:val="14"/>
    </w:lvl>
  </w:abstractNum>
  <w:abstractNum w:abstractNumId="21">
    <w:nsid w:val="2443A858"/>
    <w:multiLevelType w:val="hybridMultilevel"/>
    <w:lvl w:ilvl="0">
      <w:lvlJc w:val="left"/>
      <w:lvlText w:val="(%1)"/>
      <w:numFmt w:val="lowerLetter"/>
      <w:start w:val="6"/>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2020-01-23T07:02:54Z</dcterms:created>
  <dcterms:modified xsi:type="dcterms:W3CDTF">2020-01-23T07:02:54Z</dcterms:modified>
</cp:coreProperties>
</file>