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Xiao Feng Yang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1102, 11th Floor, Millennium City III, 370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Qinrui Ltd.</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2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4,976,000 common shares (See Item 5)</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4,976,000 common shares (See Item 5)</w:t>
      </w:r>
    </w:p>
    <w:p>
      <w:pPr>
        <w:spacing w:after="0" w:line="40" w:lineRule="exact"/>
        <w:rPr>
          <w:sz w:val="20"/>
          <w:szCs w:val="20"/>
          <w:color w:val="auto"/>
        </w:rPr>
      </w:pPr>
    </w:p>
    <w:p>
      <w:pPr>
        <w:ind w:left="980" w:hanging="591"/>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4,976,000 (See Item 5)</w:t>
      </w:r>
    </w:p>
    <w:p>
      <w:pPr>
        <w:spacing w:after="0" w:line="40" w:lineRule="exact"/>
        <w:rPr>
          <w:sz w:val="20"/>
          <w:szCs w:val="20"/>
          <w:color w:val="auto"/>
        </w:rPr>
      </w:pPr>
    </w:p>
    <w:p>
      <w:pPr>
        <w:ind w:left="980" w:hanging="59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23.1%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3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Xiao Feng Yang</w:t>
      </w:r>
    </w:p>
    <w:p>
      <w:pPr>
        <w:spacing w:after="0" w:line="40" w:lineRule="exact"/>
        <w:rPr>
          <w:sz w:val="20"/>
          <w:szCs w:val="20"/>
          <w:color w:val="auto"/>
        </w:rPr>
      </w:pPr>
    </w:p>
    <w:p>
      <w:pPr>
        <w:ind w:left="980" w:hanging="551"/>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980" w:hanging="551"/>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The People’s Republic of China</w:t>
      </w:r>
    </w:p>
    <w:p>
      <w:pPr>
        <w:spacing w:after="0" w:line="40" w:lineRule="exact"/>
        <w:rPr>
          <w:sz w:val="20"/>
          <w:szCs w:val="20"/>
          <w:color w:val="auto"/>
        </w:rPr>
      </w:pPr>
    </w:p>
    <w:p>
      <w:pPr>
        <w:ind w:left="3220" w:hanging="543"/>
        <w:spacing w:after="0"/>
        <w:tabs>
          <w:tab w:leader="none" w:pos="3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5,542,950 common shares</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5,542,950 common shares</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80" w:hanging="591"/>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5,542,950 common shares</w:t>
      </w:r>
    </w:p>
    <w:p>
      <w:pPr>
        <w:spacing w:after="0" w:line="40" w:lineRule="exact"/>
        <w:rPr>
          <w:sz w:val="20"/>
          <w:szCs w:val="20"/>
          <w:color w:val="auto"/>
        </w:rPr>
      </w:pPr>
    </w:p>
    <w:p>
      <w:pPr>
        <w:ind w:left="980" w:hanging="596"/>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25.8%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4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2 to Schedule 13D amends Amendment No. 1 to Schedule 13D filed on June 12, 2020 (the “Original 13D”). This Amendment and the Original 13D are hereby referred to as the “Schedule 13D”.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specifically amended below, all other provisions of the Schedule 13D remain in effect. Capitalized terms used and not defined in this Amendment are used as defined in the Original 13D. This Amendment is being filed to reflect separate acquisitions between May 6, 2020 and January 31, 2022 by Mr. Xiao Feng Yang, a Reporting Person, of 272,786 common shares of the Company pursuant to grants under the Company’s 2020 Equity Incentive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1102, 11th Floor, Millennium City III, 370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 This report is being filed by Qinrui Ltd. and Xiao Feng Yang (together, the “Reporting Persons”). Xiao Feng Yang is the Chairman of the board of directors of the Company. The Company’s business address is Unit 1102, 11th Floor, Millennium City III, 370 Kwun Tong Road, Kwun Tong, Kowloon, Hong Kong SAR.</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Qinrui Ltd. is a holding company formed under the laws of the British Virgin Islands. The principal business of Qinrui Ltd. is managing Xiao Feng Yang’s personal assets and investments. Qinrui Ltd.’s mailing address is c/o Ogier Global (BVI) Ltd., Ritter House, Wickham’s Cay II, Road Town, Tortola, VG 1110, British Virgin Islands. Xiao Feng Yang has the sole control of Qinrui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Xiao Feng Yang nor Qinrui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 Xiao Feng Yang is a citizen of the People’s Republic of China. Qinrui Ltd. is a British Virgin Islands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January 31, 2022, the Board of Directors of the Company authorized an award of 270,000 shares of restricted stock (the “Shares”) to Mr. Yang under the Company’s 2020 Equity Incentive Plan, which vested on the same day. Mr. Yang did not pay any additional consideration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5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Yang was awarded the Shares under the Company’s 2020 Equity Incentive Plan stated above. Mr. Yang is currently the Chairman of the board of directors of the Company and therefore will continue to participate in and receive awards under the Company’s incentive programs for as long as he is a director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 The calculations in this Item are based upon 21,513,822 common shares issued and outstanding as of January 31, 2022. The foregoing calculation is made pursuant to Rule l3d-3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Sole Power to</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 Power to</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Sole Power to</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Shared Power to</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Dispose or to</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Dispose or to</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Reporting</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Percentage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Vote or Direct</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Vote or Direct</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Direct the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Direct the</w:t>
            </w:r>
          </w:p>
        </w:tc>
      </w:tr>
      <w:tr>
        <w:trPr>
          <w:trHeight w:val="24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Person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Class</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the Vote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the Vote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Disposition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Disposition</w:t>
            </w:r>
          </w:p>
        </w:tc>
      </w:tr>
      <w:tr>
        <w:trPr>
          <w:trHeight w:val="202"/>
        </w:trPr>
        <w:tc>
          <w:tcPr>
            <w:tcW w:w="12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Xiao Feng Yang</w:t>
            </w:r>
          </w:p>
        </w:tc>
        <w:tc>
          <w:tcPr>
            <w:tcW w:w="1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5,542,950 common</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0"/>
              </w:rPr>
              <w:t>5,542,950 common</w:t>
            </w: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0"/>
              </w:rPr>
              <w:t>5,542,950 common</w:t>
            </w: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shares*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r>
      <w:tr>
        <w:trPr>
          <w:trHeight w:val="202"/>
        </w:trPr>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Qinrui Ltd.</w:t>
            </w:r>
          </w:p>
        </w:tc>
        <w:tc>
          <w:tcPr>
            <w:tcW w:w="15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4,976,000 common</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4,976,000 common</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4,976,000 common</w:t>
            </w: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shares</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January 31, 2022.</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Yang controls all of the voting and disposition interests of Qinrui Ltd. with respect to the securities, he may be deemed to have indirect beneficial ownership of the common shares directly beneficially owned by Qinrui Ltd. Neither Xiao Feng Yang nor Qinrui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6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Xiao Feng Yang</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Qinrui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5"/>
      <w:numFmt w:val="bullet"/>
      <w:start w:val="1"/>
    </w:lvl>
  </w:abstractNum>
  <w:abstractNum w:abstractNumId="5">
    <w:nsid w:val="DED7263"/>
    <w:multiLevelType w:val="hybridMultilevel"/>
    <w:lvl w:ilvl="0">
      <w:lvlJc w:val="left"/>
      <w:lvlText w:val="6"/>
      <w:numFmt w:val="bullet"/>
      <w:start w:val="1"/>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3"/>
    </w:lvl>
  </w:abstractNum>
  <w:abstractNum w:abstractNumId="9">
    <w:nsid w:val="6B68079A"/>
    <w:multiLevelType w:val="hybridMultilevel"/>
    <w:lvl w:ilvl="0">
      <w:lvlJc w:val="left"/>
      <w:lvlText w:val="%1"/>
      <w:numFmt w:val="decimal"/>
      <w:start w:val="14"/>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4"/>
      <w:numFmt w:val="bullet"/>
      <w:start w:val="1"/>
    </w:lvl>
  </w:abstractNum>
  <w:abstractNum w:abstractNumId="14">
    <w:nsid w:val="3F2DBA31"/>
    <w:multiLevelType w:val="hybridMultilevel"/>
    <w:lvl w:ilvl="0">
      <w:lvlJc w:val="left"/>
      <w:lvlText w:val="5"/>
      <w:numFmt w:val="bullet"/>
      <w:start w:val="1"/>
    </w:lvl>
  </w:abstractNum>
  <w:abstractNum w:abstractNumId="15">
    <w:nsid w:val="7C83E458"/>
    <w:multiLevelType w:val="hybridMultilevel"/>
    <w:lvl w:ilvl="0">
      <w:lvlJc w:val="left"/>
      <w:lvlText w:val="6"/>
      <w:numFmt w:val="bullet"/>
      <w:start w:val="1"/>
    </w:lvl>
  </w:abstractNum>
  <w:abstractNum w:abstractNumId="16">
    <w:nsid w:val="257130A3"/>
    <w:multiLevelType w:val="hybridMultilevel"/>
    <w:lvl w:ilvl="0">
      <w:lvlJc w:val="left"/>
      <w:lvlText w:val="7"/>
      <w:numFmt w:val="bullet"/>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2"/>
    </w:lvl>
  </w:abstractNum>
  <w:abstractNum w:abstractNumId="19">
    <w:nsid w:val="628C895D"/>
    <w:multiLevelType w:val="hybridMultilevel"/>
    <w:lvl w:ilvl="0">
      <w:lvlJc w:val="left"/>
      <w:lvlText w:val="%1"/>
      <w:numFmt w:val="decimal"/>
      <w:start w:val="13"/>
    </w:lvl>
  </w:abstractNum>
  <w:abstractNum w:abstractNumId="20">
    <w:nsid w:val="333AB105"/>
    <w:multiLevelType w:val="hybridMultilevel"/>
    <w:lvl w:ilvl="0">
      <w:lvlJc w:val="left"/>
      <w:lvlText w:val="%1"/>
      <w:numFmt w:val="decimal"/>
      <w:start w:val="14"/>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2022-02-14T07:34:10Z</dcterms:created>
  <dcterms:modified xsi:type="dcterms:W3CDTF">2022-02-14T07:34:10Z</dcterms:modified>
</cp:coreProperties>
</file>