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November 29, 2022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CLPS Incorporation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Nussbaum,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NOVEMBER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9420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US$80,000,000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November 28, 2022 the closing price of our shares on the NASDAQ Stock Market was US$1.08 per share. </w:t>
      </w:r>
      <w:r>
        <w:rPr>
          <w:rFonts w:ascii="Times New Roman" w:cs="Times New Roman" w:eastAsia="Times New Roman" w:hAnsi="Times New Roman"/>
          <w:sz w:val="18"/>
          <w:szCs w:val="18"/>
          <w:b w:val="1"/>
          <w:bCs w:val="1"/>
          <w:color w:val="auto"/>
        </w:rPr>
        <w:t>There is currently no established trading market through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US$10 million as of November 28, 2022. We have not sold any securities pursuant to General Instruction I.B.5 of Form F-3 during the prior 12 calendar month period that ends on and includes the date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a Chinese operating company but a Cayman Islands holding company with operations conducted by our subsidiaries in China. This structure involves unique risks to our investors. Investors in our shares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Our independent auditor, Ernst &amp; Young Hua Ming LLP, is subject to the determinations announced by the PCAOB on December 16, 2021. We are provisionally identified by SEC as a Commission-Identified Issuer under HFCAA on October 26, 2022 (see https://www.sec.gov/hfcaa). Please see the risk factors fully disclosed in Risk Factors under the paragraphs “Permissions Required from the PRC Authorities for Our Operations,” “Our subsidiaries in China are subject to restrictions on paying dividends and making other payments to our holding company,” ,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“The Holding Foreign Companies Accountable Act could result in delisting of our common stock from Nasdaq Capital Market and lack of a readily available market for our common stock,” and “There are uncertainties with respect to regulatory cooperation between PCAOB and Chinese regulators under the Statement of Protocol signed by the PCAOB and the CSRC of the People’s Republic of China on August 26, 2022.” Trading in the Company’s securities may be prohibited under the Holding Foreign Companies Accountable Act if the PCAOB determines that it cannot inspect or investigate completely our independent auditor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07"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Company does not believe that recent statements and regulatory actions by China’s government will have a material negative impact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in the following three areas of PRC law:</w:t>
      </w:r>
    </w:p>
    <w:p>
      <w:pPr>
        <w:spacing w:after="0" w:line="207" w:lineRule="exact"/>
        <w:rPr>
          <w:sz w:val="20"/>
          <w:szCs w:val="20"/>
          <w:color w:val="auto"/>
        </w:rPr>
      </w:pPr>
    </w:p>
    <w:p>
      <w:pPr>
        <w:jc w:val="both"/>
        <w:ind w:firstLine="656"/>
        <w:spacing w:after="0" w:line="258"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China Securities Regulatory Commission (“CSRC”) published the draft of the Provisions of the State Council on the Administration of Overseas Securities Offering and Listing by Domestic Companies (“Provisions”) on December 24, 2021. According to the draft Provisions, a Chinese entity will be banned from listing overseas under six circumstances: (a) the issuer is under any circumstance in which listing for financing is expressly prohibited by any law, regulation or provision of the PRC, (b) the overseas offering and listing threatens or endangers the PRC’s national security, (c) the issuer is involved in any major ownership dispute concerning equity, main assets or core technology, (d) the PRC entity and its controlling shareholder or actual controller have, in the past three years, committed any criminal offense such as corruption, bribery, embezzlement of property, misappropriation of property or disruption of the order of the socialist market economy, or are under investigation by the judicial organ for being suspected of committing a crime or under investigation for being suspected of any major illegality or irregularity; (e) any of the directors, supervisors or senior managers has, in the past three years, been subject to any administrative penalty and the circumstance is serious, or is under investigation by the judicial organ for being suspected of committing a crime or being under investigation for being suspected of any major illegality or irregularity; or (f) there is any other circumstance as determined by the State Council of the PRC. Based on the draft version, we do not see any possible scenario that the Company will be banned from listing in the US.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53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072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307276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 SEC at 1-800-SEC-0330.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430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30720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980" w:hanging="32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years ended June 30, 2022;</w:t>
      </w:r>
    </w:p>
    <w:p>
      <w:pPr>
        <w:spacing w:after="0" w:line="225"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w:t>
      </w:r>
      <w:hyperlink r:id="rId23">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including any amendment or report filed for the purpose of updating that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1102, 11th Floor, Millennium City III, 370 Kwun Tong Road, Kwun Tong, Kowloon, Hong Kong SAR.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219075</wp:posOffset>
            </wp:positionH>
            <wp:positionV relativeFrom="page">
              <wp:posOffset>588010</wp:posOffset>
            </wp:positionV>
            <wp:extent cx="7118985" cy="9107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18985" cy="9107805"/>
                    </a:xfrm>
                    <a:prstGeom prst="rect">
                      <a:avLst/>
                    </a:prstGeom>
                    <a:noFill/>
                  </pic:spPr>
                </pic:pic>
              </a:graphicData>
            </a:graphic>
          </wp:anchor>
        </w:drawing>
        <w:t>SUMMARY</w:t>
      </w:r>
    </w:p>
    <w:p>
      <w:pPr>
        <w:spacing w:after="0" w:line="22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(hereinafter defined as the People’s Republic of China including Hong Kong SAR and Macau SAR)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w:t>
      </w:r>
    </w:p>
    <w:p>
      <w:pPr>
        <w:spacing w:after="0" w:line="183"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information technology in the banking, wealth management, e-commerce, and automotive industries, among others, through the utilization of innovative technology to achieve our client’s goals. We maintain 19 delivery and/or R&amp;D centers, of which 11 are located in Mainland China (hereinafter defined as the People’s Republic of China excluding Hong Kong SAR and Macau SAR) including Shanghai, Beijing, Dalian, Tianjin, Baoding, Xi’an, Chengdu, Guangzhou, Shenzhen, Hangzhou, and Hainan and eight are located globally (Hong Kong SAR, the United States,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The Company notes that the Provisions of the State Council of the PRC on the Administration of Overseas Securities Offering and Listing by Domestic Companies (the “Provisions”) are still a draft version for public comment, which means that currently they do not have legally bindingly effect. According to the current draft, the Provisions do not require the Company to submit an application to the CSRC for approval to continue to be listed overseas.</w:t>
      </w:r>
    </w:p>
    <w:p>
      <w:pPr>
        <w:spacing w:after="0" w:line="18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The Company does not receive customer data and personal information from its clients in its day-to-day business operation. According to the current laws and regulations, we do not believe that there are any prohibitions or material obstacles for the Company to continue its current business or for the foreign investors to register their securities.</w:t>
      </w:r>
    </w:p>
    <w:p>
      <w:pPr>
        <w:spacing w:after="0" w:line="176"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(851)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57" w:right="439" w:bottom="38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2022,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Holding Foreign Companies Accountable Act could result in delisting of our common stock from Nasdaq Capital Market and lack of a readily available market for our common stock.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is a Listed Auditor subject to the determinations announced by the PCAOB on December 16, 2021. Our Auditor is located in China.</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 Our Company is on the provisional list of identified companies under the HFCAA.</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determines that it cannot inspect or investigate completely our Auditor, and that as a result, Nasdaq may determine to delist our securities.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 If the PCAOB determines that it cannot inspect or investigate completely our auditor, as a result Nasdaq Capital Market LLC may determine to delist our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PCAOB reassesses its determinations by the end of 2022, it could determine that it is still unable to inspect and investigate completely audit firms based in China and Hong Kong; as a result, we may be delisted by Nasdaq in accordance with HFCAA.</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intends to engage an auditor who is audited and investigated completely by the PCAOB in prior to fiscal year 2023, the Company has not engaged such an auditor as of the date of Form F-3.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Efforts to increase U.S. Regulatory access to information about companies in China or Hong Kong SAR in order to enhance transparency for investors in U.S. corporations traded on U.S. stock markets but with substantial operations in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Form F-3 of when and if the Proposed Law will become law and applicable to public companies like our company.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go through cybersecurity review by the Cyberspace Administration of China, or the CAC, and (iii) have not been asked to obtain such permissions by any PRC authority.</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F-3,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F-3, the Draft Confidentiality and Archives Management Provisions were released for public comments only and the final version and effective date of such regulations are subject to change with substantial uncertainty.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74"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 Mainland China are subject to restrictions on paying dividends and making other payments to our holding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through Our Organization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 For the years ended June 30, 2020, 2021 and 2022, cash and cash equivalents of PRC companies were 77.91 million (US$11.03 million), 62.66 million (US$9.71 million), and 99.0 million (US$14.8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November 4, 2022, the buying rate announced by the Federal Reserve Statistical Release was RMB 7.2996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Spot Exchange Rate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6.9618</w:t>
            </w: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7.1786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6.5250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6.9043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7.1681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6.3726</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6.7433</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6.7352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6.6945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6.8890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6.8007</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6.7230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7.1135</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7.0195</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6.8985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7.1990</w:t>
            </w: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7.3048</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7.1902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7.1103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7.3048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4.26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ended 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consists of 100,000,000 common shares with a par value of US$0.0001 per share. As of November 28, 2022, there were 22,885,122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 representing the common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our board of directors may declare and pay dividends if justified by our financial position and permitted by law.</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 one vote. Voting at any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 transfer all or any of his or her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Act and our memorandum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 articles of association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 See “Where You Can Find Additional Information.”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common shares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provides for the merger or consolidation of two or more companies into a single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the liquidation preference per share and the offering price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shares will accumulate;</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will be convertible into common shares, including the conversion price (or manner of calculation) and conversion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shares;</w:t>
      </w:r>
    </w:p>
    <w:p>
      <w:pPr>
        <w:spacing w:after="0" w:line="15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upon the liquidation, dissolution or winding up of our affairs;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shares will be set forth in the applicable prospectus supplement.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tax consequences of owning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jc w:val="center"/>
        <w:ind w:left="5540" w:right="660" w:hanging="4884"/>
        <w:spacing w:after="0" w:line="783" w:lineRule="auto"/>
        <w:tabs>
          <w:tab w:leader="none" w:pos="9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62" w:lineRule="exact"/>
        <w:rPr>
          <w:sz w:val="20"/>
          <w:szCs w:val="20"/>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162"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162" w:lineRule="exact"/>
        <w:rPr>
          <w:sz w:val="20"/>
          <w:szCs w:val="20"/>
          <w:color w:val="auto"/>
        </w:rPr>
      </w:pPr>
    </w:p>
    <w:p>
      <w:pPr>
        <w:ind w:left="960" w:hanging="30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225" w:lineRule="exact"/>
        <w:rPr>
          <w:sz w:val="20"/>
          <w:szCs w:val="20"/>
          <w:color w:val="auto"/>
        </w:rPr>
      </w:pPr>
    </w:p>
    <w:p>
      <w:pPr>
        <w:jc w:val="both"/>
        <w:ind w:firstLine="656"/>
        <w:spacing w:after="0" w:line="261" w:lineRule="auto"/>
        <w:tabs>
          <w:tab w:leader="none" w:pos="9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0"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62"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(Form 20-F) for the year ended June 30, 2022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Indenture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&amp; Young Hua Ming LLP</w:t>
            </w:r>
          </w:p>
        </w:tc>
        <w:tc>
          <w:tcPr>
            <w:tcW w:w="704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Calculation of 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00" w:hanging="538"/>
        <w:spacing w:after="0" w:line="26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on Form 6-K under the Exchange Act and incorporated herein by reference.</w:t>
      </w:r>
    </w:p>
    <w:p>
      <w:pPr>
        <w:ind w:left="600" w:hanging="53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 305B2 filing in connection with an offering of debt securities.</w:t>
      </w:r>
    </w:p>
    <w:p>
      <w:pPr>
        <w:spacing w:after="0" w:line="9" w:lineRule="exact"/>
        <w:rPr>
          <w:rFonts w:ascii="Times New Roman" w:cs="Times New Roman" w:eastAsia="Times New Roman" w:hAnsi="Times New Roman"/>
          <w:sz w:val="18"/>
          <w:szCs w:val="18"/>
          <w:color w:val="auto"/>
        </w:rPr>
      </w:pPr>
    </w:p>
    <w:p>
      <w:pPr>
        <w:ind w:left="600" w:hanging="538"/>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(a)(1)(i), (a)(1)(ii) and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189" w:lineRule="exact"/>
        <w:rPr>
          <w:sz w:val="20"/>
          <w:szCs w:val="20"/>
          <w:color w:val="auto"/>
        </w:rPr>
      </w:pPr>
    </w:p>
    <w:p>
      <w:pPr>
        <w:ind w:right="20" w:firstLine="656"/>
        <w:spacing w:after="0" w:line="282" w:lineRule="auto"/>
        <w:tabs>
          <w:tab w:leader="none" w:pos="9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2" w:gutter="0" w:footer="0" w:header="0"/>
        </w:sectPr>
      </w:pPr>
    </w:p>
    <w:bookmarkStart w:id="39" w:name="page40"/>
    <w:bookmarkEnd w:id="39"/>
    <w:p>
      <w:pPr>
        <w:jc w:val="both"/>
        <w:ind w:firstLine="656"/>
        <w:spacing w:after="0" w:line="266" w:lineRule="auto"/>
        <w:tabs>
          <w:tab w:leader="none" w:pos="9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1"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firstLine="656"/>
        <w:spacing w:after="0" w:line="258" w:lineRule="auto"/>
        <w:tabs>
          <w:tab w:leader="none" w:pos="9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61"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November 29,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40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 Feng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Zhaohui Feng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Chong Seng Kee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 He Shao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President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r>
        <w:trPr>
          <w:trHeight w:val="670"/>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r>
        <w:trPr>
          <w:trHeight w:val="234"/>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41"/>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r>
        <w:trPr>
          <w:trHeight w:val="234"/>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480" w:type="dxa"/>
            <w:vAlign w:val="bottom"/>
          </w:tcPr>
          <w:p>
            <w:pPr>
              <w:spacing w:after="0"/>
              <w:rPr>
                <w:sz w:val="20"/>
                <w:szCs w:val="20"/>
                <w:color w:val="auto"/>
              </w:rPr>
            </w:pPr>
          </w:p>
        </w:tc>
      </w:tr>
      <w:tr>
        <w:trPr>
          <w:trHeight w:val="44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r>
    </w:tbl>
    <w:p>
      <w:pPr>
        <w:spacing w:after="0" w:line="200" w:lineRule="exact"/>
        <w:rPr>
          <w:sz w:val="20"/>
          <w:szCs w:val="20"/>
          <w:color w:val="auto"/>
        </w:rPr>
      </w:pPr>
    </w:p>
    <w:p>
      <w:pPr>
        <w:spacing w:after="0" w:line="241" w:lineRule="exact"/>
        <w:rPr>
          <w:sz w:val="20"/>
          <w:szCs w:val="20"/>
          <w:color w:val="auto"/>
        </w:rPr>
      </w:pPr>
    </w:p>
    <w:p>
      <w:pPr>
        <w:ind w:left="2360"/>
        <w:spacing w:after="0"/>
        <w:tabs>
          <w:tab w:leader="none" w:pos="2900" w:val="left"/>
        </w:tabs>
        <w:rPr>
          <w:sz w:val="20"/>
          <w:szCs w:val="20"/>
          <w:color w:val="auto"/>
        </w:rPr>
      </w:pPr>
      <w:r>
        <w:rPr>
          <w:rFonts w:ascii="Times New Roman" w:cs="Times New Roman" w:eastAsia="Times New Roman" w:hAnsi="Times New Roman"/>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17145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ectPr>
          <w:pgSz w:w="11900" w:h="16838" w:orient="portrait"/>
          <w:cols w:equalWidth="0" w:num="2">
            <w:col w:w="3680" w:space="720"/>
            <w:col w:w="6840"/>
          </w:cols>
          <w:pgMar w:left="320" w:top="90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UNITED STATES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November 29,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3 to the Registration Statement (Form F-3 No. 333-266951) and related prospectus of CLPS Incorporation for the registration of its common shares, preferred shares, warrants, debt securities, rights, depositary shares and units of its securities and to the incorporation by reference therein of our report dated October 20, 2022, with respect to the consolidated financial statements of CLPS Incorporation, included in its Annual Report (Form 20-F) for the year ended June 30, 2022, filed with the Securities and Exchange Commission.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9"/>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upperLetter"/>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22" Type="http://schemas.openxmlformats.org/officeDocument/2006/relationships/hyperlink" Target="http://www.sec.gov/ix?doc=/Archives/edgar/data/1724542/000121390022065082/f20f2022_clpsinc.htm" TargetMode="External"/><Relationship Id="rId23" Type="http://schemas.openxmlformats.org/officeDocument/2006/relationships/hyperlink" Target="http://www.sec.gov/Archives/edgar/data/1724542/000121390018003524/ff12018_clpsincorporation.htm" TargetMode="External"/><Relationship Id="rId24" Type="http://schemas.openxmlformats.org/officeDocument/2006/relationships/hyperlink" Target="http://www.sec.gov/Archives/edgar/data/1724542/000121390018006724/f8a12b0518_clpsincorporation.htm" TargetMode="External"/><Relationship Id="rId58" Type="http://schemas.openxmlformats.org/officeDocument/2006/relationships/hyperlink" Target="http://www.sec.gov/Archives/edgar/data/1724542/000121390018003524/ff12018ex4-1_clpsincorp.htm" TargetMode="External"/><Relationship Id="rId59" Type="http://schemas.openxmlformats.org/officeDocument/2006/relationships/hyperlink" Target="http://www.sec.gov/Archives/edgar/data/1724542/000121390022063551/ea167034ex4-3_clpsinc.htm" TargetMode="External"/><Relationship Id="rId60" Type="http://schemas.openxmlformats.org/officeDocument/2006/relationships/hyperlink" Target="http://www.sec.gov/Archives/edgar/data/1724542/000121390022049179/ea164343ex-fee_clp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2022-11-29T07:31:28Z</dcterms:created>
  <dcterms:modified xsi:type="dcterms:W3CDTF">2022-11-29T07:31:28Z</dcterms:modified>
</cp:coreProperties>
</file>