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2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2021</w:t>
      </w:r>
    </w:p>
    <w:p>
      <w:pPr>
        <w:spacing w:after="0" w:line="22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Commission File No. 001-38505</w:t>
      </w:r>
    </w:p>
    <w:p>
      <w:pPr>
        <w:spacing w:after="0" w:line="22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 Unit 702, 7th Floor, Millennium City II, 378 Kwun Tong Road</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28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ind w:left="3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509" w:right="999" w:bottom="1440" w:gutter="0" w:footer="0" w:header="0"/>
        </w:sectPr>
      </w:pPr>
    </w:p>
    <w:bookmarkStart w:id="1" w:name="page2"/>
    <w:bookmarkEnd w:id="1"/>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As previously reported on a Form 6-K filed on March 1, 2021, CLPS Incorporation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certain institutional investors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xml:space="preserve">”) entered into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pursuant to which the Company agreed to sell to the Investors an aggregate of 2,666,666 common shares, par value $0.0001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in a registered direct offering and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2,666,666 Common Shares in a concurrent private placement, for gross proceeds of approximately $16,000,000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This Form 6-K/A is being filed solely to include the legal opinion of the Company’s Cayman counsel, Ogier,with respect to the legality of the Common Shares, Warrants and shares underlying the Warrants that are being sold in the Financing.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w:t>
            </w:r>
          </w:p>
        </w:tc>
        <w:tc>
          <w:tcPr>
            <w:tcW w:w="9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994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Legal Opinion of Ogier</w:t>
              </w:r>
            </w:hyperlink>
          </w:p>
        </w:tc>
      </w:tr>
      <w:tr>
        <w:trPr>
          <w:trHeight w:val="459"/>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left="340" w:right="560"/>
        <w:spacing w:after="0" w:line="286" w:lineRule="auto"/>
        <w:rPr>
          <w:sz w:val="20"/>
          <w:szCs w:val="20"/>
          <w:color w:val="auto"/>
        </w:rPr>
      </w:pPr>
      <w:r>
        <w:rPr>
          <w:rFonts w:ascii="Times New Roman" w:cs="Times New Roman" w:eastAsia="Times New Roman" w:hAnsi="Times New Roman"/>
          <w:sz w:val="18"/>
          <w:szCs w:val="18"/>
          <w:color w:val="auto"/>
        </w:rPr>
        <w:t xml:space="preserve">Pursuant to the requirements of the Securities Exchange Act of 1934,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xml:space="preserve"> has duly caused this report to be signed on its behalf by the undersigned, thereunto duly authorized.</w:t>
      </w:r>
    </w:p>
    <w:p>
      <w:pPr>
        <w:spacing w:after="0" w:line="15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Lin</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 Ogier Global (Cayman)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 Nexus Way, Camana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March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CLPS Incorporation (the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156845</wp:posOffset>
            </wp:positionV>
            <wp:extent cx="101155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nathan.powell@ogier.com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NMP/FYC/173339.00002</w:t>
      </w:r>
    </w:p>
    <w:p>
      <w:pPr>
        <w:spacing w:after="0" w:line="1545" w:lineRule="exact"/>
        <w:rPr>
          <w:sz w:val="20"/>
          <w:szCs w:val="20"/>
          <w:color w:val="auto"/>
        </w:rPr>
      </w:pPr>
    </w:p>
    <w:p>
      <w:pPr>
        <w:sectPr>
          <w:pgSz w:w="11900" w:h="16838" w:orient="portrait"/>
          <w:cols w:equalWidth="0" w:num="2">
            <w:col w:w="5920" w:space="720"/>
            <w:col w:w="4600"/>
          </w:cols>
          <w:pgMar w:left="320" w:top="117" w:right="339" w:bottom="1440" w:gutter="0" w:footer="0" w:header="0"/>
        </w:sectPr>
      </w:pP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acted as Cayman Islands counsel to the Company in connection with the offering by the Company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of 2,666,666 ordinary shares of US$0.0001 par value each in the Company (each a </w:t>
      </w:r>
      <w:r>
        <w:rPr>
          <w:rFonts w:ascii="Times New Roman" w:cs="Times New Roman" w:eastAsia="Times New Roman" w:hAnsi="Times New Roman"/>
          <w:sz w:val="18"/>
          <w:szCs w:val="18"/>
          <w:b w:val="1"/>
          <w:bCs w:val="1"/>
          <w:color w:val="auto"/>
        </w:rPr>
        <w:t>Common Share</w:t>
      </w:r>
      <w:r>
        <w:rPr>
          <w:rFonts w:ascii="Times New Roman" w:cs="Times New Roman" w:eastAsia="Times New Roman" w:hAnsi="Times New Roman"/>
          <w:sz w:val="18"/>
          <w:szCs w:val="18"/>
          <w:color w:val="auto"/>
        </w:rPr>
        <w:t xml:space="preserve"> and together,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and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xml:space="preserve">) to purchase up to 2,666,666 ordinary shares of the Company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and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pursuant to a Purchase Agreement (as defined below), with the Shares being issued and offered pursuant to the Company's registration statement on Form F-3 (File No. 333-231812) previously filed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by the Company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and declared effective by the Commission on 20 June 2019, and the accompanying prospectus supplement filed by the Company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Shares filed with the Commission pursuant to the Securities Act on or about the date hereof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xml:space="preserve">, and together with the Form F-3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Warrants and the Warrant Shares are being issued and offered in a concurrent private placement.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58"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280" w:hanging="638"/>
        <w:spacing w:after="0" w:line="282" w:lineRule="auto"/>
        <w:tabs>
          <w:tab w:leader="none" w:pos="12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certificate of incorporation of the Company dated 11 May 2017 issued by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amended and restated memorandum and articles of association of the Company adopted by special resolutions of the Company dated 7 December 2017 (respectively,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Ogier</w:t>
            </w:r>
          </w:p>
        </w:tc>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Partners</w:t>
            </w:r>
          </w:p>
        </w:tc>
      </w:tr>
      <w:tr>
        <w:trPr>
          <w:trHeight w:val="135"/>
        </w:trPr>
        <w:tc>
          <w:tcPr>
            <w:tcW w:w="4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British Virgin Islands, Cayman Islands, Guernsey, Jersey and Luxembourg practitioners</w:t>
            </w: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Nicholas Plowman</w:t>
            </w:r>
          </w:p>
        </w:tc>
      </w:tr>
      <w:tr>
        <w:trPr>
          <w:trHeight w:val="135"/>
        </w:trPr>
        <w:tc>
          <w:tcPr>
            <w:tcW w:w="4640" w:type="dxa"/>
            <w:vAlign w:val="bottom"/>
          </w:tcPr>
          <w:p>
            <w:pPr>
              <w:spacing w:after="0"/>
              <w:rPr>
                <w:sz w:val="11"/>
                <w:szCs w:val="11"/>
                <w:color w:val="auto"/>
              </w:rPr>
            </w:pP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Nathan Powell</w:t>
            </w:r>
          </w:p>
        </w:tc>
      </w:tr>
      <w:tr>
        <w:trPr>
          <w:trHeight w:val="135"/>
        </w:trPr>
        <w:tc>
          <w:tcPr>
            <w:tcW w:w="4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Floor 11 Central Tower</w:t>
            </w: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Anthony Oakes</w:t>
            </w:r>
          </w:p>
        </w:tc>
      </w:tr>
      <w:tr>
        <w:trPr>
          <w:trHeight w:val="135"/>
        </w:trPr>
        <w:tc>
          <w:tcPr>
            <w:tcW w:w="4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28 Queen's Road Central</w:t>
            </w: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Oliver Payne</w:t>
            </w:r>
          </w:p>
        </w:tc>
      </w:tr>
      <w:tr>
        <w:trPr>
          <w:trHeight w:val="135"/>
        </w:trPr>
        <w:tc>
          <w:tcPr>
            <w:tcW w:w="4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Central</w:t>
            </w: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Kate Hodson</w:t>
            </w:r>
          </w:p>
        </w:tc>
      </w:tr>
      <w:tr>
        <w:trPr>
          <w:trHeight w:val="135"/>
        </w:trPr>
        <w:tc>
          <w:tcPr>
            <w:tcW w:w="4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Hong Kong</w:t>
            </w: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David Nelson</w:t>
            </w:r>
          </w:p>
        </w:tc>
      </w:tr>
      <w:tr>
        <w:trPr>
          <w:trHeight w:val="135"/>
        </w:trPr>
        <w:tc>
          <w:tcPr>
            <w:tcW w:w="4640" w:type="dxa"/>
            <w:vAlign w:val="bottom"/>
          </w:tcPr>
          <w:p>
            <w:pPr>
              <w:spacing w:after="0"/>
              <w:rPr>
                <w:sz w:val="11"/>
                <w:szCs w:val="11"/>
                <w:color w:val="auto"/>
              </w:rPr>
            </w:pP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Michael Snape</w:t>
            </w:r>
          </w:p>
        </w:tc>
      </w:tr>
      <w:tr>
        <w:trPr>
          <w:trHeight w:val="135"/>
        </w:trPr>
        <w:tc>
          <w:tcPr>
            <w:tcW w:w="4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 +852 3656 6000</w:t>
            </w:r>
          </w:p>
        </w:tc>
        <w:tc>
          <w:tcPr>
            <w:tcW w:w="66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Justin Davis</w:t>
            </w:r>
          </w:p>
        </w:tc>
      </w:tr>
      <w:tr>
        <w:trPr>
          <w:trHeight w:val="133"/>
        </w:trPr>
        <w:tc>
          <w:tcPr>
            <w:tcW w:w="46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 +852 3656 6001</w:t>
            </w:r>
          </w:p>
        </w:tc>
        <w:tc>
          <w:tcPr>
            <w:tcW w:w="6600" w:type="dxa"/>
            <w:vAlign w:val="bottom"/>
          </w:tcPr>
          <w:p>
            <w:pPr>
              <w:ind w:left="200"/>
              <w:spacing w:after="0" w:line="133" w:lineRule="exact"/>
              <w:rPr>
                <w:sz w:val="20"/>
                <w:szCs w:val="20"/>
                <w:color w:val="auto"/>
              </w:rPr>
            </w:pPr>
            <w:r>
              <w:rPr>
                <w:rFonts w:ascii="Times New Roman" w:cs="Times New Roman" w:eastAsia="Times New Roman" w:hAnsi="Times New Roman"/>
                <w:sz w:val="13"/>
                <w:szCs w:val="13"/>
                <w:color w:val="auto"/>
              </w:rPr>
              <w:t>James Bergstrom</w:t>
            </w:r>
          </w:p>
        </w:tc>
      </w:tr>
      <w:tr>
        <w:trPr>
          <w:trHeight w:val="166"/>
        </w:trPr>
        <w:tc>
          <w:tcPr>
            <w:tcW w:w="4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ogier.com</w:t>
            </w:r>
          </w:p>
        </w:tc>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Marcus Leese</w:t>
            </w:r>
          </w:p>
        </w:tc>
      </w:tr>
      <w:tr>
        <w:trPr>
          <w:trHeight w:val="340"/>
        </w:trPr>
        <w:tc>
          <w:tcPr>
            <w:tcW w:w="46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52" w:lineRule="exact"/>
        <w:rPr>
          <w:sz w:val="20"/>
          <w:szCs w:val="20"/>
          <w:color w:val="auto"/>
        </w:rPr>
      </w:pPr>
    </w:p>
    <w:p>
      <w:pPr>
        <w:ind w:left="1280" w:hanging="638"/>
        <w:spacing w:after="0" w:line="286"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certificate of good standing dated 22 February 2021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15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register of directors and officers of the Company as at 17 December 2020 (the </w:t>
      </w:r>
      <w:r>
        <w:rPr>
          <w:rFonts w:ascii="Times New Roman" w:cs="Times New Roman" w:eastAsia="Times New Roman" w:hAnsi="Times New Roman"/>
          <w:sz w:val="18"/>
          <w:szCs w:val="18"/>
          <w:b w:val="1"/>
          <w:bCs w:val="1"/>
          <w:color w:val="auto"/>
        </w:rPr>
        <w:t>Register of Directors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extract copy of the listed register of members of the Company as at 28 February 2021 and provided to us by the Company on 2 March 2021 (the </w:t>
      </w:r>
      <w:r>
        <w:rPr>
          <w:rFonts w:ascii="Times New Roman" w:cs="Times New Roman" w:eastAsia="Times New Roman" w:hAnsi="Times New Roman"/>
          <w:sz w:val="18"/>
          <w:szCs w:val="18"/>
          <w:b w:val="1"/>
          <w:bCs w:val="1"/>
          <w:color w:val="auto"/>
        </w:rPr>
        <w:t>Register of Members</w:t>
      </w:r>
      <w:r>
        <w:rPr>
          <w:rFonts w:ascii="Times New Roman" w:cs="Times New Roman" w:eastAsia="Times New Roman" w:hAnsi="Times New Roman"/>
          <w:sz w:val="18"/>
          <w:szCs w:val="18"/>
          <w:color w:val="auto"/>
        </w:rPr>
        <w:t xml:space="preserve">, and together with the Register of Directors, the </w:t>
      </w:r>
      <w:r>
        <w:rPr>
          <w:rFonts w:ascii="Times New Roman" w:cs="Times New Roman" w:eastAsia="Times New Roman" w:hAnsi="Times New Roman"/>
          <w:sz w:val="18"/>
          <w:szCs w:val="18"/>
          <w:b w:val="1"/>
          <w:bCs w:val="1"/>
          <w:color w:val="auto"/>
        </w:rPr>
        <w:t>Registers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written resolutions of the board of directors dated 27 February 2021 and the written consent of the pricing committee of the board of directors dated 1 March 2021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securities purchase agreement dated 28 February 2021 between the Company and the purchasers named therein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placement agency letter agreement dated 23 February 2021 entered into by the Company and Maxim Group LLC (the </w:t>
      </w:r>
      <w:r>
        <w:rPr>
          <w:rFonts w:ascii="Times New Roman" w:cs="Times New Roman" w:eastAsia="Times New Roman" w:hAnsi="Times New Roman"/>
          <w:sz w:val="18"/>
          <w:szCs w:val="18"/>
          <w:b w:val="1"/>
          <w:bCs w:val="1"/>
          <w:color w:val="auto"/>
        </w:rPr>
        <w:t>Placement Agency Agreement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form of Warrants (together with the Purchase Agreement and the Placement Agency Agreement,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w:t>
      </w:r>
    </w:p>
    <w:p>
      <w:pPr>
        <w:spacing w:after="0" w:line="221"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61"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and the Registers is accurate and complete as at the date of this opinion;</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provided to you are in full force and effect and have not been amended, varied, supplemented or revoked in any respect;</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has been or will be (as applicable) duly authorised, executed and unconditionally delivered by or on behalf of all respective parties thereto in accordance with all relevant laws, and that such execution and delivery and the performance of the obligations therein contained is within the capacity and powers of will be legal, valid, binding and enforceable against all relevant parties in accordance with their terms under all relevant laws (other than the Company as regards to the laws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29" w:lineRule="exact"/>
        <w:rPr>
          <w:sz w:val="20"/>
          <w:szCs w:val="20"/>
          <w:color w:val="auto"/>
        </w:rPr>
      </w:pPr>
    </w:p>
    <w:p>
      <w:pPr>
        <w:jc w:val="both"/>
        <w:ind w:left="1280" w:hanging="638"/>
        <w:spacing w:after="0" w:line="26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laws of the jurisdiction selected to govern the Documents has been made in good faith and will be regarded as a valid and binding selection which will be upheld in the courts of that jurisdiction and all other relevant jurisdictions (other than the Cayman Islands);</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5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set out in the Board Resolutions and no director has a financial interest in or other relationship to a party of the transactions contemplated therein which has not been properly disclosed in the Board Resolutions;</w:t>
      </w:r>
    </w:p>
    <w:p>
      <w:pPr>
        <w:spacing w:after="0" w:line="183"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and Warrant Shares will not exceed the Company's authorised share capital to at the time of issuance;</w:t>
      </w:r>
    </w:p>
    <w:p>
      <w:pPr>
        <w:spacing w:after="0" w:line="225"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Security and none of the Securities have been offered or issued to residents of the Cayman Islands;</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the Shares and Warrant Shares, the Company will receive consideration for the full issue price thereof which shall be equal to at least the par value thereof;</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after the allotment (where applicable) and issuance of any Security will be, able to pay its liabilities as they fall due; and</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58"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limitations and qualifications set forth in paragraph 4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an exempted company and is validly existing and in good standing with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Valid Issuance of Shares</w:t>
      </w:r>
    </w:p>
    <w:p>
      <w:pPr>
        <w:spacing w:after="0" w:line="229" w:lineRule="exact"/>
        <w:rPr>
          <w:sz w:val="20"/>
          <w:szCs w:val="20"/>
          <w:color w:val="auto"/>
        </w:rPr>
      </w:pPr>
    </w:p>
    <w:p>
      <w:pPr>
        <w:jc w:val="both"/>
        <w:ind w:left="1280" w:hanging="638"/>
        <w:spacing w:after="0" w:line="256"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payment of the consideration set forth in the Documents has been made in full and no requirement to pay additional consideration is contained in any other document and subject to the satisfaction of any conditions or requirements set forth in the Documents, the Shares, when issued and allotted in accordance with the terms of the Documents and the Memorandum and Articles, and when entered on the register of members of the Company against the name of the holders thereof as such, will be validly issued as fully paid and non-assessable under Cayman Islands law. Upon entry in the listed shares register of the Company, the holders of the Shares will be the registered holders of such number of Shares as noted against their names on such listed shares register.</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Valid Issuance of Warrant Shares</w:t>
      </w:r>
    </w:p>
    <w:p>
      <w:pPr>
        <w:spacing w:after="0" w:line="229" w:lineRule="exact"/>
        <w:rPr>
          <w:sz w:val="20"/>
          <w:szCs w:val="20"/>
          <w:color w:val="auto"/>
        </w:rPr>
      </w:pPr>
    </w:p>
    <w:p>
      <w:pPr>
        <w:ind w:left="1280" w:hanging="638"/>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and validly authorized and reserved for issuance pursuant to the Board Resolutions.</w:t>
      </w:r>
    </w:p>
    <w:p>
      <w:pPr>
        <w:spacing w:after="0" w:line="225" w:lineRule="exact"/>
        <w:rPr>
          <w:rFonts w:ascii="Times New Roman" w:cs="Times New Roman" w:eastAsia="Times New Roman" w:hAnsi="Times New Roman"/>
          <w:sz w:val="18"/>
          <w:szCs w:val="18"/>
          <w:color w:val="auto"/>
        </w:rPr>
      </w:pPr>
    </w:p>
    <w:p>
      <w:pPr>
        <w:jc w:val="both"/>
        <w:ind w:left="1280" w:hanging="638"/>
        <w:spacing w:after="0" w:line="25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payment of the consideration set forth in the Documents has been made in full and no requirement to pay additional consideration is contained in any other document and subject to the satisfaction of any conditions or requirements set forth in the Documents, the Memorandum and Articles and the Board Resolutions, the Warrant Shares, when issued upon the exercise of the Warrant in accordance with the terms of the Documents and the Memorandum and Articles, will be validly issued as fully paid and non-assessable under Cayman Islands law. Upon entry in the listed shares register of the Company, the holders of the Warrant Shares will be the registered holders of such number of Warrant Shares as noted against their names on such listed shares register.</w:t>
      </w:r>
    </w:p>
    <w:p>
      <w:pPr>
        <w:spacing w:after="0" w:line="183"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and Qualifications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280" w:hanging="638"/>
        <w:spacing w:after="0" w:line="266"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 or</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w:t>
      </w:r>
    </w:p>
    <w:p>
      <w:pPr>
        <w:spacing w:after="0" w:line="176"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Under the Companies Act (Revised)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52"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w:t>
      </w:r>
    </w:p>
    <w:p>
      <w:pPr>
        <w:spacing w:after="0" w:line="225" w:lineRule="exact"/>
        <w:rPr>
          <w:sz w:val="20"/>
          <w:szCs w:val="20"/>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5"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as an exhibit to the Report of Foreign Private Issuer on Form 6-K (the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and to the use of our name under the caption “Legal Matters” in the Registration Statement. In giving such consent, we do not thereby admit that we come within the category of persons whose consent is required under section 7 of the Securities Act, or the rules and Regulations of the Commission thereunder. This opinion may not be used, circulated or otherwise referred to any other for any other purpose as set out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85725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lvl w:ilvl="1">
      <w:lvlJc w:val="left"/>
      <w:lvlText w:val="(%2)"/>
      <w:numFmt w:val="lowerLetter"/>
      <w:start w:val="1"/>
    </w:lvl>
  </w:abstractNum>
  <w:abstractNum w:abstractNumId="1">
    <w:nsid w:val="41B71EFB"/>
    <w:multiLevelType w:val="hybridMultilevel"/>
    <w:lvl w:ilvl="0">
      <w:lvlJc w:val="left"/>
      <w:lvlText w:val="(%1)"/>
      <w:numFmt w:val="lowerLetter"/>
      <w:start w:val="3"/>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1)"/>
      <w:numFmt w:val="lowerLetter"/>
      <w:start w:val="7"/>
    </w:lvl>
  </w:abstractNum>
  <w:abstractNum w:abstractNumId="4">
    <w:nsid w:val="515F007C"/>
    <w:multiLevelType w:val="hybridMultilevel"/>
    <w:lvl w:ilvl="0">
      <w:lvlJc w:val="left"/>
      <w:lvlText w:val="3"/>
      <w:numFmt w:val="bullet"/>
      <w:start w:val="1"/>
    </w:lvl>
    <w:lvl w:ilvl="1">
      <w:lvlJc w:val="left"/>
      <w:lvlText w:val="(%2)"/>
      <w:numFmt w:val="lowerLetter"/>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2021-03-02T16:28:12Z</dcterms:created>
  <dcterms:modified xsi:type="dcterms:W3CDTF">2021-03-02T16:28:12Z</dcterms:modified>
</cp:coreProperties>
</file>