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00"/>
        <w:spacing w:after="0"/>
        <w:rPr>
          <w:sz w:val="20"/>
          <w:szCs w:val="20"/>
          <w:color w:val="auto"/>
        </w:rPr>
      </w:pPr>
      <w:r>
        <w:rPr>
          <w:rFonts w:ascii="Arial" w:cs="Arial" w:eastAsia="Arial" w:hAnsi="Arial"/>
          <w:sz w:val="22"/>
          <w:szCs w:val="22"/>
          <w:b w:val="1"/>
          <w:bCs w:val="1"/>
          <w:color w:val="auto"/>
        </w:rPr>
        <w:t>Registration No. 333-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CLPS Incorporation 2019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“2019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Ming Hui Lin,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areas 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Ralph V. De Martino, Esq.</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Alec Orudjev, Esq.</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Schiff Hardin LLP</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901 K Street, Suite 700</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Tel: (202) 724-6800</w:t>
      </w:r>
    </w:p>
    <w:p>
      <w:pPr>
        <w:spacing w:after="0" w:line="21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0" w:right="239" w:bottom="1440" w:gutter="0" w:footer="0" w:header="0"/>
        </w:sectPr>
      </w:pP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5560" w:space="720"/>
            <w:col w:w="1980" w:space="80"/>
            <w:col w:w="3080"/>
          </w:cols>
          <w:pgMar w:left="240" w:top="220"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200" w:type="dxa"/>
            <w:vAlign w:val="bottom"/>
            <w:gridSpan w:val="4"/>
          </w:tcPr>
          <w:p>
            <w:pPr>
              <w:ind w:left="72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maximum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 be</w:t>
            </w:r>
          </w:p>
        </w:tc>
        <w:tc>
          <w:tcPr>
            <w:tcW w:w="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offering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per share</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0"/>
                <w:szCs w:val="20"/>
                <w:color w:val="auto"/>
              </w:rPr>
            </w:pPr>
          </w:p>
        </w:tc>
      </w:tr>
      <w:tr>
        <w:trPr>
          <w:trHeight w:val="264"/>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par value $0.0001</w:t>
            </w:r>
          </w:p>
        </w:tc>
        <w:tc>
          <w:tcPr>
            <w:tcW w:w="4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21,032,000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2,549.08</w:t>
            </w:r>
          </w:p>
        </w:tc>
      </w:tr>
      <w:tr>
        <w:trPr>
          <w:trHeight w:val="21"/>
        </w:trPr>
        <w:tc>
          <w:tcPr>
            <w:tcW w:w="32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2,200,000 shares to be issued pursuant to the CLPS Incorporation 2019 Equity Incentive Plan adopted by the Board of Directors of the Company (the “2019 Equity Incentive Plan”).</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 under the Securities Act, based on the average of the high and low selling prices of the Company’s common stock as reported on the Nasdaq Stock Market on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Registration Statement is being filed by the Registrant in accordance with the requirements of Form S-8 under the Securities Act in order to register 2,200,000 shares issuable pursuant to the CLPS Incorporation 2019 Equity Incentive Plan adopted by the Board of Directors of the Company (the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40" w:hanging="332"/>
        <w:spacing w:after="0" w:line="270"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recipients of the grants under the CLPS Incorporation 2019 Equity Incentive Plan adopted by the Board of Directors of the Company (the “2019 Equity Incentive Plan”)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CLPS Incorporation (the “Company”) is subject to the informational requirements of the Securities Exchange Act of 1934, as amended (the “1934 Act”) and, accordingly, files periodic reports and other information with the Commission. Reports, proxy statements and other information concerning the Company filed with the Commission may be inspected and copies may be obtained (at prescribed rates) at the Commission’s Public Reference Section, Room 1024, 100 F Street, N.E., Room 1580, Washington, D.C. 20549. The Commission also maintains a Web site that contains reports, proxy and information statements and other information regarding registrants that file electronically with the Commission, including the Company. The address for the Commission’s Web site is “http://www.sec.gov”. The following documents are incorporated by reference in this Registration Statement:</w:t>
      </w:r>
    </w:p>
    <w:p>
      <w:pPr>
        <w:spacing w:after="0" w:line="165"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June 30, 2018 filed with the Commission on September 25, 2018,</w:t>
      </w:r>
    </w:p>
    <w:p>
      <w:pPr>
        <w:spacing w:after="0" w:line="23" w:lineRule="exact"/>
        <w:rPr>
          <w:rFonts w:ascii="Arial" w:cs="Arial" w:eastAsia="Arial" w:hAnsi="Arial"/>
          <w:sz w:val="18"/>
          <w:szCs w:val="18"/>
          <w:color w:val="auto"/>
        </w:rPr>
      </w:pPr>
    </w:p>
    <w:p>
      <w:pPr>
        <w:ind w:firstLine="8"/>
        <w:spacing w:after="0" w:line="250" w:lineRule="auto"/>
        <w:tabs>
          <w:tab w:leader="none" w:pos="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Reports on Form 6-K furnished to the Commission on November 28, 2018, January 7, February 20, March 6, March 26 and April 22, 2019, respectively; and</w:t>
      </w:r>
    </w:p>
    <w:p>
      <w:pPr>
        <w:ind w:firstLine="8"/>
        <w:spacing w:after="0" w:line="261"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Shares contained in Item 1 of the registration statement on Form 8-A12B (File No. 001-38505) filed with the Commission on May 22, 2018.</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to the extent such information is deemed furnished and not filed pursuant to securities laws and regulations, all documents filed by the Company pursuant to Sections 13(a), 13(c), 14 or 15(d) of the Securities Exchange Act of 1934, as amended (the “Exchange Act”), and, to the extent specifically designated therein, reports on Form 6-K furnished by the Company to the Commission, in each case, subsequent to the effective date of this Registration Statement and prior to the filing of a post-effective amendment to this Registration Statement indicating that all securities offered under this Registration Statement have been sold, or deregistering all securities then remaining unsold, shall be deemed to be incorporated by reference in this Registration Statement and to be a part hereof from the date of filing or furnishing of such documents.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list of all exhibits filed or included as part of this Registration Statement, see “Index to Exhibits” at the end of this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25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40" w:hanging="206"/>
        <w:spacing w:after="0"/>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25" w:lineRule="exact"/>
        <w:rPr>
          <w:rFonts w:ascii="Arial" w:cs="Arial" w:eastAsia="Arial" w:hAnsi="Arial"/>
          <w:sz w:val="18"/>
          <w:szCs w:val="18"/>
          <w:color w:val="auto"/>
        </w:rPr>
      </w:pPr>
    </w:p>
    <w:p>
      <w:pPr>
        <w:jc w:val="both"/>
        <w:ind w:left="1040" w:firstLine="394"/>
        <w:spacing w:after="0" w:line="272" w:lineRule="auto"/>
        <w:tabs>
          <w:tab w:leader="none" w:pos="1704"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040" w:firstLine="394"/>
        <w:spacing w:after="0" w:line="277" w:lineRule="auto"/>
        <w:tabs>
          <w:tab w:leader="none" w:pos="1753"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left="660" w:firstLine="385"/>
        <w:spacing w:after="0" w:line="264" w:lineRule="auto"/>
        <w:tabs>
          <w:tab w:leader="none" w:pos="130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firstLine="385"/>
        <w:spacing w:after="0" w:line="277" w:lineRule="auto"/>
        <w:tabs>
          <w:tab w:leader="none" w:pos="132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firstLine="656"/>
        <w:spacing w:after="0" w:line="291" w:lineRule="auto"/>
        <w:tabs>
          <w:tab w:leader="none" w:pos="90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People’s Republic of China, on April 29,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2"/>
          </w:tcPr>
          <w:p>
            <w:pPr>
              <w:ind w:left="268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Date: April 29, 2019</w:t>
            </w:r>
          </w:p>
        </w:tc>
        <w:tc>
          <w:tcPr>
            <w:tcW w:w="3140" w:type="dxa"/>
            <w:vAlign w:val="bottom"/>
          </w:tcPr>
          <w:p>
            <w:pPr>
              <w:ind w:left="268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Date: April 29, 2019</w:t>
            </w:r>
          </w:p>
        </w:tc>
        <w:tc>
          <w:tcPr>
            <w:tcW w:w="3140" w:type="dxa"/>
            <w:vAlign w:val="bottom"/>
          </w:tcPr>
          <w:p>
            <w:pPr>
              <w:ind w:left="268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r>
      <w:tr>
        <w:trPr>
          <w:trHeight w:val="202"/>
        </w:trPr>
        <w:tc>
          <w:tcPr>
            <w:tcW w:w="4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Tian van Acken</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Raymond Ming Hui Lin,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2"/>
                <w:szCs w:val="22"/>
                <w:color w:val="auto"/>
              </w:rPr>
            </w:pPr>
          </w:p>
        </w:tc>
        <w:tc>
          <w:tcPr>
            <w:tcW w:w="50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2"/>
                <w:szCs w:val="2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Chairman, President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Xiao Feng Yang</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Raymond Ming Hui Lin</w:t>
            </w:r>
          </w:p>
        </w:tc>
        <w:tc>
          <w:tcPr>
            <w:tcW w:w="52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Tian van Acken</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Tian van Acken</w:t>
            </w:r>
          </w:p>
        </w:tc>
        <w:tc>
          <w:tcPr>
            <w:tcW w:w="52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 He Shao</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Jin He Shao</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Kewei Huang</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Kewei Huang</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Amooi</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Kathryn Amooi</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10500" w:type="dxa"/>
            <w:vAlign w:val="bottom"/>
            <w:gridSpan w:val="6"/>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Specimen share certificate (1).</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tcPr>
          <w:p>
            <w:pPr>
              <w:spacing w:after="0"/>
              <w:rPr>
                <w:sz w:val="15"/>
                <w:szCs w:val="15"/>
                <w:color w:val="auto"/>
              </w:rPr>
            </w:pPr>
          </w:p>
        </w:tc>
        <w:tc>
          <w:tcPr>
            <w:tcW w:w="220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Opinion of Ogier.</w:t>
            </w:r>
          </w:p>
        </w:tc>
        <w:tc>
          <w:tcPr>
            <w:tcW w:w="830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2019 Equity Incentive Plan.</w:t>
            </w:r>
          </w:p>
        </w:tc>
        <w:tc>
          <w:tcPr>
            <w:tcW w:w="84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10500" w:type="dxa"/>
            <w:vAlign w:val="bottom"/>
            <w:gridSpan w:val="6"/>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10500" w:type="dxa"/>
            <w:vAlign w:val="bottom"/>
            <w:gridSpan w:val="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 hereof).</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filed with CLPS Incorporation’s Registration Statement on Form F-1 or amendments thereto (File No. 333-223956).</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104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187960</wp:posOffset>
            </wp:positionV>
            <wp:extent cx="102044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20445" cy="42037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 - Ogier Global (Cayman)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89 Nexus Way, Camana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KY1-9009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24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nathan.powell@ogier.com</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NMP/FYC/173339.00002</w:t>
      </w:r>
    </w:p>
    <w:p>
      <w:pPr>
        <w:spacing w:after="0" w:line="1546" w:lineRule="exact"/>
        <w:rPr>
          <w:sz w:val="20"/>
          <w:szCs w:val="20"/>
          <w:color w:val="auto"/>
        </w:rPr>
      </w:pPr>
    </w:p>
    <w:p>
      <w:pPr>
        <w:sectPr>
          <w:pgSz w:w="11900" w:h="16838" w:orient="portrait"/>
          <w:cols w:equalWidth="0" w:num="2">
            <w:col w:w="7860" w:space="720"/>
            <w:col w:w="2840"/>
          </w:cols>
          <w:pgMar w:left="240" w:top="111" w:right="239" w:bottom="1440" w:gutter="0" w:footer="0" w:header="0"/>
          <w:type w:val="continuous"/>
        </w:sectPr>
      </w:pP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acted as Cayman Islands counsel to the Company in connection with the Company’s registration statement on Form S-8, including all amendments or supplements thereto (the </w:t>
      </w:r>
      <w:r>
        <w:rPr>
          <w:rFonts w:ascii="Arial" w:cs="Arial" w:eastAsia="Arial" w:hAnsi="Arial"/>
          <w:sz w:val="18"/>
          <w:szCs w:val="18"/>
          <w:b w:val="1"/>
          <w:bCs w:val="1"/>
          <w:color w:val="auto"/>
        </w:rPr>
        <w:t>Form S-8</w:t>
      </w:r>
      <w:r>
        <w:rPr>
          <w:rFonts w:ascii="Arial" w:cs="Arial" w:eastAsia="Arial" w:hAnsi="Arial"/>
          <w:sz w:val="18"/>
          <w:szCs w:val="18"/>
          <w:color w:val="auto"/>
        </w:rPr>
        <w:t xml:space="preserve">), as filed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1933, as amended (the </w:t>
      </w:r>
      <w:r>
        <w:rPr>
          <w:rFonts w:ascii="Arial" w:cs="Arial" w:eastAsia="Arial" w:hAnsi="Arial"/>
          <w:sz w:val="18"/>
          <w:szCs w:val="18"/>
          <w:b w:val="1"/>
          <w:bCs w:val="1"/>
          <w:color w:val="auto"/>
        </w:rPr>
        <w:t>Act</w:t>
      </w:r>
      <w:r>
        <w:rPr>
          <w:rFonts w:ascii="Arial" w:cs="Arial" w:eastAsia="Arial" w:hAnsi="Arial"/>
          <w:sz w:val="18"/>
          <w:szCs w:val="18"/>
          <w:color w:val="auto"/>
        </w:rPr>
        <w:t xml:space="preserve">) on or about the date hereof. The Form S-8 relates to the Company’s 2019 Equity Incentive Plan adopted by the board of directors of the Company (the </w:t>
      </w:r>
      <w:r>
        <w:rPr>
          <w:rFonts w:ascii="Arial" w:cs="Arial" w:eastAsia="Arial" w:hAnsi="Arial"/>
          <w:sz w:val="18"/>
          <w:szCs w:val="18"/>
          <w:b w:val="1"/>
          <w:bCs w:val="1"/>
          <w:color w:val="auto"/>
        </w:rPr>
        <w:t>2019 Equity Incentive Plan</w:t>
      </w:r>
      <w:r>
        <w:rPr>
          <w:rFonts w:ascii="Arial" w:cs="Arial" w:eastAsia="Arial" w:hAnsi="Arial"/>
          <w:sz w:val="18"/>
          <w:szCs w:val="18"/>
          <w:color w:val="auto"/>
        </w:rPr>
        <w:t>).</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a certificate of good standing dated 15 April 2019 (the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issued by the Registrar in respect of the Company;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25 May 2018 (the </w:t>
      </w:r>
      <w:r>
        <w:rPr>
          <w:rFonts w:ascii="Arial" w:cs="Arial" w:eastAsia="Arial" w:hAnsi="Arial"/>
          <w:sz w:val="18"/>
          <w:szCs w:val="18"/>
          <w:b w:val="1"/>
          <w:bCs w:val="1"/>
          <w:color w:val="auto"/>
        </w:rPr>
        <w:t>ROD</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20"/>
                <w:szCs w:val="20"/>
                <w:color w:val="auto"/>
              </w:rPr>
            </w:pPr>
            <w:r>
              <w:rPr>
                <w:rFonts w:ascii="Arial" w:cs="Arial" w:eastAsia="Arial" w:hAnsi="Arial"/>
                <w:sz w:val="18"/>
                <w:szCs w:val="18"/>
                <w:b w:val="1"/>
                <w:bCs w:val="1"/>
                <w:color w:val="auto"/>
              </w:rPr>
              <w:t>Ogier</w:t>
            </w:r>
          </w:p>
        </w:tc>
        <w:tc>
          <w:tcPr>
            <w:tcW w:w="7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British Virgin Islands, Cayman Islands,</w:t>
            </w:r>
          </w:p>
        </w:tc>
        <w:tc>
          <w:tcPr>
            <w:tcW w:w="7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Guernsey, Jersey and Luxembourg</w:t>
            </w:r>
          </w:p>
        </w:tc>
        <w:tc>
          <w:tcPr>
            <w:tcW w:w="782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Partners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practitioners</w:t>
            </w:r>
          </w:p>
        </w:tc>
        <w:tc>
          <w:tcPr>
            <w:tcW w:w="7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820" w:type="dxa"/>
            <w:vAlign w:val="bottom"/>
          </w:tcPr>
          <w:p>
            <w:pPr>
              <w:ind w:left="760"/>
              <w:spacing w:after="0"/>
              <w:rPr>
                <w:sz w:val="20"/>
                <w:szCs w:val="20"/>
                <w:color w:val="auto"/>
              </w:rPr>
            </w:pPr>
            <w:r>
              <w:rPr>
                <w:rFonts w:ascii="Arial" w:cs="Arial" w:eastAsia="Arial" w:hAnsi="Arial"/>
                <w:sz w:val="18"/>
                <w:szCs w:val="18"/>
                <w:color w:val="auto"/>
              </w:rPr>
              <w:t>Nicholas Plowman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Floor 11 Central Tower</w:t>
            </w:r>
          </w:p>
        </w:tc>
        <w:tc>
          <w:tcPr>
            <w:tcW w:w="7820" w:type="dxa"/>
            <w:vAlign w:val="bottom"/>
          </w:tcPr>
          <w:p>
            <w:pPr>
              <w:ind w:left="760"/>
              <w:spacing w:after="0"/>
              <w:rPr>
                <w:sz w:val="20"/>
                <w:szCs w:val="20"/>
                <w:color w:val="auto"/>
              </w:rPr>
            </w:pPr>
            <w:r>
              <w:rPr>
                <w:rFonts w:ascii="Arial" w:cs="Arial" w:eastAsia="Arial" w:hAnsi="Arial"/>
                <w:sz w:val="18"/>
                <w:szCs w:val="18"/>
                <w:color w:val="auto"/>
              </w:rPr>
              <w:t>Nathan Powell</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28 Queen’s Road Central</w:t>
            </w:r>
          </w:p>
        </w:tc>
        <w:tc>
          <w:tcPr>
            <w:tcW w:w="7820" w:type="dxa"/>
            <w:vAlign w:val="bottom"/>
          </w:tcPr>
          <w:p>
            <w:pPr>
              <w:ind w:left="760"/>
              <w:spacing w:after="0"/>
              <w:rPr>
                <w:sz w:val="20"/>
                <w:szCs w:val="20"/>
                <w:color w:val="auto"/>
              </w:rPr>
            </w:pPr>
            <w:r>
              <w:rPr>
                <w:rFonts w:ascii="Arial" w:cs="Arial" w:eastAsia="Arial" w:hAnsi="Arial"/>
                <w:sz w:val="18"/>
                <w:szCs w:val="18"/>
                <w:color w:val="auto"/>
              </w:rPr>
              <w:t>Ray Ng</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Central</w:t>
            </w:r>
          </w:p>
        </w:tc>
        <w:tc>
          <w:tcPr>
            <w:tcW w:w="7820" w:type="dxa"/>
            <w:vAlign w:val="bottom"/>
          </w:tcPr>
          <w:p>
            <w:pPr>
              <w:ind w:left="760"/>
              <w:spacing w:after="0"/>
              <w:rPr>
                <w:sz w:val="20"/>
                <w:szCs w:val="20"/>
                <w:color w:val="auto"/>
              </w:rPr>
            </w:pPr>
            <w:r>
              <w:rPr>
                <w:rFonts w:ascii="Arial" w:cs="Arial" w:eastAsia="Arial" w:hAnsi="Arial"/>
                <w:sz w:val="18"/>
                <w:szCs w:val="18"/>
                <w:color w:val="auto"/>
              </w:rPr>
              <w:t>Kate Hodson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Hong Kong</w:t>
            </w:r>
          </w:p>
        </w:tc>
        <w:tc>
          <w:tcPr>
            <w:tcW w:w="7820" w:type="dxa"/>
            <w:vAlign w:val="bottom"/>
          </w:tcPr>
          <w:p>
            <w:pPr>
              <w:ind w:left="760"/>
              <w:spacing w:after="0"/>
              <w:rPr>
                <w:sz w:val="20"/>
                <w:szCs w:val="20"/>
                <w:color w:val="auto"/>
              </w:rPr>
            </w:pPr>
            <w:r>
              <w:rPr>
                <w:rFonts w:ascii="Arial" w:cs="Arial" w:eastAsia="Arial" w:hAnsi="Arial"/>
                <w:sz w:val="18"/>
                <w:szCs w:val="18"/>
                <w:color w:val="auto"/>
              </w:rPr>
              <w:t>David Nelson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7820" w:type="dxa"/>
            <w:vAlign w:val="bottom"/>
          </w:tcPr>
          <w:p>
            <w:pPr>
              <w:ind w:left="760"/>
              <w:spacing w:after="0"/>
              <w:rPr>
                <w:sz w:val="20"/>
                <w:szCs w:val="20"/>
                <w:color w:val="auto"/>
              </w:rPr>
            </w:pPr>
            <w:r>
              <w:rPr>
                <w:rFonts w:ascii="Arial" w:cs="Arial" w:eastAsia="Arial" w:hAnsi="Arial"/>
                <w:sz w:val="18"/>
                <w:szCs w:val="18"/>
                <w:color w:val="auto"/>
              </w:rPr>
              <w:t>Anthony Oakes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 +852 3656 6000</w:t>
            </w:r>
          </w:p>
        </w:tc>
        <w:tc>
          <w:tcPr>
            <w:tcW w:w="7820" w:type="dxa"/>
            <w:vAlign w:val="bottom"/>
          </w:tcPr>
          <w:p>
            <w:pPr>
              <w:ind w:left="760"/>
              <w:spacing w:after="0"/>
              <w:rPr>
                <w:sz w:val="20"/>
                <w:szCs w:val="20"/>
                <w:color w:val="auto"/>
              </w:rPr>
            </w:pPr>
            <w:r>
              <w:rPr>
                <w:rFonts w:ascii="Arial" w:cs="Arial" w:eastAsia="Arial" w:hAnsi="Arial"/>
                <w:sz w:val="18"/>
                <w:szCs w:val="18"/>
                <w:color w:val="auto"/>
              </w:rPr>
              <w:t>Oliver Payne</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Arial" w:cs="Arial" w:eastAsia="Arial" w:hAnsi="Arial"/>
                <w:sz w:val="18"/>
                <w:szCs w:val="18"/>
                <w:color w:val="auto"/>
              </w:rPr>
              <w:t>F +852 3656 6001</w:t>
            </w:r>
          </w:p>
        </w:tc>
        <w:tc>
          <w:tcPr>
            <w:tcW w:w="7820" w:type="dxa"/>
            <w:vAlign w:val="bottom"/>
          </w:tcPr>
          <w:p>
            <w:pPr>
              <w:ind w:left="760"/>
              <w:spacing w:after="0"/>
              <w:rPr>
                <w:sz w:val="20"/>
                <w:szCs w:val="20"/>
                <w:color w:val="auto"/>
              </w:rPr>
            </w:pPr>
            <w:r>
              <w:rPr>
                <w:rFonts w:ascii="Arial" w:cs="Arial" w:eastAsia="Arial" w:hAnsi="Arial"/>
                <w:sz w:val="18"/>
                <w:szCs w:val="18"/>
                <w:color w:val="auto"/>
              </w:rPr>
              <w:t>James Bergstrom</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7820" w:type="dxa"/>
            <w:vAlign w:val="bottom"/>
          </w:tcPr>
          <w:p>
            <w:pPr>
              <w:ind w:left="760"/>
              <w:spacing w:after="0"/>
              <w:rPr>
                <w:sz w:val="20"/>
                <w:szCs w:val="20"/>
                <w:color w:val="auto"/>
              </w:rPr>
            </w:pPr>
            <w:r>
              <w:rPr>
                <w:rFonts w:ascii="Arial" w:cs="Arial" w:eastAsia="Arial" w:hAnsi="Arial"/>
                <w:sz w:val="18"/>
                <w:szCs w:val="18"/>
                <w:color w:val="auto"/>
              </w:rPr>
              <w:t>Marcus Leese</w:t>
            </w:r>
          </w:p>
        </w:tc>
        <w:tc>
          <w:tcPr>
            <w:tcW w:w="0" w:type="dxa"/>
            <w:vAlign w:val="bottom"/>
          </w:tcPr>
          <w:p>
            <w:pPr>
              <w:spacing w:after="0"/>
              <w:rPr>
                <w:sz w:val="1"/>
                <w:szCs w:val="1"/>
                <w:color w:val="auto"/>
              </w:rPr>
            </w:pPr>
          </w:p>
        </w:tc>
      </w:tr>
      <w:tr>
        <w:trPr>
          <w:trHeight w:val="682"/>
        </w:trPr>
        <w:tc>
          <w:tcPr>
            <w:tcW w:w="36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copy of the register of members of the Company as at 25 May 2018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S-8;</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copy of the written resolutions of the board of directors dated 23 January 2019 and 23 April 2019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copy of the minutes of the annual general meeting of the Company held on 22 March 2019 (the </w:t>
      </w:r>
      <w:r>
        <w:rPr>
          <w:rFonts w:ascii="Arial" w:cs="Arial" w:eastAsia="Arial" w:hAnsi="Arial"/>
          <w:sz w:val="18"/>
          <w:szCs w:val="18"/>
          <w:b w:val="1"/>
          <w:bCs w:val="1"/>
          <w:color w:val="auto"/>
        </w:rPr>
        <w:t>Shareholders’ Resolutions</w:t>
      </w:r>
      <w:r>
        <w:rPr>
          <w:rFonts w:ascii="Arial" w:cs="Arial" w:eastAsia="Arial" w:hAnsi="Arial"/>
          <w:sz w:val="18"/>
          <w:szCs w:val="18"/>
          <w:color w:val="auto"/>
        </w:rPr>
        <w:t xml:space="preserve">,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2019 Equity Incentive Plan.</w:t>
      </w:r>
    </w:p>
    <w:p>
      <w:pPr>
        <w:spacing w:after="0" w:line="2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the Good Standing Certificate, the Registers and the 2019 Equity Incentive Plan is accurate and complete as at the date of this opinion;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Memorandum and Articles provided to you are in full force and effect and have not been amended, varied, supplemented or revoked in any respect;</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copies of the Form S-8 are true and correct copies and the Form S-8 conform in every material respect to the latest drafts of the same produced to us and, where the Form S-8 has been provided to us in successive drafts marked-up to indicate changes to such documents, all such changes have been so indicated;</w:t>
      </w:r>
    </w:p>
    <w:p>
      <w:pPr>
        <w:spacing w:after="0" w:line="181"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Resolutions have been duly passed in accordance with the Memorandum and Articles and remains in full force and effect and each of the directors of the Company has acted in good faith with a view to the best interests of the Company and has exercised the standard of care, diligence and skill that is required of him or her in approving the 2019 Equity Incentive Plan and no director has a financial interest in or other relationship to a party of the transactions contemplated by the 2019 Equity Incentive Plan which has not been properly disclosed in the Board Resolutions;</w:t>
      </w:r>
    </w:p>
    <w:p>
      <w:pPr>
        <w:spacing w:after="0" w:line="18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maximum number of shares which the Company is required to issue under the 2019 Equity Incentive Plan to fulfil its obligation is 2,200,000 shares of US$0.0001 par value each of the Company (the </w:t>
      </w:r>
      <w:r>
        <w:rPr>
          <w:rFonts w:ascii="Arial" w:cs="Arial" w:eastAsia="Arial" w:hAnsi="Arial"/>
          <w:sz w:val="18"/>
          <w:szCs w:val="18"/>
          <w:b w:val="1"/>
          <w:bCs w:val="1"/>
          <w:color w:val="auto"/>
        </w:rPr>
        <w:t>ESOP Shares</w:t>
      </w:r>
      <w:r>
        <w:rPr>
          <w:rFonts w:ascii="Arial" w:cs="Arial" w:eastAsia="Arial" w:hAnsi="Arial"/>
          <w:sz w:val="18"/>
          <w:szCs w:val="18"/>
          <w:color w:val="auto"/>
        </w:rPr>
        <w:t>) and the consideration payable for each ESOP Shares shall be no less than the par value of US$0.0001 each;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Authorised Shares</w:t>
      </w:r>
    </w:p>
    <w:p>
      <w:pPr>
        <w:spacing w:after="0" w:line="229"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the Memorandum, the authorised share capital of the Company is US$10,000 divided into 100,000,000 shares of US$0.0001 par value.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Valid Issuance of ESOP Shares</w:t>
      </w:r>
    </w:p>
    <w:p>
      <w:pPr>
        <w:spacing w:after="0" w:line="229" w:lineRule="exact"/>
        <w:rPr>
          <w:sz w:val="20"/>
          <w:szCs w:val="20"/>
          <w:color w:val="auto"/>
        </w:rPr>
      </w:pPr>
    </w:p>
    <w:p>
      <w:pPr>
        <w:jc w:val="both"/>
        <w:ind w:left="1300" w:hanging="644"/>
        <w:spacing w:after="0" w:line="273"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ESOP Shares to be issued under the 2019 Equity Incentive Plan have been duly authorised by all necessary corporate action of the Company under the Memorandum and Articles and, upon the issuance and delivery of the ESOP Shares in accordance with the Memorandum and Articles, Board Resolutions and the terms of the 2019 Equity Incentive Plan and once consideration of not less than the par value is paid per share in accordance with the Equity Incentive Plan to the Company, the ESOP Shares will be duly authorized, validly issued, fully paid and non-assessable. Once the register of members has been updated to reflect the issuance, the shareholders recorded in the register of members will be deemed to have legal title to the shares set against their respective name.</w:t>
      </w:r>
    </w:p>
    <w:p>
      <w:pPr>
        <w:spacing w:after="0" w:line="17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2019 Equity Incentive Plan to statutes, rules, regulations, codes or judicial authority of any jurisdiction other than the Cayman Islands; or</w:t>
      </w:r>
    </w:p>
    <w:p>
      <w:pPr>
        <w:spacing w:after="0" w:line="165"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25"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15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Form S-8.</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opinion may be used only in connection with the Form S-8 while the 2019 Equity Incentive Plan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The purpose of the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Award</w:t>
      </w:r>
      <w:r>
        <w:rPr>
          <w:rFonts w:ascii="Arial" w:cs="Arial" w:eastAsia="Arial" w:hAnsi="Arial"/>
          <w:sz w:val="17"/>
          <w:szCs w:val="17"/>
          <w:color w:val="auto"/>
        </w:rPr>
        <w:t>” means any award or benefit granted under the Plan, which shall be a Stock Option, a Stock Award, a Stock Unit Award or an SAR.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Stock Award Agreement, Stock Unit Award Agreement or SAR Agreement evidencing an Award granted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8.2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means CLPS Incorporation.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including an advisor, who is engaged by the Company or an affiliate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 who is not an employee of the Company or a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closing price of a Share on the national securities exchange on which the Shares are listed, or, if the Shares are not listed on a national securities exchange, the over-the-counter market on which the Shares trades, or, if the Shares is not listed on a national securities exchange or an over-the-counter market, as determined by the Board as of such date, or, if no trading occurred on such date, as of the trading day immediately preceding such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Employee</w:t>
      </w:r>
      <w:r>
        <w:rPr>
          <w:rFonts w:ascii="Arial" w:cs="Arial" w:eastAsia="Arial" w:hAnsi="Arial"/>
          <w:sz w:val="16"/>
          <w:szCs w:val="16"/>
          <w:color w:val="auto"/>
        </w:rPr>
        <w:t>” means an employee of the Company or any Subsidiary selected to participate in the Plan in accordance with Section 3. A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or “</w:t>
      </w:r>
      <w:r>
        <w:rPr>
          <w:rFonts w:ascii="Arial" w:cs="Arial" w:eastAsia="Arial" w:hAnsi="Arial"/>
          <w:sz w:val="17"/>
          <w:szCs w:val="17"/>
          <w:u w:val="single" w:color="auto"/>
          <w:color w:val="auto"/>
        </w:rPr>
        <w:t>NSO</w:t>
      </w:r>
      <w:r>
        <w:rPr>
          <w:rFonts w:ascii="Arial" w:cs="Arial" w:eastAsia="Arial" w:hAnsi="Arial"/>
          <w:sz w:val="17"/>
          <w:szCs w:val="17"/>
          <w:color w:val="auto"/>
        </w:rPr>
        <w:t>” means a Stock Option granted under Section 5 of the Plan that is not an Incentive Stock Option.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or Consultant selected to receive an Award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Plan</w:t>
      </w:r>
      <w:r>
        <w:rPr>
          <w:rFonts w:ascii="Arial" w:cs="Arial" w:eastAsia="Arial" w:hAnsi="Arial"/>
          <w:sz w:val="18"/>
          <w:szCs w:val="18"/>
          <w:color w:val="auto"/>
        </w:rPr>
        <w:t>” means this 2019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with a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grant of a right to receive Shares or cash under Section 8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Stock Award</w:t>
      </w:r>
      <w:r>
        <w:rPr>
          <w:rFonts w:ascii="Arial" w:cs="Arial" w:eastAsia="Arial" w:hAnsi="Arial"/>
          <w:sz w:val="18"/>
          <w:szCs w:val="18"/>
          <w:color w:val="auto"/>
        </w:rPr>
        <w:t>” means a grant of Shares under Section 6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Incentive Stock Option or a Non-Qualified Stock Option granted under Section 5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Stock Unit Award</w:t>
      </w:r>
      <w:r>
        <w:rPr>
          <w:rFonts w:ascii="Arial" w:cs="Arial" w:eastAsia="Arial" w:hAnsi="Arial"/>
          <w:sz w:val="18"/>
          <w:szCs w:val="18"/>
          <w:color w:val="auto"/>
        </w:rPr>
        <w:t>” means a grant of a right to receive Shares or cash under Section 7 of the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Committee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shall be administered by the Committee, which shall be comprised of at least two members of the Board who satisfy the “non-employee director” definition set forth in Rule 16b-3 under the Exchange Act, unless the Board otherwise determines.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the Committee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9" w:lineRule="auto"/>
        <w:tabs>
          <w:tab w:leader="none" w:pos="15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Committee, in its sole discretion, shall determine the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jc w:val="both"/>
        <w:ind w:left="660" w:firstLine="645"/>
        <w:spacing w:after="0" w:line="259" w:lineRule="auto"/>
        <w:tabs>
          <w:tab w:leader="none" w:pos="1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extent permitted by applicable law, regulation, and rules of a stock exchange on which the Shares are listed or traded, the Committee may delegate its authority to grant Awards to Employees and to determine the terms and conditions thereof to such officer of the Company as it may determine in its discretion, on such terms and conditions as it may impose, except with respect to Awards to officers subject to Section 16 of the Exchange Act.</w:t>
      </w:r>
    </w:p>
    <w:p>
      <w:pPr>
        <w:spacing w:after="0" w:line="186" w:lineRule="exact"/>
        <w:rPr>
          <w:rFonts w:ascii="Arial" w:cs="Arial" w:eastAsia="Arial" w:hAnsi="Arial"/>
          <w:sz w:val="18"/>
          <w:szCs w:val="18"/>
          <w:color w:val="auto"/>
        </w:rPr>
      </w:pPr>
    </w:p>
    <w:p>
      <w:pPr>
        <w:jc w:val="both"/>
        <w:ind w:left="660" w:firstLine="645"/>
        <w:spacing w:after="0" w:line="302" w:lineRule="auto"/>
        <w:tabs>
          <w:tab w:leader="none" w:pos="15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5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Subject to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Total Number of Shares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77" w:lineRule="auto"/>
        <w:tabs>
          <w:tab w:leader="none" w:pos="15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Shares that may be issued under the Plan shall be 2,200,000. Such shares may be either authorized but unissued shares or treasury shares, and shall be adjusted in accordance with the provisions of Section 4.3 of the Plan.</w:t>
      </w:r>
    </w:p>
    <w:p>
      <w:pPr>
        <w:spacing w:after="0" w:line="170" w:lineRule="exact"/>
        <w:rPr>
          <w:rFonts w:ascii="Arial" w:cs="Arial" w:eastAsia="Arial" w:hAnsi="Arial"/>
          <w:sz w:val="18"/>
          <w:szCs w:val="18"/>
          <w:color w:val="auto"/>
        </w:rPr>
      </w:pPr>
    </w:p>
    <w:p>
      <w:pPr>
        <w:jc w:val="both"/>
        <w:ind w:left="660" w:firstLine="645"/>
        <w:spacing w:after="0" w:line="297" w:lineRule="auto"/>
        <w:tabs>
          <w:tab w:leader="none" w:pos="15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Any Shares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jc w:val="both"/>
        <w:ind w:left="660" w:firstLine="645"/>
        <w:spacing w:after="0" w:line="279" w:lineRule="auto"/>
        <w:tabs>
          <w:tab w:leader="none" w:pos="156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there is a lapse, forfeiture, expiration, termination or cancellation of any Award for any reason (including for reasons described in Section 3.3),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Under Awards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jc w:val="both"/>
        <w:ind w:left="660" w:firstLine="645"/>
        <w:spacing w:after="0" w:line="264" w:lineRule="auto"/>
        <w:tabs>
          <w:tab w:leader="none" w:pos="1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number of Shares as to which an Employee may receive Stock Options or SARs in any calendar year is 200,000, except that the maximum number of Shares as to which a Employee may receive Stock Options or SARs in the calendar year in which such Employee begins employment with the Company or its Subsidiaries is 350,000.</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number of Shares that may be subject to Stock Options (ISOs and/or NSOs) is full amount of the plan.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and/or Stock Unit Awards that may be granted to any Employee in any calendar year is 350,000, or, in the event the Award is settled in cash, an amount equal to the Fair Market Value of such number of shares on the date on which the Award is settled.</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number of Shares subject to Awards granted under the Plan or otherwise during any one calendar year to any Director, taken together with any cash fees paid by the Company to such Director during such calendar year for service on the Board, will not exceed $1,000,000 in total value (calculating the value of any such Awards based on the grant date fair value of such Awards for financial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Section 5. Grants of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of the Plan, the Committee may from time to time grant Stock Options to Participants. Unless otherwise expressly provided at the time of the grant, Stock Options granted under the Plan to Employees will be NSOs. Stock Options granted under the Plan to Directors who are not employees of the Company or any Subsidiary will be NSOs.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 and Exercise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660" w:firstLine="645"/>
        <w:spacing w:after="0" w:line="277" w:lineRule="auto"/>
        <w:tabs>
          <w:tab w:leader="none" w:pos="1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 share exercise price of each Stock Option shall be the Fair Market Value of the Shares subject to the Stock Option on the date on which the Stock Option is granted, but such exercise price shall not be less than its par value.</w:t>
      </w:r>
    </w:p>
    <w:p>
      <w:pPr>
        <w:spacing w:after="0" w:line="170" w:lineRule="exact"/>
        <w:rPr>
          <w:rFonts w:ascii="Arial" w:cs="Arial" w:eastAsia="Arial" w:hAnsi="Arial"/>
          <w:sz w:val="18"/>
          <w:szCs w:val="18"/>
          <w:color w:val="auto"/>
        </w:rPr>
      </w:pPr>
    </w:p>
    <w:p>
      <w:pPr>
        <w:jc w:val="both"/>
        <w:ind w:left="660" w:firstLine="645"/>
        <w:spacing w:after="0" w:line="286" w:lineRule="auto"/>
        <w:tabs>
          <w:tab w:leader="none" w:pos="1577"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Stock Option shall become exercisable as provided in the Stock Option Agreement; provided that the Committee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spacing w:after="0" w:line="165" w:lineRule="exact"/>
        <w:rPr>
          <w:rFonts w:ascii="Arial" w:cs="Arial" w:eastAsia="Arial" w:hAnsi="Arial"/>
          <w:sz w:val="17"/>
          <w:szCs w:val="17"/>
          <w:color w:val="auto"/>
        </w:rPr>
      </w:pPr>
    </w:p>
    <w:p>
      <w:pPr>
        <w:ind w:left="1540" w:hanging="235"/>
        <w:spacing w:after="0"/>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dividends or dividend equivalents shall be paid with respect to any shares subject to a Stock Option prior to the exercise of the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Stock Option shall expire, and all rights to purchase Shares thereunder shall expire, on the date ten years after the date of grant.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Required Terms and Conditions of ISOs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foregoing, each ISO granted to an Employee shall be subject to the following specific rules:</w:t>
      </w:r>
    </w:p>
    <w:p>
      <w:pPr>
        <w:spacing w:after="0" w:line="225" w:lineRule="exact"/>
        <w:rPr>
          <w:sz w:val="20"/>
          <w:szCs w:val="20"/>
          <w:color w:val="auto"/>
        </w:rPr>
      </w:pPr>
    </w:p>
    <w:p>
      <w:pPr>
        <w:jc w:val="both"/>
        <w:ind w:left="660" w:firstLine="645"/>
        <w:spacing w:after="0" w:line="255" w:lineRule="auto"/>
        <w:tabs>
          <w:tab w:leader="none" w:pos="15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an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both"/>
        <w:ind w:left="660" w:firstLine="645"/>
        <w:spacing w:after="0" w:line="257" w:lineRule="auto"/>
        <w:tabs>
          <w:tab w:leader="none" w:pos="15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 ISO is granted to an Employee who owns stock possessing more than 10% of the total combined voting power of all classes of stock of the Company (or its parent or subsidiaries within the meaning of Section 422(b)(6) of the Code): (i) the purchase price of each Shares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8" w:lineRule="exact"/>
        <w:rPr>
          <w:rFonts w:ascii="Arial" w:cs="Arial" w:eastAsia="Arial" w:hAnsi="Arial"/>
          <w:sz w:val="18"/>
          <w:szCs w:val="18"/>
          <w:color w:val="auto"/>
        </w:rPr>
      </w:pPr>
    </w:p>
    <w:p>
      <w:pPr>
        <w:ind w:left="660" w:firstLine="645"/>
        <w:spacing w:after="0" w:line="277" w:lineRule="auto"/>
        <w:tabs>
          <w:tab w:leader="none" w:pos="15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ISOs shall be granted under the Plan after ten years from the earlier of the date the Plan is adopted or approved by shareholders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of Stock Options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64" w:lineRule="auto"/>
        <w:tabs>
          <w:tab w:leader="none" w:pos="15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Committee may prescribe. All notices or requests provided for herein shall be delivered to the Chief Financial Officer of the Company.</w:t>
      </w:r>
    </w:p>
    <w:p>
      <w:pPr>
        <w:spacing w:after="0" w:line="181" w:lineRule="exact"/>
        <w:rPr>
          <w:rFonts w:ascii="Arial" w:cs="Arial" w:eastAsia="Arial" w:hAnsi="Arial"/>
          <w:sz w:val="18"/>
          <w:szCs w:val="18"/>
          <w:color w:val="auto"/>
        </w:rPr>
      </w:pPr>
    </w:p>
    <w:p>
      <w:pPr>
        <w:jc w:val="both"/>
        <w:ind w:left="660" w:firstLine="645"/>
        <w:spacing w:after="0" w:line="272" w:lineRule="auto"/>
        <w:tabs>
          <w:tab w:leader="none" w:pos="156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otherwise issuable in connection with the exercise of the Stock Option having an aggregate Fair Market Value equal to the exercise price; (iv) by delivering previously acquired Shares that are acceptable to the Committee and that have an aggregate Fair Market Value on the date of exercise equal to the Stock Option exercise price; or (v) by certifying to ownership by attestation of such previously acquired Shares.</w:t>
      </w:r>
    </w:p>
    <w:p>
      <w:pPr>
        <w:spacing w:after="0" w:line="178"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Stock Option exercise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in its discretion, (a) grant Shares under the Plan to any Participant without consideration from such Participant or (b) sell Shares under the Plan to any Participant for such amount of cash, Shares or other consideration as the Committee deems appropriate.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Stock Award Agreement</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Each Shares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spacing w:after="0" w:line="124" w:lineRule="exact"/>
        <w:rPr>
          <w:sz w:val="20"/>
          <w:szCs w:val="20"/>
          <w:color w:val="auto"/>
        </w:rPr>
      </w:pPr>
    </w:p>
    <w:p>
      <w:pPr>
        <w:ind w:left="660" w:firstLine="645"/>
        <w:spacing w:after="0" w:line="277" w:lineRule="auto"/>
        <w:tabs>
          <w:tab w:leader="none" w:pos="15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Award Agreement shall specify whether the Shares are granted or sold to the Participant and such other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restrictions to which the Shares awarded hereunder are subject shall lapse as provided in Stock Award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Committee in its sole discretion).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jc w:val="both"/>
        <w:ind w:left="660" w:firstLine="645"/>
        <w:spacing w:after="0" w:line="255" w:lineRule="auto"/>
        <w:tabs>
          <w:tab w:leader="none" w:pos="15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provided in this subsection (c) and unless otherwise set forth in the related Stock Award Agreement, the Participant receiving a grant of or purchasing Shares shall thereupon be a shareholder of the Company with respect to such shares and shall have the rights of a shareholder of the Company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Stock Unit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Unit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spacing w:after="0" w:line="147" w:lineRule="exact"/>
        <w:rPr>
          <w:sz w:val="20"/>
          <w:szCs w:val="20"/>
          <w:color w:val="auto"/>
        </w:rPr>
      </w:pPr>
    </w:p>
    <w:p>
      <w:pPr>
        <w:ind w:left="660" w:firstLine="645"/>
        <w:spacing w:after="0" w:line="277" w:lineRule="auto"/>
        <w:tabs>
          <w:tab w:leader="none" w:pos="15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Stock Unit Agreement shall specify such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jc w:val="both"/>
        <w:ind w:left="660" w:firstLine="645"/>
        <w:spacing w:after="0" w:line="271" w:lineRule="auto"/>
        <w:tabs>
          <w:tab w:leader="none" w:pos="15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 provided that a Stock Unit Award Agreement may provide that until the Stock Units are settled in shares or cash, the Participant shall be entitled to receive on each dividend or distribution payment date applicable to the Shares an amount equal to the dividends or other distributions that the Participant would have received had the Stock Units held by the Participant as of the related record date been actual Shares.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Section 8. SARs.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grant SARs to Participants. Upon exercise, 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SAR Agreement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SAR shall be evidenced by a written SAR Agreement specifying the terms and conditions of the SAR as the Committee may determine, including the SAR exercise price, expiration date of the SAR, the number of Shares to which the SAR pertains, the form of settlement and such other terms and conditions established by the Committee, in its sole discretion, not inconsistent with the Plan.</w:t>
      </w:r>
    </w:p>
    <w:p>
      <w:pPr>
        <w:spacing w:after="0" w:line="165" w:lineRule="exact"/>
        <w:rPr>
          <w:rFonts w:ascii="Arial" w:cs="Arial" w:eastAsia="Arial" w:hAnsi="Arial"/>
          <w:sz w:val="17"/>
          <w:szCs w:val="17"/>
          <w:color w:val="auto"/>
        </w:rPr>
      </w:pPr>
    </w:p>
    <w:p>
      <w:pPr>
        <w:ind w:left="1580" w:hanging="275"/>
        <w:spacing w:after="0"/>
        <w:tabs>
          <w:tab w:leader="none" w:pos="1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 Share exercise price of each SAR shall not be less than 100% of the Fair Market Value of a Share on the date the SAR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granted.</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5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SAR shall expire and all rights thereunder shall cease on the date fixed by the Committee in the related SAR Agreement, which shall not be later than the ten years after the date of grant; provided however, if a Participant is unable to exercise an SAR because trading in the Shares is prohibited by law or the Company’s insider-trading policy, the SAR exercise date shall be extended to the date that is 30 days after the expiration of the trading prohibition.</w:t>
      </w:r>
    </w:p>
    <w:p>
      <w:pPr>
        <w:spacing w:after="0" w:line="186" w:lineRule="exact"/>
        <w:rPr>
          <w:rFonts w:ascii="Arial" w:cs="Arial" w:eastAsia="Arial" w:hAnsi="Arial"/>
          <w:sz w:val="18"/>
          <w:szCs w:val="18"/>
          <w:color w:val="auto"/>
        </w:rPr>
      </w:pPr>
    </w:p>
    <w:p>
      <w:pPr>
        <w:jc w:val="both"/>
        <w:ind w:left="660" w:firstLine="645"/>
        <w:spacing w:after="0" w:line="286" w:lineRule="auto"/>
        <w:tabs>
          <w:tab w:leader="none" w:pos="156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SAR shall become exercisable as provided in the related SAR Agreement; provided that notwithstanding any other Plan provision, the Committee shall have the discretion to accelerate the date as of which any SAR shall become exercisable in the event of the Participant’s termination of employment, or service on the Board, without cause (as determined by the Committee in its sole discretion).</w:t>
      </w:r>
    </w:p>
    <w:p>
      <w:pPr>
        <w:spacing w:after="0" w:line="165" w:lineRule="exact"/>
        <w:rPr>
          <w:rFonts w:ascii="Arial" w:cs="Arial" w:eastAsia="Arial" w:hAnsi="Arial"/>
          <w:sz w:val="17"/>
          <w:szCs w:val="17"/>
          <w:color w:val="auto"/>
        </w:rPr>
      </w:pPr>
    </w:p>
    <w:p>
      <w:pPr>
        <w:ind w:left="1540" w:hanging="235"/>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dividends or dividend equivalents shall be paid with respect to any SAR prior to the exercise of the SAR.</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5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person entitled to exercise an SAR may do so by delivery of a written notice in accordance with procedures established by the Committee specifying the number of Shares with respect to which the SAR is being exercised and any other information the Committee may prescribe. As soon as reasonably practicable after the exercise of an SAR, the Company shall (i) issue the total number of full Shares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Section 9. 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 of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9" w:lineRule="auto"/>
        <w:tabs>
          <w:tab w:leader="none" w:pos="15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spacing w:after="0" w:line="186" w:lineRule="exact"/>
        <w:rPr>
          <w:rFonts w:ascii="Arial" w:cs="Arial" w:eastAsia="Arial" w:hAnsi="Arial"/>
          <w:sz w:val="18"/>
          <w:szCs w:val="18"/>
          <w:color w:val="auto"/>
        </w:rPr>
      </w:pPr>
    </w:p>
    <w:p>
      <w:pPr>
        <w:jc w:val="both"/>
        <w:ind w:left="660" w:firstLine="645"/>
        <w:spacing w:after="0" w:line="273" w:lineRule="auto"/>
        <w:tabs>
          <w:tab w:leader="none" w:pos="15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Shares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jc w:val="both"/>
        <w:ind w:left="660" w:firstLine="645"/>
        <w:spacing w:after="0" w:line="257" w:lineRule="auto"/>
        <w:tabs>
          <w:tab w:leader="none" w:pos="15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15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89" w:lineRule="exact"/>
        <w:rPr>
          <w:rFonts w:ascii="Arial" w:cs="Arial" w:eastAsia="Arial" w:hAnsi="Arial"/>
          <w:sz w:val="18"/>
          <w:szCs w:val="18"/>
          <w:color w:val="auto"/>
        </w:rPr>
      </w:pPr>
    </w:p>
    <w:p>
      <w:pPr>
        <w:jc w:val="both"/>
        <w:ind w:left="660" w:firstLine="645"/>
        <w:spacing w:after="0" w:line="302" w:lineRule="auto"/>
        <w:tabs>
          <w:tab w:leader="none" w:pos="15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jc w:val="both"/>
        <w:ind w:left="660" w:firstLine="645"/>
        <w:spacing w:after="0" w:line="255" w:lineRule="auto"/>
        <w:tabs>
          <w:tab w:leader="none" w:pos="15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Payment of Taxes.</w:t>
      </w:r>
    </w:p>
    <w:p>
      <w:pPr>
        <w:spacing w:after="0" w:line="229" w:lineRule="exact"/>
        <w:rPr>
          <w:sz w:val="20"/>
          <w:szCs w:val="20"/>
          <w:color w:val="auto"/>
        </w:rPr>
      </w:pPr>
    </w:p>
    <w:p>
      <w:pPr>
        <w:jc w:val="both"/>
        <w:ind w:left="660" w:firstLine="645"/>
        <w:spacing w:after="0" w:line="259" w:lineRule="auto"/>
        <w:tabs>
          <w:tab w:leader="none" w:pos="15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spacing w:after="0" w:line="186" w:lineRule="exact"/>
        <w:rPr>
          <w:rFonts w:ascii="Arial" w:cs="Arial" w:eastAsia="Arial" w:hAnsi="Arial"/>
          <w:sz w:val="18"/>
          <w:szCs w:val="18"/>
          <w:color w:val="auto"/>
        </w:rPr>
      </w:pPr>
    </w:p>
    <w:p>
      <w:pPr>
        <w:jc w:val="both"/>
        <w:ind w:left="660" w:firstLine="645"/>
        <w:spacing w:after="0" w:line="255" w:lineRule="auto"/>
        <w:tabs>
          <w:tab w:leader="none" w:pos="15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Postponement.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postpone any grant or settlement of an Award or exercise of a Stock Option or SAR for such time as the Board in its sole discretion may deem necessary in order to permit the Company:</w:t>
      </w:r>
    </w:p>
    <w:p>
      <w:pPr>
        <w:spacing w:after="0" w:line="170" w:lineRule="exact"/>
        <w:rPr>
          <w:sz w:val="20"/>
          <w:szCs w:val="20"/>
          <w:color w:val="auto"/>
        </w:rPr>
      </w:pPr>
    </w:p>
    <w:p>
      <w:pPr>
        <w:ind w:left="660" w:firstLine="645"/>
        <w:spacing w:after="0" w:line="308" w:lineRule="auto"/>
        <w:tabs>
          <w:tab w:leader="none" w:pos="156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 Stock Option or SAR, under the Securities Act of 1933, as amended, or the securities laws of any applicable jurisdiction;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jc w:val="both"/>
        <w:ind w:left="660" w:firstLine="645"/>
        <w:spacing w:after="0" w:line="264" w:lineRule="auto"/>
        <w:tabs>
          <w:tab w:leader="none" w:pos="15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5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such postponement shall not extend the term of an Award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Nontransferability.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Delivery of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issued pursuant to a Stock Award, the exercise of a Stock or SAR or the settlement of a Stock Unit Award shall be represented by share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share certificates representing such Shares. Notwithstanding the foregoing, shares granted pursuant to a Stock Award shall be held by the Secretary of the Company until such time as the shares are forfeited or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Termination or Amendment of Plan and Award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Termination or Amendment of Plan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5" w:lineRule="auto"/>
        <w:tabs>
          <w:tab w:leader="none" w:pos="15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described in Section 14.3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spacing w:after="0" w:line="189" w:lineRule="exact"/>
        <w:rPr>
          <w:rFonts w:ascii="Arial" w:cs="Arial" w:eastAsia="Arial" w:hAnsi="Arial"/>
          <w:sz w:val="18"/>
          <w:szCs w:val="18"/>
          <w:color w:val="auto"/>
        </w:rPr>
      </w:pPr>
    </w:p>
    <w:p>
      <w:pPr>
        <w:ind w:left="660" w:firstLine="645"/>
        <w:spacing w:after="0" w:line="277" w:lineRule="auto"/>
        <w:tabs>
          <w:tab w:leader="none" w:pos="15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No Repricing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and except as described in Section 4.3, there shall be no amendment to the Plan or any outstanding Stock Option Agreement or SAR Agreement that results in the repricing of Stock Options or SARs without shareholders’ approval. For this purpose, repricing includes (i) 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 Contract of Employment.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Applicable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Hong Kong, without regard to the conflict of law provisions of any state, and, in the case of Incentive Stock Options, Section 422 of the Code and regulations issued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Effective Date and Term of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The Plan has been adopted by the Board, and is effective, as of the date of such adoption, subject to the approval of the Plan by the shareholders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Term of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herein, no Awards shall be granted on or after the tenth anniversary of the adoption of this Plan.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97561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pertaining to the CLPS Incorporation 2019 Equity Incentive Plan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hereby consent to the filing of this opinion as an exhibit to the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2019</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D1D5AE9"/>
    <w:multiLevelType w:val="hybridMultilevel"/>
    <w:lvl w:ilvl="0">
      <w:lvlJc w:val="left"/>
      <w:lvlText w:val="%1"/>
      <w:numFmt w:val="lowerLetter"/>
      <w:start w:val="1"/>
    </w:lvl>
    <w:lvl w:ilvl="1">
      <w:lvlJc w:val="left"/>
      <w:lvlText w:val="(%2)"/>
      <w:numFmt w:val="decimal"/>
      <w:start w:val="2"/>
    </w:lvl>
  </w:abstractNum>
  <w:abstractNum w:abstractNumId="5">
    <w:nsid w:val="6763845E"/>
    <w:multiLevelType w:val="hybridMultilevel"/>
    <w:lvl w:ilvl="0">
      <w:lvlJc w:val="left"/>
      <w:lvlText w:val="(%1)"/>
      <w:numFmt w:val="lowerLetter"/>
      <w:start w:val="2"/>
    </w:lvl>
    <w:lvl w:ilvl="1">
      <w:lvlJc w:val="left"/>
      <w:lvlText w:val="%2"/>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bullet"/>
      <w:start w:val="1"/>
    </w:lvl>
    <w:lvl w:ilvl="1">
      <w:lvlJc w:val="left"/>
      <w:lvlText w:val="(%2)"/>
      <w:numFmt w:val="lowerLetter"/>
      <w:start w:val="1"/>
    </w:lvl>
  </w:abstractNum>
  <w:abstractNum w:abstractNumId="8">
    <w:nsid w:val="79838CB2"/>
    <w:multiLevelType w:val="hybridMultilevel"/>
    <w:lvl w:ilvl="0">
      <w:lvlJc w:val="left"/>
      <w:lvlText w:val="(%1)"/>
      <w:numFmt w:val="lowerLetter"/>
      <w:start w:val="5"/>
    </w:lvl>
  </w:abstractNum>
  <w:abstractNum w:abstractNumId="9">
    <w:nsid w:val="4353D0CD"/>
    <w:multiLevelType w:val="hybridMultilevel"/>
    <w:lvl w:ilvl="0">
      <w:lvlJc w:val="left"/>
      <w:lvlText w:val="2"/>
      <w:numFmt w:val="bullet"/>
      <w:start w:val="1"/>
    </w:lvl>
    <w:lvl w:ilvl="1">
      <w:lvlJc w:val="left"/>
      <w:lvlText w:val="(%2)"/>
      <w:numFmt w:val="lowerLetter"/>
      <w:start w:val="1"/>
    </w:lvl>
  </w:abstractNum>
  <w:abstractNum w:abstractNumId="10">
    <w:nsid w:val="B03E0C6"/>
    <w:multiLevelType w:val="hybridMultilevel"/>
    <w:lvl w:ilvl="0">
      <w:lvlJc w:val="left"/>
      <w:lvlText w:val="(%1)"/>
      <w:numFmt w:val="lowerLetter"/>
      <w:start w:val="9"/>
    </w:lvl>
  </w:abstractNum>
  <w:abstractNum w:abstractNumId="11">
    <w:nsid w:val="189A769B"/>
    <w:multiLevelType w:val="hybridMultilevel"/>
    <w:lvl w:ilvl="0">
      <w:lvlJc w:val="left"/>
      <w:lvlText w:val="3"/>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2"/>
    </w:lvl>
  </w:abstractNum>
  <w:abstractNum w:abstractNumId="14">
    <w:nsid w:val="2CA88611"/>
    <w:multiLevelType w:val="hybridMultilevel"/>
    <w:lvl w:ilvl="0">
      <w:lvlJc w:val="left"/>
      <w:lvlText w:val="(%1)"/>
      <w:numFmt w:val="lowerLetter"/>
      <w:start w:val="3"/>
    </w:lvl>
  </w:abstractNum>
  <w:abstractNum w:abstractNumId="15">
    <w:nsid w:val="836C40E"/>
    <w:multiLevelType w:val="hybridMultilevel"/>
    <w:lvl w:ilvl="0">
      <w:lvlJc w:val="left"/>
      <w:lvlText w:val="4"/>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5"/>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6"/>
      <w:numFmt w:val="bullet"/>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lvl w:ilvl="1">
      <w:lvlJc w:val="left"/>
      <w:lvlText w:val="(%2)"/>
      <w:numFmt w:val="lowerLetter"/>
      <w:start w:val="1"/>
    </w:lvl>
  </w:abstractNum>
  <w:abstractNum w:abstractNumId="22">
    <w:nsid w:val="6CEAF087"/>
    <w:multiLevelType w:val="hybridMultilevel"/>
    <w:lvl w:ilvl="0">
      <w:lvlJc w:val="left"/>
      <w:lvlText w:val="(%1)"/>
      <w:numFmt w:val="lowerLetter"/>
      <w:start w:val="35"/>
    </w:lvl>
    <w:lvl w:ilvl="1">
      <w:lvlJc w:val="left"/>
      <w:lvlText w:val="%2"/>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3"/>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4"/>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2"/>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20"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2019-12-03T03:34:54Z</dcterms:created>
  <dcterms:modified xsi:type="dcterms:W3CDTF">2019-12-03T03:34:54Z</dcterms:modified>
</cp:coreProperties>
</file>