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Unit 1000, 10th Floor, Millennium City III</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2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9, 2024, CLPS Inc. (the “Company”) issued a press release announcing that it received a written notice from The Nasdaq Stock Market LLC (“Nasdaq”) dated September 6, 2024, indicating that the Company’s closing bid price for its common shares has been at $1.00 per share or greater for the last 10 consecutive business days, which is in compliance with Nasdaq Listing Rule 5450(a)(1). A copy of this press release is filed as Exhibit 99.1 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9,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 Regains Compliance with Nasdaq Minimum Bid Price Requirement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HONG KONG, Sep. 9, 2024 / PRNewswire / — CLPS Incorporation (the “Company” or “CLPS”) (Nasdaq: CLPS) today announced that it has received a written notice (“Notification”) from the Nasdaq Stock Market LLC (“Nasdaq”) informing that the Company has regained compliance with the Nasdaq’s minimum bid price requirement.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Notification, the minimum bid price of the Company’s common share was $1.00 per share or greater for the last 10 consecutive trading days from August 22 through September 5, 2024. As a result, CLPS has regained full compliance with Nasdaq’s Listing Rule 5450(a)(1), and the matter is now 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CLPS Incorporation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Headquartered in Hong Kong, CLPS Incorporation is a global leading information technology (“IT”) consulting and solutions service provider focused on delivering services primarily to global institutions on the banking, wealth management, e-commerce, and automotive sectors. The Company serves as an IT service provider to a growing network of clients in the global financial service industry, including large financial institutions in the U.S., Europe, Australia, Asia, and their PRC-based IT centers. The Company maintains 20 delivery and/or research &amp; development centers to serve different customers in various geographic locations. Mainland China centers are located in Shanghai, Beijing, Dalian, Tianjin, Xi’an, Chengdu, Guangzhou, Shenzhen, Hangzhou, and Hainan. The remaining 10 global centers are located in Hong Kong SAR, USA, Japan, Singapore, Australia, Malaysia, India, Philippines, Canada, and UAE. For further information regarding the Company, please visit: </w:t>
      </w:r>
      <w:r>
        <w:rPr>
          <w:rFonts w:ascii="Times New Roman" w:cs="Times New Roman" w:eastAsia="Times New Roman" w:hAnsi="Times New Roman"/>
          <w:sz w:val="18"/>
          <w:szCs w:val="18"/>
          <w:b w:val="1"/>
          <w:bCs w:val="1"/>
          <w:color w:val="auto"/>
        </w:rPr>
        <w:t>https://ir.clpsglobal.com/</w:t>
      </w:r>
      <w:r>
        <w:rPr>
          <w:rFonts w:ascii="Times New Roman" w:cs="Times New Roman" w:eastAsia="Times New Roman" w:hAnsi="Times New Roman"/>
          <w:sz w:val="18"/>
          <w:szCs w:val="18"/>
          <w:color w:val="auto"/>
        </w:rPr>
        <w:t xml:space="preserve">, or follow CLPS on </w:t>
      </w:r>
      <w:r>
        <w:rPr>
          <w:rFonts w:ascii="Times New Roman" w:cs="Times New Roman" w:eastAsia="Times New Roman" w:hAnsi="Times New Roman"/>
          <w:sz w:val="18"/>
          <w:szCs w:val="18"/>
          <w:b w:val="1"/>
          <w:b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(formerly Twitter)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YouTube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Known and unknown risks, uncertainties and other factors, which may be beyond the Company’s control, may cause the actual results and performance of the Company to be materially different from such forward-looking statements. All such statements attributable to us are expressly qualified in their entirety by this cautionary notice, including, without limitation, those risks and uncertainties related to the Company’s expectations of the Company’s future growth, performance and results of operations, the Company’s ability to capitalize on various commercial, M&amp;A, technology and other related opportunities and initiatives,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Rhon Galicha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+86-182-2192-5378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ir@clpsglobal.com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2024-09-09T08:10:22Z</dcterms:created>
  <dcterms:modified xsi:type="dcterms:W3CDTF">2024-09-09T08:10:22Z</dcterms:modified>
</cp:coreProperties>
</file>